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5.xml" ContentType="application/vnd.openxmlformats-officedocument.wordprocessingml.header+xml"/>
  <Override PartName="/word/footer33.xml" ContentType="application/vnd.openxmlformats-officedocument.wordprocessingml.footer+xml"/>
  <Override PartName="/word/header6.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61.099998pt;margin-top:54.599998pt;width:498.1pt;height:685.3pt;mso-position-horizontal-relative:page;mso-position-vertical-relative:page;z-index:-176056" coordorigin="1222,1092" coordsize="9962,13706">
            <v:shape style="position:absolute;left:1222;top:1092;width:1800;height:1623" type="#_x0000_t75" stroked="false">
              <v:imagedata r:id="rId5" o:title=""/>
            </v:shape>
            <v:shape style="position:absolute;left:1891;top:2669;width:182;height:10392" type="#_x0000_t75" stroked="false">
              <v:imagedata r:id="rId6" o:title=""/>
            </v:shape>
            <v:line style="position:absolute" from="1983,2711" to="1983,12959" stroked="true" strokeweight="2pt" strokecolor="#000000"/>
            <v:shape style="position:absolute;left:2645;top:1632;width:8539;height:12989" type="#_x0000_t75" stroked="false">
              <v:imagedata r:id="rId7" o:title=""/>
            </v:shape>
            <v:shape style="position:absolute;left:1260;top:13058;width:1500;height:1740" type="#_x0000_t75" stroked="false">
              <v:imagedata r:id="rId8" o:title=""/>
            </v:shape>
            <w10:wrap type="none"/>
          </v:group>
        </w:pict>
      </w:r>
    </w:p>
    <w:p>
      <w:pPr>
        <w:pStyle w:val="BodyText"/>
        <w:spacing w:before="9"/>
        <w:rPr>
          <w:rFonts w:ascii="Times New Roman"/>
          <w:sz w:val="19"/>
        </w:rPr>
      </w:pPr>
    </w:p>
    <w:p>
      <w:pPr>
        <w:spacing w:before="66"/>
        <w:ind w:left="2434" w:right="1032" w:firstLine="0"/>
        <w:jc w:val="center"/>
        <w:rPr>
          <w:b/>
          <w:sz w:val="26"/>
        </w:rPr>
      </w:pPr>
      <w:r>
        <w:rPr>
          <w:b/>
          <w:sz w:val="26"/>
        </w:rPr>
        <w:t>UNIVERSIDAD AUTÓNOMA DEL ESTADO DE MÉXICO</w:t>
      </w:r>
    </w:p>
    <w:p>
      <w:pPr>
        <w:spacing w:line="680" w:lineRule="atLeast" w:before="208"/>
        <w:ind w:left="3833" w:right="2420" w:firstLine="0"/>
        <w:jc w:val="center"/>
        <w:rPr>
          <w:b/>
          <w:sz w:val="26"/>
        </w:rPr>
      </w:pPr>
      <w:r>
        <w:rPr>
          <w:b/>
          <w:sz w:val="26"/>
        </w:rPr>
        <w:t>FACULTAD DE ODONTOLOGÍA CENTRO DE INVESTIGACIÓN</w:t>
      </w:r>
    </w:p>
    <w:p>
      <w:pPr>
        <w:spacing w:line="362" w:lineRule="auto" w:before="148"/>
        <w:ind w:left="2896" w:right="1480" w:firstLine="0"/>
        <w:jc w:val="center"/>
        <w:rPr>
          <w:b/>
          <w:sz w:val="26"/>
        </w:rPr>
      </w:pPr>
      <w:r>
        <w:rPr>
          <w:b/>
          <w:sz w:val="26"/>
        </w:rPr>
        <w:t>Y ESTUDIOS AVANZADOS EN ODONTOLOGÍA “DR. KEISABURO MIYATA.”</w:t>
      </w:r>
    </w:p>
    <w:p>
      <w:pPr>
        <w:pStyle w:val="BodyText"/>
        <w:spacing w:before="1"/>
        <w:rPr>
          <w:b/>
          <w:sz w:val="30"/>
        </w:rPr>
      </w:pPr>
    </w:p>
    <w:p>
      <w:pPr>
        <w:spacing w:line="360" w:lineRule="auto" w:before="0"/>
        <w:ind w:left="3115" w:right="1338" w:hanging="365"/>
        <w:jc w:val="left"/>
        <w:rPr>
          <w:b/>
          <w:sz w:val="26"/>
        </w:rPr>
      </w:pPr>
      <w:r>
        <w:rPr>
          <w:b/>
          <w:sz w:val="26"/>
        </w:rPr>
        <w:t>“EXPRESIÓN GÉNICA DE Fc</w:t>
      </w:r>
      <w:r>
        <w:rPr>
          <w:rFonts w:ascii="Symbol" w:hAnsi="Symbol"/>
          <w:b/>
          <w:sz w:val="26"/>
        </w:rPr>
        <w:t></w:t>
      </w:r>
      <w:r>
        <w:rPr>
          <w:b/>
          <w:sz w:val="26"/>
        </w:rPr>
        <w:t>R, Fc</w:t>
      </w:r>
      <w:r>
        <w:rPr>
          <w:rFonts w:ascii="Symbol" w:hAnsi="Symbol"/>
          <w:b/>
          <w:sz w:val="26"/>
        </w:rPr>
        <w:t></w:t>
      </w:r>
      <w:r>
        <w:rPr>
          <w:b/>
          <w:sz w:val="26"/>
        </w:rPr>
        <w:t>RIIB Y Fc</w:t>
      </w:r>
      <w:r>
        <w:rPr>
          <w:rFonts w:ascii="Symbol" w:hAnsi="Symbol"/>
          <w:b/>
          <w:sz w:val="26"/>
        </w:rPr>
        <w:t></w:t>
      </w:r>
      <w:r>
        <w:rPr>
          <w:b/>
          <w:sz w:val="26"/>
        </w:rPr>
        <w:t>R EN SALIVA DE PACIENTES MEXIQUENSES CON DENTICIÓN MIXTA Y PERMANENTE QUE PRESENTAN CARIES DENTAL;</w:t>
      </w:r>
      <w:r>
        <w:rPr>
          <w:b/>
          <w:spacing w:val="-4"/>
          <w:sz w:val="26"/>
        </w:rPr>
        <w:t> </w:t>
      </w:r>
      <w:r>
        <w:rPr>
          <w:b/>
          <w:sz w:val="26"/>
        </w:rPr>
        <w:t>2013”</w:t>
      </w:r>
    </w:p>
    <w:p>
      <w:pPr>
        <w:pStyle w:val="BodyText"/>
        <w:spacing w:before="2"/>
        <w:rPr>
          <w:b/>
          <w:sz w:val="30"/>
        </w:rPr>
      </w:pPr>
    </w:p>
    <w:p>
      <w:pPr>
        <w:spacing w:before="0"/>
        <w:ind w:left="2434" w:right="1024" w:firstLine="0"/>
        <w:jc w:val="center"/>
        <w:rPr>
          <w:b/>
          <w:sz w:val="44"/>
        </w:rPr>
      </w:pPr>
      <w:r>
        <w:rPr>
          <w:b/>
          <w:sz w:val="44"/>
        </w:rPr>
        <w:t>TESIS</w:t>
      </w:r>
    </w:p>
    <w:p>
      <w:pPr>
        <w:pStyle w:val="BodyText"/>
        <w:spacing w:before="2"/>
        <w:rPr>
          <w:b/>
          <w:sz w:val="54"/>
        </w:rPr>
      </w:pPr>
    </w:p>
    <w:p>
      <w:pPr>
        <w:spacing w:line="357" w:lineRule="auto" w:before="0"/>
        <w:ind w:left="2893" w:right="1480" w:firstLine="0"/>
        <w:jc w:val="center"/>
        <w:rPr>
          <w:b/>
          <w:sz w:val="26"/>
        </w:rPr>
      </w:pPr>
      <w:r>
        <w:rPr>
          <w:b/>
          <w:sz w:val="26"/>
        </w:rPr>
        <w:t>QUE PARA OBTENER EL GRADO DE: MAESTRÍA EN CIENCIAS ODONTOLÓGICAS</w:t>
      </w:r>
    </w:p>
    <w:p>
      <w:pPr>
        <w:pStyle w:val="BodyText"/>
        <w:rPr>
          <w:b/>
          <w:sz w:val="26"/>
        </w:rPr>
      </w:pPr>
    </w:p>
    <w:p>
      <w:pPr>
        <w:spacing w:before="157"/>
        <w:ind w:left="2434" w:right="1026" w:firstLine="0"/>
        <w:jc w:val="center"/>
        <w:rPr>
          <w:b/>
          <w:sz w:val="26"/>
        </w:rPr>
      </w:pPr>
      <w:r>
        <w:rPr>
          <w:b/>
          <w:sz w:val="26"/>
        </w:rPr>
        <w:t>PRESENTA:</w:t>
      </w:r>
    </w:p>
    <w:p>
      <w:pPr>
        <w:pStyle w:val="BodyText"/>
        <w:spacing w:before="4"/>
        <w:rPr>
          <w:b/>
          <w:sz w:val="30"/>
        </w:rPr>
      </w:pPr>
    </w:p>
    <w:p>
      <w:pPr>
        <w:spacing w:before="0"/>
        <w:ind w:left="3052" w:right="0" w:firstLine="0"/>
        <w:jc w:val="left"/>
        <w:rPr>
          <w:b/>
          <w:sz w:val="26"/>
        </w:rPr>
      </w:pPr>
      <w:r>
        <w:rPr>
          <w:b/>
          <w:sz w:val="26"/>
        </w:rPr>
        <w:t>C.D. GEMA REGINA GUADARRAMA SANTÍN</w:t>
      </w:r>
    </w:p>
    <w:p>
      <w:pPr>
        <w:pStyle w:val="BodyText"/>
        <w:rPr>
          <w:b/>
          <w:sz w:val="26"/>
        </w:rPr>
      </w:pPr>
    </w:p>
    <w:p>
      <w:pPr>
        <w:pStyle w:val="BodyText"/>
        <w:rPr>
          <w:b/>
          <w:sz w:val="26"/>
        </w:rPr>
      </w:pPr>
    </w:p>
    <w:p>
      <w:pPr>
        <w:spacing w:before="0"/>
        <w:ind w:left="2434" w:right="1030" w:firstLine="0"/>
        <w:jc w:val="center"/>
        <w:rPr>
          <w:b/>
          <w:sz w:val="26"/>
        </w:rPr>
      </w:pPr>
      <w:r>
        <w:rPr>
          <w:b/>
          <w:sz w:val="26"/>
        </w:rPr>
        <w:t>TUTOR ACADÉMICO</w:t>
      </w:r>
    </w:p>
    <w:p>
      <w:pPr>
        <w:spacing w:before="152"/>
        <w:ind w:left="2434" w:right="1028" w:firstLine="0"/>
        <w:jc w:val="center"/>
        <w:rPr>
          <w:b/>
          <w:sz w:val="26"/>
        </w:rPr>
      </w:pPr>
      <w:r>
        <w:rPr>
          <w:b/>
          <w:sz w:val="26"/>
        </w:rPr>
        <w:t>Dr. en C.S.P. ANGEL VISOSO SALGADO</w:t>
      </w:r>
    </w:p>
    <w:p>
      <w:pPr>
        <w:pStyle w:val="BodyText"/>
        <w:rPr>
          <w:b/>
          <w:sz w:val="26"/>
        </w:rPr>
      </w:pPr>
    </w:p>
    <w:p>
      <w:pPr>
        <w:pStyle w:val="BodyText"/>
        <w:spacing w:before="7"/>
        <w:rPr>
          <w:b/>
          <w:sz w:val="25"/>
        </w:rPr>
      </w:pPr>
    </w:p>
    <w:p>
      <w:pPr>
        <w:spacing w:before="0"/>
        <w:ind w:left="2434" w:right="1026" w:firstLine="0"/>
        <w:jc w:val="center"/>
        <w:rPr>
          <w:b/>
          <w:sz w:val="26"/>
        </w:rPr>
      </w:pPr>
      <w:r>
        <w:rPr>
          <w:b/>
          <w:sz w:val="26"/>
        </w:rPr>
        <w:t>TUTORES ADJUNTOS</w:t>
      </w:r>
    </w:p>
    <w:p>
      <w:pPr>
        <w:spacing w:line="357" w:lineRule="auto" w:before="153"/>
        <w:ind w:left="2434" w:right="1026" w:firstLine="0"/>
        <w:jc w:val="center"/>
        <w:rPr>
          <w:b/>
          <w:sz w:val="26"/>
        </w:rPr>
      </w:pPr>
      <w:r>
        <w:rPr>
          <w:b/>
          <w:sz w:val="26"/>
        </w:rPr>
        <w:t>Dra. en O. NORMA MARGARITA MONTIEL BASTIDA Dr. en C. I. A. ISAÍAS DE LA ROSA GÓMEZ</w:t>
      </w:r>
    </w:p>
    <w:p>
      <w:pPr>
        <w:pStyle w:val="BodyText"/>
        <w:rPr>
          <w:b/>
          <w:sz w:val="26"/>
        </w:rPr>
      </w:pPr>
    </w:p>
    <w:p>
      <w:pPr>
        <w:pStyle w:val="Heading2"/>
        <w:spacing w:before="152"/>
        <w:ind w:left="2434" w:right="1022"/>
        <w:jc w:val="center"/>
      </w:pPr>
      <w:r>
        <w:rPr/>
        <w:t>TOLUCA, ESTADO DE MÉXICO; NOVIEMBRE DE 2014.</w:t>
      </w:r>
    </w:p>
    <w:p>
      <w:pPr>
        <w:spacing w:after="0"/>
        <w:jc w:val="center"/>
        <w:sectPr>
          <w:type w:val="continuous"/>
          <w:pgSz w:w="12240" w:h="15840"/>
          <w:pgMar w:top="1100" w:bottom="280" w:left="1120" w:right="940"/>
        </w:sectPr>
      </w:pPr>
    </w:p>
    <w:p>
      <w:pPr>
        <w:pStyle w:val="BodyText"/>
        <w:spacing w:before="10"/>
        <w:rPr>
          <w:b/>
        </w:rPr>
      </w:pPr>
    </w:p>
    <w:p>
      <w:pPr>
        <w:pStyle w:val="Heading2"/>
        <w:ind w:left="637" w:right="649"/>
        <w:jc w:val="center"/>
      </w:pPr>
      <w:r>
        <w:rPr/>
        <w:t>ÍNDICE DE CONTENIDO</w:t>
      </w:r>
    </w:p>
    <w:p>
      <w:pPr>
        <w:pStyle w:val="BodyText"/>
        <w:spacing w:before="10"/>
        <w:rPr>
          <w:b/>
          <w:sz w:val="21"/>
        </w:rPr>
      </w:pPr>
    </w:p>
    <w:p>
      <w:pPr>
        <w:spacing w:before="0"/>
        <w:ind w:left="0" w:right="889" w:firstLine="0"/>
        <w:jc w:val="right"/>
        <w:rPr>
          <w:sz w:val="20"/>
        </w:rPr>
      </w:pPr>
      <w:r>
        <w:rPr>
          <w:sz w:val="20"/>
        </w:rPr>
        <w:t>Página</w:t>
      </w:r>
    </w:p>
    <w:p>
      <w:pPr>
        <w:spacing w:after="0"/>
        <w:jc w:val="right"/>
        <w:rPr>
          <w:sz w:val="20"/>
        </w:rPr>
        <w:sectPr>
          <w:headerReference w:type="default" r:id="rId9"/>
          <w:footerReference w:type="default" r:id="rId10"/>
          <w:pgSz w:w="12240" w:h="15840"/>
          <w:pgMar w:header="726" w:footer="1074" w:top="1320" w:bottom="1574" w:left="1180" w:right="1460"/>
        </w:sectPr>
      </w:pPr>
    </w:p>
    <w:sdt>
      <w:sdtPr>
        <w:docPartObj>
          <w:docPartGallery w:val="Table of Contents"/>
          <w:docPartUnique/>
        </w:docPartObj>
      </w:sdtPr>
      <w:sdtEndPr/>
      <w:sdtContent>
        <w:p>
          <w:pPr>
            <w:pStyle w:val="TOC1"/>
            <w:numPr>
              <w:ilvl w:val="0"/>
              <w:numId w:val="1"/>
            </w:numPr>
            <w:tabs>
              <w:tab w:pos="803" w:val="left" w:leader="none"/>
              <w:tab w:pos="804" w:val="left" w:leader="none"/>
              <w:tab w:pos="8342" w:val="left" w:leader="none"/>
            </w:tabs>
            <w:spacing w:line="240" w:lineRule="auto" w:before="115" w:after="0"/>
            <w:ind w:left="803" w:right="0" w:hanging="567"/>
            <w:jc w:val="left"/>
          </w:pPr>
          <w:hyperlink w:history="true" w:anchor="_TOC_250065">
            <w:r>
              <w:rPr/>
              <w:t>INTRODUCCIÓN</w:t>
              <w:tab/>
              <w:t>1</w:t>
            </w:r>
          </w:hyperlink>
        </w:p>
        <w:p>
          <w:pPr>
            <w:pStyle w:val="TOC1"/>
            <w:numPr>
              <w:ilvl w:val="0"/>
              <w:numId w:val="1"/>
            </w:numPr>
            <w:tabs>
              <w:tab w:pos="803" w:val="left" w:leader="none"/>
              <w:tab w:pos="804" w:val="left" w:leader="none"/>
              <w:tab w:pos="8342" w:val="left" w:leader="none"/>
            </w:tabs>
            <w:spacing w:line="240" w:lineRule="auto" w:before="115" w:after="0"/>
            <w:ind w:left="803" w:right="0" w:hanging="567"/>
            <w:jc w:val="left"/>
          </w:pPr>
          <w:hyperlink w:history="true" w:anchor="_TOC_250064">
            <w:r>
              <w:rPr/>
              <w:t>ANTECEDENTES</w:t>
              <w:tab/>
              <w:t>4</w:t>
            </w:r>
          </w:hyperlink>
        </w:p>
        <w:p>
          <w:pPr>
            <w:pStyle w:val="TOC2"/>
            <w:numPr>
              <w:ilvl w:val="1"/>
              <w:numId w:val="1"/>
            </w:numPr>
            <w:tabs>
              <w:tab w:pos="804" w:val="left" w:leader="none"/>
              <w:tab w:pos="8342" w:val="left" w:leader="none"/>
            </w:tabs>
            <w:spacing w:line="240" w:lineRule="auto" w:before="115" w:after="0"/>
            <w:ind w:left="803" w:right="0" w:hanging="361"/>
            <w:jc w:val="left"/>
          </w:pPr>
          <w:hyperlink w:history="true" w:anchor="_TOC_250063">
            <w:r>
              <w:rPr/>
              <w:t>LA</w:t>
            </w:r>
            <w:r>
              <w:rPr>
                <w:spacing w:val="1"/>
              </w:rPr>
              <w:t> </w:t>
            </w:r>
            <w:r>
              <w:rPr/>
              <w:t>CARIES</w:t>
            </w:r>
            <w:r>
              <w:rPr>
                <w:spacing w:val="-3"/>
              </w:rPr>
              <w:t> </w:t>
            </w:r>
            <w:r>
              <w:rPr/>
              <w:t>DENTAL</w:t>
              <w:tab/>
              <w:t>5</w:t>
            </w:r>
          </w:hyperlink>
        </w:p>
        <w:p>
          <w:pPr>
            <w:pStyle w:val="TOC6"/>
            <w:numPr>
              <w:ilvl w:val="2"/>
              <w:numId w:val="1"/>
            </w:numPr>
            <w:tabs>
              <w:tab w:pos="1140" w:val="left" w:leader="none"/>
              <w:tab w:pos="8342" w:val="left" w:leader="none"/>
            </w:tabs>
            <w:spacing w:line="240" w:lineRule="auto" w:before="115" w:after="0"/>
            <w:ind w:left="1139" w:right="0" w:hanging="336"/>
            <w:jc w:val="left"/>
          </w:pPr>
          <w:r>
            <w:rPr/>
            <w:t>Caries Dental por Tipo</w:t>
          </w:r>
          <w:r>
            <w:rPr>
              <w:spacing w:val="-6"/>
            </w:rPr>
            <w:t> </w:t>
          </w:r>
          <w:r>
            <w:rPr/>
            <w:t>de</w:t>
          </w:r>
          <w:r>
            <w:rPr>
              <w:spacing w:val="-1"/>
            </w:rPr>
            <w:t> </w:t>
          </w:r>
          <w:r>
            <w:rPr/>
            <w:t>Dentición</w:t>
            <w:tab/>
            <w:t>5</w:t>
          </w:r>
        </w:p>
        <w:p>
          <w:pPr>
            <w:pStyle w:val="TOC6"/>
            <w:numPr>
              <w:ilvl w:val="2"/>
              <w:numId w:val="1"/>
            </w:numPr>
            <w:tabs>
              <w:tab w:pos="1140" w:val="left" w:leader="none"/>
              <w:tab w:pos="8342" w:val="left" w:leader="none"/>
            </w:tabs>
            <w:spacing w:line="240" w:lineRule="auto" w:before="116" w:after="0"/>
            <w:ind w:left="1139" w:right="0" w:hanging="336"/>
            <w:jc w:val="left"/>
          </w:pPr>
          <w:hyperlink w:history="true" w:anchor="_TOC_250062">
            <w:r>
              <w:rPr/>
              <w:t>Factores Etiológicos de la</w:t>
            </w:r>
            <w:r>
              <w:rPr>
                <w:spacing w:val="-10"/>
              </w:rPr>
              <w:t> </w:t>
            </w:r>
            <w:r>
              <w:rPr/>
              <w:t>Caries</w:t>
            </w:r>
            <w:r>
              <w:rPr>
                <w:spacing w:val="-3"/>
              </w:rPr>
              <w:t> </w:t>
            </w:r>
            <w:r>
              <w:rPr/>
              <w:t>Dental</w:t>
              <w:tab/>
              <w:t>6</w:t>
            </w:r>
          </w:hyperlink>
        </w:p>
        <w:p>
          <w:pPr>
            <w:pStyle w:val="TOC7"/>
            <w:numPr>
              <w:ilvl w:val="3"/>
              <w:numId w:val="1"/>
            </w:numPr>
            <w:tabs>
              <w:tab w:pos="1452" w:val="left" w:leader="none"/>
              <w:tab w:pos="8342" w:val="left" w:leader="none"/>
            </w:tabs>
            <w:spacing w:line="240" w:lineRule="auto" w:before="111" w:after="0"/>
            <w:ind w:left="1451" w:right="0" w:hanging="504"/>
            <w:jc w:val="left"/>
          </w:pPr>
          <w:hyperlink w:history="true" w:anchor="_TOC_250061">
            <w:r>
              <w:rPr/>
              <w:t>Factores</w:t>
            </w:r>
            <w:r>
              <w:rPr>
                <w:spacing w:val="-3"/>
              </w:rPr>
              <w:t> </w:t>
            </w:r>
            <w:r>
              <w:rPr/>
              <w:t>etiológicos</w:t>
            </w:r>
            <w:r>
              <w:rPr>
                <w:spacing w:val="-3"/>
              </w:rPr>
              <w:t> </w:t>
            </w:r>
            <w:r>
              <w:rPr/>
              <w:t>primarios</w:t>
              <w:tab/>
              <w:t>7</w:t>
            </w:r>
          </w:hyperlink>
        </w:p>
        <w:p>
          <w:pPr>
            <w:pStyle w:val="TOC8"/>
            <w:numPr>
              <w:ilvl w:val="4"/>
              <w:numId w:val="1"/>
            </w:numPr>
            <w:tabs>
              <w:tab w:pos="1759" w:val="left" w:leader="none"/>
              <w:tab w:pos="8342" w:val="left" w:leader="none"/>
            </w:tabs>
            <w:spacing w:line="240" w:lineRule="auto" w:before="115" w:after="0"/>
            <w:ind w:left="1758" w:right="0" w:hanging="672"/>
            <w:jc w:val="left"/>
          </w:pPr>
          <w:r>
            <w:rPr/>
            <w:t>Microorganismos</w:t>
            <w:tab/>
            <w:t>7</w:t>
          </w:r>
        </w:p>
        <w:p>
          <w:pPr>
            <w:pStyle w:val="TOC8"/>
            <w:numPr>
              <w:ilvl w:val="4"/>
              <w:numId w:val="1"/>
            </w:numPr>
            <w:tabs>
              <w:tab w:pos="1759" w:val="left" w:leader="none"/>
              <w:tab w:pos="8342" w:val="left" w:leader="none"/>
            </w:tabs>
            <w:spacing w:line="240" w:lineRule="auto" w:before="115" w:after="0"/>
            <w:ind w:left="1758" w:right="0" w:hanging="672"/>
            <w:jc w:val="left"/>
          </w:pPr>
          <w:r>
            <w:rPr/>
            <w:t>Dieta</w:t>
            <w:tab/>
            <w:t>7</w:t>
          </w:r>
        </w:p>
        <w:p>
          <w:pPr>
            <w:pStyle w:val="TOC8"/>
            <w:numPr>
              <w:ilvl w:val="4"/>
              <w:numId w:val="1"/>
            </w:numPr>
            <w:tabs>
              <w:tab w:pos="1759" w:val="left" w:leader="none"/>
              <w:tab w:pos="8342" w:val="left" w:leader="none"/>
            </w:tabs>
            <w:spacing w:line="240" w:lineRule="auto" w:before="116" w:after="0"/>
            <w:ind w:left="1758" w:right="0" w:hanging="672"/>
            <w:jc w:val="left"/>
          </w:pPr>
          <w:r>
            <w:rPr>
              <w:spacing w:val="-3"/>
            </w:rPr>
            <w:t>Huésped: </w:t>
          </w:r>
          <w:r>
            <w:rPr/>
            <w:t>saliva, diente, inmunidad</w:t>
          </w:r>
          <w:r>
            <w:rPr>
              <w:spacing w:val="11"/>
            </w:rPr>
            <w:t> </w:t>
          </w:r>
          <w:r>
            <w:rPr/>
            <w:t>y</w:t>
          </w:r>
          <w:r>
            <w:rPr>
              <w:spacing w:val="-1"/>
            </w:rPr>
            <w:t> </w:t>
          </w:r>
          <w:r>
            <w:rPr/>
            <w:t>genética</w:t>
            <w:tab/>
            <w:t>8</w:t>
          </w:r>
        </w:p>
        <w:p>
          <w:pPr>
            <w:pStyle w:val="TOC7"/>
            <w:numPr>
              <w:ilvl w:val="3"/>
              <w:numId w:val="1"/>
            </w:numPr>
            <w:tabs>
              <w:tab w:pos="1452" w:val="left" w:leader="none"/>
              <w:tab w:pos="8342" w:val="left" w:leader="none"/>
            </w:tabs>
            <w:spacing w:line="240" w:lineRule="auto" w:before="115" w:after="0"/>
            <w:ind w:left="1451" w:right="0" w:hanging="504"/>
            <w:jc w:val="left"/>
          </w:pPr>
          <w:hyperlink w:history="true" w:anchor="_TOC_250060">
            <w:r>
              <w:rPr/>
              <w:t>Factores</w:t>
            </w:r>
            <w:r>
              <w:rPr>
                <w:spacing w:val="-3"/>
              </w:rPr>
              <w:t> </w:t>
            </w:r>
            <w:r>
              <w:rPr/>
              <w:t>etiológicos</w:t>
            </w:r>
            <w:r>
              <w:rPr>
                <w:spacing w:val="-8"/>
              </w:rPr>
              <w:t> </w:t>
            </w:r>
            <w:r>
              <w:rPr/>
              <w:t>moduladores</w:t>
              <w:tab/>
              <w:t>9</w:t>
            </w:r>
          </w:hyperlink>
        </w:p>
        <w:p>
          <w:pPr>
            <w:pStyle w:val="TOC6"/>
            <w:numPr>
              <w:ilvl w:val="2"/>
              <w:numId w:val="1"/>
            </w:numPr>
            <w:tabs>
              <w:tab w:pos="1140" w:val="left" w:leader="none"/>
              <w:tab w:pos="8284" w:val="left" w:leader="none"/>
            </w:tabs>
            <w:spacing w:line="240" w:lineRule="auto" w:before="115" w:after="0"/>
            <w:ind w:left="1139" w:right="0" w:hanging="336"/>
            <w:jc w:val="left"/>
          </w:pPr>
          <w:hyperlink w:history="true" w:anchor="_TOC_250059">
            <w:r>
              <w:rPr/>
              <w:t>El Diagnóstico de la</w:t>
            </w:r>
            <w:r>
              <w:rPr>
                <w:spacing w:val="-5"/>
              </w:rPr>
              <w:t> </w:t>
            </w:r>
            <w:r>
              <w:rPr/>
              <w:t>Caries</w:t>
            </w:r>
            <w:r>
              <w:rPr>
                <w:spacing w:val="-3"/>
              </w:rPr>
              <w:t> </w:t>
            </w:r>
            <w:r>
              <w:rPr/>
              <w:t>Dental</w:t>
              <w:tab/>
              <w:t>10</w:t>
            </w:r>
          </w:hyperlink>
        </w:p>
        <w:p>
          <w:pPr>
            <w:pStyle w:val="TOC3"/>
            <w:numPr>
              <w:ilvl w:val="1"/>
              <w:numId w:val="1"/>
            </w:numPr>
            <w:tabs>
              <w:tab w:pos="823" w:val="left" w:leader="none"/>
              <w:tab w:pos="8284" w:val="left" w:leader="none"/>
            </w:tabs>
            <w:spacing w:line="240" w:lineRule="auto" w:before="115" w:after="0"/>
            <w:ind w:left="822" w:right="0" w:hanging="303"/>
            <w:jc w:val="left"/>
          </w:pPr>
          <w:r>
            <w:rPr/>
            <w:t>LA RESPUESTA INMUNE</w:t>
          </w:r>
          <w:r>
            <w:rPr>
              <w:spacing w:val="-7"/>
            </w:rPr>
            <w:t> </w:t>
          </w:r>
          <w:r>
            <w:rPr/>
            <w:t>DEL</w:t>
          </w:r>
          <w:r>
            <w:rPr>
              <w:spacing w:val="-1"/>
            </w:rPr>
            <w:t> </w:t>
          </w:r>
          <w:r>
            <w:rPr/>
            <w:t>HUÉSPED</w:t>
            <w:tab/>
            <w:t>13</w:t>
          </w:r>
        </w:p>
        <w:p>
          <w:pPr>
            <w:pStyle w:val="TOC7"/>
            <w:numPr>
              <w:ilvl w:val="2"/>
              <w:numId w:val="1"/>
            </w:numPr>
            <w:tabs>
              <w:tab w:pos="1317" w:val="left" w:leader="none"/>
              <w:tab w:pos="8284" w:val="left" w:leader="none"/>
            </w:tabs>
            <w:spacing w:line="240" w:lineRule="auto" w:before="111" w:after="0"/>
            <w:ind w:left="1317" w:right="0" w:hanging="360"/>
            <w:jc w:val="left"/>
          </w:pPr>
          <w:hyperlink w:history="true" w:anchor="_TOC_250058">
            <w:r>
              <w:rPr/>
              <w:t>Inmunidad Innata</w:t>
            </w:r>
            <w:r>
              <w:rPr>
                <w:spacing w:val="-5"/>
              </w:rPr>
              <w:t> </w:t>
            </w:r>
            <w:r>
              <w:rPr/>
              <w:t>y</w:t>
            </w:r>
            <w:r>
              <w:rPr>
                <w:spacing w:val="1"/>
              </w:rPr>
              <w:t> </w:t>
            </w:r>
            <w:r>
              <w:rPr/>
              <w:t>Adaptativa</w:t>
              <w:tab/>
              <w:t>13</w:t>
            </w:r>
          </w:hyperlink>
        </w:p>
        <w:p>
          <w:pPr>
            <w:pStyle w:val="TOC7"/>
            <w:numPr>
              <w:ilvl w:val="2"/>
              <w:numId w:val="1"/>
            </w:numPr>
            <w:tabs>
              <w:tab w:pos="1317" w:val="left" w:leader="none"/>
              <w:tab w:pos="8284" w:val="left" w:leader="none"/>
            </w:tabs>
            <w:spacing w:line="240" w:lineRule="auto" w:before="115" w:after="0"/>
            <w:ind w:left="1317" w:right="0" w:hanging="360"/>
            <w:jc w:val="left"/>
          </w:pPr>
          <w:hyperlink w:history="true" w:anchor="_TOC_250057">
            <w:r>
              <w:rPr/>
              <w:t>Inmunidad</w:t>
            </w:r>
            <w:r>
              <w:rPr>
                <w:spacing w:val="-1"/>
              </w:rPr>
              <w:t> </w:t>
            </w:r>
            <w:r>
              <w:rPr/>
              <w:t>Adaptativa</w:t>
              <w:tab/>
              <w:t>14</w:t>
            </w:r>
          </w:hyperlink>
        </w:p>
        <w:p>
          <w:pPr>
            <w:pStyle w:val="TOC9"/>
            <w:numPr>
              <w:ilvl w:val="3"/>
              <w:numId w:val="1"/>
            </w:numPr>
            <w:tabs>
              <w:tab w:pos="1653" w:val="left" w:leader="none"/>
              <w:tab w:pos="8284" w:val="left" w:leader="none"/>
            </w:tabs>
            <w:spacing w:line="240" w:lineRule="auto" w:before="115" w:after="0"/>
            <w:ind w:left="1653" w:right="0" w:hanging="480"/>
            <w:jc w:val="left"/>
          </w:pPr>
          <w:hyperlink w:history="true" w:anchor="_TOC_250056">
            <w:r>
              <w:rPr/>
              <w:t>Inmunidad</w:t>
            </w:r>
            <w:r>
              <w:rPr>
                <w:spacing w:val="-1"/>
              </w:rPr>
              <w:t> </w:t>
            </w:r>
            <w:r>
              <w:rPr/>
              <w:t>celular</w:t>
              <w:tab/>
              <w:t>17</w:t>
            </w:r>
          </w:hyperlink>
        </w:p>
        <w:p>
          <w:pPr>
            <w:pStyle w:val="ListParagraph"/>
            <w:numPr>
              <w:ilvl w:val="3"/>
              <w:numId w:val="1"/>
            </w:numPr>
            <w:tabs>
              <w:tab w:pos="1687" w:val="left" w:leader="none"/>
              <w:tab w:pos="8284" w:val="left" w:leader="none"/>
            </w:tabs>
            <w:spacing w:line="240" w:lineRule="auto" w:before="115" w:after="0"/>
            <w:ind w:left="1686" w:right="0" w:hanging="499"/>
            <w:jc w:val="left"/>
            <w:rPr>
              <w:sz w:val="20"/>
            </w:rPr>
          </w:pPr>
          <w:hyperlink w:history="true" w:anchor="_TOC_250055">
            <w:r>
              <w:rPr>
                <w:sz w:val="20"/>
              </w:rPr>
              <w:t>Inmunidad</w:t>
            </w:r>
            <w:r>
              <w:rPr>
                <w:spacing w:val="-2"/>
                <w:sz w:val="20"/>
              </w:rPr>
              <w:t> </w:t>
            </w:r>
            <w:r>
              <w:rPr>
                <w:sz w:val="20"/>
              </w:rPr>
              <w:t>humoral</w:t>
              <w:tab/>
              <w:t>18</w:t>
            </w:r>
          </w:hyperlink>
        </w:p>
        <w:p>
          <w:pPr>
            <w:pStyle w:val="ListParagraph"/>
            <w:numPr>
              <w:ilvl w:val="4"/>
              <w:numId w:val="1"/>
            </w:numPr>
            <w:tabs>
              <w:tab w:pos="2081" w:val="left" w:leader="none"/>
              <w:tab w:pos="8284" w:val="left" w:leader="none"/>
            </w:tabs>
            <w:spacing w:line="240" w:lineRule="auto" w:before="115" w:after="0"/>
            <w:ind w:left="2080" w:right="0" w:hanging="720"/>
            <w:jc w:val="left"/>
            <w:rPr>
              <w:sz w:val="20"/>
            </w:rPr>
          </w:pPr>
          <w:r>
            <w:rPr>
              <w:sz w:val="20"/>
            </w:rPr>
            <w:t>Anticuerpos</w:t>
          </w:r>
          <w:r>
            <w:rPr>
              <w:spacing w:val="-5"/>
              <w:sz w:val="20"/>
            </w:rPr>
            <w:t> </w:t>
          </w:r>
          <w:r>
            <w:rPr>
              <w:sz w:val="20"/>
            </w:rPr>
            <w:t>(Inmunoglobulinas)</w:t>
            <w:tab/>
            <w:t>19</w:t>
          </w:r>
        </w:p>
        <w:p>
          <w:pPr>
            <w:pStyle w:val="ListParagraph"/>
            <w:numPr>
              <w:ilvl w:val="5"/>
              <w:numId w:val="1"/>
            </w:numPr>
            <w:tabs>
              <w:tab w:pos="2364" w:val="left" w:leader="none"/>
              <w:tab w:pos="8284" w:val="left" w:leader="none"/>
            </w:tabs>
            <w:spacing w:line="240" w:lineRule="auto" w:before="116" w:after="0"/>
            <w:ind w:left="2363" w:right="0" w:hanging="283"/>
            <w:jc w:val="left"/>
            <w:rPr>
              <w:sz w:val="20"/>
            </w:rPr>
          </w:pPr>
          <w:r>
            <w:rPr>
              <w:sz w:val="20"/>
            </w:rPr>
            <w:t>Estructura de</w:t>
          </w:r>
          <w:r>
            <w:rPr>
              <w:spacing w:val="-1"/>
              <w:sz w:val="20"/>
            </w:rPr>
            <w:t> </w:t>
          </w:r>
          <w:r>
            <w:rPr>
              <w:sz w:val="20"/>
            </w:rPr>
            <w:t>los</w:t>
          </w:r>
          <w:r>
            <w:rPr>
              <w:spacing w:val="-4"/>
              <w:sz w:val="20"/>
            </w:rPr>
            <w:t> </w:t>
          </w:r>
          <w:r>
            <w:rPr>
              <w:sz w:val="20"/>
            </w:rPr>
            <w:t>anticuerpos</w:t>
            <w:tab/>
            <w:t>20</w:t>
          </w:r>
        </w:p>
        <w:p>
          <w:pPr>
            <w:pStyle w:val="ListParagraph"/>
            <w:numPr>
              <w:ilvl w:val="5"/>
              <w:numId w:val="1"/>
            </w:numPr>
            <w:tabs>
              <w:tab w:pos="2364" w:val="left" w:leader="none"/>
              <w:tab w:pos="8284" w:val="left" w:leader="none"/>
            </w:tabs>
            <w:spacing w:line="240" w:lineRule="auto" w:before="115" w:after="0"/>
            <w:ind w:left="2363" w:right="0" w:hanging="283"/>
            <w:jc w:val="left"/>
            <w:rPr>
              <w:sz w:val="20"/>
            </w:rPr>
          </w:pPr>
          <w:r>
            <w:rPr>
              <w:sz w:val="20"/>
            </w:rPr>
            <w:t>Cambio de</w:t>
          </w:r>
          <w:r>
            <w:rPr>
              <w:spacing w:val="-7"/>
              <w:sz w:val="20"/>
            </w:rPr>
            <w:t> </w:t>
          </w:r>
          <w:r>
            <w:rPr>
              <w:sz w:val="20"/>
            </w:rPr>
            <w:t>isotipo</w:t>
          </w:r>
          <w:r>
            <w:rPr>
              <w:spacing w:val="-1"/>
              <w:sz w:val="20"/>
            </w:rPr>
            <w:t> </w:t>
          </w:r>
          <w:r>
            <w:rPr>
              <w:sz w:val="20"/>
            </w:rPr>
            <w:t>(clase)</w:t>
            <w:tab/>
            <w:t>22</w:t>
          </w:r>
        </w:p>
        <w:p>
          <w:pPr>
            <w:pStyle w:val="ListParagraph"/>
            <w:numPr>
              <w:ilvl w:val="5"/>
              <w:numId w:val="1"/>
            </w:numPr>
            <w:tabs>
              <w:tab w:pos="2364" w:val="left" w:leader="none"/>
              <w:tab w:pos="8284" w:val="left" w:leader="none"/>
            </w:tabs>
            <w:spacing w:line="240" w:lineRule="auto" w:before="115" w:after="0"/>
            <w:ind w:left="2363" w:right="0" w:hanging="283"/>
            <w:jc w:val="left"/>
            <w:rPr>
              <w:sz w:val="20"/>
            </w:rPr>
          </w:pPr>
          <w:r>
            <w:rPr>
              <w:sz w:val="20"/>
            </w:rPr>
            <w:t>Clases</w:t>
          </w:r>
          <w:r>
            <w:rPr>
              <w:spacing w:val="-4"/>
              <w:sz w:val="20"/>
            </w:rPr>
            <w:t> </w:t>
          </w:r>
          <w:r>
            <w:rPr>
              <w:sz w:val="20"/>
            </w:rPr>
            <w:t>y subclases</w:t>
            <w:tab/>
            <w:t>23</w:t>
          </w:r>
        </w:p>
        <w:p>
          <w:pPr>
            <w:pStyle w:val="TOC7"/>
            <w:numPr>
              <w:ilvl w:val="2"/>
              <w:numId w:val="1"/>
            </w:numPr>
            <w:tabs>
              <w:tab w:pos="1284" w:val="left" w:leader="none"/>
              <w:tab w:pos="8284" w:val="left" w:leader="none"/>
            </w:tabs>
            <w:spacing w:line="240" w:lineRule="auto" w:before="111" w:after="0"/>
            <w:ind w:left="1283" w:right="0" w:hanging="336"/>
            <w:jc w:val="left"/>
          </w:pPr>
          <w:hyperlink w:history="true" w:anchor="_TOC_250054">
            <w:r>
              <w:rPr/>
              <w:t>Receptores Fc para</w:t>
            </w:r>
            <w:r>
              <w:rPr>
                <w:spacing w:val="-7"/>
              </w:rPr>
              <w:t> </w:t>
            </w:r>
            <w:r>
              <w:rPr/>
              <w:t>las</w:t>
            </w:r>
            <w:r>
              <w:rPr>
                <w:spacing w:val="-3"/>
              </w:rPr>
              <w:t> </w:t>
            </w:r>
            <w:r>
              <w:rPr/>
              <w:t>Inmunoglobulinas</w:t>
              <w:tab/>
              <w:t>28</w:t>
            </w:r>
          </w:hyperlink>
        </w:p>
        <w:p>
          <w:pPr>
            <w:pStyle w:val="TOC8"/>
            <w:numPr>
              <w:ilvl w:val="3"/>
              <w:numId w:val="1"/>
            </w:numPr>
            <w:tabs>
              <w:tab w:pos="1591" w:val="left" w:leader="none"/>
              <w:tab w:pos="8284" w:val="left" w:leader="none"/>
            </w:tabs>
            <w:spacing w:line="240" w:lineRule="auto" w:before="117" w:after="0"/>
            <w:ind w:left="1590" w:right="0" w:hanging="504"/>
            <w:jc w:val="left"/>
          </w:pPr>
          <w:hyperlink w:history="true" w:anchor="_TOC_250053">
            <w:r>
              <w:rPr/>
              <w:t>Receptores</w:t>
            </w:r>
            <w:r>
              <w:rPr>
                <w:spacing w:val="-3"/>
              </w:rPr>
              <w:t> </w:t>
            </w:r>
            <w:r>
              <w:rPr/>
              <w:t>Fc</w:t>
            </w:r>
            <w:r>
              <w:rPr>
                <w:rFonts w:ascii="Symbol" w:hAnsi="Symbol"/>
              </w:rPr>
              <w:t></w:t>
            </w:r>
            <w:r>
              <w:rPr>
                <w:position w:val="1"/>
              </w:rPr>
              <w:tab/>
              <w:t>29</w:t>
            </w:r>
          </w:hyperlink>
        </w:p>
        <w:p>
          <w:pPr>
            <w:pStyle w:val="TOC8"/>
            <w:numPr>
              <w:ilvl w:val="3"/>
              <w:numId w:val="1"/>
            </w:numPr>
            <w:tabs>
              <w:tab w:pos="1591" w:val="left" w:leader="none"/>
              <w:tab w:pos="8284" w:val="left" w:leader="none"/>
            </w:tabs>
            <w:spacing w:line="240" w:lineRule="auto" w:before="124" w:after="0"/>
            <w:ind w:left="1590" w:right="0" w:hanging="504"/>
            <w:jc w:val="left"/>
          </w:pPr>
          <w:hyperlink w:history="true" w:anchor="_TOC_250052">
            <w:r>
              <w:rPr/>
              <w:t>Receptores</w:t>
            </w:r>
            <w:r>
              <w:rPr>
                <w:spacing w:val="-3"/>
              </w:rPr>
              <w:t> </w:t>
            </w:r>
            <w:r>
              <w:rPr/>
              <w:t>Fc</w:t>
            </w:r>
            <w:r>
              <w:rPr>
                <w:rFonts w:ascii="Symbol" w:hAnsi="Symbol"/>
              </w:rPr>
              <w:t></w:t>
            </w:r>
            <w:r>
              <w:rPr>
                <w:position w:val="1"/>
              </w:rPr>
              <w:tab/>
              <w:t>31</w:t>
            </w:r>
          </w:hyperlink>
        </w:p>
        <w:p>
          <w:pPr>
            <w:pStyle w:val="TOC8"/>
            <w:numPr>
              <w:ilvl w:val="3"/>
              <w:numId w:val="1"/>
            </w:numPr>
            <w:tabs>
              <w:tab w:pos="1591" w:val="left" w:leader="none"/>
              <w:tab w:pos="8284" w:val="left" w:leader="none"/>
            </w:tabs>
            <w:spacing w:line="240" w:lineRule="auto" w:before="119" w:after="0"/>
            <w:ind w:left="1590" w:right="0" w:hanging="504"/>
            <w:jc w:val="left"/>
          </w:pPr>
          <w:hyperlink w:history="true" w:anchor="_TOC_250051">
            <w:r>
              <w:rPr/>
              <w:t>Receptores</w:t>
            </w:r>
            <w:r>
              <w:rPr>
                <w:spacing w:val="-3"/>
              </w:rPr>
              <w:t> </w:t>
            </w:r>
            <w:r>
              <w:rPr/>
              <w:t>Fc</w:t>
            </w:r>
            <w:r>
              <w:rPr>
                <w:rFonts w:ascii="Symbol" w:hAnsi="Symbol"/>
              </w:rPr>
              <w:t></w:t>
            </w:r>
            <w:r>
              <w:rPr>
                <w:position w:val="1"/>
              </w:rPr>
              <w:tab/>
              <w:t>32</w:t>
            </w:r>
          </w:hyperlink>
        </w:p>
        <w:p>
          <w:pPr>
            <w:pStyle w:val="TOC4"/>
            <w:numPr>
              <w:ilvl w:val="1"/>
              <w:numId w:val="1"/>
            </w:numPr>
            <w:tabs>
              <w:tab w:pos="957" w:val="left" w:leader="none"/>
              <w:tab w:pos="8284" w:val="left" w:leader="none"/>
            </w:tabs>
            <w:spacing w:line="240" w:lineRule="auto" w:before="123" w:after="0"/>
            <w:ind w:left="957" w:right="0" w:hanging="361"/>
            <w:jc w:val="left"/>
          </w:pPr>
          <w:hyperlink w:history="true" w:anchor="_TOC_250050">
            <w:r>
              <w:rPr/>
              <w:t>INMUNOGLOBULINAS Y SU RELACIÓN CON LA</w:t>
            </w:r>
            <w:r>
              <w:rPr>
                <w:spacing w:val="-11"/>
              </w:rPr>
              <w:t> </w:t>
            </w:r>
            <w:r>
              <w:rPr/>
              <w:t>CARIES DENTAL</w:t>
              <w:tab/>
              <w:t>34</w:t>
            </w:r>
          </w:hyperlink>
        </w:p>
        <w:p>
          <w:pPr>
            <w:pStyle w:val="TOC7"/>
            <w:numPr>
              <w:ilvl w:val="2"/>
              <w:numId w:val="1"/>
            </w:numPr>
            <w:tabs>
              <w:tab w:pos="1317" w:val="left" w:leader="none"/>
              <w:tab w:pos="8284" w:val="left" w:leader="none"/>
            </w:tabs>
            <w:spacing w:line="240" w:lineRule="auto" w:before="116" w:after="0"/>
            <w:ind w:left="1317" w:right="0" w:hanging="360"/>
            <w:jc w:val="left"/>
          </w:pPr>
          <w:r>
            <w:rPr/>
            <w:t>Inmunoglobulinas en la</w:t>
          </w:r>
          <w:r>
            <w:rPr>
              <w:spacing w:val="-4"/>
            </w:rPr>
            <w:t> </w:t>
          </w:r>
          <w:r>
            <w:rPr/>
            <w:t>Cavidad</w:t>
          </w:r>
          <w:r>
            <w:rPr>
              <w:spacing w:val="-6"/>
            </w:rPr>
            <w:t> </w:t>
          </w:r>
          <w:r>
            <w:rPr/>
            <w:t>Oral</w:t>
            <w:tab/>
            <w:t>34</w:t>
          </w:r>
        </w:p>
        <w:p>
          <w:pPr>
            <w:pStyle w:val="TOC7"/>
            <w:numPr>
              <w:ilvl w:val="2"/>
              <w:numId w:val="1"/>
            </w:numPr>
            <w:tabs>
              <w:tab w:pos="1317" w:val="left" w:leader="none"/>
              <w:tab w:pos="8284" w:val="left" w:leader="none"/>
            </w:tabs>
            <w:spacing w:line="240" w:lineRule="auto" w:before="115" w:after="0"/>
            <w:ind w:left="1317" w:right="0" w:hanging="360"/>
            <w:jc w:val="left"/>
          </w:pPr>
          <w:r>
            <w:rPr/>
            <w:t>Inmunoglobulinas y la</w:t>
          </w:r>
          <w:r>
            <w:rPr>
              <w:spacing w:val="-3"/>
            </w:rPr>
            <w:t> </w:t>
          </w:r>
          <w:r>
            <w:rPr/>
            <w:t>Caries</w:t>
          </w:r>
          <w:r>
            <w:rPr>
              <w:spacing w:val="-4"/>
            </w:rPr>
            <w:t> </w:t>
          </w:r>
          <w:r>
            <w:rPr/>
            <w:t>Dental</w:t>
            <w:tab/>
            <w:t>34</w:t>
          </w:r>
        </w:p>
        <w:p>
          <w:pPr>
            <w:pStyle w:val="TOC4"/>
            <w:numPr>
              <w:ilvl w:val="1"/>
              <w:numId w:val="1"/>
            </w:numPr>
            <w:tabs>
              <w:tab w:pos="957" w:val="left" w:leader="none"/>
              <w:tab w:pos="8284" w:val="left" w:leader="none"/>
            </w:tabs>
            <w:spacing w:line="240" w:lineRule="auto" w:before="115" w:after="0"/>
            <w:ind w:left="957" w:right="0" w:hanging="361"/>
            <w:jc w:val="left"/>
          </w:pPr>
          <w:hyperlink w:history="true" w:anchor="_TOC_250049">
            <w:r>
              <w:rPr/>
              <w:t>LA BIOLOGÍA MOLECULAR Y</w:t>
            </w:r>
            <w:r>
              <w:rPr>
                <w:spacing w:val="-6"/>
              </w:rPr>
              <w:t> </w:t>
            </w:r>
            <w:r>
              <w:rPr/>
              <w:t>LA SALIVA</w:t>
              <w:tab/>
              <w:t>37</w:t>
            </w:r>
          </w:hyperlink>
        </w:p>
        <w:p>
          <w:pPr>
            <w:pStyle w:val="TOC7"/>
            <w:numPr>
              <w:ilvl w:val="2"/>
              <w:numId w:val="1"/>
            </w:numPr>
            <w:tabs>
              <w:tab w:pos="1317" w:val="left" w:leader="none"/>
              <w:tab w:pos="8284" w:val="left" w:leader="none"/>
            </w:tabs>
            <w:spacing w:line="240" w:lineRule="auto" w:before="111" w:after="0"/>
            <w:ind w:left="1317" w:right="0" w:hanging="360"/>
            <w:jc w:val="left"/>
          </w:pPr>
          <w:hyperlink w:history="true" w:anchor="_TOC_250048">
            <w:r>
              <w:rPr/>
              <w:t>Saliva</w:t>
              <w:tab/>
              <w:t>37</w:t>
            </w:r>
          </w:hyperlink>
        </w:p>
        <w:p>
          <w:pPr>
            <w:pStyle w:val="TOC8"/>
            <w:numPr>
              <w:ilvl w:val="3"/>
              <w:numId w:val="1"/>
            </w:numPr>
            <w:tabs>
              <w:tab w:pos="1591" w:val="left" w:leader="none"/>
              <w:tab w:pos="8284" w:val="left" w:leader="none"/>
            </w:tabs>
            <w:spacing w:line="240" w:lineRule="auto" w:before="115" w:after="0"/>
            <w:ind w:left="1590" w:right="0" w:hanging="504"/>
            <w:jc w:val="left"/>
          </w:pPr>
          <w:hyperlink w:history="true" w:anchor="_TOC_250047">
            <w:r>
              <w:rPr/>
              <w:t>Fluido gingival</w:t>
            </w:r>
            <w:r>
              <w:rPr>
                <w:spacing w:val="-4"/>
              </w:rPr>
              <w:t> </w:t>
            </w:r>
            <w:r>
              <w:rPr/>
              <w:t>crevicular</w:t>
            </w:r>
            <w:r>
              <w:rPr>
                <w:spacing w:val="51"/>
              </w:rPr>
              <w:t> </w:t>
            </w:r>
            <w:r>
              <w:rPr/>
              <w:t>(FGC)</w:t>
              <w:tab/>
              <w:t>38</w:t>
            </w:r>
          </w:hyperlink>
        </w:p>
        <w:p>
          <w:pPr>
            <w:pStyle w:val="TOC9"/>
            <w:numPr>
              <w:ilvl w:val="3"/>
              <w:numId w:val="1"/>
            </w:numPr>
            <w:tabs>
              <w:tab w:pos="1620" w:val="left" w:leader="none"/>
              <w:tab w:pos="8284" w:val="left" w:leader="none"/>
            </w:tabs>
            <w:spacing w:line="240" w:lineRule="auto" w:before="116" w:after="0"/>
            <w:ind w:left="1619" w:right="0" w:hanging="499"/>
            <w:jc w:val="left"/>
          </w:pPr>
          <w:r>
            <w:rPr/>
            <w:t>La saliva en </w:t>
          </w:r>
          <w:r>
            <w:rPr>
              <w:spacing w:val="-4"/>
            </w:rPr>
            <w:t>el</w:t>
          </w:r>
          <w:r>
            <w:rPr>
              <w:spacing w:val="-1"/>
            </w:rPr>
            <w:t> </w:t>
          </w:r>
          <w:r>
            <w:rPr/>
            <w:t>diagnóstico</w:t>
          </w:r>
          <w:r>
            <w:rPr>
              <w:spacing w:val="-1"/>
            </w:rPr>
            <w:t> </w:t>
          </w:r>
          <w:r>
            <w:rPr/>
            <w:t>clínico</w:t>
            <w:tab/>
            <w:t>39</w:t>
          </w:r>
        </w:p>
        <w:p>
          <w:pPr>
            <w:pStyle w:val="TOC7"/>
            <w:numPr>
              <w:ilvl w:val="2"/>
              <w:numId w:val="1"/>
            </w:numPr>
            <w:tabs>
              <w:tab w:pos="1317" w:val="left" w:leader="none"/>
              <w:tab w:pos="8284" w:val="left" w:leader="none"/>
            </w:tabs>
            <w:spacing w:line="240" w:lineRule="auto" w:before="115" w:after="0"/>
            <w:ind w:left="1317" w:right="0" w:hanging="360"/>
            <w:jc w:val="left"/>
          </w:pPr>
          <w:hyperlink w:history="true" w:anchor="_TOC_250046">
            <w:r>
              <w:rPr/>
              <w:t>DNA -&gt; RNA</w:t>
            </w:r>
            <w:r>
              <w:rPr>
                <w:spacing w:val="3"/>
              </w:rPr>
              <w:t> </w:t>
            </w:r>
            <w:r>
              <w:rPr>
                <w:spacing w:val="-3"/>
              </w:rPr>
              <w:t>-&gt;</w:t>
            </w:r>
            <w:r>
              <w:rPr>
                <w:spacing w:val="-1"/>
              </w:rPr>
              <w:t> </w:t>
            </w:r>
            <w:r>
              <w:rPr/>
              <w:t>Proteína</w:t>
              <w:tab/>
              <w:t>41</w:t>
            </w:r>
          </w:hyperlink>
        </w:p>
        <w:p>
          <w:pPr>
            <w:pStyle w:val="TOC8"/>
            <w:numPr>
              <w:ilvl w:val="3"/>
              <w:numId w:val="1"/>
            </w:numPr>
            <w:tabs>
              <w:tab w:pos="1591" w:val="left" w:leader="none"/>
              <w:tab w:pos="8284" w:val="left" w:leader="none"/>
            </w:tabs>
            <w:spacing w:line="240" w:lineRule="auto" w:before="115" w:after="0"/>
            <w:ind w:left="1590" w:right="0" w:hanging="504"/>
            <w:jc w:val="left"/>
          </w:pPr>
          <w:hyperlink w:history="true" w:anchor="_TOC_250045">
            <w:r>
              <w:rPr/>
              <w:t>Bibliotecas de DNA</w:t>
            </w:r>
            <w:r>
              <w:rPr>
                <w:spacing w:val="-6"/>
              </w:rPr>
              <w:t> </w:t>
            </w:r>
            <w:r>
              <w:rPr/>
              <w:t>complementario</w:t>
            </w:r>
            <w:r>
              <w:rPr>
                <w:spacing w:val="-2"/>
              </w:rPr>
              <w:t> </w:t>
            </w:r>
            <w:r>
              <w:rPr/>
              <w:t>(cDNA)</w:t>
              <w:tab/>
              <w:t>42</w:t>
            </w:r>
          </w:hyperlink>
        </w:p>
        <w:p>
          <w:pPr>
            <w:pStyle w:val="TOC7"/>
            <w:numPr>
              <w:ilvl w:val="2"/>
              <w:numId w:val="1"/>
            </w:numPr>
            <w:tabs>
              <w:tab w:pos="1317" w:val="left" w:leader="none"/>
              <w:tab w:pos="8284" w:val="left" w:leader="none"/>
            </w:tabs>
            <w:spacing w:line="240" w:lineRule="auto" w:before="115" w:after="0"/>
            <w:ind w:left="1317" w:right="0" w:hanging="360"/>
            <w:jc w:val="left"/>
          </w:pPr>
          <w:hyperlink w:history="true" w:anchor="_TOC_250044">
            <w:r>
              <w:rPr/>
              <w:t>Reacción en cadena de la</w:t>
            </w:r>
            <w:r>
              <w:rPr>
                <w:spacing w:val="-5"/>
              </w:rPr>
              <w:t> </w:t>
            </w:r>
            <w:r>
              <w:rPr/>
              <w:t>Polimerasa (PCR)</w:t>
              <w:tab/>
              <w:t>43</w:t>
            </w:r>
          </w:hyperlink>
        </w:p>
        <w:p>
          <w:pPr>
            <w:pStyle w:val="TOC8"/>
            <w:numPr>
              <w:ilvl w:val="3"/>
              <w:numId w:val="1"/>
            </w:numPr>
            <w:tabs>
              <w:tab w:pos="1591" w:val="left" w:leader="none"/>
              <w:tab w:pos="8505" w:val="right" w:leader="none"/>
            </w:tabs>
            <w:spacing w:line="240" w:lineRule="auto" w:before="365" w:after="0"/>
            <w:ind w:left="1590" w:right="0" w:hanging="504"/>
            <w:jc w:val="left"/>
          </w:pPr>
          <w:hyperlink w:history="true" w:anchor="_TOC_250043">
            <w:r>
              <w:rPr/>
              <w:t>Generalidades de</w:t>
            </w:r>
            <w:r>
              <w:rPr>
                <w:spacing w:val="-3"/>
              </w:rPr>
              <w:t> </w:t>
            </w:r>
            <w:r>
              <w:rPr/>
              <w:t>la</w:t>
            </w:r>
            <w:r>
              <w:rPr>
                <w:spacing w:val="-5"/>
              </w:rPr>
              <w:t> </w:t>
            </w:r>
            <w:r>
              <w:rPr/>
              <w:t>PCR</w:t>
              <w:tab/>
              <w:t>43</w:t>
            </w:r>
          </w:hyperlink>
        </w:p>
        <w:p>
          <w:pPr>
            <w:pStyle w:val="TOC8"/>
            <w:numPr>
              <w:ilvl w:val="3"/>
              <w:numId w:val="1"/>
            </w:numPr>
            <w:tabs>
              <w:tab w:pos="1591" w:val="left" w:leader="none"/>
              <w:tab w:pos="8505" w:val="right" w:leader="none"/>
            </w:tabs>
            <w:spacing w:line="240" w:lineRule="auto" w:before="115" w:after="0"/>
            <w:ind w:left="1590" w:right="0" w:hanging="504"/>
            <w:jc w:val="left"/>
          </w:pPr>
          <w:hyperlink w:history="true" w:anchor="_TOC_250042">
            <w:r>
              <w:rPr/>
              <w:t>Ciclos</w:t>
              <w:tab/>
              <w:t>43</w:t>
            </w:r>
          </w:hyperlink>
        </w:p>
        <w:p>
          <w:pPr>
            <w:pStyle w:val="ListParagraph"/>
            <w:numPr>
              <w:ilvl w:val="4"/>
              <w:numId w:val="1"/>
            </w:numPr>
            <w:tabs>
              <w:tab w:pos="1903" w:val="left" w:leader="none"/>
              <w:tab w:pos="8505" w:val="right" w:leader="none"/>
            </w:tabs>
            <w:spacing w:line="240" w:lineRule="auto" w:before="116" w:after="0"/>
            <w:ind w:left="1902" w:right="0" w:hanging="672"/>
            <w:jc w:val="left"/>
            <w:rPr>
              <w:sz w:val="20"/>
            </w:rPr>
          </w:pPr>
          <w:r>
            <w:rPr>
              <w:sz w:val="20"/>
            </w:rPr>
            <w:t>Número de</w:t>
          </w:r>
          <w:r>
            <w:rPr>
              <w:spacing w:val="-5"/>
              <w:sz w:val="20"/>
            </w:rPr>
            <w:t> </w:t>
          </w:r>
          <w:r>
            <w:rPr>
              <w:sz w:val="20"/>
            </w:rPr>
            <w:t>ciclos</w:t>
            <w:tab/>
            <w:t>45</w:t>
          </w:r>
        </w:p>
        <w:p>
          <w:pPr>
            <w:pStyle w:val="TOC8"/>
            <w:numPr>
              <w:ilvl w:val="3"/>
              <w:numId w:val="1"/>
            </w:numPr>
            <w:tabs>
              <w:tab w:pos="1591" w:val="left" w:leader="none"/>
              <w:tab w:pos="8505" w:val="right" w:leader="none"/>
            </w:tabs>
            <w:spacing w:line="240" w:lineRule="auto" w:before="115" w:after="0"/>
            <w:ind w:left="1590" w:right="0" w:hanging="504"/>
            <w:jc w:val="left"/>
          </w:pPr>
          <w:hyperlink w:history="true" w:anchor="_TOC_250041">
            <w:r>
              <w:rPr/>
              <w:t>Componentes de</w:t>
            </w:r>
            <w:r>
              <w:rPr>
                <w:spacing w:val="-4"/>
              </w:rPr>
              <w:t> </w:t>
            </w:r>
            <w:r>
              <w:rPr/>
              <w:t>la</w:t>
            </w:r>
            <w:r>
              <w:rPr>
                <w:spacing w:val="-1"/>
              </w:rPr>
              <w:t> </w:t>
            </w:r>
            <w:r>
              <w:rPr/>
              <w:t>PCR</w:t>
              <w:tab/>
              <w:t>45</w:t>
            </w:r>
          </w:hyperlink>
        </w:p>
        <w:p>
          <w:pPr>
            <w:pStyle w:val="TOC8"/>
            <w:numPr>
              <w:ilvl w:val="3"/>
              <w:numId w:val="1"/>
            </w:numPr>
            <w:tabs>
              <w:tab w:pos="1591" w:val="left" w:leader="none"/>
              <w:tab w:pos="8505" w:val="right" w:leader="none"/>
            </w:tabs>
            <w:spacing w:line="240" w:lineRule="auto" w:before="115" w:after="0"/>
            <w:ind w:left="1590" w:right="0" w:hanging="504"/>
            <w:jc w:val="left"/>
          </w:pPr>
          <w:hyperlink w:history="true" w:anchor="_TOC_250040">
            <w:r>
              <w:rPr/>
              <w:t>Detección por fluorescencia empleada en</w:t>
            </w:r>
            <w:r>
              <w:rPr>
                <w:spacing w:val="-4"/>
              </w:rPr>
              <w:t> </w:t>
            </w:r>
            <w:r>
              <w:rPr/>
              <w:t>la</w:t>
            </w:r>
            <w:r>
              <w:rPr>
                <w:spacing w:val="-6"/>
              </w:rPr>
              <w:t> </w:t>
            </w:r>
            <w:r>
              <w:rPr/>
              <w:t>RT-qPCR</w:t>
              <w:tab/>
              <w:t>46</w:t>
            </w:r>
          </w:hyperlink>
        </w:p>
        <w:p>
          <w:pPr>
            <w:pStyle w:val="TOC8"/>
            <w:numPr>
              <w:ilvl w:val="3"/>
              <w:numId w:val="1"/>
            </w:numPr>
            <w:tabs>
              <w:tab w:pos="1591" w:val="left" w:leader="none"/>
              <w:tab w:pos="8505" w:val="right" w:leader="none"/>
            </w:tabs>
            <w:spacing w:line="240" w:lineRule="auto" w:before="115" w:after="0"/>
            <w:ind w:left="1590" w:right="0" w:hanging="504"/>
            <w:jc w:val="left"/>
          </w:pPr>
          <w:hyperlink w:history="true" w:anchor="_TOC_250039">
            <w:r>
              <w:rPr/>
              <w:t>Controles</w:t>
            </w:r>
            <w:r>
              <w:rPr>
                <w:spacing w:val="-3"/>
              </w:rPr>
              <w:t> </w:t>
            </w:r>
            <w:r>
              <w:rPr/>
              <w:t>para PCR</w:t>
              <w:tab/>
              <w:t>48</w:t>
            </w:r>
          </w:hyperlink>
        </w:p>
        <w:p>
          <w:pPr>
            <w:pStyle w:val="ListParagraph"/>
            <w:numPr>
              <w:ilvl w:val="4"/>
              <w:numId w:val="1"/>
            </w:numPr>
            <w:tabs>
              <w:tab w:pos="1903" w:val="left" w:leader="none"/>
              <w:tab w:pos="8505" w:val="right" w:leader="none"/>
            </w:tabs>
            <w:spacing w:line="240" w:lineRule="auto" w:before="116" w:after="0"/>
            <w:ind w:left="1902" w:right="0" w:hanging="672"/>
            <w:jc w:val="left"/>
            <w:rPr>
              <w:sz w:val="20"/>
            </w:rPr>
          </w:pPr>
          <w:r>
            <w:rPr>
              <w:sz w:val="20"/>
            </w:rPr>
            <w:t>Controles</w:t>
          </w:r>
          <w:r>
            <w:rPr>
              <w:spacing w:val="-4"/>
              <w:sz w:val="20"/>
            </w:rPr>
            <w:t> </w:t>
          </w:r>
          <w:r>
            <w:rPr>
              <w:sz w:val="20"/>
            </w:rPr>
            <w:t>negativos</w:t>
            <w:tab/>
            <w:t>48</w:t>
          </w:r>
        </w:p>
        <w:p>
          <w:pPr>
            <w:pStyle w:val="ListParagraph"/>
            <w:numPr>
              <w:ilvl w:val="4"/>
              <w:numId w:val="1"/>
            </w:numPr>
            <w:tabs>
              <w:tab w:pos="1903" w:val="left" w:leader="none"/>
              <w:tab w:pos="8505" w:val="right" w:leader="none"/>
            </w:tabs>
            <w:spacing w:line="240" w:lineRule="auto" w:before="111" w:after="0"/>
            <w:ind w:left="1902" w:right="0" w:hanging="672"/>
            <w:jc w:val="left"/>
            <w:rPr>
              <w:sz w:val="20"/>
            </w:rPr>
          </w:pPr>
          <w:r>
            <w:rPr>
              <w:sz w:val="20"/>
            </w:rPr>
            <w:t>Controles</w:t>
          </w:r>
          <w:r>
            <w:rPr>
              <w:spacing w:val="-4"/>
              <w:sz w:val="20"/>
            </w:rPr>
            <w:t> </w:t>
          </w:r>
          <w:r>
            <w:rPr>
              <w:sz w:val="20"/>
            </w:rPr>
            <w:t>positivos</w:t>
            <w:tab/>
            <w:t>48</w:t>
          </w:r>
        </w:p>
        <w:p>
          <w:pPr>
            <w:pStyle w:val="ListParagraph"/>
            <w:numPr>
              <w:ilvl w:val="4"/>
              <w:numId w:val="1"/>
            </w:numPr>
            <w:tabs>
              <w:tab w:pos="1898" w:val="left" w:leader="none"/>
              <w:tab w:pos="8505" w:val="right" w:leader="none"/>
            </w:tabs>
            <w:spacing w:line="240" w:lineRule="auto" w:before="115" w:after="0"/>
            <w:ind w:left="1897" w:right="0" w:hanging="667"/>
            <w:jc w:val="left"/>
            <w:rPr>
              <w:sz w:val="20"/>
            </w:rPr>
          </w:pPr>
          <w:r>
            <w:rPr>
              <w:sz w:val="20"/>
            </w:rPr>
            <w:t>Genes normalizadores</w:t>
          </w:r>
          <w:r>
            <w:rPr>
              <w:spacing w:val="-7"/>
              <w:sz w:val="20"/>
            </w:rPr>
            <w:t> </w:t>
          </w:r>
          <w:r>
            <w:rPr>
              <w:sz w:val="20"/>
            </w:rPr>
            <w:t>o</w:t>
          </w:r>
          <w:r>
            <w:rPr>
              <w:spacing w:val="-1"/>
              <w:sz w:val="20"/>
            </w:rPr>
            <w:t> </w:t>
          </w:r>
          <w:r>
            <w:rPr>
              <w:sz w:val="20"/>
            </w:rPr>
            <w:t>constitutivos</w:t>
            <w:tab/>
            <w:t>48</w:t>
          </w:r>
        </w:p>
        <w:p>
          <w:pPr>
            <w:pStyle w:val="TOC8"/>
            <w:numPr>
              <w:ilvl w:val="3"/>
              <w:numId w:val="1"/>
            </w:numPr>
            <w:tabs>
              <w:tab w:pos="1591" w:val="left" w:leader="none"/>
              <w:tab w:pos="8505" w:val="right" w:leader="none"/>
            </w:tabs>
            <w:spacing w:line="240" w:lineRule="auto" w:before="115" w:after="0"/>
            <w:ind w:left="1590" w:right="0" w:hanging="504"/>
            <w:jc w:val="left"/>
          </w:pPr>
          <w:hyperlink w:history="true" w:anchor="_TOC_250038">
            <w:r>
              <w:rPr/>
              <w:t>Equipos</w:t>
            </w:r>
            <w:r>
              <w:rPr>
                <w:spacing w:val="-3"/>
              </w:rPr>
              <w:t> </w:t>
            </w:r>
            <w:r>
              <w:rPr/>
              <w:t>para RT-qPCR</w:t>
              <w:tab/>
              <w:t>49</w:t>
            </w:r>
          </w:hyperlink>
        </w:p>
        <w:p>
          <w:pPr>
            <w:pStyle w:val="TOC8"/>
            <w:numPr>
              <w:ilvl w:val="3"/>
              <w:numId w:val="1"/>
            </w:numPr>
            <w:tabs>
              <w:tab w:pos="1591" w:val="left" w:leader="none"/>
              <w:tab w:pos="8505" w:val="right" w:leader="none"/>
            </w:tabs>
            <w:spacing w:line="240" w:lineRule="auto" w:before="115" w:after="0"/>
            <w:ind w:left="1590" w:right="0" w:hanging="504"/>
            <w:jc w:val="left"/>
          </w:pPr>
          <w:hyperlink w:history="true" w:anchor="_TOC_250037">
            <w:r>
              <w:rPr/>
              <w:t>Cinética de</w:t>
            </w:r>
            <w:r>
              <w:rPr>
                <w:spacing w:val="-10"/>
              </w:rPr>
              <w:t> </w:t>
            </w:r>
            <w:r>
              <w:rPr/>
              <w:t>la RT-qPCR</w:t>
              <w:tab/>
              <w:t>49</w:t>
            </w:r>
          </w:hyperlink>
        </w:p>
        <w:p>
          <w:pPr>
            <w:pStyle w:val="TOC8"/>
            <w:numPr>
              <w:ilvl w:val="3"/>
              <w:numId w:val="1"/>
            </w:numPr>
            <w:tabs>
              <w:tab w:pos="1591" w:val="left" w:leader="none"/>
              <w:tab w:pos="8505" w:val="right" w:leader="none"/>
            </w:tabs>
            <w:spacing w:line="240" w:lineRule="auto" w:before="116" w:after="0"/>
            <w:ind w:left="1590" w:right="0" w:hanging="504"/>
            <w:jc w:val="left"/>
          </w:pPr>
          <w:hyperlink w:history="true" w:anchor="_TOC_250036">
            <w:r>
              <w:rPr/>
              <w:t>Análisis de datos de</w:t>
            </w:r>
            <w:r>
              <w:rPr>
                <w:spacing w:val="-6"/>
              </w:rPr>
              <w:t> </w:t>
            </w:r>
            <w:r>
              <w:rPr/>
              <w:t>la RT-qPCR</w:t>
              <w:tab/>
              <w:t>50</w:t>
            </w:r>
          </w:hyperlink>
        </w:p>
        <w:p>
          <w:pPr>
            <w:pStyle w:val="ListParagraph"/>
            <w:numPr>
              <w:ilvl w:val="4"/>
              <w:numId w:val="1"/>
            </w:numPr>
            <w:tabs>
              <w:tab w:pos="1903" w:val="left" w:leader="none"/>
              <w:tab w:pos="8505" w:val="right" w:leader="none"/>
            </w:tabs>
            <w:spacing w:line="240" w:lineRule="auto" w:before="81" w:after="0"/>
            <w:ind w:left="1902" w:right="0" w:hanging="672"/>
            <w:jc w:val="left"/>
            <w:rPr>
              <w:sz w:val="20"/>
            </w:rPr>
          </w:pPr>
          <w:r>
            <w:rPr>
              <w:sz w:val="20"/>
            </w:rPr>
            <w:t>Método</w:t>
          </w:r>
          <w:r>
            <w:rPr>
              <w:spacing w:val="-1"/>
              <w:sz w:val="20"/>
            </w:rPr>
            <w:t> </w:t>
          </w:r>
          <w:r>
            <w:rPr>
              <w:sz w:val="20"/>
            </w:rPr>
            <w:t>2</w:t>
          </w:r>
          <w:r>
            <w:rPr>
              <w:position w:val="10"/>
              <w:sz w:val="13"/>
            </w:rPr>
            <w:t>-ΔΔC</w:t>
          </w:r>
          <w:r>
            <w:rPr>
              <w:position w:val="-2"/>
              <w:sz w:val="13"/>
            </w:rPr>
            <w:t>T</w:t>
          </w:r>
          <w:r>
            <w:rPr>
              <w:sz w:val="20"/>
            </w:rPr>
            <w:tab/>
            <w:t>51</w:t>
          </w:r>
        </w:p>
        <w:p>
          <w:pPr>
            <w:pStyle w:val="ListParagraph"/>
            <w:numPr>
              <w:ilvl w:val="4"/>
              <w:numId w:val="1"/>
            </w:numPr>
            <w:tabs>
              <w:tab w:pos="1903" w:val="left" w:leader="none"/>
              <w:tab w:pos="8505" w:val="right" w:leader="none"/>
            </w:tabs>
            <w:spacing w:line="240" w:lineRule="auto" w:before="100" w:after="0"/>
            <w:ind w:left="1902" w:right="0" w:hanging="672"/>
            <w:jc w:val="left"/>
            <w:rPr>
              <w:sz w:val="20"/>
            </w:rPr>
          </w:pPr>
          <w:r>
            <w:rPr>
              <w:sz w:val="20"/>
            </w:rPr>
            <w:t>Modelo matemático</w:t>
          </w:r>
          <w:r>
            <w:rPr>
              <w:spacing w:val="-6"/>
              <w:sz w:val="20"/>
            </w:rPr>
            <w:t> </w:t>
          </w:r>
          <w:r>
            <w:rPr>
              <w:sz w:val="20"/>
            </w:rPr>
            <w:t>de</w:t>
          </w:r>
          <w:r>
            <w:rPr>
              <w:spacing w:val="-1"/>
              <w:sz w:val="20"/>
            </w:rPr>
            <w:t> </w:t>
          </w:r>
          <w:r>
            <w:rPr>
              <w:sz w:val="20"/>
            </w:rPr>
            <w:t>Pfaffl</w:t>
            <w:tab/>
            <w:t>52</w:t>
          </w:r>
        </w:p>
        <w:p>
          <w:pPr>
            <w:pStyle w:val="TOC1"/>
            <w:numPr>
              <w:ilvl w:val="0"/>
              <w:numId w:val="1"/>
            </w:numPr>
            <w:tabs>
              <w:tab w:pos="803" w:val="left" w:leader="none"/>
              <w:tab w:pos="804" w:val="left" w:leader="none"/>
              <w:tab w:pos="8505" w:val="right" w:leader="none"/>
            </w:tabs>
            <w:spacing w:line="240" w:lineRule="auto" w:before="115" w:after="0"/>
            <w:ind w:left="803" w:right="0" w:hanging="567"/>
            <w:jc w:val="left"/>
          </w:pPr>
          <w:hyperlink w:history="true" w:anchor="_TOC_250035">
            <w:r>
              <w:rPr/>
              <w:t>PLANTEAMIENTO</w:t>
            </w:r>
            <w:r>
              <w:rPr>
                <w:spacing w:val="-2"/>
              </w:rPr>
              <w:t> </w:t>
            </w:r>
            <w:r>
              <w:rPr/>
              <w:t>DEL PROBLEMA</w:t>
              <w:tab/>
              <w:t>53</w:t>
            </w:r>
          </w:hyperlink>
        </w:p>
        <w:p>
          <w:pPr>
            <w:pStyle w:val="TOC1"/>
            <w:numPr>
              <w:ilvl w:val="0"/>
              <w:numId w:val="1"/>
            </w:numPr>
            <w:tabs>
              <w:tab w:pos="803" w:val="left" w:leader="none"/>
              <w:tab w:pos="804" w:val="left" w:leader="none"/>
              <w:tab w:pos="8505" w:val="right" w:leader="none"/>
            </w:tabs>
            <w:spacing w:line="240" w:lineRule="auto" w:before="111" w:after="0"/>
            <w:ind w:left="803" w:right="0" w:hanging="567"/>
            <w:jc w:val="left"/>
          </w:pPr>
          <w:hyperlink w:history="true" w:anchor="_TOC_250034">
            <w:r>
              <w:rPr/>
              <w:t>JUSTIFICACIÓN</w:t>
              <w:tab/>
              <w:t>56</w:t>
            </w:r>
          </w:hyperlink>
        </w:p>
        <w:p>
          <w:pPr>
            <w:pStyle w:val="TOC1"/>
            <w:numPr>
              <w:ilvl w:val="0"/>
              <w:numId w:val="1"/>
            </w:numPr>
            <w:tabs>
              <w:tab w:pos="803" w:val="left" w:leader="none"/>
              <w:tab w:pos="804" w:val="left" w:leader="none"/>
              <w:tab w:pos="8505" w:val="right" w:leader="none"/>
            </w:tabs>
            <w:spacing w:line="240" w:lineRule="auto" w:before="115" w:after="0"/>
            <w:ind w:left="803" w:right="0" w:hanging="567"/>
            <w:jc w:val="left"/>
          </w:pPr>
          <w:hyperlink w:history="true" w:anchor="_TOC_250033">
            <w:r>
              <w:rPr/>
              <w:t>OBJETIVOS</w:t>
              <w:tab/>
              <w:t>59</w:t>
            </w:r>
          </w:hyperlink>
        </w:p>
        <w:p>
          <w:pPr>
            <w:pStyle w:val="TOC1"/>
            <w:numPr>
              <w:ilvl w:val="0"/>
              <w:numId w:val="1"/>
            </w:numPr>
            <w:tabs>
              <w:tab w:pos="803" w:val="left" w:leader="none"/>
              <w:tab w:pos="804" w:val="left" w:leader="none"/>
              <w:tab w:pos="8505" w:val="right" w:leader="none"/>
            </w:tabs>
            <w:spacing w:line="240" w:lineRule="auto" w:before="115" w:after="0"/>
            <w:ind w:left="803" w:right="0" w:hanging="567"/>
            <w:jc w:val="left"/>
          </w:pPr>
          <w:hyperlink w:history="true" w:anchor="_TOC_250032">
            <w:r>
              <w:rPr/>
              <w:t>HIPÓTESIS</w:t>
              <w:tab/>
              <w:t>61</w:t>
            </w:r>
          </w:hyperlink>
        </w:p>
        <w:p>
          <w:pPr>
            <w:pStyle w:val="TOC1"/>
            <w:numPr>
              <w:ilvl w:val="0"/>
              <w:numId w:val="1"/>
            </w:numPr>
            <w:tabs>
              <w:tab w:pos="803" w:val="left" w:leader="none"/>
              <w:tab w:pos="804" w:val="left" w:leader="none"/>
              <w:tab w:pos="8505" w:val="right" w:leader="none"/>
            </w:tabs>
            <w:spacing w:line="240" w:lineRule="auto" w:before="115" w:after="0"/>
            <w:ind w:left="803" w:right="0" w:hanging="567"/>
            <w:jc w:val="left"/>
          </w:pPr>
          <w:hyperlink w:history="true" w:anchor="_TOC_250031">
            <w:r>
              <w:rPr/>
              <w:t>MÉTODOS</w:t>
            </w:r>
            <w:r>
              <w:rPr>
                <w:spacing w:val="-3"/>
              </w:rPr>
              <w:t> </w:t>
            </w:r>
            <w:r>
              <w:rPr/>
              <w:t>Y</w:t>
            </w:r>
            <w:r>
              <w:rPr>
                <w:spacing w:val="-3"/>
              </w:rPr>
              <w:t> </w:t>
            </w:r>
            <w:r>
              <w:rPr/>
              <w:t>MATERIALES</w:t>
              <w:tab/>
              <w:t>63</w:t>
            </w:r>
          </w:hyperlink>
        </w:p>
        <w:p>
          <w:pPr>
            <w:pStyle w:val="TOC7"/>
            <w:numPr>
              <w:ilvl w:val="1"/>
              <w:numId w:val="1"/>
            </w:numPr>
            <w:tabs>
              <w:tab w:pos="1317" w:val="left" w:leader="none"/>
              <w:tab w:pos="8505" w:val="right" w:leader="none"/>
            </w:tabs>
            <w:spacing w:line="240" w:lineRule="auto" w:before="116" w:after="0"/>
            <w:ind w:left="1317" w:right="0" w:hanging="360"/>
            <w:jc w:val="left"/>
          </w:pPr>
          <w:hyperlink w:history="true" w:anchor="_TOC_250030">
            <w:r>
              <w:rPr/>
              <w:t>DISEÑO</w:t>
            </w:r>
            <w:r>
              <w:rPr>
                <w:spacing w:val="-3"/>
              </w:rPr>
              <w:t> </w:t>
            </w:r>
            <w:r>
              <w:rPr/>
              <w:t>METODOLÓGICO</w:t>
              <w:tab/>
              <w:t>64</w:t>
            </w:r>
          </w:hyperlink>
        </w:p>
        <w:p>
          <w:pPr>
            <w:pStyle w:val="ListParagraph"/>
            <w:numPr>
              <w:ilvl w:val="2"/>
              <w:numId w:val="1"/>
            </w:numPr>
            <w:tabs>
              <w:tab w:pos="1572" w:val="left" w:leader="none"/>
              <w:tab w:pos="8505" w:val="right" w:leader="none"/>
            </w:tabs>
            <w:spacing w:line="240" w:lineRule="auto" w:before="115" w:after="0"/>
            <w:ind w:left="1571" w:right="0" w:hanging="341"/>
            <w:jc w:val="left"/>
            <w:rPr>
              <w:sz w:val="20"/>
            </w:rPr>
          </w:pPr>
          <w:hyperlink w:history="true" w:anchor="_TOC_250029">
            <w:r>
              <w:rPr>
                <w:sz w:val="20"/>
              </w:rPr>
              <w:t>Criterios</w:t>
            </w:r>
            <w:r>
              <w:rPr>
                <w:spacing w:val="-3"/>
                <w:sz w:val="20"/>
              </w:rPr>
              <w:t> </w:t>
            </w:r>
            <w:r>
              <w:rPr>
                <w:sz w:val="20"/>
              </w:rPr>
              <w:t>de</w:t>
            </w:r>
            <w:r>
              <w:rPr>
                <w:spacing w:val="-5"/>
                <w:sz w:val="20"/>
              </w:rPr>
              <w:t> </w:t>
            </w:r>
            <w:r>
              <w:rPr>
                <w:sz w:val="20"/>
              </w:rPr>
              <w:t>inclusión</w:t>
              <w:tab/>
              <w:t>64</w:t>
            </w:r>
          </w:hyperlink>
        </w:p>
        <w:p>
          <w:pPr>
            <w:pStyle w:val="ListParagraph"/>
            <w:numPr>
              <w:ilvl w:val="2"/>
              <w:numId w:val="1"/>
            </w:numPr>
            <w:tabs>
              <w:tab w:pos="1567" w:val="left" w:leader="none"/>
              <w:tab w:pos="8505" w:val="right" w:leader="none"/>
            </w:tabs>
            <w:spacing w:line="240" w:lineRule="auto" w:before="115" w:after="0"/>
            <w:ind w:left="1566" w:right="0" w:hanging="336"/>
            <w:jc w:val="left"/>
            <w:rPr>
              <w:sz w:val="20"/>
            </w:rPr>
          </w:pPr>
          <w:hyperlink w:history="true" w:anchor="_TOC_250028">
            <w:r>
              <w:rPr>
                <w:sz w:val="20"/>
              </w:rPr>
              <w:t>Criterios</w:t>
            </w:r>
            <w:r>
              <w:rPr>
                <w:spacing w:val="-4"/>
                <w:sz w:val="20"/>
              </w:rPr>
              <w:t> </w:t>
            </w:r>
            <w:r>
              <w:rPr>
                <w:sz w:val="20"/>
              </w:rPr>
              <w:t>de</w:t>
            </w:r>
            <w:r>
              <w:rPr>
                <w:spacing w:val="-1"/>
                <w:sz w:val="20"/>
              </w:rPr>
              <w:t> </w:t>
            </w:r>
            <w:r>
              <w:rPr>
                <w:sz w:val="20"/>
              </w:rPr>
              <w:t>exclusión</w:t>
              <w:tab/>
              <w:t>64</w:t>
            </w:r>
          </w:hyperlink>
        </w:p>
        <w:p>
          <w:pPr>
            <w:pStyle w:val="ListParagraph"/>
            <w:numPr>
              <w:ilvl w:val="2"/>
              <w:numId w:val="1"/>
            </w:numPr>
            <w:tabs>
              <w:tab w:pos="1567" w:val="left" w:leader="none"/>
              <w:tab w:pos="8505" w:val="right" w:leader="none"/>
            </w:tabs>
            <w:spacing w:line="240" w:lineRule="auto" w:before="111" w:after="0"/>
            <w:ind w:left="1566" w:right="0" w:hanging="336"/>
            <w:jc w:val="left"/>
            <w:rPr>
              <w:sz w:val="20"/>
            </w:rPr>
          </w:pPr>
          <w:hyperlink w:history="true" w:anchor="_TOC_250027">
            <w:r>
              <w:rPr>
                <w:sz w:val="20"/>
              </w:rPr>
              <w:t>Criterios</w:t>
            </w:r>
            <w:r>
              <w:rPr>
                <w:spacing w:val="-4"/>
                <w:sz w:val="20"/>
              </w:rPr>
              <w:t> </w:t>
            </w:r>
            <w:r>
              <w:rPr>
                <w:sz w:val="20"/>
              </w:rPr>
              <w:t>de</w:t>
            </w:r>
            <w:r>
              <w:rPr>
                <w:spacing w:val="-1"/>
                <w:sz w:val="20"/>
              </w:rPr>
              <w:t> </w:t>
            </w:r>
            <w:r>
              <w:rPr>
                <w:sz w:val="20"/>
              </w:rPr>
              <w:t>eliminación</w:t>
              <w:tab/>
              <w:t>64</w:t>
            </w:r>
          </w:hyperlink>
        </w:p>
        <w:p>
          <w:pPr>
            <w:pStyle w:val="ListParagraph"/>
            <w:numPr>
              <w:ilvl w:val="2"/>
              <w:numId w:val="1"/>
            </w:numPr>
            <w:tabs>
              <w:tab w:pos="1567" w:val="left" w:leader="none"/>
              <w:tab w:pos="8505" w:val="right" w:leader="none"/>
            </w:tabs>
            <w:spacing w:line="240" w:lineRule="auto" w:before="115" w:after="0"/>
            <w:ind w:left="1566" w:right="0" w:hanging="336"/>
            <w:jc w:val="left"/>
            <w:rPr>
              <w:sz w:val="20"/>
            </w:rPr>
          </w:pPr>
          <w:hyperlink w:history="true" w:anchor="_TOC_250026">
            <w:r>
              <w:rPr>
                <w:sz w:val="20"/>
              </w:rPr>
              <w:t>Variables</w:t>
              <w:tab/>
              <w:t>65</w:t>
            </w:r>
          </w:hyperlink>
        </w:p>
        <w:p>
          <w:pPr>
            <w:pStyle w:val="TOC7"/>
            <w:numPr>
              <w:ilvl w:val="1"/>
              <w:numId w:val="1"/>
            </w:numPr>
            <w:tabs>
              <w:tab w:pos="1317" w:val="left" w:leader="none"/>
              <w:tab w:pos="8505" w:val="right" w:leader="none"/>
            </w:tabs>
            <w:spacing w:line="240" w:lineRule="auto" w:before="116" w:after="0"/>
            <w:ind w:left="1317" w:right="0" w:hanging="360"/>
            <w:jc w:val="left"/>
          </w:pPr>
          <w:hyperlink w:history="true" w:anchor="_TOC_250025">
            <w:r>
              <w:rPr/>
              <w:t>MATERIALES</w:t>
              <w:tab/>
              <w:t>67</w:t>
            </w:r>
          </w:hyperlink>
        </w:p>
        <w:p>
          <w:pPr>
            <w:pStyle w:val="TOC7"/>
            <w:numPr>
              <w:ilvl w:val="1"/>
              <w:numId w:val="1"/>
            </w:numPr>
            <w:tabs>
              <w:tab w:pos="1317" w:val="left" w:leader="none"/>
              <w:tab w:pos="8505" w:val="right" w:leader="none"/>
            </w:tabs>
            <w:spacing w:line="240" w:lineRule="auto" w:before="115" w:after="0"/>
            <w:ind w:left="1317" w:right="0" w:hanging="360"/>
            <w:jc w:val="left"/>
          </w:pPr>
          <w:hyperlink w:history="true" w:anchor="_TOC_250024">
            <w:r>
              <w:rPr/>
              <w:t>MÉTODO</w:t>
              <w:tab/>
              <w:t>70</w:t>
            </w:r>
          </w:hyperlink>
        </w:p>
        <w:p>
          <w:pPr>
            <w:pStyle w:val="ListParagraph"/>
            <w:numPr>
              <w:ilvl w:val="2"/>
              <w:numId w:val="1"/>
            </w:numPr>
            <w:tabs>
              <w:tab w:pos="1567" w:val="left" w:leader="none"/>
              <w:tab w:pos="8505" w:val="right" w:leader="none"/>
            </w:tabs>
            <w:spacing w:line="240" w:lineRule="auto" w:before="115" w:after="0"/>
            <w:ind w:left="1566" w:right="0" w:hanging="336"/>
            <w:jc w:val="left"/>
            <w:rPr>
              <w:sz w:val="20"/>
            </w:rPr>
          </w:pPr>
          <w:hyperlink w:history="true" w:anchor="_TOC_250023">
            <w:r>
              <w:rPr>
                <w:sz w:val="20"/>
              </w:rPr>
              <w:t>Procedimiento de recolección</w:t>
            </w:r>
            <w:r>
              <w:rPr>
                <w:spacing w:val="-6"/>
                <w:sz w:val="20"/>
              </w:rPr>
              <w:t> </w:t>
            </w:r>
            <w:r>
              <w:rPr>
                <w:sz w:val="20"/>
              </w:rPr>
              <w:t>de</w:t>
            </w:r>
            <w:r>
              <w:rPr>
                <w:spacing w:val="-5"/>
                <w:sz w:val="20"/>
              </w:rPr>
              <w:t> </w:t>
            </w:r>
            <w:r>
              <w:rPr>
                <w:sz w:val="20"/>
              </w:rPr>
              <w:t>datos</w:t>
              <w:tab/>
              <w:t>70</w:t>
            </w:r>
          </w:hyperlink>
        </w:p>
        <w:p>
          <w:pPr>
            <w:pStyle w:val="ListParagraph"/>
            <w:numPr>
              <w:ilvl w:val="2"/>
              <w:numId w:val="1"/>
            </w:numPr>
            <w:tabs>
              <w:tab w:pos="1567" w:val="left" w:leader="none"/>
              <w:tab w:pos="8505" w:val="right" w:leader="none"/>
            </w:tabs>
            <w:spacing w:line="240" w:lineRule="auto" w:before="115" w:after="0"/>
            <w:ind w:left="1566" w:right="0" w:hanging="336"/>
            <w:jc w:val="left"/>
            <w:rPr>
              <w:sz w:val="20"/>
            </w:rPr>
          </w:pPr>
          <w:hyperlink w:history="true" w:anchor="_TOC_250022">
            <w:r>
              <w:rPr>
                <w:sz w:val="20"/>
              </w:rPr>
              <w:t>Diagnóstico de</w:t>
            </w:r>
            <w:r>
              <w:rPr>
                <w:spacing w:val="-5"/>
                <w:sz w:val="20"/>
              </w:rPr>
              <w:t> </w:t>
            </w:r>
            <w:r>
              <w:rPr>
                <w:sz w:val="20"/>
              </w:rPr>
              <w:t>caries</w:t>
              <w:tab/>
              <w:t>70</w:t>
            </w:r>
          </w:hyperlink>
        </w:p>
        <w:p>
          <w:pPr>
            <w:pStyle w:val="ListParagraph"/>
            <w:numPr>
              <w:ilvl w:val="2"/>
              <w:numId w:val="1"/>
            </w:numPr>
            <w:tabs>
              <w:tab w:pos="1567" w:val="left" w:leader="none"/>
              <w:tab w:pos="8505" w:val="right" w:leader="none"/>
            </w:tabs>
            <w:spacing w:line="240" w:lineRule="auto" w:before="116" w:after="0"/>
            <w:ind w:left="1566" w:right="0" w:hanging="336"/>
            <w:jc w:val="left"/>
            <w:rPr>
              <w:sz w:val="20"/>
            </w:rPr>
          </w:pPr>
          <w:hyperlink w:history="true" w:anchor="_TOC_250021">
            <w:r>
              <w:rPr>
                <w:sz w:val="20"/>
              </w:rPr>
              <w:t>Obtención de la</w:t>
            </w:r>
            <w:r>
              <w:rPr>
                <w:spacing w:val="-11"/>
                <w:sz w:val="20"/>
              </w:rPr>
              <w:t> </w:t>
            </w:r>
            <w:r>
              <w:rPr>
                <w:sz w:val="20"/>
              </w:rPr>
              <w:t>muestra</w:t>
            </w:r>
            <w:r>
              <w:rPr>
                <w:spacing w:val="-1"/>
                <w:sz w:val="20"/>
              </w:rPr>
              <w:t> </w:t>
            </w:r>
            <w:r>
              <w:rPr>
                <w:sz w:val="20"/>
              </w:rPr>
              <w:t>salival</w:t>
              <w:tab/>
              <w:t>71</w:t>
            </w:r>
          </w:hyperlink>
        </w:p>
        <w:p>
          <w:pPr>
            <w:pStyle w:val="ListParagraph"/>
            <w:numPr>
              <w:ilvl w:val="2"/>
              <w:numId w:val="1"/>
            </w:numPr>
            <w:tabs>
              <w:tab w:pos="1653" w:val="left" w:leader="none"/>
              <w:tab w:pos="8505" w:val="right" w:leader="none"/>
            </w:tabs>
            <w:spacing w:line="240" w:lineRule="auto" w:before="115" w:after="0"/>
            <w:ind w:left="1653" w:right="0" w:hanging="423"/>
            <w:jc w:val="left"/>
            <w:rPr>
              <w:sz w:val="20"/>
            </w:rPr>
          </w:pPr>
          <w:hyperlink w:history="true" w:anchor="_TOC_250020">
            <w:r>
              <w:rPr>
                <w:sz w:val="20"/>
              </w:rPr>
              <w:t>Proceso de laboratorio</w:t>
              <w:tab/>
              <w:t>72</w:t>
            </w:r>
          </w:hyperlink>
        </w:p>
        <w:p>
          <w:pPr>
            <w:pStyle w:val="ListParagraph"/>
            <w:numPr>
              <w:ilvl w:val="3"/>
              <w:numId w:val="1"/>
            </w:numPr>
            <w:tabs>
              <w:tab w:pos="1874" w:val="left" w:leader="none"/>
              <w:tab w:pos="8505" w:val="right" w:leader="none"/>
            </w:tabs>
            <w:spacing w:line="240" w:lineRule="auto" w:before="111" w:after="0"/>
            <w:ind w:left="1873" w:right="0" w:hanging="504"/>
            <w:jc w:val="left"/>
            <w:rPr>
              <w:sz w:val="20"/>
            </w:rPr>
          </w:pPr>
          <w:hyperlink w:history="true" w:anchor="_TOC_250019">
            <w:r>
              <w:rPr>
                <w:sz w:val="20"/>
              </w:rPr>
              <w:t>Limpieza de las áreas de trabajo</w:t>
            </w:r>
            <w:r>
              <w:rPr>
                <w:spacing w:val="-11"/>
                <w:sz w:val="20"/>
              </w:rPr>
              <w:t> </w:t>
            </w:r>
            <w:r>
              <w:rPr>
                <w:sz w:val="20"/>
              </w:rPr>
              <w:t>y</w:t>
            </w:r>
            <w:r>
              <w:rPr>
                <w:spacing w:val="-3"/>
                <w:sz w:val="20"/>
              </w:rPr>
              <w:t> </w:t>
            </w:r>
            <w:r>
              <w:rPr>
                <w:sz w:val="20"/>
              </w:rPr>
              <w:t>equipo</w:t>
              <w:tab/>
              <w:t>72</w:t>
            </w:r>
          </w:hyperlink>
        </w:p>
        <w:p>
          <w:pPr>
            <w:pStyle w:val="ListParagraph"/>
            <w:numPr>
              <w:ilvl w:val="3"/>
              <w:numId w:val="1"/>
            </w:numPr>
            <w:tabs>
              <w:tab w:pos="1937" w:val="left" w:leader="none"/>
              <w:tab w:pos="8505" w:val="right" w:leader="none"/>
            </w:tabs>
            <w:spacing w:line="240" w:lineRule="auto" w:before="115" w:after="0"/>
            <w:ind w:left="1936" w:right="0" w:hanging="567"/>
            <w:jc w:val="left"/>
            <w:rPr>
              <w:sz w:val="20"/>
            </w:rPr>
          </w:pPr>
          <w:hyperlink w:history="true" w:anchor="_TOC_250018">
            <w:r>
              <w:rPr>
                <w:sz w:val="20"/>
              </w:rPr>
              <w:t>Extracción de</w:t>
            </w:r>
            <w:r>
              <w:rPr>
                <w:spacing w:val="-5"/>
                <w:sz w:val="20"/>
              </w:rPr>
              <w:t> </w:t>
            </w:r>
            <w:r>
              <w:rPr>
                <w:sz w:val="20"/>
              </w:rPr>
              <w:t>mRNA</w:t>
              <w:tab/>
              <w:t>72</w:t>
            </w:r>
          </w:hyperlink>
        </w:p>
        <w:p>
          <w:pPr>
            <w:pStyle w:val="ListParagraph"/>
            <w:numPr>
              <w:ilvl w:val="3"/>
              <w:numId w:val="1"/>
            </w:numPr>
            <w:tabs>
              <w:tab w:pos="1874" w:val="left" w:leader="none"/>
              <w:tab w:pos="8505" w:val="right" w:leader="none"/>
            </w:tabs>
            <w:spacing w:line="240" w:lineRule="auto" w:before="115" w:after="0"/>
            <w:ind w:left="1873" w:right="0" w:hanging="504"/>
            <w:jc w:val="left"/>
            <w:rPr>
              <w:sz w:val="20"/>
            </w:rPr>
          </w:pPr>
          <w:hyperlink w:history="true" w:anchor="_TOC_250017">
            <w:r>
              <w:rPr>
                <w:sz w:val="20"/>
              </w:rPr>
              <w:t>Transcripción inversa (RNA</w:t>
            </w:r>
            <w:r>
              <w:rPr>
                <w:spacing w:val="-5"/>
                <w:sz w:val="20"/>
              </w:rPr>
              <w:t> </w:t>
            </w:r>
            <w:r>
              <w:rPr>
                <w:sz w:val="20"/>
              </w:rPr>
              <w:t>a</w:t>
            </w:r>
            <w:r>
              <w:rPr>
                <w:spacing w:val="1"/>
                <w:sz w:val="20"/>
              </w:rPr>
              <w:t> </w:t>
            </w:r>
            <w:r>
              <w:rPr>
                <w:sz w:val="20"/>
              </w:rPr>
              <w:t>cDNA)</w:t>
              <w:tab/>
              <w:t>75</w:t>
            </w:r>
          </w:hyperlink>
        </w:p>
        <w:p>
          <w:pPr>
            <w:tabs>
              <w:tab w:pos="8505" w:val="right" w:leader="none"/>
            </w:tabs>
            <w:spacing w:before="116"/>
            <w:ind w:left="1369" w:right="0" w:firstLine="0"/>
            <w:jc w:val="left"/>
            <w:rPr>
              <w:sz w:val="20"/>
            </w:rPr>
          </w:pPr>
          <w:hyperlink w:history="true" w:anchor="_TOC_250016">
            <w:r>
              <w:rPr>
                <w:sz w:val="20"/>
              </w:rPr>
              <w:t>3.4.4. Reacción en cadena de la</w:t>
            </w:r>
            <w:r>
              <w:rPr>
                <w:spacing w:val="-3"/>
                <w:sz w:val="20"/>
              </w:rPr>
              <w:t> </w:t>
            </w:r>
            <w:r>
              <w:rPr>
                <w:sz w:val="20"/>
              </w:rPr>
              <w:t>polimerasa</w:t>
            </w:r>
            <w:r>
              <w:rPr>
                <w:spacing w:val="-1"/>
                <w:sz w:val="20"/>
              </w:rPr>
              <w:t> </w:t>
            </w:r>
            <w:r>
              <w:rPr>
                <w:sz w:val="20"/>
              </w:rPr>
              <w:t>(RT-qPCR)</w:t>
              <w:tab/>
              <w:t>76</w:t>
            </w:r>
          </w:hyperlink>
        </w:p>
        <w:p>
          <w:pPr>
            <w:pStyle w:val="TOC7"/>
            <w:numPr>
              <w:ilvl w:val="1"/>
              <w:numId w:val="1"/>
            </w:numPr>
            <w:tabs>
              <w:tab w:pos="1226" w:val="left" w:leader="none"/>
              <w:tab w:pos="8505" w:val="right" w:leader="none"/>
            </w:tabs>
            <w:spacing w:line="240" w:lineRule="auto" w:before="115" w:after="0"/>
            <w:ind w:left="1225" w:right="0" w:hanging="268"/>
            <w:jc w:val="left"/>
          </w:pPr>
          <w:hyperlink w:history="true" w:anchor="_TOC_250015">
            <w:r>
              <w:rPr/>
              <w:t>ANÁLISIS DE</w:t>
            </w:r>
            <w:r>
              <w:rPr>
                <w:spacing w:val="-3"/>
              </w:rPr>
              <w:t> </w:t>
            </w:r>
            <w:r>
              <w:rPr/>
              <w:t>LA</w:t>
            </w:r>
            <w:r>
              <w:rPr>
                <w:spacing w:val="-3"/>
              </w:rPr>
              <w:t> </w:t>
            </w:r>
            <w:r>
              <w:rPr/>
              <w:t>INFORMACIÓN</w:t>
              <w:tab/>
              <w:t>78</w:t>
            </w:r>
          </w:hyperlink>
        </w:p>
        <w:p>
          <w:pPr>
            <w:pStyle w:val="TOC1"/>
            <w:numPr>
              <w:ilvl w:val="0"/>
              <w:numId w:val="1"/>
            </w:numPr>
            <w:tabs>
              <w:tab w:pos="746" w:val="left" w:leader="none"/>
              <w:tab w:pos="8505" w:val="right" w:leader="none"/>
            </w:tabs>
            <w:spacing w:line="240" w:lineRule="auto" w:before="115" w:after="0"/>
            <w:ind w:left="745" w:right="0" w:hanging="519"/>
            <w:jc w:val="left"/>
          </w:pPr>
          <w:hyperlink w:history="true" w:anchor="_TOC_250014">
            <w:r>
              <w:rPr/>
              <w:t>RESULTADOS</w:t>
              <w:tab/>
              <w:t>79</w:t>
            </w:r>
          </w:hyperlink>
        </w:p>
        <w:p>
          <w:pPr>
            <w:pStyle w:val="TOC5"/>
            <w:numPr>
              <w:ilvl w:val="1"/>
              <w:numId w:val="1"/>
            </w:numPr>
            <w:tabs>
              <w:tab w:pos="948" w:val="left" w:leader="none"/>
              <w:tab w:pos="8284" w:val="left" w:leader="none"/>
            </w:tabs>
            <w:spacing w:line="240" w:lineRule="auto" w:before="365" w:after="0"/>
            <w:ind w:left="947" w:right="0" w:hanging="284"/>
            <w:jc w:val="left"/>
          </w:pPr>
          <w:hyperlink w:history="true" w:anchor="_TOC_250013">
            <w:r>
              <w:rPr/>
              <w:t>Acuse de recibido </w:t>
            </w:r>
            <w:r>
              <w:rPr>
                <w:spacing w:val="-3"/>
              </w:rPr>
              <w:t>del </w:t>
            </w:r>
            <w:r>
              <w:rPr/>
              <w:t>artículo por una</w:t>
            </w:r>
            <w:r>
              <w:rPr>
                <w:spacing w:val="5"/>
              </w:rPr>
              <w:t> </w:t>
            </w:r>
            <w:r>
              <w:rPr/>
              <w:t>revista</w:t>
            </w:r>
            <w:r>
              <w:rPr>
                <w:spacing w:val="-6"/>
              </w:rPr>
              <w:t> </w:t>
            </w:r>
            <w:r>
              <w:rPr/>
              <w:t>indexada</w:t>
              <w:tab/>
              <w:t>80</w:t>
            </w:r>
          </w:hyperlink>
        </w:p>
        <w:p>
          <w:pPr>
            <w:pStyle w:val="TOC5"/>
            <w:numPr>
              <w:ilvl w:val="1"/>
              <w:numId w:val="1"/>
            </w:numPr>
            <w:tabs>
              <w:tab w:pos="948" w:val="left" w:leader="none"/>
              <w:tab w:pos="8284" w:val="left" w:leader="none"/>
            </w:tabs>
            <w:spacing w:line="240" w:lineRule="auto" w:before="115" w:after="0"/>
            <w:ind w:left="947" w:right="0" w:hanging="284"/>
            <w:jc w:val="left"/>
          </w:pPr>
          <w:hyperlink w:history="true" w:anchor="_TOC_250012">
            <w:r>
              <w:rPr/>
              <w:t>Artículo completo</w:t>
              <w:tab/>
              <w:t>81</w:t>
            </w:r>
          </w:hyperlink>
        </w:p>
        <w:p>
          <w:pPr>
            <w:pStyle w:val="TOC5"/>
            <w:numPr>
              <w:ilvl w:val="1"/>
              <w:numId w:val="1"/>
            </w:numPr>
            <w:tabs>
              <w:tab w:pos="948" w:val="left" w:leader="none"/>
              <w:tab w:pos="8284" w:val="left" w:leader="none"/>
            </w:tabs>
            <w:spacing w:line="240" w:lineRule="auto" w:before="116" w:after="0"/>
            <w:ind w:left="947" w:right="0" w:hanging="284"/>
            <w:jc w:val="left"/>
          </w:pPr>
          <w:hyperlink w:history="true" w:anchor="_TOC_250011">
            <w:r>
              <w:rPr/>
              <w:t>Descripción general de</w:t>
            </w:r>
            <w:r>
              <w:rPr>
                <w:spacing w:val="-3"/>
              </w:rPr>
              <w:t> </w:t>
            </w:r>
            <w:r>
              <w:rPr/>
              <w:t>los</w:t>
            </w:r>
            <w:r>
              <w:rPr>
                <w:spacing w:val="-4"/>
              </w:rPr>
              <w:t> </w:t>
            </w:r>
            <w:r>
              <w:rPr/>
              <w:t>resultados</w:t>
              <w:tab/>
              <w:t>97</w:t>
            </w:r>
          </w:hyperlink>
        </w:p>
        <w:p>
          <w:pPr>
            <w:pStyle w:val="TOC1"/>
            <w:numPr>
              <w:ilvl w:val="0"/>
              <w:numId w:val="1"/>
            </w:numPr>
            <w:tabs>
              <w:tab w:pos="803" w:val="left" w:leader="none"/>
              <w:tab w:pos="804" w:val="left" w:leader="none"/>
              <w:tab w:pos="8226" w:val="left" w:leader="none"/>
            </w:tabs>
            <w:spacing w:line="240" w:lineRule="auto" w:before="115" w:after="0"/>
            <w:ind w:left="803" w:right="0" w:hanging="577"/>
            <w:jc w:val="left"/>
          </w:pPr>
          <w:hyperlink w:history="true" w:anchor="_TOC_250010">
            <w:r>
              <w:rPr/>
              <w:t>TABLAS</w:t>
            </w:r>
            <w:r>
              <w:rPr>
                <w:spacing w:val="-1"/>
              </w:rPr>
              <w:t> </w:t>
            </w:r>
            <w:r>
              <w:rPr/>
              <w:t>Y</w:t>
            </w:r>
            <w:r>
              <w:rPr>
                <w:spacing w:val="-1"/>
              </w:rPr>
              <w:t> </w:t>
            </w:r>
            <w:r>
              <w:rPr/>
              <w:t>FIGURAS</w:t>
              <w:tab/>
            </w:r>
            <w:r>
              <w:rPr>
                <w:spacing w:val="-2"/>
              </w:rPr>
              <w:t>100</w:t>
            </w:r>
          </w:hyperlink>
        </w:p>
        <w:p>
          <w:pPr>
            <w:pStyle w:val="TOC1"/>
            <w:numPr>
              <w:ilvl w:val="0"/>
              <w:numId w:val="1"/>
            </w:numPr>
            <w:tabs>
              <w:tab w:pos="803" w:val="left" w:leader="none"/>
              <w:tab w:pos="804" w:val="left" w:leader="none"/>
              <w:tab w:pos="8226" w:val="left" w:leader="none"/>
            </w:tabs>
            <w:spacing w:line="240" w:lineRule="auto" w:before="115" w:after="0"/>
            <w:ind w:left="803" w:right="0" w:hanging="567"/>
            <w:jc w:val="left"/>
          </w:pPr>
          <w:hyperlink w:history="true" w:anchor="_TOC_250009">
            <w:r>
              <w:rPr/>
              <w:t>DISCUSIÓN</w:t>
              <w:tab/>
            </w:r>
            <w:r>
              <w:rPr>
                <w:spacing w:val="-2"/>
              </w:rPr>
              <w:t>105</w:t>
            </w:r>
          </w:hyperlink>
        </w:p>
        <w:p>
          <w:pPr>
            <w:pStyle w:val="TOC1"/>
            <w:numPr>
              <w:ilvl w:val="0"/>
              <w:numId w:val="1"/>
            </w:numPr>
            <w:tabs>
              <w:tab w:pos="803" w:val="left" w:leader="none"/>
              <w:tab w:pos="804" w:val="left" w:leader="none"/>
              <w:tab w:pos="8226" w:val="left" w:leader="none"/>
            </w:tabs>
            <w:spacing w:line="240" w:lineRule="auto" w:before="115" w:after="0"/>
            <w:ind w:left="803" w:right="0" w:hanging="567"/>
            <w:jc w:val="left"/>
          </w:pPr>
          <w:hyperlink w:history="true" w:anchor="_TOC_250008">
            <w:r>
              <w:rPr/>
              <w:t>CONCLUSIONES</w:t>
              <w:tab/>
            </w:r>
            <w:r>
              <w:rPr>
                <w:spacing w:val="-2"/>
              </w:rPr>
              <w:t>111</w:t>
            </w:r>
          </w:hyperlink>
        </w:p>
        <w:p>
          <w:pPr>
            <w:pStyle w:val="TOC1"/>
            <w:numPr>
              <w:ilvl w:val="0"/>
              <w:numId w:val="1"/>
            </w:numPr>
            <w:tabs>
              <w:tab w:pos="803" w:val="left" w:leader="none"/>
              <w:tab w:pos="804" w:val="left" w:leader="none"/>
              <w:tab w:pos="8226" w:val="left" w:leader="none"/>
            </w:tabs>
            <w:spacing w:line="240" w:lineRule="auto" w:before="116" w:after="0"/>
            <w:ind w:left="803" w:right="0" w:hanging="567"/>
            <w:jc w:val="left"/>
          </w:pPr>
          <w:r>
            <w:rPr/>
            <w:t>RESUMEN (Español e</w:t>
          </w:r>
          <w:r>
            <w:rPr>
              <w:spacing w:val="-7"/>
            </w:rPr>
            <w:t> </w:t>
          </w:r>
          <w:r>
            <w:rPr/>
            <w:t>inglés)</w:t>
            <w:tab/>
          </w:r>
          <w:r>
            <w:rPr>
              <w:spacing w:val="-2"/>
            </w:rPr>
            <w:t>113</w:t>
          </w:r>
        </w:p>
        <w:p>
          <w:pPr>
            <w:pStyle w:val="TOC1"/>
            <w:numPr>
              <w:ilvl w:val="0"/>
              <w:numId w:val="1"/>
            </w:numPr>
            <w:tabs>
              <w:tab w:pos="803" w:val="left" w:leader="none"/>
              <w:tab w:pos="804" w:val="left" w:leader="none"/>
              <w:tab w:pos="8226" w:val="left" w:leader="none"/>
            </w:tabs>
            <w:spacing w:line="240" w:lineRule="auto" w:before="111" w:after="0"/>
            <w:ind w:left="803" w:right="0" w:hanging="567"/>
            <w:jc w:val="left"/>
          </w:pPr>
          <w:hyperlink w:history="true" w:anchor="_TOC_250007">
            <w:r>
              <w:rPr/>
              <w:t>BIBLIOGRAFÍA</w:t>
              <w:tab/>
            </w:r>
            <w:r>
              <w:rPr>
                <w:spacing w:val="-2"/>
              </w:rPr>
              <w:t>117</w:t>
            </w:r>
          </w:hyperlink>
        </w:p>
        <w:p>
          <w:pPr>
            <w:pStyle w:val="TOC1"/>
            <w:numPr>
              <w:ilvl w:val="0"/>
              <w:numId w:val="1"/>
            </w:numPr>
            <w:tabs>
              <w:tab w:pos="804" w:val="left" w:leader="none"/>
              <w:tab w:pos="8226" w:val="left" w:leader="none"/>
            </w:tabs>
            <w:spacing w:line="240" w:lineRule="auto" w:before="115" w:after="0"/>
            <w:ind w:left="803" w:right="0" w:hanging="567"/>
            <w:jc w:val="left"/>
          </w:pPr>
          <w:hyperlink w:history="true" w:anchor="_TOC_250006">
            <w:r>
              <w:rPr/>
              <w:t>ANEXOS</w:t>
              <w:tab/>
            </w:r>
            <w:r>
              <w:rPr>
                <w:spacing w:val="-2"/>
              </w:rPr>
              <w:t>128</w:t>
            </w:r>
          </w:hyperlink>
        </w:p>
        <w:p>
          <w:pPr>
            <w:pStyle w:val="TOC6"/>
            <w:tabs>
              <w:tab w:pos="8226" w:val="left" w:leader="none"/>
            </w:tabs>
          </w:pPr>
          <w:hyperlink w:history="true" w:anchor="_TOC_250005">
            <w:r>
              <w:rPr/>
              <w:t>Anexo </w:t>
            </w:r>
            <w:r>
              <w:rPr>
                <w:spacing w:val="-4"/>
              </w:rPr>
              <w:t>1.</w:t>
            </w:r>
            <w:r>
              <w:rPr>
                <w:spacing w:val="4"/>
              </w:rPr>
              <w:t> </w:t>
            </w:r>
            <w:r>
              <w:rPr/>
              <w:t>Consentimiento</w:t>
            </w:r>
            <w:r>
              <w:rPr>
                <w:spacing w:val="-5"/>
              </w:rPr>
              <w:t> </w:t>
            </w:r>
            <w:r>
              <w:rPr/>
              <w:t>informado</w:t>
              <w:tab/>
            </w:r>
            <w:r>
              <w:rPr>
                <w:spacing w:val="-2"/>
              </w:rPr>
              <w:t>129</w:t>
            </w:r>
          </w:hyperlink>
        </w:p>
        <w:p>
          <w:pPr>
            <w:pStyle w:val="TOC6"/>
            <w:tabs>
              <w:tab w:pos="8226" w:val="left" w:leader="none"/>
            </w:tabs>
          </w:pPr>
          <w:hyperlink w:history="true" w:anchor="_TOC_250004">
            <w:r>
              <w:rPr/>
              <w:t>Anexo </w:t>
            </w:r>
            <w:r>
              <w:rPr>
                <w:spacing w:val="-4"/>
              </w:rPr>
              <w:t>2. </w:t>
            </w:r>
            <w:r>
              <w:rPr/>
              <w:t>Instrumento de recolección</w:t>
            </w:r>
            <w:r>
              <w:rPr>
                <w:spacing w:val="5"/>
              </w:rPr>
              <w:t> </w:t>
            </w:r>
            <w:r>
              <w:rPr/>
              <w:t>de</w:t>
            </w:r>
            <w:r>
              <w:rPr>
                <w:spacing w:val="-5"/>
              </w:rPr>
              <w:t> </w:t>
            </w:r>
            <w:r>
              <w:rPr/>
              <w:t>información</w:t>
              <w:tab/>
            </w:r>
            <w:r>
              <w:rPr>
                <w:spacing w:val="-2"/>
              </w:rPr>
              <w:t>132</w:t>
            </w:r>
          </w:hyperlink>
        </w:p>
        <w:p>
          <w:pPr>
            <w:pStyle w:val="TOC6"/>
            <w:tabs>
              <w:tab w:pos="8226" w:val="left" w:leader="none"/>
            </w:tabs>
            <w:spacing w:before="116"/>
          </w:pPr>
          <w:hyperlink w:history="true" w:anchor="_TOC_250003">
            <w:r>
              <w:rPr/>
              <w:t>Oficios/Permisos</w:t>
              <w:tab/>
            </w:r>
            <w:r>
              <w:rPr>
                <w:spacing w:val="-2"/>
              </w:rPr>
              <w:t>134</w:t>
            </w:r>
          </w:hyperlink>
        </w:p>
        <w:p>
          <w:pPr>
            <w:pStyle w:val="TOC6"/>
            <w:tabs>
              <w:tab w:pos="8226" w:val="left" w:leader="none"/>
            </w:tabs>
          </w:pPr>
          <w:hyperlink w:history="true" w:anchor="_TOC_250002">
            <w:r>
              <w:rPr/>
              <w:t>Constancias de participación en</w:t>
            </w:r>
            <w:r>
              <w:rPr>
                <w:spacing w:val="-5"/>
              </w:rPr>
              <w:t> </w:t>
            </w:r>
            <w:r>
              <w:rPr/>
              <w:t>eventos</w:t>
            </w:r>
            <w:r>
              <w:rPr>
                <w:spacing w:val="-2"/>
              </w:rPr>
              <w:t> </w:t>
            </w:r>
            <w:r>
              <w:rPr/>
              <w:t>académicos</w:t>
              <w:tab/>
            </w:r>
            <w:r>
              <w:rPr>
                <w:spacing w:val="-2"/>
              </w:rPr>
              <w:t>137</w:t>
            </w:r>
          </w:hyperlink>
        </w:p>
        <w:p>
          <w:pPr>
            <w:pStyle w:val="TOC6"/>
            <w:tabs>
              <w:tab w:pos="8226" w:val="left" w:leader="none"/>
            </w:tabs>
          </w:pPr>
          <w:hyperlink w:history="true" w:anchor="_TOC_250001">
            <w:r>
              <w:rPr/>
              <w:t>Cartel presentado en</w:t>
            </w:r>
            <w:r>
              <w:rPr>
                <w:spacing w:val="-2"/>
              </w:rPr>
              <w:t> </w:t>
            </w:r>
            <w:r>
              <w:rPr/>
              <w:t>eventos</w:t>
            </w:r>
            <w:r>
              <w:rPr>
                <w:spacing w:val="-5"/>
              </w:rPr>
              <w:t> </w:t>
            </w:r>
            <w:r>
              <w:rPr/>
              <w:t>académicos</w:t>
              <w:tab/>
            </w:r>
            <w:r>
              <w:rPr>
                <w:spacing w:val="-2"/>
              </w:rPr>
              <w:t>140</w:t>
            </w:r>
          </w:hyperlink>
        </w:p>
        <w:p>
          <w:pPr>
            <w:pStyle w:val="TOC6"/>
            <w:tabs>
              <w:tab w:pos="8226" w:val="left" w:leader="none"/>
            </w:tabs>
          </w:pPr>
          <w:hyperlink w:history="true" w:anchor="_TOC_250000">
            <w:r>
              <w:rPr/>
              <w:t>Sugerencias</w:t>
              <w:tab/>
            </w:r>
            <w:r>
              <w:rPr>
                <w:spacing w:val="-2"/>
              </w:rPr>
              <w:t>141</w:t>
            </w:r>
          </w:hyperlink>
        </w:p>
      </w:sdtContent>
    </w:sdt>
    <w:p>
      <w:pPr>
        <w:spacing w:after="0"/>
        <w:sectPr>
          <w:type w:val="continuous"/>
          <w:pgSz w:w="12240" w:h="15840"/>
          <w:pgMar w:top="1329" w:bottom="1574" w:left="1180" w:right="1460"/>
        </w:sectPr>
      </w:pPr>
    </w:p>
    <w:p>
      <w:pPr>
        <w:pStyle w:val="BodyText"/>
        <w:rPr>
          <w:sz w:val="22"/>
        </w:rPr>
      </w:pPr>
    </w:p>
    <w:p>
      <w:pPr>
        <w:pStyle w:val="BodyText"/>
        <w:rPr>
          <w:sz w:val="22"/>
        </w:rPr>
      </w:pPr>
    </w:p>
    <w:p>
      <w:pPr>
        <w:pStyle w:val="BodyText"/>
        <w:rPr>
          <w:sz w:val="22"/>
        </w:rPr>
      </w:pPr>
    </w:p>
    <w:p>
      <w:pPr>
        <w:spacing w:line="355" w:lineRule="auto" w:before="164"/>
        <w:ind w:left="119" w:right="130" w:firstLine="0"/>
        <w:jc w:val="both"/>
        <w:rPr>
          <w:sz w:val="22"/>
        </w:rPr>
      </w:pPr>
      <w:r>
        <w:rPr>
          <w:sz w:val="22"/>
        </w:rPr>
        <w:t>Agradezco primeramente a la Universidad Autónoma del Estado de México, por abrirme sus puertas una vez más y brindarme esta oportunidad de crecimiento profesional.</w:t>
      </w:r>
    </w:p>
    <w:p>
      <w:pPr>
        <w:pStyle w:val="BodyText"/>
        <w:spacing w:before="2"/>
        <w:rPr>
          <w:sz w:val="18"/>
        </w:rPr>
      </w:pPr>
    </w:p>
    <w:p>
      <w:pPr>
        <w:spacing w:line="360" w:lineRule="auto" w:before="1"/>
        <w:ind w:left="119" w:right="116" w:firstLine="0"/>
        <w:jc w:val="both"/>
        <w:rPr>
          <w:sz w:val="22"/>
        </w:rPr>
      </w:pPr>
      <w:r>
        <w:rPr>
          <w:sz w:val="22"/>
        </w:rPr>
        <w:t>Hago un reconocimiento a mi tutor académico, el Dr. en C.S.P. Angel Visoso Salgado, por darme la oportunidad de participar en este trabajo, por su colaboración y compromiso con esta investigación. Asimismo, extiendo mi gratitud a mis tutores adjuntos, la Dra. en O. Norma Margarita Montiel Bastida y el Dr. en C.I.A. Isaías de la Rosa Gómez, por su aportación y orientación en la elaboración de la presente tesis.</w:t>
      </w:r>
    </w:p>
    <w:p>
      <w:pPr>
        <w:pStyle w:val="BodyText"/>
        <w:spacing w:before="10"/>
        <w:rPr>
          <w:sz w:val="17"/>
        </w:rPr>
      </w:pPr>
    </w:p>
    <w:p>
      <w:pPr>
        <w:spacing w:line="360" w:lineRule="auto" w:before="0"/>
        <w:ind w:left="119" w:right="114" w:firstLine="0"/>
        <w:jc w:val="both"/>
        <w:rPr>
          <w:sz w:val="22"/>
        </w:rPr>
      </w:pPr>
      <w:r>
        <w:rPr>
          <w:sz w:val="22"/>
        </w:rPr>
        <w:t>Mi singular agradecimiento al Centro de Investigación en Ciencias Médicas, por permitir el acceso y uso del Laboratorio de Biología Molecular; de igual manera, al Dr.  Hugo Mendieta Zerón por su apoyo y orientación, tanto en cuestiones académicas como personales.</w:t>
      </w:r>
    </w:p>
    <w:p>
      <w:pPr>
        <w:pStyle w:val="BodyText"/>
        <w:spacing w:before="9"/>
        <w:rPr>
          <w:sz w:val="17"/>
        </w:rPr>
      </w:pPr>
    </w:p>
    <w:p>
      <w:pPr>
        <w:spacing w:line="355" w:lineRule="auto" w:before="0"/>
        <w:ind w:left="119" w:right="115" w:firstLine="0"/>
        <w:jc w:val="both"/>
        <w:rPr>
          <w:sz w:val="22"/>
        </w:rPr>
      </w:pPr>
      <w:r>
        <w:rPr>
          <w:sz w:val="22"/>
        </w:rPr>
        <w:t>Y finalmente agradezco al Dr. Jonnathan Guadalupe Santillán Benítez; por su instrucción, aporte y apoyo durante toda la investigación y en la elaboración de esta tesis.</w:t>
      </w:r>
    </w:p>
    <w:p>
      <w:pPr>
        <w:spacing w:after="0" w:line="355" w:lineRule="auto"/>
        <w:jc w:val="both"/>
        <w:rPr>
          <w:sz w:val="22"/>
        </w:rPr>
        <w:sectPr>
          <w:headerReference w:type="default" r:id="rId11"/>
          <w:footerReference w:type="default" r:id="rId12"/>
          <w:pgSz w:w="12240" w:h="15840"/>
          <w:pgMar w:header="1434" w:footer="0" w:top="1640" w:bottom="280" w:left="1580" w:right="1580"/>
        </w:sectPr>
      </w:pPr>
    </w:p>
    <w:p>
      <w:pPr>
        <w:pStyle w:val="BodyText"/>
        <w:rPr>
          <w:sz w:val="20"/>
        </w:rPr>
      </w:pPr>
    </w:p>
    <w:p>
      <w:pPr>
        <w:pStyle w:val="BodyText"/>
        <w:rPr>
          <w:sz w:val="20"/>
        </w:rPr>
      </w:pPr>
    </w:p>
    <w:p>
      <w:pPr>
        <w:pStyle w:val="BodyText"/>
        <w:rPr>
          <w:sz w:val="20"/>
        </w:rPr>
      </w:pPr>
    </w:p>
    <w:p>
      <w:pPr>
        <w:pStyle w:val="BodyText"/>
        <w:spacing w:before="10"/>
        <w:rPr>
          <w:sz w:val="19"/>
        </w:rPr>
      </w:pPr>
    </w:p>
    <w:p>
      <w:pPr>
        <w:spacing w:before="0"/>
        <w:ind w:left="119" w:right="111" w:firstLine="0"/>
        <w:jc w:val="left"/>
        <w:rPr>
          <w:sz w:val="22"/>
        </w:rPr>
      </w:pPr>
      <w:r>
        <w:rPr>
          <w:sz w:val="22"/>
        </w:rPr>
        <w:t>A Dios, Amo y Señor de todo en lo que creo y amo.</w:t>
      </w:r>
    </w:p>
    <w:p>
      <w:pPr>
        <w:pStyle w:val="BodyText"/>
        <w:spacing w:before="5"/>
        <w:rPr>
          <w:sz w:val="28"/>
        </w:rPr>
      </w:pPr>
    </w:p>
    <w:p>
      <w:pPr>
        <w:spacing w:line="355" w:lineRule="auto" w:before="1"/>
        <w:ind w:left="119" w:right="111" w:firstLine="0"/>
        <w:jc w:val="left"/>
        <w:rPr>
          <w:sz w:val="22"/>
        </w:rPr>
      </w:pPr>
      <w:r>
        <w:rPr>
          <w:sz w:val="22"/>
        </w:rPr>
        <w:t>A mi esposo, Ricardo Salinas, esta tesis es parte del esfuerzo y dedicación de dos años de</w:t>
      </w:r>
      <w:r>
        <w:rPr>
          <w:spacing w:val="-1"/>
          <w:sz w:val="22"/>
        </w:rPr>
        <w:t> </w:t>
      </w:r>
      <w:r>
        <w:rPr>
          <w:sz w:val="22"/>
        </w:rPr>
        <w:t>mi</w:t>
      </w:r>
      <w:r>
        <w:rPr>
          <w:spacing w:val="-2"/>
          <w:sz w:val="22"/>
        </w:rPr>
        <w:t> </w:t>
      </w:r>
      <w:r>
        <w:rPr>
          <w:sz w:val="22"/>
        </w:rPr>
        <w:t>vida,</w:t>
      </w:r>
      <w:r>
        <w:rPr>
          <w:spacing w:val="-5"/>
          <w:sz w:val="22"/>
        </w:rPr>
        <w:t> </w:t>
      </w:r>
      <w:r>
        <w:rPr>
          <w:sz w:val="22"/>
        </w:rPr>
        <w:t>en</w:t>
      </w:r>
      <w:r>
        <w:rPr>
          <w:spacing w:val="-1"/>
          <w:sz w:val="22"/>
        </w:rPr>
        <w:t> </w:t>
      </w:r>
      <w:r>
        <w:rPr>
          <w:sz w:val="22"/>
        </w:rPr>
        <w:t>los</w:t>
      </w:r>
      <w:r>
        <w:rPr>
          <w:spacing w:val="-6"/>
          <w:sz w:val="22"/>
        </w:rPr>
        <w:t> </w:t>
      </w:r>
      <w:r>
        <w:rPr>
          <w:sz w:val="22"/>
        </w:rPr>
        <w:t>cuales</w:t>
      </w:r>
      <w:r>
        <w:rPr>
          <w:spacing w:val="-6"/>
          <w:sz w:val="22"/>
        </w:rPr>
        <w:t> </w:t>
      </w:r>
      <w:r>
        <w:rPr>
          <w:sz w:val="22"/>
        </w:rPr>
        <w:t>siempre</w:t>
      </w:r>
      <w:r>
        <w:rPr>
          <w:spacing w:val="-4"/>
          <w:sz w:val="22"/>
        </w:rPr>
        <w:t> </w:t>
      </w:r>
      <w:r>
        <w:rPr>
          <w:sz w:val="22"/>
        </w:rPr>
        <w:t>estuviste,</w:t>
      </w:r>
      <w:r>
        <w:rPr>
          <w:spacing w:val="-5"/>
          <w:sz w:val="22"/>
        </w:rPr>
        <w:t> </w:t>
      </w:r>
      <w:r>
        <w:rPr>
          <w:sz w:val="22"/>
        </w:rPr>
        <w:t>gracias</w:t>
      </w:r>
      <w:r>
        <w:rPr>
          <w:spacing w:val="-2"/>
          <w:sz w:val="22"/>
        </w:rPr>
        <w:t> </w:t>
      </w:r>
      <w:r>
        <w:rPr>
          <w:sz w:val="22"/>
        </w:rPr>
        <w:t>por</w:t>
      </w:r>
      <w:r>
        <w:rPr>
          <w:spacing w:val="-8"/>
          <w:sz w:val="22"/>
        </w:rPr>
        <w:t> </w:t>
      </w:r>
      <w:r>
        <w:rPr>
          <w:sz w:val="22"/>
        </w:rPr>
        <w:t>apoyarme</w:t>
      </w:r>
      <w:r>
        <w:rPr>
          <w:spacing w:val="-1"/>
          <w:sz w:val="22"/>
        </w:rPr>
        <w:t> </w:t>
      </w:r>
      <w:r>
        <w:rPr>
          <w:sz w:val="22"/>
        </w:rPr>
        <w:t>e</w:t>
      </w:r>
      <w:r>
        <w:rPr>
          <w:spacing w:val="-4"/>
          <w:sz w:val="22"/>
        </w:rPr>
        <w:t> </w:t>
      </w:r>
      <w:r>
        <w:rPr>
          <w:sz w:val="22"/>
        </w:rPr>
        <w:t>impulsarme,</w:t>
      </w:r>
      <w:r>
        <w:rPr>
          <w:spacing w:val="-5"/>
          <w:sz w:val="22"/>
        </w:rPr>
        <w:t> </w:t>
      </w:r>
      <w:r>
        <w:rPr>
          <w:sz w:val="22"/>
        </w:rPr>
        <w:t>te</w:t>
      </w:r>
      <w:r>
        <w:rPr>
          <w:spacing w:val="-4"/>
          <w:sz w:val="22"/>
        </w:rPr>
        <w:t> </w:t>
      </w:r>
      <w:r>
        <w:rPr>
          <w:sz w:val="22"/>
        </w:rPr>
        <w:t>amo.</w:t>
      </w:r>
    </w:p>
    <w:p>
      <w:pPr>
        <w:pStyle w:val="BodyText"/>
        <w:spacing w:before="8"/>
        <w:rPr>
          <w:sz w:val="18"/>
        </w:rPr>
      </w:pPr>
    </w:p>
    <w:p>
      <w:pPr>
        <w:spacing w:line="355" w:lineRule="auto" w:before="0"/>
        <w:ind w:left="119" w:right="111" w:firstLine="0"/>
        <w:jc w:val="left"/>
        <w:rPr>
          <w:sz w:val="22"/>
        </w:rPr>
      </w:pPr>
      <w:r>
        <w:rPr>
          <w:sz w:val="22"/>
        </w:rPr>
        <w:t>A mis angelitos, Regino Guadarrama y Ángel Emmanuel, que ésta tesis y todo el trabajo de implicó, sea prueba de cuanto los estoy extrañando.</w:t>
      </w:r>
    </w:p>
    <w:p>
      <w:pPr>
        <w:pStyle w:val="BodyText"/>
        <w:spacing w:before="2"/>
        <w:rPr>
          <w:sz w:val="18"/>
        </w:rPr>
      </w:pPr>
    </w:p>
    <w:p>
      <w:pPr>
        <w:spacing w:before="1"/>
        <w:ind w:left="119" w:right="111" w:firstLine="0"/>
        <w:jc w:val="left"/>
        <w:rPr>
          <w:sz w:val="22"/>
        </w:rPr>
      </w:pPr>
      <w:r>
        <w:rPr>
          <w:sz w:val="22"/>
        </w:rPr>
        <w:t>A mi madre, Juana Santín, porque siempre estás para mí, eres mi ejemplo y mi fuerza.</w:t>
      </w:r>
    </w:p>
    <w:p>
      <w:pPr>
        <w:pStyle w:val="BodyText"/>
        <w:spacing w:before="11"/>
        <w:rPr>
          <w:sz w:val="28"/>
        </w:rPr>
      </w:pPr>
    </w:p>
    <w:p>
      <w:pPr>
        <w:spacing w:line="355" w:lineRule="auto" w:before="0"/>
        <w:ind w:left="119" w:right="111" w:firstLine="0"/>
        <w:jc w:val="left"/>
        <w:rPr>
          <w:sz w:val="22"/>
        </w:rPr>
      </w:pPr>
      <w:r>
        <w:rPr>
          <w:sz w:val="22"/>
        </w:rPr>
        <w:t>A mis hermanos, Perla y Juan, las pruebas más difíciles han sido a su lado, me apoyo en ustedes.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pPr>
    </w:p>
    <w:p>
      <w:pPr>
        <w:spacing w:before="0"/>
        <w:ind w:left="0" w:right="105" w:firstLine="0"/>
        <w:jc w:val="right"/>
        <w:rPr>
          <w:i/>
          <w:sz w:val="22"/>
        </w:rPr>
      </w:pPr>
      <w:r>
        <w:rPr>
          <w:i/>
          <w:sz w:val="22"/>
        </w:rPr>
        <w:t>"La creatividad es el estado natural del ser humano"</w:t>
      </w:r>
    </w:p>
    <w:p>
      <w:pPr>
        <w:pStyle w:val="BodyText"/>
        <w:spacing w:before="11"/>
        <w:rPr>
          <w:i/>
          <w:sz w:val="20"/>
        </w:rPr>
      </w:pPr>
    </w:p>
    <w:p>
      <w:pPr>
        <w:spacing w:before="0"/>
        <w:ind w:left="0" w:right="99" w:firstLine="0"/>
        <w:jc w:val="right"/>
        <w:rPr>
          <w:sz w:val="22"/>
        </w:rPr>
      </w:pPr>
      <w:r>
        <w:rPr>
          <w:sz w:val="22"/>
        </w:rPr>
        <w:t>Kary Mullis</w:t>
      </w:r>
    </w:p>
    <w:p>
      <w:pPr>
        <w:spacing w:after="0"/>
        <w:jc w:val="right"/>
        <w:rPr>
          <w:sz w:val="22"/>
        </w:rPr>
        <w:sectPr>
          <w:headerReference w:type="default" r:id="rId13"/>
          <w:footerReference w:type="default" r:id="rId14"/>
          <w:pgSz w:w="12240" w:h="15840"/>
          <w:pgMar w:header="1434" w:footer="0" w:top="1640" w:bottom="28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2"/>
        </w:numPr>
        <w:tabs>
          <w:tab w:pos="3274" w:val="left" w:leader="none"/>
          <w:tab w:pos="3275" w:val="left" w:leader="none"/>
        </w:tabs>
        <w:spacing w:line="240" w:lineRule="auto" w:before="173" w:after="0"/>
        <w:ind w:left="3274" w:right="0" w:hanging="720"/>
        <w:jc w:val="left"/>
      </w:pPr>
      <w:bookmarkStart w:name="_TOC_250065" w:id="1"/>
      <w:bookmarkEnd w:id="1"/>
      <w:r>
        <w:rPr/>
        <w:t>INTRODUCCIÓN</w:t>
      </w:r>
    </w:p>
    <w:p>
      <w:pPr>
        <w:spacing w:after="0" w:line="240" w:lineRule="auto"/>
        <w:jc w:val="left"/>
        <w:sectPr>
          <w:headerReference w:type="default" r:id="rId15"/>
          <w:footerReference w:type="default" r:id="rId16"/>
          <w:pgSz w:w="12240" w:h="15840"/>
          <w:pgMar w:header="726" w:footer="1031" w:top="1340" w:bottom="1220" w:left="1220" w:right="1420"/>
          <w:pgNumType w:start="1"/>
        </w:sectPr>
      </w:pPr>
    </w:p>
    <w:p>
      <w:pPr>
        <w:pStyle w:val="BodyText"/>
        <w:spacing w:before="3"/>
        <w:rPr>
          <w:b/>
          <w:sz w:val="23"/>
        </w:rPr>
      </w:pPr>
    </w:p>
    <w:p>
      <w:pPr>
        <w:pStyle w:val="BodyText"/>
        <w:spacing w:line="348" w:lineRule="auto" w:before="69"/>
        <w:ind w:left="196" w:right="275"/>
        <w:jc w:val="both"/>
      </w:pPr>
      <w:r>
        <w:rPr/>
        <w:t>La caries dental es la enfermedad oral con mayor prevalencia a nivel mundial, afectando a los diferentes tipos de dentición;</w:t>
      </w:r>
      <w:r>
        <w:rPr>
          <w:position w:val="11"/>
          <w:sz w:val="16"/>
        </w:rPr>
        <w:t>3 </w:t>
      </w:r>
      <w:r>
        <w:rPr/>
        <w:t>dentro de los factores etiológicos primarios asociados al huésped se encuentra la inmunidad.</w:t>
      </w:r>
      <w:r>
        <w:rPr>
          <w:position w:val="11"/>
          <w:sz w:val="16"/>
        </w:rPr>
        <w:t>1 </w:t>
      </w:r>
      <w:r>
        <w:rPr/>
        <w:t>La inmunidad humoral incluye a las inmunoglobulinas, como la IgA, IgG e IgM, las cuales se pueden encontrar en la cavidad oral; estos anticuerpos son reconocidos por los receptores Fc</w:t>
      </w:r>
      <w:r>
        <w:rPr>
          <w:rFonts w:ascii="Symbol" w:hAnsi="Symbol"/>
        </w:rPr>
        <w:t></w:t>
      </w:r>
      <w:r>
        <w:rPr/>
        <w:t>R, Fc</w:t>
      </w:r>
      <w:r>
        <w:rPr>
          <w:rFonts w:ascii="Symbol" w:hAnsi="Symbol"/>
        </w:rPr>
        <w:t></w:t>
      </w:r>
      <w:r>
        <w:rPr/>
        <w:t>RIIB y Fc</w:t>
      </w:r>
      <w:r>
        <w:rPr>
          <w:rFonts w:ascii="Symbol" w:hAnsi="Symbol"/>
        </w:rPr>
        <w:t></w:t>
      </w:r>
      <w:r>
        <w:rPr/>
        <w:t>R, respectivamente.</w:t>
      </w:r>
      <w:r>
        <w:rPr>
          <w:position w:val="11"/>
          <w:sz w:val="16"/>
        </w:rPr>
        <w:t>23 </w:t>
      </w:r>
      <w:r>
        <w:rPr/>
        <w:t>La expresión génica de los receptores para la porción Fc de las inmunoglobulinas en la saliva y en presencia de caries no ha sido estudiada en la actualidad, sin embargo, técnicas en biología molecular como la reacción en cadena de la polimerasa en </w:t>
      </w:r>
      <w:r>
        <w:rPr>
          <w:spacing w:val="-3"/>
        </w:rPr>
        <w:t>tiempo </w:t>
      </w:r>
      <w:r>
        <w:rPr/>
        <w:t>real con transcriptasa inversa </w:t>
      </w:r>
      <w:r>
        <w:rPr>
          <w:spacing w:val="3"/>
        </w:rPr>
        <w:t>(RT- </w:t>
      </w:r>
      <w:r>
        <w:rPr/>
        <w:t>qPCR), son importantes auxiliares en el estudio de dicha expresión;</w:t>
      </w:r>
      <w:r>
        <w:rPr>
          <w:position w:val="11"/>
          <w:sz w:val="16"/>
        </w:rPr>
        <w:t>61 </w:t>
      </w:r>
      <w:r>
        <w:rPr/>
        <w:t>lo cual es motivo del presente</w:t>
      </w:r>
      <w:r>
        <w:rPr>
          <w:spacing w:val="-11"/>
        </w:rPr>
        <w:t> </w:t>
      </w:r>
      <w:r>
        <w:rPr/>
        <w:t>trabajo.</w:t>
      </w:r>
    </w:p>
    <w:p>
      <w:pPr>
        <w:pStyle w:val="BodyText"/>
        <w:spacing w:before="4"/>
        <w:rPr>
          <w:sz w:val="19"/>
        </w:rPr>
      </w:pPr>
    </w:p>
    <w:p>
      <w:pPr>
        <w:pStyle w:val="BodyText"/>
        <w:spacing w:line="360" w:lineRule="auto"/>
        <w:ind w:left="196" w:right="274"/>
        <w:jc w:val="both"/>
      </w:pPr>
      <w:r>
        <w:rPr/>
        <w:t>El Capítulo II </w:t>
      </w:r>
      <w:r>
        <w:rPr>
          <w:spacing w:val="-3"/>
        </w:rPr>
        <w:t>se </w:t>
      </w:r>
      <w:r>
        <w:rPr/>
        <w:t>refiere al estado del arte. Abarca el estudio de la caries, su etiología, prevalencia y diagnóstico. Respecto a la respuesta inmune del huésped, incluye aspectos como la inmunidad innata y adaptativa, y dentro de esta última, el estudio de la inmunidad celular y humoral, aclarando la importante participación de las inmunoglobulinas en la respuesta inmune humoral; así como la descripción de sus receptores Fc. Además, se manejó información acerca del papel de las inmunoglobulinas en la cavidad oral y su relación con la caries dental. Por último, se incluyó un apartado referente a la saliva y la biología molecular, y </w:t>
      </w:r>
      <w:r>
        <w:rPr>
          <w:spacing w:val="-3"/>
        </w:rPr>
        <w:t>su </w:t>
      </w:r>
      <w:r>
        <w:rPr/>
        <w:t>desempeño en el estudio de la expresión génica de proteínas a partir de RNA o DNA, mediante técnicas como la</w:t>
      </w:r>
      <w:r>
        <w:rPr>
          <w:spacing w:val="-6"/>
        </w:rPr>
        <w:t> </w:t>
      </w:r>
      <w:r>
        <w:rPr/>
        <w:t>RT-qPCR.</w:t>
      </w:r>
    </w:p>
    <w:p>
      <w:pPr>
        <w:pStyle w:val="BodyText"/>
        <w:spacing w:line="360" w:lineRule="auto" w:before="204"/>
        <w:ind w:left="196" w:right="287"/>
        <w:jc w:val="both"/>
      </w:pPr>
      <w:r>
        <w:rPr/>
        <w:t>En el Capítulo III se mencionan aspectos generales de la problemática que representa la caries en los distintos tipos de dentición, y la falta de  información acerca de la expresión génica de los receptores Fc de las inmunoglobulinas presentes en la saliva.</w:t>
      </w:r>
    </w:p>
    <w:p>
      <w:pPr>
        <w:pStyle w:val="BodyText"/>
        <w:spacing w:line="360" w:lineRule="auto" w:before="209"/>
        <w:ind w:left="196" w:right="275"/>
        <w:jc w:val="both"/>
      </w:pPr>
      <w:r>
        <w:rPr/>
        <w:t>El Capítulo IV muestra la justificación de este trabajo, como lo es la presencia de caries a nivel nacional y estatal, la carencia de estudios de la expresión génica de los receptores Fc de las inmunoglobulinas, la importancia de incrementar la información acerca  de  dicha  expresión,  así  como  la  consideración  de  los  recursos  de      la</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0" w:lineRule="auto" w:before="69"/>
        <w:ind w:left="196" w:right="289"/>
        <w:jc w:val="both"/>
      </w:pPr>
      <w:r>
        <w:rPr/>
        <w:t>Universidad Autónoma de Estado de México para el desarrollo de la biología molecular y la base de futuras investigaciones.</w:t>
      </w:r>
    </w:p>
    <w:p>
      <w:pPr>
        <w:pStyle w:val="BodyText"/>
        <w:spacing w:line="360" w:lineRule="auto" w:before="209"/>
        <w:ind w:left="196" w:right="275"/>
        <w:jc w:val="both"/>
      </w:pPr>
      <w:r>
        <w:rPr/>
        <w:t>En el Capítulo V se presentan el objetivo general y los objetivos específicos de la investigación. El Capítulo VI incluye el establecimiento de las hipótesis (de trabajo y nula). El Capítulo VII, comprende el diseño metodológico [diseño y tipo de estudio, población de estudio, muestreo y tamaño de la muestra, criterios, variables, materiales, método y sus etapas (recolección de datos, diagnóstico de caries, obtención de la muestra, extracción de mRNA, trascripción inversa, RT-qPCR)]; así como el análisis de la información.</w:t>
      </w:r>
    </w:p>
    <w:p>
      <w:pPr>
        <w:pStyle w:val="BodyText"/>
        <w:spacing w:line="360" w:lineRule="auto" w:before="209"/>
        <w:ind w:left="196" w:right="275"/>
        <w:jc w:val="both"/>
      </w:pPr>
      <w:r>
        <w:rPr/>
        <w:t>En el Capítulo VIII se muestran los resultados obtenidos, incluyendo un artículo, producto de esta investigación; además de los resultados generales, dividiéndose en características sociodemográficas, hábitos higiénico-dietéticos, desmineralización dental (caries) y el reporte de la expresión génica de Fc</w:t>
      </w:r>
      <w:r>
        <w:rPr>
          <w:rFonts w:ascii="Symbol" w:hAnsi="Symbol"/>
        </w:rPr>
        <w:t></w:t>
      </w:r>
      <w:r>
        <w:rPr/>
        <w:t>R, Fc</w:t>
      </w:r>
      <w:r>
        <w:rPr>
          <w:rFonts w:ascii="Symbol" w:hAnsi="Symbol"/>
        </w:rPr>
        <w:t></w:t>
      </w:r>
      <w:r>
        <w:rPr/>
        <w:t>RIIB y Fc</w:t>
      </w:r>
      <w:r>
        <w:rPr>
          <w:rFonts w:ascii="Symbol" w:hAnsi="Symbol"/>
        </w:rPr>
        <w:t></w:t>
      </w:r>
      <w:r>
        <w:rPr/>
        <w:t>R, tanto en dentición mixta como en dentición permanente. El Capítulo IX muestra las tablas y figuras obtenidas en los resultados previamente mencionados.</w:t>
      </w:r>
    </w:p>
    <w:p>
      <w:pPr>
        <w:pStyle w:val="BodyText"/>
        <w:spacing w:line="357" w:lineRule="auto" w:before="209"/>
        <w:ind w:left="196" w:right="278"/>
        <w:jc w:val="both"/>
      </w:pPr>
      <w:r>
        <w:rPr/>
        <w:t>En el Capítulo X se presenta la discusión del trabajo, señalando la utilidad de la  saliva como un medio para el diagnóstico molecular; se mencionan los resultados relacionados a la expresión génica de Fc</w:t>
      </w:r>
      <w:r>
        <w:rPr>
          <w:rFonts w:ascii="Symbol" w:hAnsi="Symbol"/>
        </w:rPr>
        <w:t></w:t>
      </w:r>
      <w:r>
        <w:rPr/>
        <w:t>R, Fc</w:t>
      </w:r>
      <w:r>
        <w:rPr>
          <w:rFonts w:ascii="Symbol" w:hAnsi="Symbol"/>
        </w:rPr>
        <w:t></w:t>
      </w:r>
      <w:r>
        <w:rPr/>
        <w:t>RIIB y Fc</w:t>
      </w:r>
      <w:r>
        <w:rPr>
          <w:rFonts w:ascii="Symbol" w:hAnsi="Symbol"/>
        </w:rPr>
        <w:t></w:t>
      </w:r>
      <w:r>
        <w:rPr/>
        <w:t>R, y un breve análisis de los mismos, así como las limitaciones de la presente</w:t>
      </w:r>
      <w:r>
        <w:rPr>
          <w:spacing w:val="-26"/>
        </w:rPr>
        <w:t> </w:t>
      </w:r>
      <w:r>
        <w:rPr/>
        <w:t>investigación.</w:t>
      </w:r>
    </w:p>
    <w:p>
      <w:pPr>
        <w:pStyle w:val="BodyText"/>
        <w:spacing w:line="360" w:lineRule="auto" w:before="212"/>
        <w:ind w:left="196" w:right="284"/>
        <w:jc w:val="both"/>
      </w:pPr>
      <w:r>
        <w:rPr/>
        <w:t>El Capítulo XI incluye las conclusiones, recalcando la utilidad de la saliva y la importancia de la RT-qPCR, así como el cumplimiento de los objetivos establecidos. En el Capítulo XII, se presenta un breve resumen de la presente investigación, mencionando las características más importantes de la misma.</w:t>
      </w:r>
    </w:p>
    <w:p>
      <w:pPr>
        <w:pStyle w:val="BodyText"/>
        <w:spacing w:line="360" w:lineRule="auto" w:before="209"/>
        <w:ind w:left="196" w:right="277"/>
        <w:jc w:val="both"/>
      </w:pPr>
      <w:r>
        <w:rPr/>
        <w:t>En el Capítulo XIII se muestran todas las referencias bibliográficas utilizadas en la estructura de esta investigación. Finalmente, en el Capítulo XIV se pueden observar los anexos, como el consentimiento informado, el instrumento de recolección de información, los oficios o permisos para el desarrollo de la investigación, y las constancias de participación en eventos académicos (congresos).</w:t>
      </w:r>
    </w:p>
    <w:p>
      <w:pPr>
        <w:spacing w:after="0" w:line="360" w:lineRule="auto"/>
        <w:jc w:val="both"/>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2"/>
        </w:numPr>
        <w:tabs>
          <w:tab w:pos="3173" w:val="left" w:leader="none"/>
          <w:tab w:pos="3174" w:val="left" w:leader="none"/>
        </w:tabs>
        <w:spacing w:line="240" w:lineRule="auto" w:before="173" w:after="0"/>
        <w:ind w:left="3174" w:right="0" w:hanging="721"/>
        <w:jc w:val="left"/>
      </w:pPr>
      <w:bookmarkStart w:name="_TOC_250064" w:id="2"/>
      <w:bookmarkEnd w:id="2"/>
      <w:r>
        <w:rPr/>
        <w:t>ANTECEDENTES</w:t>
      </w:r>
    </w:p>
    <w:p>
      <w:pPr>
        <w:spacing w:after="0" w:line="240" w:lineRule="auto"/>
        <w:jc w:val="left"/>
        <w:sectPr>
          <w:pgSz w:w="12240" w:h="15840"/>
          <w:pgMar w:header="726" w:footer="1031" w:top="1340" w:bottom="1220" w:left="1220" w:right="1420"/>
        </w:sectPr>
      </w:pPr>
    </w:p>
    <w:p>
      <w:pPr>
        <w:pStyle w:val="BodyText"/>
        <w:spacing w:before="4"/>
        <w:rPr>
          <w:b/>
          <w:sz w:val="22"/>
        </w:rPr>
      </w:pPr>
    </w:p>
    <w:p>
      <w:pPr>
        <w:pStyle w:val="Heading2"/>
        <w:numPr>
          <w:ilvl w:val="0"/>
          <w:numId w:val="3"/>
        </w:numPr>
        <w:tabs>
          <w:tab w:pos="480" w:val="left" w:leader="none"/>
        </w:tabs>
        <w:spacing w:line="240" w:lineRule="auto" w:before="70" w:after="0"/>
        <w:ind w:left="479" w:right="0" w:hanging="283"/>
        <w:jc w:val="both"/>
      </w:pPr>
      <w:bookmarkStart w:name="_TOC_250063" w:id="3"/>
      <w:r>
        <w:rPr/>
        <w:t>LA CARIES</w:t>
      </w:r>
      <w:r>
        <w:rPr>
          <w:spacing w:val="-11"/>
        </w:rPr>
        <w:t> </w:t>
      </w:r>
      <w:bookmarkEnd w:id="3"/>
      <w:r>
        <w:rPr/>
        <w:t>DENTAL</w:t>
      </w:r>
    </w:p>
    <w:p>
      <w:pPr>
        <w:pStyle w:val="BodyText"/>
        <w:spacing w:before="3"/>
        <w:rPr>
          <w:b/>
          <w:sz w:val="30"/>
        </w:rPr>
      </w:pPr>
    </w:p>
    <w:p>
      <w:pPr>
        <w:pStyle w:val="BodyText"/>
        <w:spacing w:line="360" w:lineRule="auto"/>
        <w:ind w:left="196" w:right="275"/>
        <w:jc w:val="both"/>
      </w:pPr>
      <w:r>
        <w:rPr/>
        <w:t>La caries es una enfermedad infecto-contagiosa y multifactorial, que se caracteriza por la desintegración progresiva de los tejidos duros del diente, debido a la desmineralización  de la porción mineral  y la subsecuente  disgregación  de la  parte</w:t>
      </w:r>
    </w:p>
    <w:p>
      <w:pPr>
        <w:pStyle w:val="BodyText"/>
        <w:spacing w:line="324" w:lineRule="auto" w:before="2"/>
        <w:ind w:left="196" w:right="275"/>
        <w:jc w:val="both"/>
        <w:rPr>
          <w:sz w:val="16"/>
        </w:rPr>
      </w:pPr>
      <w:r>
        <w:rPr/>
        <w:t>orgánica, provocada por ácidos producidos por la fermentación de los carbohidratos por los microorganismos bucales.</w:t>
      </w:r>
      <w:r>
        <w:rPr>
          <w:position w:val="11"/>
          <w:sz w:val="16"/>
        </w:rPr>
        <w:t>1, 2</w:t>
      </w:r>
    </w:p>
    <w:p>
      <w:pPr>
        <w:pStyle w:val="BodyText"/>
        <w:spacing w:line="360" w:lineRule="auto" w:before="236"/>
        <w:ind w:left="196" w:right="274"/>
        <w:jc w:val="both"/>
      </w:pPr>
      <w:r>
        <w:rPr/>
        <w:t>La alta prevalencia de caries que se presenta en el mundo entero (afecta del 95 al 99% de la población), la sitúa como principal causa de pérdida dental </w:t>
      </w:r>
      <w:r>
        <w:rPr>
          <w:spacing w:val="-3"/>
        </w:rPr>
        <w:t>ya </w:t>
      </w:r>
      <w:r>
        <w:rPr/>
        <w:t>que, de</w:t>
      </w:r>
    </w:p>
    <w:p>
      <w:pPr>
        <w:pStyle w:val="BodyText"/>
        <w:spacing w:line="324" w:lineRule="auto" w:before="8"/>
        <w:ind w:left="196" w:right="287"/>
        <w:jc w:val="both"/>
        <w:rPr>
          <w:sz w:val="16"/>
        </w:rPr>
      </w:pPr>
      <w:r>
        <w:rPr/>
        <w:t>cada 10 personas, 9 presentan la enfermedad o las secuelas de esta, que tiene su comienzo casi desde el principio de la vida y progresa con la edad.</w:t>
      </w:r>
      <w:r>
        <w:rPr>
          <w:position w:val="11"/>
          <w:sz w:val="16"/>
        </w:rPr>
        <w:t>3</w:t>
      </w:r>
    </w:p>
    <w:p>
      <w:pPr>
        <w:pStyle w:val="BodyText"/>
        <w:spacing w:line="348" w:lineRule="auto" w:before="236"/>
        <w:ind w:left="196" w:right="281"/>
        <w:jc w:val="both"/>
        <w:rPr>
          <w:sz w:val="16"/>
        </w:rPr>
      </w:pPr>
      <w:r>
        <w:rPr/>
        <w:t>En México, en décadas pasadas, la caries afectaba alrededor del 95% de los niños y 99% de los adultos, a partir del año 2000 se ha reportado en la ciudad de México disminución de la prevalencia e incidencia de caries la cual es atribuida especialmente a la incorporación del flúor a la sal.</w:t>
      </w:r>
      <w:r>
        <w:rPr>
          <w:position w:val="11"/>
          <w:sz w:val="16"/>
        </w:rPr>
        <w:t>4</w:t>
      </w:r>
    </w:p>
    <w:p>
      <w:pPr>
        <w:pStyle w:val="BodyText"/>
        <w:spacing w:line="362" w:lineRule="auto" w:before="201"/>
        <w:ind w:left="196" w:right="285"/>
        <w:jc w:val="both"/>
      </w:pPr>
      <w:r>
        <w:rPr/>
        <w:t>A través de una variedad de estudios realizados en México durante las dos últimas décadas en diferentes grupos de edad, se ha reportado que la caries presenta una</w:t>
      </w:r>
    </w:p>
    <w:p>
      <w:pPr>
        <w:pStyle w:val="BodyText"/>
        <w:spacing w:line="324" w:lineRule="auto"/>
        <w:ind w:left="196" w:right="291"/>
        <w:jc w:val="both"/>
        <w:rPr>
          <w:sz w:val="16"/>
        </w:rPr>
      </w:pPr>
      <w:r>
        <w:rPr/>
        <w:t>prevalencia de 48 a 95% en niños de edad preescolar, de 42 a 88% en niños de 12 años de edad y 53.4% en adolescentes de 15 años de edad.</w:t>
      </w:r>
      <w:r>
        <w:rPr>
          <w:position w:val="11"/>
          <w:sz w:val="16"/>
        </w:rPr>
        <w:t>5-11</w:t>
      </w:r>
    </w:p>
    <w:p>
      <w:pPr>
        <w:pStyle w:val="Heading2"/>
        <w:numPr>
          <w:ilvl w:val="1"/>
          <w:numId w:val="3"/>
        </w:numPr>
        <w:tabs>
          <w:tab w:pos="624" w:val="left" w:leader="none"/>
        </w:tabs>
        <w:spacing w:line="240" w:lineRule="auto" w:before="232" w:after="0"/>
        <w:ind w:left="623" w:right="0" w:hanging="427"/>
        <w:jc w:val="both"/>
      </w:pPr>
      <w:r>
        <w:rPr/>
        <w:t>La Caries por Tipo de</w:t>
      </w:r>
      <w:r>
        <w:rPr>
          <w:spacing w:val="-13"/>
        </w:rPr>
        <w:t> </w:t>
      </w:r>
      <w:r>
        <w:rPr/>
        <w:t>Dentición</w:t>
      </w:r>
    </w:p>
    <w:p>
      <w:pPr>
        <w:pStyle w:val="BodyText"/>
        <w:spacing w:before="2"/>
        <w:rPr>
          <w:b/>
          <w:sz w:val="33"/>
        </w:rPr>
      </w:pPr>
    </w:p>
    <w:p>
      <w:pPr>
        <w:pStyle w:val="BodyText"/>
        <w:spacing w:line="362" w:lineRule="auto"/>
        <w:ind w:left="196" w:right="283"/>
        <w:jc w:val="both"/>
      </w:pPr>
      <w:r>
        <w:rPr/>
        <w:t>En México se han realizado numerosos estudios acerca de la prevalencia de caries, tanto en dentición temporal, como en dentición permanente.</w:t>
      </w:r>
    </w:p>
    <w:p>
      <w:pPr>
        <w:pStyle w:val="BodyText"/>
        <w:spacing w:before="10"/>
        <w:rPr>
          <w:sz w:val="20"/>
        </w:rPr>
      </w:pPr>
    </w:p>
    <w:p>
      <w:pPr>
        <w:pStyle w:val="BodyText"/>
        <w:spacing w:line="352" w:lineRule="auto"/>
        <w:ind w:left="196" w:right="276"/>
        <w:jc w:val="both"/>
        <w:rPr>
          <w:sz w:val="16"/>
        </w:rPr>
      </w:pPr>
      <w:r>
        <w:rPr/>
        <w:t>Guerrero y colaboradores, en el 2009 realizaron un estudio en preescolares de 3 a 6 años de 12 entidades federativas del país y reportaron que el 91% de los preescolares presentaban caries; sin embargo, mencionan que el 60.6% de preescolares de 3 años estaban libres de caries, disminuyendo a 36.9% a los 6 años.</w:t>
      </w:r>
      <w:r>
        <w:rPr>
          <w:position w:val="11"/>
          <w:sz w:val="16"/>
        </w:rPr>
        <w:t>12</w:t>
      </w:r>
    </w:p>
    <w:p>
      <w:pPr>
        <w:spacing w:after="0" w:line="352" w:lineRule="auto"/>
        <w:jc w:val="both"/>
        <w:rPr>
          <w:sz w:val="16"/>
        </w:rPr>
        <w:sectPr>
          <w:pgSz w:w="12240" w:h="15840"/>
          <w:pgMar w:header="726" w:footer="1031" w:top="1340" w:bottom="1220" w:left="1220" w:right="1420"/>
        </w:sectPr>
      </w:pPr>
    </w:p>
    <w:p>
      <w:pPr>
        <w:pStyle w:val="BodyText"/>
        <w:spacing w:before="3"/>
        <w:rPr>
          <w:sz w:val="23"/>
        </w:rPr>
      </w:pPr>
    </w:p>
    <w:p>
      <w:pPr>
        <w:pStyle w:val="BodyText"/>
        <w:spacing w:line="352" w:lineRule="auto" w:before="69"/>
        <w:ind w:left="196" w:right="275"/>
        <w:jc w:val="both"/>
        <w:rPr>
          <w:sz w:val="16"/>
        </w:rPr>
      </w:pPr>
      <w:r>
        <w:rPr/>
        <w:t>Pérez-Domínguez y colaboradores, reportaron en el 2010 la presencia de caries en niños de 3 a 6 años y en adolescentes de 12 años, ambos derechohabientes del Instituto Mexicano del Seguro Social; los resultados mostraron que la prevalencia de caries dental fue de 66.9%, siendo mayores las cifras en dentición temporal que en la dentición permanente.</w:t>
      </w:r>
      <w:r>
        <w:rPr>
          <w:position w:val="11"/>
          <w:sz w:val="16"/>
        </w:rPr>
        <w:t>13</w:t>
      </w:r>
    </w:p>
    <w:p>
      <w:pPr>
        <w:pStyle w:val="BodyText"/>
        <w:spacing w:line="343" w:lineRule="auto" w:before="238"/>
        <w:ind w:left="196" w:right="288"/>
        <w:jc w:val="both"/>
        <w:rPr>
          <w:sz w:val="16"/>
        </w:rPr>
      </w:pPr>
      <w:r>
        <w:rPr/>
        <w:t>Martínez y colaboradores también reportaron en el 2010 la presencia de caries en niños de 6 a 12 años de San Luis Potosí, México; en dentición primaria la prevalencia de caries fue de 56.8%, mientras que en dentición permanente fue de 36.8%.</w:t>
      </w:r>
      <w:r>
        <w:rPr>
          <w:position w:val="11"/>
          <w:sz w:val="16"/>
        </w:rPr>
        <w:t>14</w:t>
      </w:r>
    </w:p>
    <w:p>
      <w:pPr>
        <w:pStyle w:val="Heading2"/>
        <w:numPr>
          <w:ilvl w:val="1"/>
          <w:numId w:val="3"/>
        </w:numPr>
        <w:tabs>
          <w:tab w:pos="599" w:val="left" w:leader="none"/>
        </w:tabs>
        <w:spacing w:line="240" w:lineRule="auto" w:before="241" w:after="0"/>
        <w:ind w:left="598" w:right="0" w:hanging="402"/>
        <w:jc w:val="both"/>
      </w:pPr>
      <w:bookmarkStart w:name="_TOC_250062" w:id="4"/>
      <w:r>
        <w:rPr/>
        <w:t>Factores Etiológicos de la Caries</w:t>
      </w:r>
      <w:r>
        <w:rPr>
          <w:spacing w:val="-24"/>
        </w:rPr>
        <w:t> </w:t>
      </w:r>
      <w:bookmarkEnd w:id="4"/>
      <w:r>
        <w:rPr/>
        <w:t>Dental</w:t>
      </w:r>
    </w:p>
    <w:p>
      <w:pPr>
        <w:pStyle w:val="BodyText"/>
        <w:spacing w:before="6"/>
        <w:rPr>
          <w:b/>
          <w:sz w:val="33"/>
        </w:rPr>
      </w:pPr>
    </w:p>
    <w:p>
      <w:pPr>
        <w:pStyle w:val="BodyText"/>
        <w:spacing w:line="350" w:lineRule="auto" w:before="1"/>
        <w:ind w:left="196" w:right="276"/>
        <w:jc w:val="both"/>
        <w:rPr>
          <w:sz w:val="16"/>
        </w:rPr>
      </w:pPr>
      <w:r>
        <w:rPr/>
        <w:t>Basándose en la triada ecológica formulada por Gordon, para la elaboración del modelo causal en Epidemiologia en 1960, Paul Keyes estableció que la etiología de la caries dental obedecía a un esquema compuesto por tres agentes (huésped, microorganismo y dieta) que debían interactuar entre sí (Figura 1). Estos se conocen como los factores básicos, primarios o</w:t>
      </w:r>
      <w:r>
        <w:rPr>
          <w:spacing w:val="-11"/>
        </w:rPr>
        <w:t> </w:t>
      </w:r>
      <w:r>
        <w:rPr/>
        <w:t>principales.</w:t>
      </w:r>
      <w:r>
        <w:rPr>
          <w:position w:val="11"/>
          <w:sz w:val="16"/>
        </w:rPr>
        <w:t>1</w:t>
      </w:r>
    </w:p>
    <w:p>
      <w:pPr>
        <w:pStyle w:val="BodyText"/>
        <w:rPr>
          <w:sz w:val="20"/>
        </w:rPr>
      </w:pPr>
    </w:p>
    <w:p>
      <w:pPr>
        <w:pStyle w:val="BodyText"/>
        <w:spacing w:before="9"/>
        <w:rPr>
          <w:sz w:val="16"/>
        </w:rPr>
      </w:pPr>
      <w:r>
        <w:rPr/>
        <w:drawing>
          <wp:anchor distT="0" distB="0" distL="0" distR="0" allowOverlap="1" layoutInCell="1" locked="0" behindDoc="0" simplePos="0" relativeHeight="1048">
            <wp:simplePos x="0" y="0"/>
            <wp:positionH relativeFrom="page">
              <wp:posOffset>2249170</wp:posOffset>
            </wp:positionH>
            <wp:positionV relativeFrom="paragraph">
              <wp:posOffset>147914</wp:posOffset>
            </wp:positionV>
            <wp:extent cx="2782783" cy="2560034"/>
            <wp:effectExtent l="0" t="0" r="0" b="0"/>
            <wp:wrapTopAndBottom/>
            <wp:docPr id="1" name="image8.jpeg" descr=""/>
            <wp:cNvGraphicFramePr>
              <a:graphicFrameLocks noChangeAspect="1"/>
            </wp:cNvGraphicFramePr>
            <a:graphic>
              <a:graphicData uri="http://schemas.openxmlformats.org/drawingml/2006/picture">
                <pic:pic>
                  <pic:nvPicPr>
                    <pic:cNvPr id="2" name="image8.jpeg"/>
                    <pic:cNvPicPr/>
                  </pic:nvPicPr>
                  <pic:blipFill>
                    <a:blip r:embed="rId17" cstate="print"/>
                    <a:stretch>
                      <a:fillRect/>
                    </a:stretch>
                  </pic:blipFill>
                  <pic:spPr>
                    <a:xfrm>
                      <a:off x="0" y="0"/>
                      <a:ext cx="2782783" cy="2560034"/>
                    </a:xfrm>
                    <a:prstGeom prst="rect">
                      <a:avLst/>
                    </a:prstGeom>
                  </pic:spPr>
                </pic:pic>
              </a:graphicData>
            </a:graphic>
          </wp:anchor>
        </w:drawing>
      </w:r>
    </w:p>
    <w:p>
      <w:pPr>
        <w:pStyle w:val="BodyText"/>
        <w:rPr>
          <w:sz w:val="28"/>
        </w:rPr>
      </w:pPr>
    </w:p>
    <w:p>
      <w:pPr>
        <w:spacing w:before="192"/>
        <w:ind w:left="2861" w:right="0" w:firstLine="0"/>
        <w:jc w:val="left"/>
        <w:rPr>
          <w:sz w:val="20"/>
        </w:rPr>
      </w:pPr>
      <w:r>
        <w:rPr>
          <w:b/>
          <w:sz w:val="20"/>
        </w:rPr>
        <w:t>Figura 1. </w:t>
      </w:r>
      <w:r>
        <w:rPr>
          <w:i/>
          <w:sz w:val="20"/>
        </w:rPr>
        <w:t>Triada de Keyes</w:t>
      </w:r>
      <w:r>
        <w:rPr>
          <w:sz w:val="20"/>
        </w:rPr>
        <w:t>. Fuente directa.</w:t>
      </w:r>
    </w:p>
    <w:p>
      <w:pPr>
        <w:spacing w:after="0"/>
        <w:jc w:val="left"/>
        <w:rPr>
          <w:sz w:val="20"/>
        </w:rPr>
        <w:sectPr>
          <w:pgSz w:w="12240" w:h="15840"/>
          <w:pgMar w:header="726" w:footer="1031" w:top="1340" w:bottom="1220" w:left="1220" w:right="1420"/>
        </w:sectPr>
      </w:pPr>
    </w:p>
    <w:p>
      <w:pPr>
        <w:pStyle w:val="BodyText"/>
        <w:spacing w:before="3"/>
        <w:rPr>
          <w:sz w:val="23"/>
        </w:rPr>
      </w:pPr>
    </w:p>
    <w:p>
      <w:pPr>
        <w:pStyle w:val="BodyText"/>
        <w:spacing w:line="364" w:lineRule="auto" w:before="69"/>
        <w:ind w:left="196" w:right="280"/>
        <w:jc w:val="both"/>
      </w:pPr>
      <w:r>
        <w:rPr/>
        <w:t>En 1978, Nembrum añadió el factor tiempo como un cuarto factor etiológico, requerido para producir caries. Así mismo,</w:t>
      </w:r>
      <w:r>
        <w:rPr>
          <w:spacing w:val="51"/>
        </w:rPr>
        <w:t> </w:t>
      </w:r>
      <w:r>
        <w:rPr/>
        <w:t>Echevarría y Priotto, basándose en la</w:t>
      </w:r>
    </w:p>
    <w:p>
      <w:pPr>
        <w:pStyle w:val="BodyText"/>
        <w:spacing w:line="324" w:lineRule="auto"/>
        <w:ind w:left="196" w:right="292"/>
        <w:jc w:val="both"/>
        <w:rPr>
          <w:sz w:val="16"/>
        </w:rPr>
      </w:pPr>
      <w:r>
        <w:rPr/>
        <w:t>importancia de la edad en la etiología de la caries, documentada por Miles en 1980, propusieron en 1990 la gráfica pentafactorial.</w:t>
      </w:r>
      <w:r>
        <w:rPr>
          <w:position w:val="11"/>
          <w:sz w:val="16"/>
        </w:rPr>
        <w:t>1</w:t>
      </w:r>
    </w:p>
    <w:p>
      <w:pPr>
        <w:pStyle w:val="BodyText"/>
        <w:spacing w:line="324" w:lineRule="auto" w:before="236"/>
        <w:ind w:left="196" w:right="287"/>
        <w:jc w:val="both"/>
        <w:rPr>
          <w:sz w:val="16"/>
        </w:rPr>
      </w:pPr>
      <w:r>
        <w:rPr/>
        <w:t>De esta manera, la caries dental no depende de manera exclusiva de los factores etiológicos primarios, también intervienen factores etiológicos moduladores.</w:t>
      </w:r>
      <w:r>
        <w:rPr>
          <w:position w:val="11"/>
          <w:sz w:val="16"/>
        </w:rPr>
        <w:t>1</w:t>
      </w:r>
    </w:p>
    <w:p>
      <w:pPr>
        <w:pStyle w:val="BodyText"/>
        <w:spacing w:line="343" w:lineRule="auto" w:before="236"/>
        <w:ind w:left="196" w:right="282"/>
        <w:jc w:val="both"/>
        <w:rPr>
          <w:sz w:val="16"/>
        </w:rPr>
      </w:pPr>
      <w:r>
        <w:rPr/>
        <w:t>Entre los factores moduladores se encuentran: tiempo, edad, salud general,  fluoruros, grado de instrucción, nivel socioeconómico, experiencia pasada, grupo epidemiológico y variables de comportamiento.</w:t>
      </w:r>
      <w:r>
        <w:rPr>
          <w:position w:val="11"/>
          <w:sz w:val="16"/>
        </w:rPr>
        <w:t>1,</w:t>
      </w:r>
      <w:r>
        <w:rPr>
          <w:spacing w:val="-21"/>
          <w:position w:val="11"/>
          <w:sz w:val="16"/>
        </w:rPr>
        <w:t> </w:t>
      </w:r>
      <w:r>
        <w:rPr>
          <w:position w:val="11"/>
          <w:sz w:val="16"/>
        </w:rPr>
        <w:t>15</w:t>
      </w:r>
    </w:p>
    <w:p>
      <w:pPr>
        <w:pStyle w:val="Heading2"/>
        <w:numPr>
          <w:ilvl w:val="2"/>
          <w:numId w:val="3"/>
        </w:numPr>
        <w:tabs>
          <w:tab w:pos="908" w:val="left" w:leader="none"/>
        </w:tabs>
        <w:spacing w:line="240" w:lineRule="auto" w:before="202" w:after="0"/>
        <w:ind w:left="907" w:right="0" w:hanging="721"/>
        <w:jc w:val="both"/>
      </w:pPr>
      <w:bookmarkStart w:name="_TOC_250061" w:id="5"/>
      <w:r>
        <w:rPr/>
        <w:t>Factores etiológicos</w:t>
      </w:r>
      <w:r>
        <w:rPr>
          <w:spacing w:val="-17"/>
        </w:rPr>
        <w:t> </w:t>
      </w:r>
      <w:bookmarkEnd w:id="5"/>
      <w:r>
        <w:rPr/>
        <w:t>primarios</w:t>
      </w:r>
    </w:p>
    <w:p>
      <w:pPr>
        <w:pStyle w:val="BodyText"/>
        <w:spacing w:before="4"/>
        <w:rPr>
          <w:b/>
          <w:sz w:val="29"/>
        </w:rPr>
      </w:pPr>
    </w:p>
    <w:p>
      <w:pPr>
        <w:pStyle w:val="ListParagraph"/>
        <w:numPr>
          <w:ilvl w:val="3"/>
          <w:numId w:val="3"/>
        </w:numPr>
        <w:tabs>
          <w:tab w:pos="1004" w:val="left" w:leader="none"/>
        </w:tabs>
        <w:spacing w:line="240" w:lineRule="auto" w:before="1" w:after="0"/>
        <w:ind w:left="1003" w:right="0" w:hanging="807"/>
        <w:jc w:val="both"/>
        <w:rPr>
          <w:sz w:val="24"/>
        </w:rPr>
      </w:pPr>
      <w:r>
        <w:rPr>
          <w:sz w:val="24"/>
          <w:u w:val="single"/>
        </w:rPr>
        <w:t>Microorganismos</w:t>
      </w:r>
    </w:p>
    <w:p>
      <w:pPr>
        <w:pStyle w:val="BodyText"/>
        <w:spacing w:before="9"/>
        <w:rPr>
          <w:sz w:val="23"/>
        </w:rPr>
      </w:pPr>
    </w:p>
    <w:p>
      <w:pPr>
        <w:spacing w:line="360" w:lineRule="auto" w:before="70"/>
        <w:ind w:left="196" w:right="274" w:firstLine="0"/>
        <w:jc w:val="both"/>
        <w:rPr>
          <w:sz w:val="24"/>
        </w:rPr>
      </w:pPr>
      <w:r>
        <w:rPr>
          <w:sz w:val="24"/>
        </w:rPr>
        <w:t>La cavidad bucal contiene una de las </w:t>
      </w:r>
      <w:r>
        <w:rPr>
          <w:spacing w:val="-3"/>
          <w:sz w:val="24"/>
        </w:rPr>
        <w:t>más </w:t>
      </w:r>
      <w:r>
        <w:rPr>
          <w:sz w:val="24"/>
        </w:rPr>
        <w:t>variadas y concentradas poblaciones microbianas del organismo; en ella habitan más de mil especies, representadas cada una de ellas por una gran variedad de cepas. Entre las bacterias presentes en la boca se encuentran tres especies principalmente relacionadas con la caries: </w:t>
      </w:r>
      <w:r>
        <w:rPr>
          <w:i/>
          <w:sz w:val="24"/>
        </w:rPr>
        <w:t>Streptococcus</w:t>
      </w:r>
      <w:r>
        <w:rPr>
          <w:sz w:val="24"/>
        </w:rPr>
        <w:t>, con las subespecies </w:t>
      </w:r>
      <w:r>
        <w:rPr>
          <w:i/>
          <w:sz w:val="24"/>
        </w:rPr>
        <w:t>Streptococcus mutans</w:t>
      </w:r>
      <w:r>
        <w:rPr>
          <w:sz w:val="24"/>
        </w:rPr>
        <w:t>, </w:t>
      </w:r>
      <w:r>
        <w:rPr>
          <w:i/>
          <w:sz w:val="24"/>
        </w:rPr>
        <w:t>Streptococcus sobrinus </w:t>
      </w:r>
      <w:r>
        <w:rPr>
          <w:sz w:val="24"/>
        </w:rPr>
        <w:t>y </w:t>
      </w:r>
      <w:r>
        <w:rPr>
          <w:i/>
          <w:sz w:val="24"/>
        </w:rPr>
        <w:t>Streptococcus sanguis</w:t>
      </w:r>
      <w:r>
        <w:rPr>
          <w:sz w:val="24"/>
        </w:rPr>
        <w:t>; </w:t>
      </w:r>
      <w:r>
        <w:rPr>
          <w:i/>
          <w:sz w:val="24"/>
        </w:rPr>
        <w:t>Lactobacillus</w:t>
      </w:r>
      <w:r>
        <w:rPr>
          <w:sz w:val="24"/>
        </w:rPr>
        <w:t>, con las subespecies </w:t>
      </w:r>
      <w:r>
        <w:rPr>
          <w:i/>
          <w:sz w:val="24"/>
        </w:rPr>
        <w:t>Lactobacillus casei, </w:t>
      </w:r>
      <w:r>
        <w:rPr>
          <w:i/>
          <w:sz w:val="24"/>
        </w:rPr>
        <w:t>Lactobacillus   fermentum,   Lactobacillus   plantarum   </w:t>
      </w:r>
      <w:r>
        <w:rPr>
          <w:sz w:val="24"/>
        </w:rPr>
        <w:t>y   </w:t>
      </w:r>
      <w:r>
        <w:rPr>
          <w:i/>
          <w:sz w:val="24"/>
        </w:rPr>
        <w:t>Lactobacillus   oralis   </w:t>
      </w:r>
      <w:r>
        <w:rPr>
          <w:sz w:val="24"/>
        </w:rPr>
        <w:t>y  los</w:t>
      </w:r>
    </w:p>
    <w:p>
      <w:pPr>
        <w:spacing w:line="274" w:lineRule="exact" w:before="0"/>
        <w:ind w:left="196" w:right="0" w:firstLine="0"/>
        <w:jc w:val="both"/>
        <w:rPr>
          <w:sz w:val="16"/>
        </w:rPr>
      </w:pPr>
      <w:r>
        <w:rPr>
          <w:i/>
          <w:sz w:val="24"/>
        </w:rPr>
        <w:t>Actinomyces</w:t>
      </w:r>
      <w:r>
        <w:rPr>
          <w:sz w:val="24"/>
        </w:rPr>
        <w:t>, con las subespecies </w:t>
      </w:r>
      <w:r>
        <w:rPr>
          <w:i/>
          <w:sz w:val="24"/>
        </w:rPr>
        <w:t>Actinomyces israelis </w:t>
      </w:r>
      <w:r>
        <w:rPr>
          <w:sz w:val="24"/>
        </w:rPr>
        <w:t>y </w:t>
      </w:r>
      <w:r>
        <w:rPr>
          <w:i/>
          <w:sz w:val="24"/>
        </w:rPr>
        <w:t>Actinomyces naslundii</w:t>
      </w:r>
      <w:r>
        <w:rPr>
          <w:sz w:val="24"/>
        </w:rPr>
        <w:t>.</w:t>
      </w:r>
      <w:r>
        <w:rPr>
          <w:position w:val="11"/>
          <w:sz w:val="16"/>
        </w:rPr>
        <w:t>1, 16</w:t>
      </w:r>
    </w:p>
    <w:p>
      <w:pPr>
        <w:pStyle w:val="BodyText"/>
        <w:spacing w:before="4"/>
        <w:rPr>
          <w:sz w:val="29"/>
        </w:rPr>
      </w:pPr>
    </w:p>
    <w:p>
      <w:pPr>
        <w:pStyle w:val="ListParagraph"/>
        <w:numPr>
          <w:ilvl w:val="3"/>
          <w:numId w:val="3"/>
        </w:numPr>
        <w:tabs>
          <w:tab w:pos="1004" w:val="left" w:leader="none"/>
        </w:tabs>
        <w:spacing w:line="240" w:lineRule="auto" w:before="1" w:after="0"/>
        <w:ind w:left="1003" w:right="0" w:hanging="807"/>
        <w:jc w:val="both"/>
        <w:rPr>
          <w:sz w:val="24"/>
        </w:rPr>
      </w:pPr>
      <w:r>
        <w:rPr>
          <w:sz w:val="24"/>
          <w:u w:val="single"/>
        </w:rPr>
        <w:t>Dieta</w:t>
      </w:r>
    </w:p>
    <w:p>
      <w:pPr>
        <w:pStyle w:val="BodyText"/>
        <w:spacing w:before="9"/>
        <w:rPr>
          <w:sz w:val="23"/>
        </w:rPr>
      </w:pPr>
    </w:p>
    <w:p>
      <w:pPr>
        <w:pStyle w:val="BodyText"/>
        <w:spacing w:line="360" w:lineRule="auto" w:before="70"/>
        <w:ind w:left="196" w:right="283"/>
        <w:jc w:val="both"/>
      </w:pPr>
      <w:r>
        <w:rPr/>
        <w:t>El principal mecanismo que interviene en el inicio de la desmineralización de los tejidos duros del diente es la formación de ácidos por parte de los microorganismos, durante su actividad glucolítica, a partir de diferentes sustancias o alimentos de la</w:t>
      </w:r>
    </w:p>
    <w:p>
      <w:pPr>
        <w:pStyle w:val="BodyText"/>
        <w:spacing w:line="324" w:lineRule="auto" w:before="7"/>
        <w:ind w:left="196" w:right="294"/>
        <w:jc w:val="both"/>
        <w:rPr>
          <w:sz w:val="16"/>
        </w:rPr>
      </w:pPr>
      <w:r>
        <w:rPr/>
        <w:t>dieta; la caída del pH en el medio oral favorece un medio de desarrollo para otras bacterias cariogénicas.</w:t>
      </w:r>
      <w:r>
        <w:rPr>
          <w:position w:val="11"/>
          <w:sz w:val="16"/>
        </w:rPr>
        <w:t>1,2,16</w:t>
      </w:r>
    </w:p>
    <w:p>
      <w:pPr>
        <w:spacing w:after="0" w:line="324" w:lineRule="auto"/>
        <w:jc w:val="both"/>
        <w:rPr>
          <w:sz w:val="16"/>
        </w:rPr>
        <w:sectPr>
          <w:pgSz w:w="12240" w:h="15840"/>
          <w:pgMar w:header="726" w:footer="1031" w:top="1340" w:bottom="1220" w:left="1220" w:right="1420"/>
        </w:sectPr>
      </w:pPr>
    </w:p>
    <w:p>
      <w:pPr>
        <w:pStyle w:val="BodyText"/>
        <w:spacing w:before="9"/>
        <w:rPr>
          <w:sz w:val="22"/>
        </w:rPr>
      </w:pPr>
    </w:p>
    <w:p>
      <w:pPr>
        <w:pStyle w:val="ListParagraph"/>
        <w:numPr>
          <w:ilvl w:val="3"/>
          <w:numId w:val="3"/>
        </w:numPr>
        <w:tabs>
          <w:tab w:pos="1004" w:val="left" w:leader="none"/>
        </w:tabs>
        <w:spacing w:line="240" w:lineRule="auto" w:before="70" w:after="0"/>
        <w:ind w:left="1003" w:right="0" w:hanging="807"/>
        <w:jc w:val="left"/>
        <w:rPr>
          <w:sz w:val="24"/>
        </w:rPr>
      </w:pPr>
      <w:r>
        <w:rPr>
          <w:sz w:val="24"/>
          <w:u w:val="single"/>
        </w:rPr>
        <w:t>Huésped: saliva, diente, inmunidad y</w:t>
      </w:r>
      <w:r>
        <w:rPr>
          <w:spacing w:val="-25"/>
          <w:sz w:val="24"/>
          <w:u w:val="single"/>
        </w:rPr>
        <w:t> </w:t>
      </w:r>
      <w:r>
        <w:rPr>
          <w:sz w:val="24"/>
          <w:u w:val="single"/>
        </w:rPr>
        <w:t>genética</w:t>
      </w:r>
    </w:p>
    <w:p>
      <w:pPr>
        <w:pStyle w:val="BodyText"/>
        <w:spacing w:before="10"/>
        <w:rPr>
          <w:sz w:val="23"/>
        </w:rPr>
      </w:pPr>
    </w:p>
    <w:p>
      <w:pPr>
        <w:pStyle w:val="BodyText"/>
        <w:spacing w:line="360" w:lineRule="auto" w:before="69"/>
        <w:ind w:left="196" w:right="275"/>
        <w:jc w:val="both"/>
      </w:pPr>
      <w:r>
        <w:rPr>
          <w:i/>
        </w:rPr>
        <w:t>Saliva. </w:t>
      </w:r>
      <w:r>
        <w:rPr/>
        <w:t>Diversos estudios han corroborado que al disminuir el flujo salival se observa un incremento sustancial de los niveles de lesiones cariosas, debido al aumento de la cuantía de microorganismos en la cavidad oral, tales como </w:t>
      </w:r>
      <w:r>
        <w:rPr>
          <w:i/>
        </w:rPr>
        <w:t>Streptococcus mutans, </w:t>
      </w:r>
      <w:r>
        <w:rPr>
          <w:i/>
        </w:rPr>
        <w:t>Lactobacillus </w:t>
      </w:r>
      <w:r>
        <w:rPr/>
        <w:t>y </w:t>
      </w:r>
      <w:r>
        <w:rPr>
          <w:i/>
        </w:rPr>
        <w:t>Actinomyces</w:t>
      </w:r>
      <w:r>
        <w:rPr/>
        <w:t>. La acción salival promueve el incremento de la microflora mediante los efectos antimicrobianos y nutricionales. </w:t>
      </w:r>
      <w:r>
        <w:rPr>
          <w:spacing w:val="-2"/>
        </w:rPr>
        <w:t>Por </w:t>
      </w:r>
      <w:r>
        <w:rPr/>
        <w:t>otro lado, la saliva cumple un rol protector a través de la dilución y el lavado de los azúcares de</w:t>
      </w:r>
      <w:r>
        <w:rPr>
          <w:spacing w:val="26"/>
        </w:rPr>
        <w:t> </w:t>
      </w:r>
      <w:r>
        <w:rPr/>
        <w:t>la</w:t>
      </w:r>
    </w:p>
    <w:p>
      <w:pPr>
        <w:pStyle w:val="BodyText"/>
        <w:spacing w:line="324" w:lineRule="auto" w:before="7"/>
        <w:ind w:left="196" w:right="279"/>
        <w:jc w:val="both"/>
        <w:rPr>
          <w:sz w:val="16"/>
        </w:rPr>
      </w:pPr>
      <w:r>
        <w:rPr/>
        <w:t>dieta diaria, la neutralización y amortiguación de los ácidos de la placa dental, y la provisión de iones para el proceso de remineralización.</w:t>
      </w:r>
      <w:r>
        <w:rPr>
          <w:position w:val="11"/>
          <w:sz w:val="16"/>
        </w:rPr>
        <w:t>1, 16, 17</w:t>
      </w:r>
    </w:p>
    <w:p>
      <w:pPr>
        <w:pStyle w:val="BodyText"/>
        <w:spacing w:line="360" w:lineRule="auto" w:before="236"/>
        <w:ind w:left="196" w:right="273"/>
        <w:jc w:val="both"/>
      </w:pPr>
      <w:r>
        <w:rPr>
          <w:i/>
        </w:rPr>
        <w:t>Diente. </w:t>
      </w:r>
      <w:r>
        <w:rPr/>
        <w:t>Presenta tres particularidades fuertemente relacionadas que favorecen el desarrollo de lesiones cariosas, estas son la proclividad (características de las superficies dentarias propensas a caries, acumulación de biofilm, etc.), permeabilidad</w:t>
      </w:r>
    </w:p>
    <w:p>
      <w:pPr>
        <w:pStyle w:val="BodyText"/>
        <w:spacing w:line="324" w:lineRule="auto" w:before="7"/>
        <w:ind w:left="196" w:right="273"/>
        <w:jc w:val="both"/>
        <w:rPr>
          <w:sz w:val="16"/>
        </w:rPr>
      </w:pPr>
      <w:r>
        <w:rPr/>
        <w:t>adamantina (disminuye con la edad, mayor o menor resistencia del esmalte) y anatomía (disposición y oclusión dental).</w:t>
      </w:r>
      <w:r>
        <w:rPr>
          <w:position w:val="11"/>
          <w:sz w:val="16"/>
        </w:rPr>
        <w:t>1, 2</w:t>
      </w:r>
    </w:p>
    <w:p>
      <w:pPr>
        <w:pStyle w:val="BodyText"/>
        <w:spacing w:line="360" w:lineRule="auto" w:before="236"/>
        <w:ind w:left="196" w:right="277"/>
        <w:jc w:val="both"/>
      </w:pPr>
      <w:r>
        <w:rPr>
          <w:i/>
        </w:rPr>
        <w:t>Inmunidad. </w:t>
      </w:r>
      <w:r>
        <w:rPr/>
        <w:t>Existen indicios de que el sistema inmunitario es capaz de actuar contra la microflora cariogénica, produciendo respuesta humoral mediante anticuerpos </w:t>
      </w:r>
      <w:r>
        <w:rPr>
          <w:spacing w:val="4"/>
        </w:rPr>
        <w:t>del </w:t>
      </w:r>
      <w:r>
        <w:rPr/>
        <w:t>tipo IgA salival e IgG sérica, y respuesta celular mediante linfocitos T; las diferencias en la respuesta inmune a los microorganismos dependen tanto del antígeno como  del huésped. Se ignora aún el </w:t>
      </w:r>
      <w:r>
        <w:rPr>
          <w:spacing w:val="-3"/>
        </w:rPr>
        <w:t>rol </w:t>
      </w:r>
      <w:r>
        <w:rPr/>
        <w:t>estricto que puedan jugar tales respuestas, sin embargo, se sabe que el </w:t>
      </w:r>
      <w:r>
        <w:rPr>
          <w:i/>
        </w:rPr>
        <w:t>Streptococcus sobrinus </w:t>
      </w:r>
      <w:r>
        <w:rPr/>
        <w:t>posee un mecanismo mediante el cual suprime dicha respuesta inmunológica y que, la IgG podría inhibir el metabolismo del </w:t>
      </w:r>
      <w:r>
        <w:rPr>
          <w:i/>
        </w:rPr>
        <w:t>Streptococcus mutans </w:t>
      </w:r>
      <w:r>
        <w:rPr/>
        <w:t>e incluso, es probable que tenga el </w:t>
      </w:r>
      <w:r>
        <w:rPr>
          <w:spacing w:val="14"/>
        </w:rPr>
        <w:t> </w:t>
      </w:r>
      <w:r>
        <w:rPr/>
        <w:t>potencial</w:t>
      </w:r>
    </w:p>
    <w:p>
      <w:pPr>
        <w:pStyle w:val="BodyText"/>
        <w:spacing w:line="279" w:lineRule="exact"/>
        <w:ind w:left="196"/>
        <w:jc w:val="both"/>
        <w:rPr>
          <w:sz w:val="16"/>
        </w:rPr>
      </w:pPr>
      <w:r>
        <w:rPr/>
        <w:t>de elevar el pH.</w:t>
      </w:r>
      <w:r>
        <w:rPr>
          <w:position w:val="11"/>
          <w:sz w:val="16"/>
        </w:rPr>
        <w:t>1</w:t>
      </w:r>
    </w:p>
    <w:p>
      <w:pPr>
        <w:pStyle w:val="BodyText"/>
        <w:spacing w:before="9"/>
        <w:rPr>
          <w:sz w:val="29"/>
        </w:rPr>
      </w:pPr>
    </w:p>
    <w:p>
      <w:pPr>
        <w:pStyle w:val="BodyText"/>
        <w:spacing w:line="360" w:lineRule="auto"/>
        <w:ind w:left="196" w:right="278"/>
        <w:jc w:val="both"/>
      </w:pPr>
      <w:r>
        <w:rPr>
          <w:i/>
        </w:rPr>
        <w:t>Genética. </w:t>
      </w:r>
      <w:r>
        <w:rPr/>
        <w:t>La asociación de la genética con la resistencia o la susceptibilidad a la caries, partió de la existencia de individuos que muestran </w:t>
      </w:r>
      <w:r>
        <w:rPr>
          <w:spacing w:val="4"/>
        </w:rPr>
        <w:t>una </w:t>
      </w:r>
      <w:r>
        <w:rPr/>
        <w:t>menor tendencia a desarrollar lesiones cariosas con respecto a otros en igualdad de condiciones. El estudio de árboles genealógicos o gemelos en búsqueda de responsabilidades genéticas en la susceptibilidad a la caries, ha conseguido estimar que la contribución genética</w:t>
      </w:r>
      <w:r>
        <w:rPr>
          <w:spacing w:val="52"/>
        </w:rPr>
        <w:t> </w:t>
      </w:r>
      <w:r>
        <w:rPr/>
        <w:t>a</w:t>
      </w:r>
      <w:r>
        <w:rPr>
          <w:spacing w:val="52"/>
        </w:rPr>
        <w:t> </w:t>
      </w:r>
      <w:r>
        <w:rPr/>
        <w:t>la</w:t>
      </w:r>
      <w:r>
        <w:rPr>
          <w:spacing w:val="52"/>
        </w:rPr>
        <w:t> </w:t>
      </w:r>
      <w:r>
        <w:rPr/>
        <w:t>caries</w:t>
      </w:r>
      <w:r>
        <w:rPr>
          <w:spacing w:val="51"/>
        </w:rPr>
        <w:t> </w:t>
      </w:r>
      <w:r>
        <w:rPr/>
        <w:t>es</w:t>
      </w:r>
      <w:r>
        <w:rPr>
          <w:spacing w:val="51"/>
        </w:rPr>
        <w:t> </w:t>
      </w:r>
      <w:r>
        <w:rPr/>
        <w:t>de</w:t>
      </w:r>
      <w:r>
        <w:rPr>
          <w:spacing w:val="52"/>
        </w:rPr>
        <w:t> </w:t>
      </w:r>
      <w:r>
        <w:rPr/>
        <w:t>aproximadamente</w:t>
      </w:r>
      <w:r>
        <w:rPr>
          <w:spacing w:val="52"/>
        </w:rPr>
        <w:t> </w:t>
      </w:r>
      <w:r>
        <w:rPr/>
        <w:t>40%.</w:t>
      </w:r>
      <w:r>
        <w:rPr>
          <w:spacing w:val="51"/>
        </w:rPr>
        <w:t> </w:t>
      </w:r>
      <w:r>
        <w:rPr/>
        <w:t>La</w:t>
      </w:r>
      <w:r>
        <w:rPr>
          <w:spacing w:val="52"/>
        </w:rPr>
        <w:t> </w:t>
      </w:r>
      <w:r>
        <w:rPr/>
        <w:t>compleja</w:t>
      </w:r>
      <w:r>
        <w:rPr>
          <w:spacing w:val="52"/>
        </w:rPr>
        <w:t> </w:t>
      </w:r>
      <w:r>
        <w:rPr/>
        <w:t>naturaleza</w:t>
      </w:r>
      <w:r>
        <w:rPr>
          <w:spacing w:val="52"/>
        </w:rPr>
        <w:t> </w:t>
      </w:r>
      <w:r>
        <w:rPr/>
        <w:t>de</w:t>
      </w:r>
      <w:r>
        <w:rPr>
          <w:spacing w:val="52"/>
        </w:rPr>
        <w:t> </w:t>
      </w:r>
      <w:r>
        <w:rPr/>
        <w:t>la</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28" w:lineRule="auto" w:before="69"/>
        <w:ind w:left="196" w:right="280"/>
        <w:jc w:val="both"/>
        <w:rPr>
          <w:sz w:val="16"/>
        </w:rPr>
      </w:pPr>
      <w:r>
        <w:rPr/>
        <w:t>caries dental hace evidente que la enfermedad no esté asociada a un solo gen, sino que intervenga más de una interacción gen-ambiente.</w:t>
      </w:r>
      <w:r>
        <w:rPr>
          <w:position w:val="11"/>
          <w:sz w:val="16"/>
        </w:rPr>
        <w:t>1</w:t>
      </w:r>
    </w:p>
    <w:p>
      <w:pPr>
        <w:pStyle w:val="Heading2"/>
        <w:spacing w:before="220"/>
        <w:ind w:left="186"/>
      </w:pPr>
      <w:bookmarkStart w:name="_TOC_250060" w:id="6"/>
      <w:bookmarkEnd w:id="6"/>
      <w:r>
        <w:rPr/>
        <w:t>1.2.2   Factores etiológicos moduladores</w:t>
      </w:r>
    </w:p>
    <w:p>
      <w:pPr>
        <w:pStyle w:val="BodyText"/>
        <w:spacing w:before="9"/>
        <w:rPr>
          <w:b/>
          <w:sz w:val="29"/>
        </w:rPr>
      </w:pPr>
    </w:p>
    <w:p>
      <w:pPr>
        <w:pStyle w:val="BodyText"/>
        <w:spacing w:line="362" w:lineRule="auto"/>
        <w:ind w:left="196" w:right="274"/>
        <w:jc w:val="both"/>
      </w:pPr>
      <w:r>
        <w:rPr/>
        <w:t>Estos factores no son causantes directos de la enfermedad, sin embargo pueden revelar  una  acentuación del  riesgo  de  caries,  ya  que  contribuyen  a los procesos</w:t>
      </w:r>
    </w:p>
    <w:p>
      <w:pPr>
        <w:pStyle w:val="BodyText"/>
        <w:spacing w:line="324" w:lineRule="auto"/>
        <w:ind w:left="196" w:right="289"/>
        <w:jc w:val="both"/>
        <w:rPr>
          <w:sz w:val="16"/>
        </w:rPr>
      </w:pPr>
      <w:r>
        <w:rPr/>
        <w:t>bioquímicos en las superficies de los dientes, en las cuales podrían desarrollarse las lesiones cariosas (Figura 2).</w:t>
      </w:r>
      <w:r>
        <w:rPr>
          <w:position w:val="11"/>
          <w:sz w:val="16"/>
        </w:rPr>
        <w:t>1</w:t>
      </w:r>
    </w:p>
    <w:p>
      <w:pPr>
        <w:pStyle w:val="BodyText"/>
        <w:spacing w:before="10"/>
        <w:rPr>
          <w:sz w:val="17"/>
        </w:rPr>
      </w:pPr>
      <w:r>
        <w:rPr/>
        <w:drawing>
          <wp:anchor distT="0" distB="0" distL="0" distR="0" allowOverlap="1" layoutInCell="1" locked="0" behindDoc="0" simplePos="0" relativeHeight="1072">
            <wp:simplePos x="0" y="0"/>
            <wp:positionH relativeFrom="page">
              <wp:posOffset>1735454</wp:posOffset>
            </wp:positionH>
            <wp:positionV relativeFrom="paragraph">
              <wp:posOffset>155412</wp:posOffset>
            </wp:positionV>
            <wp:extent cx="3875865" cy="2130552"/>
            <wp:effectExtent l="0" t="0" r="0" b="0"/>
            <wp:wrapTopAndBottom/>
            <wp:docPr id="3" name="image9.png" descr=""/>
            <wp:cNvGraphicFramePr>
              <a:graphicFrameLocks noChangeAspect="1"/>
            </wp:cNvGraphicFramePr>
            <a:graphic>
              <a:graphicData uri="http://schemas.openxmlformats.org/drawingml/2006/picture">
                <pic:pic>
                  <pic:nvPicPr>
                    <pic:cNvPr id="4" name="image9.png"/>
                    <pic:cNvPicPr/>
                  </pic:nvPicPr>
                  <pic:blipFill>
                    <a:blip r:embed="rId18" cstate="print"/>
                    <a:stretch>
                      <a:fillRect/>
                    </a:stretch>
                  </pic:blipFill>
                  <pic:spPr>
                    <a:xfrm>
                      <a:off x="0" y="0"/>
                      <a:ext cx="3875865" cy="2130552"/>
                    </a:xfrm>
                    <a:prstGeom prst="rect">
                      <a:avLst/>
                    </a:prstGeom>
                  </pic:spPr>
                </pic:pic>
              </a:graphicData>
            </a:graphic>
          </wp:anchor>
        </w:drawing>
      </w:r>
    </w:p>
    <w:p>
      <w:pPr>
        <w:pStyle w:val="BodyText"/>
        <w:spacing w:before="1"/>
        <w:rPr>
          <w:sz w:val="25"/>
        </w:rPr>
      </w:pPr>
    </w:p>
    <w:p>
      <w:pPr>
        <w:spacing w:before="1"/>
        <w:ind w:left="2093" w:right="0" w:firstLine="0"/>
        <w:jc w:val="left"/>
        <w:rPr>
          <w:sz w:val="20"/>
        </w:rPr>
      </w:pPr>
      <w:r>
        <w:rPr>
          <w:b/>
          <w:sz w:val="20"/>
        </w:rPr>
        <w:t>Figura 2. </w:t>
      </w:r>
      <w:r>
        <w:rPr>
          <w:i/>
          <w:sz w:val="20"/>
        </w:rPr>
        <w:t>Factores etiológicos moduladores. </w:t>
      </w:r>
      <w:r>
        <w:rPr>
          <w:sz w:val="20"/>
        </w:rPr>
        <w:t>Fuente directa.</w:t>
      </w:r>
    </w:p>
    <w:p>
      <w:pPr>
        <w:pStyle w:val="BodyText"/>
        <w:rPr>
          <w:sz w:val="20"/>
        </w:rPr>
      </w:pPr>
    </w:p>
    <w:p>
      <w:pPr>
        <w:pStyle w:val="BodyText"/>
        <w:rPr>
          <w:sz w:val="20"/>
        </w:rPr>
      </w:pPr>
    </w:p>
    <w:p>
      <w:pPr>
        <w:pStyle w:val="BodyText"/>
        <w:spacing w:before="7"/>
        <w:rPr>
          <w:sz w:val="23"/>
        </w:rPr>
      </w:pPr>
    </w:p>
    <w:p>
      <w:pPr>
        <w:pStyle w:val="BodyText"/>
        <w:spacing w:line="360" w:lineRule="auto"/>
        <w:ind w:left="196" w:right="277"/>
        <w:jc w:val="both"/>
      </w:pPr>
      <w:r>
        <w:rPr/>
        <w:t>El </w:t>
      </w:r>
      <w:r>
        <w:rPr>
          <w:i/>
        </w:rPr>
        <w:t>tiempo </w:t>
      </w:r>
      <w:r>
        <w:rPr/>
        <w:t>resulta determinante puesto que si los factores etiológicos interactúan durante más tiempo, habrá oportunidad para que ocurran los fenómenos de desmineralización, mientras que si la interacción fuese menor, dichos fenómenos no alcanzarían a producirse. La </w:t>
      </w:r>
      <w:r>
        <w:rPr>
          <w:i/>
        </w:rPr>
        <w:t>edad </w:t>
      </w:r>
      <w:r>
        <w:rPr/>
        <w:t>está vinculada al desarrollo de caries dental, especialmente en relación con el tipo de tejido atacado. El </w:t>
      </w:r>
      <w:r>
        <w:rPr>
          <w:i/>
        </w:rPr>
        <w:t>estado de salud general </w:t>
      </w:r>
      <w:r>
        <w:rPr/>
        <w:t>también puede influir, debido a que ciertas enfermedades y medicamentos pueden disminuir el flujo salival o reducir las defensas del organismo, dejando más susceptible  al  individuo. Los  </w:t>
      </w:r>
      <w:r>
        <w:rPr>
          <w:i/>
        </w:rPr>
        <w:t>fluoruros  </w:t>
      </w:r>
      <w:r>
        <w:rPr/>
        <w:t>en  determinadas  cantidades  promueven la</w:t>
      </w:r>
    </w:p>
    <w:p>
      <w:pPr>
        <w:pStyle w:val="BodyText"/>
        <w:spacing w:line="328" w:lineRule="auto" w:before="2"/>
        <w:ind w:left="196" w:right="280"/>
        <w:jc w:val="both"/>
        <w:rPr>
          <w:sz w:val="16"/>
        </w:rPr>
      </w:pPr>
      <w:r>
        <w:rPr/>
        <w:t>remineralización de los tejidos dentales, elevan el pH y ejercen una acción antibacteriana, logrando modificar el panorama de la enfermedad.</w:t>
      </w:r>
      <w:r>
        <w:rPr>
          <w:position w:val="11"/>
          <w:sz w:val="16"/>
        </w:rPr>
        <w:t>1</w:t>
      </w:r>
    </w:p>
    <w:p>
      <w:pPr>
        <w:spacing w:after="0" w:line="328" w:lineRule="auto"/>
        <w:jc w:val="both"/>
        <w:rPr>
          <w:sz w:val="16"/>
        </w:rPr>
        <w:sectPr>
          <w:pgSz w:w="12240" w:h="15840"/>
          <w:pgMar w:header="726" w:footer="1031" w:top="1340" w:bottom="1220" w:left="1220" w:right="1420"/>
        </w:sectPr>
      </w:pPr>
    </w:p>
    <w:p>
      <w:pPr>
        <w:pStyle w:val="BodyText"/>
        <w:spacing w:before="9"/>
        <w:rPr>
          <w:sz w:val="22"/>
        </w:rPr>
      </w:pPr>
    </w:p>
    <w:p>
      <w:pPr>
        <w:pStyle w:val="Heading2"/>
        <w:numPr>
          <w:ilvl w:val="1"/>
          <w:numId w:val="4"/>
        </w:numPr>
        <w:tabs>
          <w:tab w:pos="599" w:val="left" w:leader="none"/>
        </w:tabs>
        <w:spacing w:line="240" w:lineRule="auto" w:before="70" w:after="0"/>
        <w:ind w:left="598" w:right="0" w:hanging="402"/>
        <w:jc w:val="both"/>
      </w:pPr>
      <w:bookmarkStart w:name="_TOC_250059" w:id="7"/>
      <w:r>
        <w:rPr/>
        <w:t>El Diagnóstico de la Caries</w:t>
      </w:r>
      <w:r>
        <w:rPr>
          <w:spacing w:val="-11"/>
        </w:rPr>
        <w:t> </w:t>
      </w:r>
      <w:bookmarkEnd w:id="7"/>
      <w:r>
        <w:rPr/>
        <w:t>Dental</w:t>
      </w:r>
    </w:p>
    <w:p>
      <w:pPr>
        <w:pStyle w:val="BodyText"/>
        <w:rPr>
          <w:b/>
        </w:rPr>
      </w:pPr>
    </w:p>
    <w:p>
      <w:pPr>
        <w:pStyle w:val="BodyText"/>
        <w:spacing w:line="350" w:lineRule="auto" w:before="149"/>
        <w:ind w:left="196" w:right="283"/>
        <w:jc w:val="both"/>
        <w:rPr>
          <w:sz w:val="16"/>
        </w:rPr>
      </w:pPr>
      <w:r>
        <w:rPr/>
        <w:t>La lesión inicial, denominada mancha blanca, es la primera evidencia visible de actividad cariogénica en la superficie del tejido dentario. Esta evidencia es la consecuencia del acúmulo de numerosos episodios de desmineralización y mineralización.</w:t>
      </w:r>
      <w:r>
        <w:rPr>
          <w:position w:val="11"/>
          <w:sz w:val="16"/>
        </w:rPr>
        <w:t>18</w:t>
      </w:r>
    </w:p>
    <w:p>
      <w:pPr>
        <w:pStyle w:val="BodyText"/>
        <w:spacing w:line="360" w:lineRule="auto" w:before="236"/>
        <w:ind w:left="196" w:right="273"/>
        <w:jc w:val="both"/>
      </w:pPr>
      <w:r>
        <w:rPr/>
        <w:t>Los métodos tradicionalmente empleados para el diagnóstico de las caries incluyen: la exploración clínica (inspección visual, inspección visual tras separación dental, exploración táctil con sonda, seda dental) y la exploración radiológica. Otros  métodos, tales como transiluminación por fibra óptica (FOTI), transiluminación por fibra óptica digital (DIFOTI), medidas de conductividad eléctrica (MCE), fluorescencia inducida por láser [análisis de fluorescencia inducida por luz (QLF) y fluorescencia infrarroja  por  láser  (DIAGNOdent®)]  han  sido  desarrollados  para  ayudar  en   </w:t>
      </w:r>
      <w:r>
        <w:rPr>
          <w:spacing w:val="41"/>
        </w:rPr>
        <w:t> </w:t>
      </w:r>
      <w:r>
        <w:rPr/>
        <w:t>el</w:t>
      </w:r>
    </w:p>
    <w:p>
      <w:pPr>
        <w:spacing w:line="279" w:lineRule="exact" w:before="0"/>
        <w:ind w:left="196" w:right="0" w:firstLine="0"/>
        <w:jc w:val="both"/>
        <w:rPr>
          <w:sz w:val="16"/>
        </w:rPr>
      </w:pPr>
      <w:r>
        <w:rPr>
          <w:sz w:val="24"/>
        </w:rPr>
        <w:t>diagnóstico de caries.</w:t>
      </w:r>
      <w:r>
        <w:rPr>
          <w:position w:val="11"/>
          <w:sz w:val="16"/>
        </w:rPr>
        <w:t>18, 19, 20</w:t>
      </w:r>
    </w:p>
    <w:p>
      <w:pPr>
        <w:pStyle w:val="BodyText"/>
        <w:spacing w:before="9"/>
        <w:rPr>
          <w:sz w:val="29"/>
        </w:rPr>
      </w:pPr>
    </w:p>
    <w:p>
      <w:pPr>
        <w:pStyle w:val="BodyText"/>
        <w:spacing w:line="360" w:lineRule="auto"/>
        <w:ind w:left="196" w:right="283"/>
        <w:jc w:val="both"/>
      </w:pPr>
      <w:r>
        <w:rPr/>
        <w:t>Hibst y Gall, en 1998 desarrollaron un sistema láser portátil (DIAGNOdent) que utiliza la luz infrarroja (IR) para detectar caries basándose en la diferencia de fluorescencia entre el esmalte sano y el desmineralizado. Este sistema cuantifica el incremento en la fluorescencia del tejido dental afectado por caries mediante de la excitación del mismo, la cual es inducida por una luz láser de diodo, con una longitud de onda de 655nm. Este sistema funciona por medio de una sonda flexible a través de la cual se transmite una luz láser roja intermitente que ilumina la superficie dental. Esta luz penetra varios milímetros dentro de la estructura dentaria, una parte de la luz es absorbida por los componentes orgánicos e inorgánicos de la estructura dental, mientras que otra parte de esta luz es remitida como fluorescencia, dentro del espectro infrarrojo, hacia el dispositivo a través de nueve fibras ópticas colocadas</w:t>
      </w:r>
    </w:p>
    <w:p>
      <w:pPr>
        <w:pStyle w:val="BodyText"/>
        <w:spacing w:line="324" w:lineRule="auto" w:before="2"/>
        <w:ind w:left="196" w:right="294"/>
        <w:jc w:val="both"/>
        <w:rPr>
          <w:sz w:val="16"/>
        </w:rPr>
      </w:pPr>
      <w:r>
        <w:rPr/>
        <w:t>alrededor de una fibra óptica central. Esta información es analizada y cuantificada  por los componentes</w:t>
      </w:r>
      <w:r>
        <w:rPr>
          <w:spacing w:val="-10"/>
        </w:rPr>
        <w:t> </w:t>
      </w:r>
      <w:r>
        <w:rPr/>
        <w:t>electrónicos.</w:t>
      </w:r>
      <w:r>
        <w:rPr>
          <w:position w:val="11"/>
          <w:sz w:val="16"/>
        </w:rPr>
        <w:t>18</w:t>
      </w:r>
    </w:p>
    <w:p>
      <w:pPr>
        <w:pStyle w:val="BodyText"/>
        <w:spacing w:line="362" w:lineRule="auto" w:before="236"/>
        <w:ind w:left="196" w:right="293"/>
        <w:jc w:val="both"/>
      </w:pPr>
      <w:r>
        <w:rPr/>
        <w:t>El tamaño de la lesión altera la cantidad de fluorescencia, esto determina un valor que  es  visualizado  </w:t>
      </w:r>
      <w:r>
        <w:rPr>
          <w:spacing w:val="-4"/>
        </w:rPr>
        <w:t>como </w:t>
      </w:r>
      <w:r>
        <w:rPr>
          <w:spacing w:val="58"/>
        </w:rPr>
        <w:t> </w:t>
      </w:r>
      <w:r>
        <w:rPr/>
        <w:t>una  lectura  incrementada,  siendo  de  esta      </w:t>
      </w:r>
      <w:r>
        <w:rPr>
          <w:spacing w:val="65"/>
        </w:rPr>
        <w:t> </w:t>
      </w:r>
      <w:r>
        <w:rPr/>
        <w:t>manera</w:t>
      </w:r>
    </w:p>
    <w:p>
      <w:pPr>
        <w:spacing w:after="0" w:line="362" w:lineRule="auto"/>
        <w:jc w:val="both"/>
        <w:sectPr>
          <w:footerReference w:type="default" r:id="rId19"/>
          <w:pgSz w:w="12240" w:h="15840"/>
          <w:pgMar w:footer="1031" w:header="726" w:top="1340" w:bottom="1220" w:left="1220" w:right="1420"/>
        </w:sectPr>
      </w:pPr>
    </w:p>
    <w:p>
      <w:pPr>
        <w:pStyle w:val="BodyText"/>
        <w:spacing w:before="3"/>
        <w:rPr>
          <w:sz w:val="23"/>
        </w:rPr>
      </w:pPr>
    </w:p>
    <w:p>
      <w:pPr>
        <w:pStyle w:val="BodyText"/>
        <w:spacing w:line="343" w:lineRule="auto" w:before="69"/>
        <w:ind w:left="196" w:right="285"/>
        <w:jc w:val="both"/>
        <w:rPr>
          <w:sz w:val="16"/>
        </w:rPr>
      </w:pPr>
      <w:r>
        <w:rPr/>
        <w:t>cuantificada. Opcionalmente, la detección de la radiación fluorescente puede ser reflejada por medio de una señal acústica. La luz reflejada y la luz ambiental son eliminadas a través de un filtro con características específicas.</w:t>
      </w:r>
      <w:r>
        <w:rPr>
          <w:position w:val="11"/>
          <w:sz w:val="16"/>
        </w:rPr>
        <w:t>18, 21</w:t>
      </w:r>
    </w:p>
    <w:p>
      <w:pPr>
        <w:pStyle w:val="BodyText"/>
        <w:spacing w:line="360" w:lineRule="auto" w:before="211"/>
        <w:ind w:left="196" w:right="279"/>
        <w:jc w:val="both"/>
      </w:pPr>
      <w:r>
        <w:rPr/>
        <w:t>La unidad cuenta con dos puntas, una en forma de cono truncado (punta A) que permite realizar el examen en áreas como fosas y fisura; y una punta plana (punta B) diseñada para examinar las superficies lisas, además existe otro aditamento utilizado para la exploración en las caras interproximales. Las instrucciones del dispositivo</w:t>
      </w:r>
    </w:p>
    <w:p>
      <w:pPr>
        <w:pStyle w:val="BodyText"/>
        <w:spacing w:line="324" w:lineRule="auto" w:before="7"/>
        <w:ind w:left="196" w:right="282"/>
        <w:jc w:val="both"/>
        <w:rPr>
          <w:sz w:val="16"/>
        </w:rPr>
      </w:pPr>
      <w:r>
        <w:rPr/>
        <w:t>indican que el área que va a ser diagnosticada debe estar limpia porque la placa, el tártaro y las decoloraciones pueden dar lugar a valores falsos.</w:t>
      </w:r>
      <w:r>
        <w:rPr>
          <w:position w:val="11"/>
          <w:sz w:val="16"/>
        </w:rPr>
        <w:t>18</w:t>
      </w:r>
    </w:p>
    <w:p>
      <w:pPr>
        <w:pStyle w:val="BodyText"/>
        <w:spacing w:line="348" w:lineRule="auto" w:before="236"/>
        <w:ind w:left="196" w:right="276"/>
        <w:jc w:val="both"/>
        <w:rPr>
          <w:sz w:val="16"/>
        </w:rPr>
      </w:pPr>
      <w:r>
        <w:rPr/>
        <w:t>Con esta nueva técnica tenemos la capacidad de detectar una lesión inicial de caries en la dentición permanente con gran precisión y reproducibilidad, en comparación con las técnicas convencionales, sin embargo, no parece ser válida para el diagnóstico de lesiones de caries oclusal en molares</w:t>
      </w:r>
      <w:r>
        <w:rPr>
          <w:spacing w:val="-21"/>
        </w:rPr>
        <w:t> </w:t>
      </w:r>
      <w:r>
        <w:rPr/>
        <w:t>deciduos.</w:t>
      </w:r>
      <w:r>
        <w:rPr>
          <w:position w:val="11"/>
          <w:sz w:val="16"/>
        </w:rPr>
        <w:t>18</w:t>
      </w:r>
    </w:p>
    <w:p>
      <w:pPr>
        <w:pStyle w:val="BodyText"/>
        <w:spacing w:line="360" w:lineRule="auto" w:before="205"/>
        <w:ind w:left="196" w:right="279"/>
        <w:jc w:val="both"/>
      </w:pPr>
      <w:r>
        <w:rPr/>
        <w:t>Se ha determinado que este sistema por su alta sensibilidad puede generar muchos falsos positivos, debido posiblemente a hipomineralizaciones ocurridas durante el desarrollo del diente, constituyendo así una desventaja del método. También se ha encontrado deficiencias del método en la detección de caries en fosas central y  distal, mostrando lecturas iniciales </w:t>
      </w:r>
      <w:r>
        <w:rPr>
          <w:spacing w:val="-3"/>
        </w:rPr>
        <w:t>más </w:t>
      </w:r>
      <w:r>
        <w:rPr/>
        <w:t>altas. Es posible que el diagnóstico en pacientes de la tercera edad pueda verse afectado debido al proceso de mineralización</w:t>
      </w:r>
      <w:r>
        <w:rPr>
          <w:spacing w:val="38"/>
        </w:rPr>
        <w:t> </w:t>
      </w:r>
      <w:r>
        <w:rPr/>
        <w:t>dental.</w:t>
      </w:r>
      <w:r>
        <w:rPr>
          <w:spacing w:val="38"/>
        </w:rPr>
        <w:t> </w:t>
      </w:r>
      <w:r>
        <w:rPr/>
        <w:t>Ante</w:t>
      </w:r>
      <w:r>
        <w:rPr>
          <w:spacing w:val="39"/>
        </w:rPr>
        <w:t> </w:t>
      </w:r>
      <w:r>
        <w:rPr/>
        <w:t>esto,</w:t>
      </w:r>
      <w:r>
        <w:rPr>
          <w:spacing w:val="38"/>
        </w:rPr>
        <w:t> </w:t>
      </w:r>
      <w:r>
        <w:rPr/>
        <w:t>puede</w:t>
      </w:r>
      <w:r>
        <w:rPr>
          <w:spacing w:val="38"/>
        </w:rPr>
        <w:t> </w:t>
      </w:r>
      <w:r>
        <w:rPr/>
        <w:t>suponer</w:t>
      </w:r>
      <w:r>
        <w:rPr>
          <w:spacing w:val="39"/>
        </w:rPr>
        <w:t> </w:t>
      </w:r>
      <w:r>
        <w:rPr/>
        <w:t>que</w:t>
      </w:r>
      <w:r>
        <w:rPr>
          <w:spacing w:val="38"/>
        </w:rPr>
        <w:t> </w:t>
      </w:r>
      <w:r>
        <w:rPr/>
        <w:t>es</w:t>
      </w:r>
      <w:r>
        <w:rPr>
          <w:spacing w:val="38"/>
        </w:rPr>
        <w:t> </w:t>
      </w:r>
      <w:r>
        <w:rPr/>
        <w:t>probable</w:t>
      </w:r>
      <w:r>
        <w:rPr>
          <w:spacing w:val="38"/>
        </w:rPr>
        <w:t> </w:t>
      </w:r>
      <w:r>
        <w:rPr/>
        <w:t>que</w:t>
      </w:r>
      <w:r>
        <w:rPr>
          <w:spacing w:val="33"/>
        </w:rPr>
        <w:t> </w:t>
      </w:r>
      <w:r>
        <w:rPr/>
        <w:t>las</w:t>
      </w:r>
      <w:r>
        <w:rPr>
          <w:spacing w:val="38"/>
        </w:rPr>
        <w:t> </w:t>
      </w:r>
      <w:r>
        <w:rPr/>
        <w:t>lecturas</w:t>
      </w:r>
    </w:p>
    <w:p>
      <w:pPr>
        <w:pStyle w:val="BodyText"/>
        <w:spacing w:line="324" w:lineRule="auto" w:before="2"/>
        <w:ind w:left="196" w:right="279"/>
        <w:jc w:val="both"/>
        <w:rPr>
          <w:sz w:val="16"/>
        </w:rPr>
      </w:pPr>
      <w:r>
        <w:rPr/>
        <w:t>más altas reflejen diferentes niveles de maduración del esmalte y la presencia de manchas.</w:t>
      </w:r>
      <w:r>
        <w:rPr>
          <w:position w:val="11"/>
          <w:sz w:val="16"/>
        </w:rPr>
        <w:t>18</w:t>
      </w:r>
    </w:p>
    <w:p>
      <w:pPr>
        <w:pStyle w:val="BodyText"/>
        <w:spacing w:line="360" w:lineRule="auto" w:before="236"/>
        <w:ind w:left="196" w:right="284"/>
        <w:jc w:val="both"/>
      </w:pPr>
      <w:r>
        <w:rPr/>
        <w:t>Los códigos de lectura sugeridos para el sistema de fluorescencia láser DIAGNOdent®, son los siguientes:</w:t>
      </w:r>
    </w:p>
    <w:p>
      <w:pPr>
        <w:pStyle w:val="ListParagraph"/>
        <w:numPr>
          <w:ilvl w:val="2"/>
          <w:numId w:val="4"/>
        </w:numPr>
        <w:tabs>
          <w:tab w:pos="748" w:val="left" w:leader="none"/>
        </w:tabs>
        <w:spacing w:line="360" w:lineRule="auto" w:before="209" w:after="0"/>
        <w:ind w:left="556" w:right="290" w:firstLine="0"/>
        <w:jc w:val="left"/>
        <w:rPr>
          <w:sz w:val="24"/>
        </w:rPr>
      </w:pPr>
      <w:r>
        <w:rPr>
          <w:sz w:val="24"/>
        </w:rPr>
        <w:t>Valor 0-13: No existe caries o está limitada a la mitad externa del grosor del esmalte.</w:t>
      </w:r>
    </w:p>
    <w:p>
      <w:pPr>
        <w:pStyle w:val="ListParagraph"/>
        <w:numPr>
          <w:ilvl w:val="2"/>
          <w:numId w:val="4"/>
        </w:numPr>
        <w:tabs>
          <w:tab w:pos="720" w:val="left" w:leader="none"/>
        </w:tabs>
        <w:spacing w:line="360" w:lineRule="auto" w:before="2" w:after="0"/>
        <w:ind w:left="556" w:right="289" w:firstLine="0"/>
        <w:jc w:val="left"/>
        <w:rPr>
          <w:sz w:val="24"/>
        </w:rPr>
      </w:pPr>
      <w:r>
        <w:rPr>
          <w:sz w:val="24"/>
        </w:rPr>
        <w:t>Valor 14-20: Caries en esmalte pero </w:t>
      </w:r>
      <w:r>
        <w:rPr>
          <w:spacing w:val="-3"/>
          <w:sz w:val="24"/>
        </w:rPr>
        <w:t>más </w:t>
      </w:r>
      <w:r>
        <w:rPr>
          <w:sz w:val="24"/>
        </w:rPr>
        <w:t>allá de la mitad externa del grosor del esmalte.</w:t>
      </w:r>
    </w:p>
    <w:p>
      <w:pPr>
        <w:spacing w:after="0" w:line="360" w:lineRule="auto"/>
        <w:jc w:val="left"/>
        <w:rPr>
          <w:sz w:val="24"/>
        </w:rPr>
        <w:sectPr>
          <w:footerReference w:type="default" r:id="rId20"/>
          <w:pgSz w:w="12240" w:h="15840"/>
          <w:pgMar w:footer="1031" w:header="726" w:top="1340" w:bottom="1220" w:left="1220" w:right="1420"/>
          <w:pgNumType w:start="11"/>
        </w:sectPr>
      </w:pPr>
    </w:p>
    <w:p>
      <w:pPr>
        <w:pStyle w:val="BodyText"/>
        <w:spacing w:before="3"/>
        <w:rPr>
          <w:sz w:val="23"/>
        </w:rPr>
      </w:pPr>
    </w:p>
    <w:p>
      <w:pPr>
        <w:pStyle w:val="ListParagraph"/>
        <w:numPr>
          <w:ilvl w:val="2"/>
          <w:numId w:val="4"/>
        </w:numPr>
        <w:tabs>
          <w:tab w:pos="710" w:val="left" w:leader="none"/>
        </w:tabs>
        <w:spacing w:line="240" w:lineRule="auto" w:before="69" w:after="0"/>
        <w:ind w:left="709" w:right="0" w:hanging="153"/>
        <w:jc w:val="left"/>
        <w:rPr>
          <w:sz w:val="24"/>
        </w:rPr>
      </w:pPr>
      <w:r>
        <w:rPr>
          <w:sz w:val="24"/>
        </w:rPr>
        <w:t>Valor 21-30: Caries de</w:t>
      </w:r>
      <w:r>
        <w:rPr>
          <w:spacing w:val="-15"/>
          <w:sz w:val="24"/>
        </w:rPr>
        <w:t> </w:t>
      </w:r>
      <w:r>
        <w:rPr>
          <w:sz w:val="24"/>
        </w:rPr>
        <w:t>dentina.</w:t>
      </w:r>
    </w:p>
    <w:p>
      <w:pPr>
        <w:pStyle w:val="ListParagraph"/>
        <w:numPr>
          <w:ilvl w:val="2"/>
          <w:numId w:val="4"/>
        </w:numPr>
        <w:tabs>
          <w:tab w:pos="710" w:val="left" w:leader="none"/>
        </w:tabs>
        <w:spacing w:line="240" w:lineRule="auto" w:before="107" w:after="0"/>
        <w:ind w:left="709" w:right="0" w:hanging="153"/>
        <w:jc w:val="left"/>
        <w:rPr>
          <w:sz w:val="16"/>
        </w:rPr>
      </w:pPr>
      <w:r>
        <w:rPr>
          <w:sz w:val="24"/>
        </w:rPr>
        <w:t>A partir de 30: Caries de dentina</w:t>
      </w:r>
      <w:r>
        <w:rPr>
          <w:spacing w:val="-20"/>
          <w:sz w:val="24"/>
        </w:rPr>
        <w:t> </w:t>
      </w:r>
      <w:r>
        <w:rPr>
          <w:sz w:val="24"/>
        </w:rPr>
        <w:t>profunda.</w:t>
      </w:r>
      <w:r>
        <w:rPr>
          <w:position w:val="11"/>
          <w:sz w:val="16"/>
        </w:rPr>
        <w:t>22</w:t>
      </w:r>
    </w:p>
    <w:p>
      <w:pPr>
        <w:spacing w:after="0" w:line="240" w:lineRule="auto"/>
        <w:jc w:val="left"/>
        <w:rPr>
          <w:sz w:val="16"/>
        </w:rPr>
        <w:sectPr>
          <w:pgSz w:w="12240" w:h="15840"/>
          <w:pgMar w:header="726" w:footer="1031" w:top="1340" w:bottom="1220" w:left="1220" w:right="1420"/>
        </w:sectPr>
      </w:pPr>
    </w:p>
    <w:p>
      <w:pPr>
        <w:pStyle w:val="BodyText"/>
        <w:spacing w:before="4"/>
        <w:rPr>
          <w:sz w:val="22"/>
        </w:rPr>
      </w:pPr>
    </w:p>
    <w:p>
      <w:pPr>
        <w:pStyle w:val="Heading2"/>
        <w:numPr>
          <w:ilvl w:val="0"/>
          <w:numId w:val="3"/>
        </w:numPr>
        <w:tabs>
          <w:tab w:pos="624" w:val="left" w:leader="none"/>
        </w:tabs>
        <w:spacing w:line="240" w:lineRule="auto" w:before="70" w:after="0"/>
        <w:ind w:left="623" w:right="0" w:hanging="360"/>
        <w:jc w:val="both"/>
      </w:pPr>
      <w:r>
        <w:rPr/>
        <w:t>LA RESPUESTA INMUNE DEL</w:t>
      </w:r>
      <w:r>
        <w:rPr>
          <w:spacing w:val="-17"/>
        </w:rPr>
        <w:t> </w:t>
      </w:r>
      <w:r>
        <w:rPr/>
        <w:t>HUESPED</w:t>
      </w:r>
    </w:p>
    <w:p>
      <w:pPr>
        <w:pStyle w:val="BodyText"/>
        <w:spacing w:before="3"/>
        <w:rPr>
          <w:b/>
          <w:sz w:val="30"/>
        </w:rPr>
      </w:pPr>
    </w:p>
    <w:p>
      <w:pPr>
        <w:pStyle w:val="BodyText"/>
        <w:spacing w:line="362" w:lineRule="auto"/>
        <w:ind w:left="196" w:right="278"/>
        <w:jc w:val="both"/>
      </w:pPr>
      <w:r>
        <w:rPr/>
        <w:t>La respuesta inmunitaria es una reacción a los componentes de los  microorganismos,  así  como  a  macromoléculas  </w:t>
      </w:r>
      <w:r>
        <w:rPr>
          <w:spacing w:val="-4"/>
        </w:rPr>
        <w:t>como  </w:t>
      </w:r>
      <w:r>
        <w:rPr/>
        <w:t>proteínas,  polisacáridos   </w:t>
      </w:r>
      <w:r>
        <w:rPr>
          <w:spacing w:val="65"/>
        </w:rPr>
        <w:t> </w:t>
      </w:r>
      <w:r>
        <w:rPr/>
        <w:t>y</w:t>
      </w:r>
    </w:p>
    <w:p>
      <w:pPr>
        <w:pStyle w:val="BodyText"/>
        <w:spacing w:line="324" w:lineRule="auto"/>
        <w:ind w:left="196" w:right="284"/>
        <w:jc w:val="both"/>
        <w:rPr>
          <w:sz w:val="16"/>
        </w:rPr>
      </w:pPr>
      <w:r>
        <w:rPr/>
        <w:t>pequeñas sustancias químicas, que son reconocidos como extraños independientemente de la consecuencia fisiológica o patológica de tal reacción.</w:t>
      </w:r>
      <w:r>
        <w:rPr>
          <w:position w:val="11"/>
          <w:sz w:val="16"/>
        </w:rPr>
        <w:t>23</w:t>
      </w:r>
    </w:p>
    <w:p>
      <w:pPr>
        <w:pStyle w:val="BodyText"/>
        <w:spacing w:line="360" w:lineRule="auto" w:before="236"/>
        <w:ind w:left="196" w:right="280"/>
        <w:jc w:val="both"/>
      </w:pPr>
      <w:r>
        <w:rPr/>
        <w:t>La inmunología es el estudio de estas respuestas inmunitarias en este sentido amplio y de los acontecimientos celulares y moleculares que se producen después de que un organismo se encuentra con microorganismos y otras macromoléculas  </w:t>
      </w:r>
      <w:r>
        <w:rPr>
          <w:spacing w:val="43"/>
        </w:rPr>
        <w:t> </w:t>
      </w:r>
      <w:r>
        <w:rPr/>
        <w:t>extrañas.</w:t>
      </w:r>
    </w:p>
    <w:p>
      <w:pPr>
        <w:spacing w:line="152" w:lineRule="exact" w:before="0"/>
        <w:ind w:left="196" w:right="0" w:firstLine="0"/>
        <w:jc w:val="both"/>
        <w:rPr>
          <w:sz w:val="16"/>
        </w:rPr>
      </w:pPr>
      <w:r>
        <w:rPr>
          <w:sz w:val="16"/>
        </w:rPr>
        <w:t>23</w:t>
      </w:r>
    </w:p>
    <w:p>
      <w:pPr>
        <w:pStyle w:val="BodyText"/>
        <w:rPr>
          <w:sz w:val="16"/>
        </w:rPr>
      </w:pPr>
    </w:p>
    <w:p>
      <w:pPr>
        <w:pStyle w:val="BodyText"/>
        <w:rPr>
          <w:sz w:val="16"/>
        </w:rPr>
      </w:pPr>
    </w:p>
    <w:p>
      <w:pPr>
        <w:pStyle w:val="BodyText"/>
        <w:spacing w:line="360" w:lineRule="auto" w:before="102"/>
        <w:ind w:left="196" w:right="276"/>
        <w:jc w:val="both"/>
      </w:pPr>
      <w:r>
        <w:rPr/>
        <w:t>Los órganos primarios del sistema inmunológico son </w:t>
      </w:r>
      <w:r>
        <w:rPr>
          <w:spacing w:val="3"/>
        </w:rPr>
        <w:t>el </w:t>
      </w:r>
      <w:r>
        <w:rPr>
          <w:spacing w:val="-3"/>
        </w:rPr>
        <w:t>timo </w:t>
      </w:r>
      <w:r>
        <w:rPr/>
        <w:t>y la médula ósea, mientras que los órganos secundarios incluyen el bazo, los ganglios linfáticos,  el tejido linfoide presente en las placas de Peyer, las amígdalas palatinas, el anillo de Waldeyer, el apéndice cecal y el tejido linfoide asociado a </w:t>
      </w:r>
      <w:r>
        <w:rPr>
          <w:spacing w:val="7"/>
        </w:rPr>
        <w:t>la </w:t>
      </w:r>
      <w:r>
        <w:rPr/>
        <w:t>piel, mucosas, aparato digestivo y árbol bronquial. La estructura de cada uno se relacionan con su función; los órganos primarios son encargados de la producción y maduración parcial de los linfocitos; los órganos secundarios son los sitios donde se monta la respuesta inmune, es decir, el  sitio de presentación  de antígenos y producción de   </w:t>
      </w:r>
      <w:r>
        <w:rPr>
          <w:spacing w:val="61"/>
        </w:rPr>
        <w:t> </w:t>
      </w:r>
      <w:r>
        <w:rPr/>
        <w:t>efectores,</w:t>
      </w:r>
    </w:p>
    <w:p>
      <w:pPr>
        <w:pStyle w:val="BodyText"/>
        <w:spacing w:line="279" w:lineRule="exact"/>
        <w:ind w:left="196"/>
        <w:jc w:val="both"/>
        <w:rPr>
          <w:sz w:val="16"/>
        </w:rPr>
      </w:pPr>
      <w:r>
        <w:rPr/>
        <w:t>como los anticuerpos y los linfocitos T efectores.</w:t>
      </w:r>
      <w:r>
        <w:rPr>
          <w:position w:val="11"/>
          <w:sz w:val="16"/>
        </w:rPr>
        <w:t>23, 24</w:t>
      </w:r>
    </w:p>
    <w:p>
      <w:pPr>
        <w:pStyle w:val="BodyText"/>
        <w:spacing w:before="7"/>
        <w:rPr>
          <w:sz w:val="28"/>
        </w:rPr>
      </w:pPr>
    </w:p>
    <w:p>
      <w:pPr>
        <w:pStyle w:val="Heading2"/>
        <w:numPr>
          <w:ilvl w:val="1"/>
          <w:numId w:val="3"/>
        </w:numPr>
        <w:tabs>
          <w:tab w:pos="600" w:val="left" w:leader="none"/>
        </w:tabs>
        <w:spacing w:line="240" w:lineRule="auto" w:before="0" w:after="0"/>
        <w:ind w:left="599" w:right="0" w:hanging="403"/>
        <w:jc w:val="both"/>
      </w:pPr>
      <w:bookmarkStart w:name="_TOC_250058" w:id="8"/>
      <w:r>
        <w:rPr/>
        <w:t>Inmunidad Innata y</w:t>
      </w:r>
      <w:r>
        <w:rPr>
          <w:spacing w:val="-19"/>
        </w:rPr>
        <w:t> </w:t>
      </w:r>
      <w:bookmarkEnd w:id="8"/>
      <w:r>
        <w:rPr/>
        <w:t>Adaptativa</w:t>
      </w:r>
    </w:p>
    <w:p>
      <w:pPr>
        <w:pStyle w:val="BodyText"/>
        <w:spacing w:before="3"/>
        <w:rPr>
          <w:b/>
          <w:sz w:val="30"/>
        </w:rPr>
      </w:pPr>
    </w:p>
    <w:p>
      <w:pPr>
        <w:pStyle w:val="BodyText"/>
        <w:spacing w:line="328" w:lineRule="auto"/>
        <w:ind w:left="196" w:right="277"/>
        <w:jc w:val="both"/>
        <w:rPr>
          <w:sz w:val="16"/>
        </w:rPr>
      </w:pPr>
      <w:r>
        <w:rPr/>
        <w:t>La defensa frente a los microorganismos está mediada por las acciones precoces de la inmunidad innata y por las reacciones tardías de la inmunidad adaptativa: </w:t>
      </w:r>
      <w:r>
        <w:rPr>
          <w:position w:val="11"/>
          <w:sz w:val="16"/>
        </w:rPr>
        <w:t>23</w:t>
      </w:r>
    </w:p>
    <w:p>
      <w:pPr>
        <w:pStyle w:val="ListParagraph"/>
        <w:numPr>
          <w:ilvl w:val="0"/>
          <w:numId w:val="5"/>
        </w:numPr>
        <w:tabs>
          <w:tab w:pos="917" w:val="left" w:leader="none"/>
        </w:tabs>
        <w:spacing w:line="360" w:lineRule="auto" w:before="224" w:after="0"/>
        <w:ind w:left="917" w:right="279" w:hanging="361"/>
        <w:jc w:val="both"/>
        <w:rPr>
          <w:sz w:val="24"/>
        </w:rPr>
      </w:pPr>
      <w:r>
        <w:rPr>
          <w:i/>
          <w:sz w:val="24"/>
        </w:rPr>
        <w:t>Innata </w:t>
      </w:r>
      <w:r>
        <w:rPr>
          <w:sz w:val="24"/>
        </w:rPr>
        <w:t>(también llamada natural o nativa): representa la primera línea de defensa contra los microorganismos. Constituida con mecanismos existentes antes de que se desarrolle la infección, capaces de establecer respuestas rápidas a los microorganismos y que reaccionan básicamente de la misma manera a infecciones repetidas. Sus componentes principales son: 1) barreras físicas y químicas, como el epitelio y sustancias antimicrobianas producidas  en las superficies epiteliales; 2) células fagocíticas (neutrófilos, macrófagos) </w:t>
      </w:r>
      <w:r>
        <w:rPr>
          <w:spacing w:val="27"/>
          <w:sz w:val="24"/>
        </w:rPr>
        <w:t> </w:t>
      </w:r>
      <w:r>
        <w:rPr>
          <w:sz w:val="24"/>
        </w:rPr>
        <w:t>y</w:t>
      </w:r>
    </w:p>
    <w:p>
      <w:pPr>
        <w:spacing w:after="0" w:line="360" w:lineRule="auto"/>
        <w:jc w:val="both"/>
        <w:rPr>
          <w:sz w:val="24"/>
        </w:rPr>
        <w:sectPr>
          <w:pgSz w:w="12240" w:h="15840"/>
          <w:pgMar w:header="726" w:footer="1031" w:top="1340" w:bottom="1220" w:left="1220" w:right="1420"/>
        </w:sectPr>
      </w:pPr>
    </w:p>
    <w:p>
      <w:pPr>
        <w:pStyle w:val="BodyText"/>
        <w:spacing w:before="3"/>
        <w:rPr>
          <w:sz w:val="23"/>
        </w:rPr>
      </w:pPr>
    </w:p>
    <w:p>
      <w:pPr>
        <w:pStyle w:val="BodyText"/>
        <w:spacing w:line="360" w:lineRule="auto" w:before="69"/>
        <w:ind w:left="916" w:right="278"/>
        <w:jc w:val="both"/>
      </w:pPr>
      <w:r>
        <w:rPr/>
        <w:t>células dendríticas y linfocitos citolíticos naturales (NK); 3) proteínas sanguíneas, que incluyen miembros del complemento y mediadores de la inflamación; 4) citocinas, que regulan y coordinan acciones de las células de la inmunidad innata. Los mecanismos de la inmunidad innata son específicos frente a estructuras que son comunes a grupos de microorganismos relacionados y pueden no distinguir diferencias ligeras entre microorganismos.</w:t>
      </w:r>
    </w:p>
    <w:p>
      <w:pPr>
        <w:spacing w:line="151" w:lineRule="exact" w:before="0"/>
        <w:ind w:left="916" w:right="0" w:firstLine="0"/>
        <w:jc w:val="both"/>
        <w:rPr>
          <w:sz w:val="16"/>
        </w:rPr>
      </w:pPr>
      <w:r>
        <w:rPr>
          <w:sz w:val="16"/>
        </w:rPr>
        <w:t>23, 24, 25</w:t>
      </w:r>
    </w:p>
    <w:p>
      <w:pPr>
        <w:pStyle w:val="BodyText"/>
        <w:spacing w:before="9"/>
        <w:rPr>
          <w:sz w:val="22"/>
        </w:rPr>
      </w:pPr>
    </w:p>
    <w:p>
      <w:pPr>
        <w:pStyle w:val="ListParagraph"/>
        <w:numPr>
          <w:ilvl w:val="0"/>
          <w:numId w:val="5"/>
        </w:numPr>
        <w:tabs>
          <w:tab w:pos="917" w:val="left" w:leader="none"/>
        </w:tabs>
        <w:spacing w:line="360" w:lineRule="auto" w:before="0" w:after="0"/>
        <w:ind w:left="917" w:right="278" w:hanging="361"/>
        <w:jc w:val="both"/>
        <w:rPr>
          <w:sz w:val="24"/>
        </w:rPr>
      </w:pPr>
      <w:r>
        <w:rPr>
          <w:i/>
          <w:sz w:val="24"/>
        </w:rPr>
        <w:t>Adaptativa (</w:t>
      </w:r>
      <w:r>
        <w:rPr>
          <w:sz w:val="24"/>
        </w:rPr>
        <w:t>o específica</w:t>
      </w:r>
      <w:r>
        <w:rPr>
          <w:i/>
          <w:sz w:val="24"/>
        </w:rPr>
        <w:t>)</w:t>
      </w:r>
      <w:r>
        <w:rPr>
          <w:sz w:val="24"/>
        </w:rPr>
        <w:t>: consiste en respuestas inmunitarias estimuladas por la exposición a microorganismos infecciosos que aumentan en magnitud y capacidad defensivas con cada exposición sucesiva a </w:t>
      </w:r>
      <w:r>
        <w:rPr>
          <w:spacing w:val="3"/>
          <w:sz w:val="24"/>
        </w:rPr>
        <w:t>un </w:t>
      </w:r>
      <w:r>
        <w:rPr>
          <w:sz w:val="24"/>
        </w:rPr>
        <w:t>microorganismo en particular; se caracteriza por su alta especificidad frente a diferentes moléculas, </w:t>
      </w:r>
      <w:r>
        <w:rPr>
          <w:spacing w:val="-3"/>
          <w:sz w:val="24"/>
        </w:rPr>
        <w:t>su </w:t>
      </w:r>
      <w:r>
        <w:rPr>
          <w:sz w:val="24"/>
        </w:rPr>
        <w:t>capacidad de “recordar” y responder de forma </w:t>
      </w:r>
      <w:r>
        <w:rPr>
          <w:spacing w:val="-3"/>
          <w:sz w:val="24"/>
        </w:rPr>
        <w:t>más </w:t>
      </w:r>
      <w:r>
        <w:rPr>
          <w:sz w:val="24"/>
        </w:rPr>
        <w:t>intensa a exposiciones repetidas al mismo microorganismo. Sus principales componentes  son  los  linfocitos  y  sus  productos  de  secreción,  como   </w:t>
      </w:r>
      <w:r>
        <w:rPr>
          <w:spacing w:val="40"/>
          <w:sz w:val="24"/>
        </w:rPr>
        <w:t> </w:t>
      </w:r>
      <w:r>
        <w:rPr>
          <w:sz w:val="24"/>
        </w:rPr>
        <w:t>los</w:t>
      </w:r>
    </w:p>
    <w:p>
      <w:pPr>
        <w:pStyle w:val="BodyText"/>
        <w:spacing w:line="324" w:lineRule="auto" w:before="2"/>
        <w:ind w:left="916" w:right="278"/>
        <w:jc w:val="both"/>
        <w:rPr>
          <w:sz w:val="16"/>
        </w:rPr>
      </w:pPr>
      <w:r>
        <w:rPr/>
        <w:t>anticuerpos; y existen dos tipos de respuestas inmunitarias adaptativas llamadas inmunidad humoral e inmunidad celular.</w:t>
      </w:r>
      <w:r>
        <w:rPr>
          <w:position w:val="11"/>
          <w:sz w:val="16"/>
        </w:rPr>
        <w:t>23</w:t>
      </w:r>
    </w:p>
    <w:p>
      <w:pPr>
        <w:pStyle w:val="BodyText"/>
        <w:spacing w:line="360" w:lineRule="auto" w:before="236"/>
        <w:ind w:left="196" w:right="275"/>
        <w:jc w:val="both"/>
      </w:pPr>
      <w:r>
        <w:rPr/>
        <w:t>Es importante mencionar al </w:t>
      </w:r>
      <w:r>
        <w:rPr>
          <w:i/>
        </w:rPr>
        <w:t>Sistema del Complemento </w:t>
      </w:r>
      <w:r>
        <w:rPr/>
        <w:t>ya que, es uno de los principales mecanismos efectores de la inmunidad humoral y también, es un importante mecanismo efector de la inmunidad innata. </w:t>
      </w:r>
      <w:r>
        <w:rPr>
          <w:spacing w:val="-4"/>
        </w:rPr>
        <w:t>El </w:t>
      </w:r>
      <w:r>
        <w:rPr/>
        <w:t>sistema del complemento es un grupo de proteínas inactivas que circulan en el plasma, y se activa por tres vías diferentes: 1) vía clásica, 2) vía alterna y 3) vía de la manosa-lectina. La activación del complemento resulta en la producción de fragmentos quimiotácticos, la opsonización</w:t>
      </w:r>
      <w:r>
        <w:rPr>
          <w:spacing w:val="24"/>
        </w:rPr>
        <w:t> </w:t>
      </w:r>
      <w:r>
        <w:rPr/>
        <w:t>es</w:t>
      </w:r>
      <w:r>
        <w:rPr>
          <w:spacing w:val="23"/>
        </w:rPr>
        <w:t> </w:t>
      </w:r>
      <w:r>
        <w:rPr/>
        <w:t>facilitada</w:t>
      </w:r>
      <w:r>
        <w:rPr>
          <w:spacing w:val="24"/>
        </w:rPr>
        <w:t> </w:t>
      </w:r>
      <w:r>
        <w:rPr/>
        <w:t>por</w:t>
      </w:r>
      <w:r>
        <w:rPr>
          <w:spacing w:val="31"/>
        </w:rPr>
        <w:t> </w:t>
      </w:r>
      <w:r>
        <w:rPr/>
        <w:t>la</w:t>
      </w:r>
      <w:r>
        <w:rPr>
          <w:spacing w:val="24"/>
        </w:rPr>
        <w:t> </w:t>
      </w:r>
      <w:r>
        <w:rPr/>
        <w:t>fagocitosis</w:t>
      </w:r>
      <w:r>
        <w:rPr>
          <w:spacing w:val="23"/>
        </w:rPr>
        <w:t> </w:t>
      </w:r>
      <w:r>
        <w:rPr/>
        <w:t>de</w:t>
      </w:r>
      <w:r>
        <w:rPr>
          <w:spacing w:val="28"/>
        </w:rPr>
        <w:t> </w:t>
      </w:r>
      <w:r>
        <w:rPr/>
        <w:t>microorganismos</w:t>
      </w:r>
      <w:r>
        <w:rPr>
          <w:spacing w:val="29"/>
        </w:rPr>
        <w:t> </w:t>
      </w:r>
      <w:r>
        <w:rPr/>
        <w:t>o</w:t>
      </w:r>
      <w:r>
        <w:rPr>
          <w:spacing w:val="24"/>
        </w:rPr>
        <w:t> </w:t>
      </w:r>
      <w:r>
        <w:rPr/>
        <w:t>bien,</w:t>
      </w:r>
      <w:r>
        <w:rPr>
          <w:spacing w:val="24"/>
        </w:rPr>
        <w:t> </w:t>
      </w:r>
      <w:r>
        <w:rPr/>
        <w:t>la</w:t>
      </w:r>
      <w:r>
        <w:rPr>
          <w:spacing w:val="19"/>
        </w:rPr>
        <w:t> </w:t>
      </w:r>
      <w:r>
        <w:rPr/>
        <w:t>lisis</w:t>
      </w:r>
      <w:r>
        <w:rPr>
          <w:spacing w:val="23"/>
        </w:rPr>
        <w:t> </w:t>
      </w:r>
      <w:r>
        <w:rPr/>
        <w:t>que</w:t>
      </w:r>
    </w:p>
    <w:p>
      <w:pPr>
        <w:pStyle w:val="BodyText"/>
        <w:spacing w:line="324" w:lineRule="auto" w:before="3"/>
        <w:ind w:left="196" w:right="288"/>
        <w:jc w:val="both"/>
        <w:rPr>
          <w:sz w:val="16"/>
        </w:rPr>
      </w:pPr>
      <w:r>
        <w:rPr/>
        <w:t>da lugar a la eliminación del patógeno. Por otra parte, la activación del complemento permite la eliminación de complejos inmunes.</w:t>
      </w:r>
      <w:r>
        <w:rPr>
          <w:position w:val="11"/>
          <w:sz w:val="16"/>
        </w:rPr>
        <w:t>23, 24</w:t>
      </w:r>
    </w:p>
    <w:p>
      <w:pPr>
        <w:pStyle w:val="Heading2"/>
        <w:numPr>
          <w:ilvl w:val="1"/>
          <w:numId w:val="3"/>
        </w:numPr>
        <w:tabs>
          <w:tab w:pos="600" w:val="left" w:leader="none"/>
        </w:tabs>
        <w:spacing w:line="240" w:lineRule="auto" w:before="226" w:after="0"/>
        <w:ind w:left="599" w:right="0" w:hanging="403"/>
        <w:jc w:val="both"/>
      </w:pPr>
      <w:bookmarkStart w:name="_TOC_250057" w:id="9"/>
      <w:r>
        <w:rPr/>
        <w:t>Inmunidad</w:t>
      </w:r>
      <w:r>
        <w:rPr>
          <w:spacing w:val="-14"/>
        </w:rPr>
        <w:t> </w:t>
      </w:r>
      <w:bookmarkEnd w:id="9"/>
      <w:r>
        <w:rPr/>
        <w:t>Adaptativa</w:t>
      </w:r>
    </w:p>
    <w:p>
      <w:pPr>
        <w:pStyle w:val="BodyText"/>
        <w:spacing w:before="3"/>
        <w:rPr>
          <w:b/>
          <w:sz w:val="30"/>
        </w:rPr>
      </w:pPr>
    </w:p>
    <w:p>
      <w:pPr>
        <w:pStyle w:val="BodyText"/>
        <w:spacing w:line="360" w:lineRule="auto"/>
        <w:ind w:left="196" w:right="283"/>
        <w:jc w:val="both"/>
      </w:pPr>
      <w:r>
        <w:rPr/>
        <w:t>La inmunidad adaptativa frente a un microorganismo puede estar inducida por la respuesta del huésped al microorganismo o por la transferencia de anticuerpos o linfocitos específicos para el microorganismo. La forma de inmunidad inducida por  la</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28" w:lineRule="auto" w:before="69"/>
        <w:ind w:left="196" w:right="292"/>
        <w:jc w:val="both"/>
        <w:rPr>
          <w:sz w:val="16"/>
        </w:rPr>
      </w:pPr>
      <w:r>
        <w:rPr/>
        <w:t>exposición a un antígeno extraño recibe el nombre de inmunidad activa, por que la persona inmunizada cumple una función activa en la respuesta al antígeno.</w:t>
      </w:r>
      <w:r>
        <w:rPr>
          <w:position w:val="11"/>
          <w:sz w:val="16"/>
        </w:rPr>
        <w:t>23</w:t>
      </w:r>
    </w:p>
    <w:p>
      <w:pPr>
        <w:pStyle w:val="BodyText"/>
        <w:spacing w:line="360" w:lineRule="auto" w:before="230"/>
        <w:ind w:left="196" w:right="275"/>
        <w:jc w:val="both"/>
      </w:pPr>
      <w:r>
        <w:rPr/>
        <w:t>Una persona también puede adquirir la inmunidad mediante el paso de suero o de linfocitos desde otra persona dotada de una inmunidad específica. El receptor de esta transferencia adquiere inmunidad frente a este antígeno en particular sin </w:t>
      </w:r>
      <w:r>
        <w:rPr>
          <w:spacing w:val="2"/>
        </w:rPr>
        <w:t>haber </w:t>
      </w:r>
      <w:r>
        <w:rPr/>
        <w:t>estado expuesto o haber respondido nunca a ese antígeno. Esta forma de inmunidad se  denomina inmunidad  pasiva, y  es un  método  útil  para  aportar  resistencia</w:t>
      </w:r>
      <w:r>
        <w:rPr>
          <w:spacing w:val="55"/>
        </w:rPr>
        <w:t> </w:t>
      </w:r>
      <w:r>
        <w:rPr/>
        <w:t>con</w:t>
      </w:r>
    </w:p>
    <w:p>
      <w:pPr>
        <w:pStyle w:val="BodyText"/>
        <w:spacing w:line="324" w:lineRule="auto" w:before="7"/>
        <w:ind w:left="196" w:right="290"/>
        <w:jc w:val="both"/>
        <w:rPr>
          <w:sz w:val="16"/>
        </w:rPr>
      </w:pPr>
      <w:r>
        <w:rPr/>
        <w:t>rapidez, sin tener que esperar al desencadenamiento de una respuesta inmunitaria activa.</w:t>
      </w:r>
      <w:r>
        <w:rPr>
          <w:position w:val="11"/>
          <w:sz w:val="16"/>
        </w:rPr>
        <w:t>23</w:t>
      </w:r>
    </w:p>
    <w:p>
      <w:pPr>
        <w:pStyle w:val="BodyText"/>
        <w:spacing w:line="360" w:lineRule="auto" w:before="236"/>
        <w:ind w:left="196" w:right="289"/>
        <w:jc w:val="both"/>
      </w:pPr>
      <w:r>
        <w:rPr/>
        <w:t>Todas las respuestas inmunitarias adaptativas (tanto humorales como celulares) dirigidas a antígenos extraños poseen una serie de propiedades fundamentales que reflejan las características de los linfocitos encargados de su producción. La respuesta inmune adquirida cuenta con las siguientes características:</w:t>
      </w:r>
    </w:p>
    <w:p>
      <w:pPr>
        <w:pStyle w:val="ListParagraph"/>
        <w:numPr>
          <w:ilvl w:val="0"/>
          <w:numId w:val="6"/>
        </w:numPr>
        <w:tabs>
          <w:tab w:pos="916" w:val="left" w:leader="none"/>
          <w:tab w:pos="917" w:val="left" w:leader="none"/>
        </w:tabs>
        <w:spacing w:line="350" w:lineRule="auto" w:before="207" w:after="0"/>
        <w:ind w:left="917" w:right="286" w:hanging="361"/>
        <w:jc w:val="left"/>
        <w:rPr>
          <w:sz w:val="24"/>
        </w:rPr>
      </w:pPr>
      <w:r>
        <w:rPr>
          <w:sz w:val="24"/>
        </w:rPr>
        <w:t>Especificidad: garantiza que distintos microorganismos estimulen respuestas específicas.</w:t>
      </w:r>
    </w:p>
    <w:p>
      <w:pPr>
        <w:pStyle w:val="ListParagraph"/>
        <w:numPr>
          <w:ilvl w:val="0"/>
          <w:numId w:val="6"/>
        </w:numPr>
        <w:tabs>
          <w:tab w:pos="916" w:val="left" w:leader="none"/>
          <w:tab w:pos="917" w:val="left" w:leader="none"/>
        </w:tabs>
        <w:spacing w:line="355" w:lineRule="auto" w:before="12" w:after="0"/>
        <w:ind w:left="917" w:right="287" w:hanging="361"/>
        <w:jc w:val="left"/>
        <w:rPr>
          <w:sz w:val="24"/>
        </w:rPr>
      </w:pPr>
      <w:r>
        <w:rPr>
          <w:sz w:val="24"/>
        </w:rPr>
        <w:t>Diversidad: permite al sistema inmunitario responder a gran variedad de microorganismos.</w:t>
      </w:r>
    </w:p>
    <w:p>
      <w:pPr>
        <w:pStyle w:val="ListParagraph"/>
        <w:numPr>
          <w:ilvl w:val="0"/>
          <w:numId w:val="6"/>
        </w:numPr>
        <w:tabs>
          <w:tab w:pos="916" w:val="left" w:leader="none"/>
          <w:tab w:pos="917" w:val="left" w:leader="none"/>
        </w:tabs>
        <w:spacing w:line="355" w:lineRule="auto" w:before="6" w:after="0"/>
        <w:ind w:left="917" w:right="291" w:hanging="361"/>
        <w:jc w:val="left"/>
        <w:rPr>
          <w:sz w:val="24"/>
        </w:rPr>
      </w:pPr>
      <w:r>
        <w:rPr>
          <w:sz w:val="24"/>
        </w:rPr>
        <w:t>Memoria: da lugar a respuesta aumentadas a exposiciones repetidas al </w:t>
      </w:r>
      <w:r>
        <w:rPr>
          <w:spacing w:val="-3"/>
          <w:sz w:val="24"/>
        </w:rPr>
        <w:t>mismo </w:t>
      </w:r>
      <w:r>
        <w:rPr>
          <w:sz w:val="24"/>
        </w:rPr>
        <w:t>microorganismo.</w:t>
      </w:r>
    </w:p>
    <w:p>
      <w:pPr>
        <w:pStyle w:val="ListParagraph"/>
        <w:numPr>
          <w:ilvl w:val="0"/>
          <w:numId w:val="6"/>
        </w:numPr>
        <w:tabs>
          <w:tab w:pos="916" w:val="left" w:leader="none"/>
          <w:tab w:pos="917" w:val="left" w:leader="none"/>
          <w:tab w:pos="2844" w:val="left" w:leader="none"/>
          <w:tab w:pos="3798" w:val="left" w:leader="none"/>
          <w:tab w:pos="5174" w:val="left" w:leader="none"/>
          <w:tab w:pos="6219" w:val="left" w:leader="none"/>
          <w:tab w:pos="6904" w:val="left" w:leader="none"/>
          <w:tab w:pos="7297" w:val="left" w:leader="none"/>
          <w:tab w:pos="8356" w:val="left" w:leader="none"/>
          <w:tab w:pos="9176" w:val="left" w:leader="none"/>
        </w:tabs>
        <w:spacing w:line="355" w:lineRule="auto" w:before="6" w:after="0"/>
        <w:ind w:left="917" w:right="287" w:hanging="361"/>
        <w:jc w:val="left"/>
        <w:rPr>
          <w:sz w:val="24"/>
        </w:rPr>
      </w:pPr>
      <w:r>
        <w:rPr>
          <w:sz w:val="24"/>
        </w:rPr>
        <w:t>Especialización:</w:t>
        <w:tab/>
        <w:t>genera</w:t>
        <w:tab/>
        <w:t>respuestas</w:t>
        <w:tab/>
        <w:t>óptimas</w:t>
        <w:tab/>
        <w:t>para</w:t>
        <w:tab/>
        <w:t>la</w:t>
        <w:tab/>
        <w:t>defensa</w:t>
        <w:tab/>
        <w:t>frente</w:t>
        <w:tab/>
        <w:t>a diferentes tipos de</w:t>
      </w:r>
      <w:r>
        <w:rPr>
          <w:spacing w:val="-17"/>
          <w:sz w:val="24"/>
        </w:rPr>
        <w:t> </w:t>
      </w:r>
      <w:r>
        <w:rPr>
          <w:sz w:val="24"/>
        </w:rPr>
        <w:t>microorganismos.</w:t>
      </w:r>
    </w:p>
    <w:p>
      <w:pPr>
        <w:pStyle w:val="ListParagraph"/>
        <w:numPr>
          <w:ilvl w:val="0"/>
          <w:numId w:val="6"/>
        </w:numPr>
        <w:tabs>
          <w:tab w:pos="916" w:val="left" w:leader="none"/>
          <w:tab w:pos="917" w:val="left" w:leader="none"/>
        </w:tabs>
        <w:spacing w:line="355" w:lineRule="auto" w:before="6" w:after="0"/>
        <w:ind w:left="917" w:right="296" w:hanging="361"/>
        <w:jc w:val="left"/>
        <w:rPr>
          <w:sz w:val="24"/>
        </w:rPr>
      </w:pPr>
      <w:r>
        <w:rPr>
          <w:sz w:val="24"/>
        </w:rPr>
        <w:t>Autolimitación: permite al sistema inmunitario responder a microorganismos encontrados por primera</w:t>
      </w:r>
      <w:r>
        <w:rPr>
          <w:spacing w:val="-10"/>
          <w:sz w:val="24"/>
        </w:rPr>
        <w:t> </w:t>
      </w:r>
      <w:r>
        <w:rPr>
          <w:sz w:val="24"/>
        </w:rPr>
        <w:t>vez.</w:t>
      </w:r>
    </w:p>
    <w:p>
      <w:pPr>
        <w:pStyle w:val="ListParagraph"/>
        <w:numPr>
          <w:ilvl w:val="0"/>
          <w:numId w:val="6"/>
        </w:numPr>
        <w:tabs>
          <w:tab w:pos="916" w:val="left" w:leader="none"/>
          <w:tab w:pos="917" w:val="left" w:leader="none"/>
        </w:tabs>
        <w:spacing w:line="316" w:lineRule="auto" w:before="6" w:after="0"/>
        <w:ind w:left="917" w:right="289" w:hanging="361"/>
        <w:jc w:val="left"/>
        <w:rPr>
          <w:sz w:val="16"/>
        </w:rPr>
      </w:pPr>
      <w:r>
        <w:rPr>
          <w:sz w:val="24"/>
        </w:rPr>
        <w:t>Ausencia de autorreacitividad: impide la producción de lesiones del huésped durante las respuestas a los microorganismos.</w:t>
      </w:r>
      <w:r>
        <w:rPr>
          <w:position w:val="11"/>
          <w:sz w:val="16"/>
        </w:rPr>
        <w:t>23,</w:t>
      </w:r>
      <w:r>
        <w:rPr>
          <w:spacing w:val="-17"/>
          <w:position w:val="11"/>
          <w:sz w:val="16"/>
        </w:rPr>
        <w:t> </w:t>
      </w:r>
      <w:r>
        <w:rPr>
          <w:position w:val="11"/>
          <w:sz w:val="16"/>
        </w:rPr>
        <w:t>24</w:t>
      </w:r>
    </w:p>
    <w:p>
      <w:pPr>
        <w:pStyle w:val="BodyText"/>
        <w:spacing w:line="362" w:lineRule="auto" w:before="246"/>
        <w:ind w:left="196" w:right="282"/>
        <w:jc w:val="both"/>
      </w:pPr>
      <w:r>
        <w:rPr/>
        <w:t>Las células </w:t>
      </w:r>
      <w:r>
        <w:rPr>
          <w:spacing w:val="-3"/>
        </w:rPr>
        <w:t>del </w:t>
      </w:r>
      <w:r>
        <w:rPr/>
        <w:t>sistema inmune se originan a partir de una célula madre  pluripotencial, la cual genera dos estirpes celulares: 1) la célula progenitora linfoide</w:t>
      </w:r>
      <w:r>
        <w:rPr>
          <w:spacing w:val="56"/>
        </w:rPr>
        <w:t> </w:t>
      </w:r>
      <w:r>
        <w:rPr/>
        <w:t>y</w:t>
      </w:r>
    </w:p>
    <w:p>
      <w:pPr>
        <w:pStyle w:val="BodyText"/>
        <w:ind w:left="196"/>
        <w:jc w:val="both"/>
      </w:pPr>
      <w:r>
        <w:rPr/>
        <w:t>2) la célula progenitora mieloide. La primera participa en la formación de linfocitos  T,</w:t>
      </w:r>
    </w:p>
    <w:p>
      <w:pPr>
        <w:spacing w:after="0"/>
        <w:jc w:val="both"/>
        <w:sectPr>
          <w:pgSz w:w="12240" w:h="15840"/>
          <w:pgMar w:header="726" w:footer="1031" w:top="1340" w:bottom="1220" w:left="1220" w:right="1420"/>
        </w:sectPr>
      </w:pPr>
    </w:p>
    <w:p>
      <w:pPr>
        <w:pStyle w:val="BodyText"/>
        <w:spacing w:before="3"/>
        <w:rPr>
          <w:sz w:val="23"/>
        </w:rPr>
      </w:pPr>
    </w:p>
    <w:p>
      <w:pPr>
        <w:pStyle w:val="BodyText"/>
        <w:spacing w:line="364" w:lineRule="auto" w:before="69"/>
        <w:ind w:left="196" w:right="282"/>
        <w:jc w:val="both"/>
      </w:pPr>
      <w:r>
        <w:rPr/>
        <w:t>B, células asesinas naturales o NK, así como algunas células dendríticas; la segunda participa  en  la  formación  de  eritrocitos,  células  polimorfonucleares     (neutrófilos,</w:t>
      </w:r>
    </w:p>
    <w:p>
      <w:pPr>
        <w:pStyle w:val="BodyText"/>
        <w:spacing w:line="324" w:lineRule="auto"/>
        <w:ind w:left="196" w:right="289"/>
        <w:jc w:val="both"/>
        <w:rPr>
          <w:sz w:val="16"/>
        </w:rPr>
      </w:pPr>
      <w:r>
        <w:rPr/>
        <w:drawing>
          <wp:anchor distT="0" distB="0" distL="0" distR="0" allowOverlap="1" layoutInCell="1" locked="0" behindDoc="0" simplePos="0" relativeHeight="1096">
            <wp:simplePos x="0" y="0"/>
            <wp:positionH relativeFrom="page">
              <wp:posOffset>1401444</wp:posOffset>
            </wp:positionH>
            <wp:positionV relativeFrom="paragraph">
              <wp:posOffset>581988</wp:posOffset>
            </wp:positionV>
            <wp:extent cx="4606054" cy="3039046"/>
            <wp:effectExtent l="0" t="0" r="0" b="0"/>
            <wp:wrapTopAndBottom/>
            <wp:docPr id="5" name="image10.jpeg" descr=""/>
            <wp:cNvGraphicFramePr>
              <a:graphicFrameLocks noChangeAspect="1"/>
            </wp:cNvGraphicFramePr>
            <a:graphic>
              <a:graphicData uri="http://schemas.openxmlformats.org/drawingml/2006/picture">
                <pic:pic>
                  <pic:nvPicPr>
                    <pic:cNvPr id="6" name="image10.jpeg"/>
                    <pic:cNvPicPr/>
                  </pic:nvPicPr>
                  <pic:blipFill>
                    <a:blip r:embed="rId21" cstate="print"/>
                    <a:stretch>
                      <a:fillRect/>
                    </a:stretch>
                  </pic:blipFill>
                  <pic:spPr>
                    <a:xfrm>
                      <a:off x="0" y="0"/>
                      <a:ext cx="4606054" cy="3039046"/>
                    </a:xfrm>
                    <a:prstGeom prst="rect">
                      <a:avLst/>
                    </a:prstGeom>
                  </pic:spPr>
                </pic:pic>
              </a:graphicData>
            </a:graphic>
          </wp:anchor>
        </w:drawing>
      </w:r>
      <w:r>
        <w:rPr/>
        <w:t>eosinófilos, basófilos), monocitos, células dendríticas y células precursoras de plaquetas (megacariocitos) (Figura 3).</w:t>
      </w:r>
      <w:r>
        <w:rPr>
          <w:position w:val="11"/>
          <w:sz w:val="16"/>
        </w:rPr>
        <w:t>24</w:t>
      </w:r>
    </w:p>
    <w:p>
      <w:pPr>
        <w:spacing w:before="202"/>
        <w:ind w:left="628" w:right="712" w:firstLine="0"/>
        <w:jc w:val="center"/>
        <w:rPr>
          <w:sz w:val="20"/>
        </w:rPr>
      </w:pPr>
      <w:r>
        <w:rPr>
          <w:b/>
          <w:sz w:val="20"/>
        </w:rPr>
        <w:t>Figura 3. </w:t>
      </w:r>
      <w:r>
        <w:rPr>
          <w:i/>
          <w:sz w:val="20"/>
        </w:rPr>
        <w:t>Células que participan en el sistema inmune. </w:t>
      </w:r>
      <w:r>
        <w:rPr>
          <w:sz w:val="20"/>
        </w:rPr>
        <w:t>Fuente directa.</w:t>
      </w:r>
    </w:p>
    <w:p>
      <w:pPr>
        <w:pStyle w:val="BodyText"/>
        <w:rPr>
          <w:sz w:val="20"/>
        </w:rPr>
      </w:pPr>
    </w:p>
    <w:p>
      <w:pPr>
        <w:pStyle w:val="BodyText"/>
        <w:spacing w:before="6"/>
        <w:rPr>
          <w:sz w:val="20"/>
        </w:rPr>
      </w:pPr>
    </w:p>
    <w:p>
      <w:pPr>
        <w:pStyle w:val="BodyText"/>
        <w:spacing w:line="360" w:lineRule="auto" w:before="1"/>
        <w:ind w:left="196" w:right="275"/>
        <w:jc w:val="both"/>
      </w:pPr>
      <w:r>
        <w:rPr/>
        <w:t>Las principales células del sistema inmunitario son los linfocitos, las células presentadoras de antígeno y las células efectoras. Los linfocitos son las células que reconocen los antígenos extraños de manera específica y responden contra ellos,  por lo que constituyen los mediadores de la  inmunidad  humoral  y  celular.   </w:t>
      </w:r>
      <w:r>
        <w:rPr>
          <w:spacing w:val="1"/>
        </w:rPr>
        <w:t> </w:t>
      </w:r>
      <w:r>
        <w:rPr/>
        <w:t>Existen</w:t>
      </w:r>
    </w:p>
    <w:p>
      <w:pPr>
        <w:pStyle w:val="BodyText"/>
        <w:spacing w:line="324" w:lineRule="auto" w:before="2"/>
        <w:ind w:left="196" w:right="296"/>
        <w:jc w:val="both"/>
        <w:rPr>
          <w:sz w:val="16"/>
        </w:rPr>
      </w:pPr>
      <w:r>
        <w:rPr/>
        <w:t>distintas subpoblaciones que difieren en la </w:t>
      </w:r>
      <w:r>
        <w:rPr>
          <w:spacing w:val="-3"/>
        </w:rPr>
        <w:t>forma </w:t>
      </w:r>
      <w:r>
        <w:rPr/>
        <w:t>de reconocer los antígenos y en  sus</w:t>
      </w:r>
      <w:r>
        <w:rPr>
          <w:spacing w:val="-6"/>
        </w:rPr>
        <w:t> </w:t>
      </w:r>
      <w:r>
        <w:rPr/>
        <w:t>funciones.</w:t>
      </w:r>
      <w:r>
        <w:rPr>
          <w:position w:val="11"/>
          <w:sz w:val="16"/>
        </w:rPr>
        <w:t>23</w:t>
      </w:r>
    </w:p>
    <w:p>
      <w:pPr>
        <w:pStyle w:val="BodyText"/>
        <w:spacing w:line="343" w:lineRule="auto" w:before="236"/>
        <w:ind w:left="196" w:right="278"/>
        <w:jc w:val="both"/>
        <w:rPr>
          <w:sz w:val="16"/>
        </w:rPr>
      </w:pPr>
      <w:r>
        <w:rPr/>
        <w:t>Los linfocitos T, las células de la inmunidad celular, son producidos en médula ósea y maduran en el timo; reconocen los antígenos de los microorganismos intracelulares y sirven para destruir estos microbios o las células infectadas.</w:t>
      </w:r>
      <w:r>
        <w:rPr>
          <w:position w:val="11"/>
          <w:sz w:val="16"/>
        </w:rPr>
        <w:t>23, 24</w:t>
      </w:r>
    </w:p>
    <w:p>
      <w:pPr>
        <w:pStyle w:val="BodyText"/>
        <w:spacing w:line="360" w:lineRule="auto" w:before="212"/>
        <w:ind w:left="196" w:right="286"/>
        <w:jc w:val="both"/>
      </w:pPr>
      <w:r>
        <w:rPr/>
        <w:t>Los linfocitos B son las únicas células capaces de producir anticuerpos, se producen y maduran parcialmente en la médula ósea. Reconocen los antígenos  extracelulares</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28" w:lineRule="auto" w:before="69"/>
        <w:ind w:left="196" w:right="290"/>
        <w:jc w:val="both"/>
        <w:rPr>
          <w:sz w:val="16"/>
        </w:rPr>
      </w:pPr>
      <w:r>
        <w:rPr/>
        <w:t>y se diferencian en células plasmáticas secretoras de anticuerpos, por lo que actúan como mediadores de la inmunidad humoral.</w:t>
      </w:r>
      <w:r>
        <w:rPr>
          <w:position w:val="11"/>
          <w:sz w:val="16"/>
        </w:rPr>
        <w:t>23, 24</w:t>
      </w:r>
    </w:p>
    <w:p>
      <w:pPr>
        <w:pStyle w:val="Heading2"/>
        <w:numPr>
          <w:ilvl w:val="2"/>
          <w:numId w:val="7"/>
        </w:numPr>
        <w:tabs>
          <w:tab w:pos="801" w:val="left" w:leader="none"/>
        </w:tabs>
        <w:spacing w:line="240" w:lineRule="auto" w:before="220" w:after="0"/>
        <w:ind w:left="800" w:right="0" w:hanging="604"/>
        <w:jc w:val="both"/>
      </w:pPr>
      <w:bookmarkStart w:name="_TOC_250056" w:id="10"/>
      <w:r>
        <w:rPr/>
        <w:t>Inmunidad</w:t>
      </w:r>
      <w:r>
        <w:rPr>
          <w:spacing w:val="-10"/>
        </w:rPr>
        <w:t> </w:t>
      </w:r>
      <w:bookmarkEnd w:id="10"/>
      <w:r>
        <w:rPr/>
        <w:t>celular</w:t>
      </w:r>
    </w:p>
    <w:p>
      <w:pPr>
        <w:pStyle w:val="BodyText"/>
        <w:spacing w:before="9"/>
        <w:rPr>
          <w:b/>
          <w:sz w:val="29"/>
        </w:rPr>
      </w:pPr>
    </w:p>
    <w:p>
      <w:pPr>
        <w:pStyle w:val="BodyText"/>
        <w:spacing w:line="362" w:lineRule="auto"/>
        <w:ind w:left="196" w:right="281"/>
        <w:jc w:val="both"/>
      </w:pPr>
      <w:r>
        <w:rPr/>
        <w:t>Durante su etapa de maduración, los linfocitos T (LT) adquieren antígenos o marcadores  de  superficie  CD3.  Los  linfocitos  T  CD3  se  dividen  en:  células   </w:t>
      </w:r>
      <w:r>
        <w:rPr>
          <w:spacing w:val="59"/>
        </w:rPr>
        <w:t> </w:t>
      </w:r>
      <w:r>
        <w:rPr/>
        <w:t>T</w:t>
      </w:r>
    </w:p>
    <w:p>
      <w:pPr>
        <w:pStyle w:val="BodyText"/>
        <w:spacing w:line="324" w:lineRule="auto"/>
        <w:ind w:left="196" w:right="285"/>
        <w:jc w:val="both"/>
        <w:rPr>
          <w:sz w:val="16"/>
        </w:rPr>
      </w:pPr>
      <w:r>
        <w:rPr/>
        <w:t>cooperadoras (Th, del inglés </w:t>
      </w:r>
      <w:r>
        <w:rPr>
          <w:i/>
        </w:rPr>
        <w:t>T helper</w:t>
      </w:r>
      <w:r>
        <w:rPr/>
        <w:t>), las cuales también expresan CD4; y las células T citotóxicas (Tc, de </w:t>
      </w:r>
      <w:r>
        <w:rPr>
          <w:i/>
        </w:rPr>
        <w:t>T citotoxic</w:t>
      </w:r>
      <w:r>
        <w:rPr/>
        <w:t>) que expresan CD3 y CD8.</w:t>
      </w:r>
      <w:r>
        <w:rPr>
          <w:position w:val="11"/>
          <w:sz w:val="16"/>
        </w:rPr>
        <w:t>23, 24</w:t>
      </w:r>
    </w:p>
    <w:p>
      <w:pPr>
        <w:pStyle w:val="BodyText"/>
        <w:spacing w:line="343" w:lineRule="auto" w:before="237"/>
        <w:ind w:left="196" w:right="287"/>
        <w:jc w:val="both"/>
        <w:rPr>
          <w:sz w:val="16"/>
        </w:rPr>
      </w:pPr>
      <w:r>
        <w:rPr/>
        <w:t>Los linfocitos Th (CD3/CD4) se subdividen en linfocitos Th1, Th2, T reguladoras (Treg) y Th17, de acuerdo con el patrón de citocinas que secretan y sus funciones efectoras.</w:t>
      </w:r>
      <w:r>
        <w:rPr>
          <w:position w:val="11"/>
          <w:sz w:val="16"/>
        </w:rPr>
        <w:t>23, 24</w:t>
      </w:r>
    </w:p>
    <w:p>
      <w:pPr>
        <w:pStyle w:val="BodyText"/>
        <w:spacing w:before="205"/>
        <w:ind w:left="196"/>
        <w:jc w:val="both"/>
      </w:pPr>
      <w:r>
        <w:rPr/>
        <w:t>Los  linfocitos  Th1  producen  IL-2  e  interferón  </w:t>
      </w:r>
      <w:r>
        <w:rPr>
          <w:spacing w:val="-3"/>
        </w:rPr>
        <w:t>gamma  </w:t>
      </w:r>
      <w:r>
        <w:rPr/>
        <w:t>(INF-</w:t>
      </w:r>
      <w:r>
        <w:rPr>
          <w:rFonts w:ascii="Symbol" w:hAnsi="Symbol"/>
        </w:rPr>
        <w:t></w:t>
      </w:r>
      <w:r>
        <w:rPr/>
        <w:t>);  a  través  del </w:t>
      </w:r>
      <w:r>
        <w:rPr>
          <w:spacing w:val="55"/>
        </w:rPr>
        <w:t> </w:t>
      </w:r>
      <w:r>
        <w:rPr/>
        <w:t>INF-</w:t>
      </w:r>
    </w:p>
    <w:p>
      <w:pPr>
        <w:pStyle w:val="BodyText"/>
        <w:spacing w:line="360" w:lineRule="auto" w:before="147"/>
        <w:ind w:left="196" w:right="274"/>
        <w:jc w:val="both"/>
      </w:pPr>
      <w:r>
        <w:rPr>
          <w:rFonts w:ascii="Symbol" w:hAnsi="Symbol"/>
        </w:rPr>
        <w:t></w:t>
      </w:r>
      <w:r>
        <w:rPr>
          <w:rFonts w:ascii="Times New Roman" w:hAnsi="Times New Roman"/>
        </w:rPr>
        <w:t> </w:t>
      </w:r>
      <w:r>
        <w:rPr/>
        <w:t>estimulan funciones efectoras de los macrófagos. Los linfocitos Th2 promueven la respuesta inmune humoral, que se caracteriza por la presencia de los citocinas IL-4 y IL-5, las cuales inducen la activación, expansión clonal y diferenciación de células B. las células T reguladoras (Treg) secretan factor de crecimiento transformador beta (TGF-</w:t>
      </w:r>
      <w:r>
        <w:rPr>
          <w:rFonts w:ascii="Symbol" w:hAnsi="Symbol"/>
        </w:rPr>
        <w:t></w:t>
      </w:r>
      <w:r>
        <w:rPr/>
        <w:t>) e IL10, los cuales modulan o inhiben la respuesta inmune celular o  humoral.</w:t>
      </w:r>
    </w:p>
    <w:p>
      <w:pPr>
        <w:pStyle w:val="BodyText"/>
        <w:spacing w:line="324" w:lineRule="auto" w:before="2"/>
        <w:ind w:left="196" w:right="274"/>
        <w:jc w:val="both"/>
        <w:rPr>
          <w:sz w:val="16"/>
        </w:rPr>
      </w:pPr>
      <w:r>
        <w:rPr/>
        <w:t>Mientras tanto, las células Th17 secretan IL-17, que son responsables de la inflamación crónica, como en alergias y enfermedades autoinmunes.</w:t>
      </w:r>
      <w:r>
        <w:rPr>
          <w:position w:val="11"/>
          <w:sz w:val="16"/>
        </w:rPr>
        <w:t>24</w:t>
      </w:r>
    </w:p>
    <w:p>
      <w:pPr>
        <w:pStyle w:val="BodyText"/>
        <w:spacing w:line="350" w:lineRule="auto" w:before="237"/>
        <w:ind w:left="196" w:right="287"/>
        <w:jc w:val="both"/>
        <w:rPr>
          <w:sz w:val="16"/>
        </w:rPr>
      </w:pPr>
      <w:r>
        <w:rPr/>
        <w:t>Los linfocitos Tc (CD3/CD8), una vez activados pueden convertirse en células efectoras (citotóxicas) o células de memoria; contienen gránulos ricos en granzimas y perforinas, secretan citocinas (IFN-</w:t>
      </w:r>
      <w:r>
        <w:rPr>
          <w:rFonts w:ascii="Symbol" w:hAnsi="Symbol"/>
        </w:rPr>
        <w:t></w:t>
      </w:r>
      <w:r>
        <w:rPr>
          <w:rFonts w:ascii="Times New Roman" w:hAnsi="Times New Roman"/>
        </w:rPr>
        <w:t> </w:t>
      </w:r>
      <w:r>
        <w:rPr/>
        <w:t>y TNF-</w:t>
      </w:r>
      <w:r>
        <w:rPr>
          <w:rFonts w:ascii="Symbol" w:hAnsi="Symbol"/>
        </w:rPr>
        <w:t></w:t>
      </w:r>
      <w:r>
        <w:rPr>
          <w:rFonts w:ascii="Calibri" w:hAnsi="Calibri"/>
        </w:rPr>
        <w:t>) </w:t>
      </w:r>
      <w:r>
        <w:rPr/>
        <w:t>y activan macrófagos.</w:t>
      </w:r>
      <w:r>
        <w:rPr>
          <w:position w:val="11"/>
          <w:sz w:val="16"/>
        </w:rPr>
        <w:t>24</w:t>
      </w:r>
    </w:p>
    <w:p>
      <w:pPr>
        <w:pStyle w:val="BodyText"/>
        <w:spacing w:line="360" w:lineRule="auto" w:before="202"/>
        <w:ind w:left="196" w:right="279"/>
        <w:jc w:val="both"/>
      </w:pPr>
      <w:r>
        <w:rPr/>
        <w:t>El receptor para el antígeno (TCR) de los linfocitos T CD4 cooperadores y de los linfocitos T citotóxicos CD8 restringidos por el complejo mayor de histocompatibilidad (MHC) consta de dos cadenas polipeptídicas transmembranarias, designado TCR </w:t>
      </w:r>
      <w:r>
        <w:rPr>
          <w:rFonts w:ascii="Symbol" w:hAnsi="Symbol"/>
        </w:rPr>
        <w:t></w:t>
      </w:r>
      <w:r>
        <w:rPr>
          <w:rFonts w:ascii="Times New Roman" w:hAnsi="Times New Roman"/>
        </w:rPr>
        <w:t> </w:t>
      </w:r>
      <w:r>
        <w:rPr/>
        <w:t>y</w:t>
      </w:r>
    </w:p>
    <w:p>
      <w:pPr>
        <w:pStyle w:val="BodyText"/>
        <w:spacing w:line="360" w:lineRule="auto" w:before="1"/>
        <w:ind w:left="196" w:right="280"/>
        <w:jc w:val="both"/>
      </w:pPr>
      <w:r>
        <w:rPr>
          <w:rFonts w:ascii="Symbol" w:hAnsi="Symbol"/>
        </w:rPr>
        <w:t></w:t>
      </w:r>
      <w:r>
        <w:rPr/>
        <w:t>, unidas entre sí de forma covalente por un enlace disulfuro entre cisteínas extracelulares. Estos linfocitos se llaman T </w:t>
      </w:r>
      <w:r>
        <w:rPr>
          <w:rFonts w:ascii="Symbol" w:hAnsi="Symbol"/>
        </w:rPr>
        <w:t></w:t>
      </w:r>
      <w:r>
        <w:rPr>
          <w:rFonts w:ascii="Times New Roman" w:hAnsi="Times New Roman"/>
        </w:rPr>
        <w:t> </w:t>
      </w:r>
      <w:r>
        <w:rPr/>
        <w:t>Un tipo menos frecuente de TCR, que</w:t>
      </w:r>
    </w:p>
    <w:p>
      <w:pPr>
        <w:spacing w:after="0" w:line="360" w:lineRule="auto"/>
        <w:jc w:val="both"/>
        <w:sectPr>
          <w:pgSz w:w="12240" w:h="15840"/>
          <w:pgMar w:header="726" w:footer="1031" w:top="1340" w:bottom="1220" w:left="1220" w:right="1420"/>
        </w:sectPr>
      </w:pPr>
    </w:p>
    <w:p>
      <w:pPr>
        <w:pStyle w:val="BodyText"/>
        <w:spacing w:before="7"/>
        <w:rPr>
          <w:sz w:val="20"/>
        </w:rPr>
      </w:pPr>
    </w:p>
    <w:p>
      <w:pPr>
        <w:pStyle w:val="BodyText"/>
        <w:spacing w:before="79"/>
        <w:ind w:left="196"/>
        <w:jc w:val="both"/>
        <w:rPr>
          <w:sz w:val="16"/>
        </w:rPr>
      </w:pPr>
      <w:r>
        <w:rPr/>
        <w:t>se encuentra en los linfocitos T </w:t>
      </w:r>
      <w:r>
        <w:rPr>
          <w:rFonts w:ascii="Symbol" w:hAnsi="Symbol"/>
        </w:rPr>
        <w:t></w:t>
      </w:r>
      <w:r>
        <w:rPr/>
        <w:t>, está compuesto por las cadenas </w:t>
      </w:r>
      <w:r>
        <w:rPr>
          <w:rFonts w:ascii="Symbol" w:hAnsi="Symbol"/>
        </w:rPr>
        <w:t></w:t>
      </w:r>
      <w:r>
        <w:rPr>
          <w:rFonts w:ascii="Times New Roman" w:hAnsi="Times New Roman"/>
        </w:rPr>
        <w:t> </w:t>
      </w:r>
      <w:r>
        <w:rPr/>
        <w:t>y </w:t>
      </w:r>
      <w:r>
        <w:rPr>
          <w:rFonts w:ascii="Symbol" w:hAnsi="Symbol"/>
        </w:rPr>
        <w:t></w:t>
      </w:r>
      <w:r>
        <w:rPr>
          <w:rFonts w:ascii="Times New Roman" w:hAnsi="Times New Roman"/>
        </w:rPr>
        <w:t> </w:t>
      </w:r>
      <w:r>
        <w:rPr/>
        <w:t>del   TCR.</w:t>
      </w:r>
      <w:r>
        <w:rPr>
          <w:position w:val="11"/>
          <w:sz w:val="16"/>
        </w:rPr>
        <w:t>24,</w:t>
      </w:r>
    </w:p>
    <w:p>
      <w:pPr>
        <w:spacing w:before="109"/>
        <w:ind w:left="196" w:right="0" w:firstLine="0"/>
        <w:jc w:val="both"/>
        <w:rPr>
          <w:sz w:val="16"/>
        </w:rPr>
      </w:pPr>
      <w:r>
        <w:rPr>
          <w:sz w:val="16"/>
        </w:rPr>
        <w:t>25</w:t>
      </w:r>
    </w:p>
    <w:p>
      <w:pPr>
        <w:pStyle w:val="BodyText"/>
        <w:rPr>
          <w:sz w:val="16"/>
        </w:rPr>
      </w:pPr>
    </w:p>
    <w:p>
      <w:pPr>
        <w:pStyle w:val="BodyText"/>
        <w:rPr>
          <w:sz w:val="16"/>
        </w:rPr>
      </w:pPr>
    </w:p>
    <w:p>
      <w:pPr>
        <w:pStyle w:val="BodyText"/>
        <w:spacing w:before="7"/>
        <w:rPr>
          <w:sz w:val="15"/>
        </w:rPr>
      </w:pPr>
    </w:p>
    <w:p>
      <w:pPr>
        <w:pStyle w:val="Heading2"/>
        <w:numPr>
          <w:ilvl w:val="2"/>
          <w:numId w:val="7"/>
        </w:numPr>
        <w:tabs>
          <w:tab w:pos="801" w:val="left" w:leader="none"/>
        </w:tabs>
        <w:spacing w:line="240" w:lineRule="auto" w:before="0" w:after="0"/>
        <w:ind w:left="800" w:right="0" w:hanging="604"/>
        <w:jc w:val="both"/>
      </w:pPr>
      <w:bookmarkStart w:name="_TOC_250055" w:id="11"/>
      <w:r>
        <w:rPr/>
        <w:t>Inmunidad</w:t>
      </w:r>
      <w:r>
        <w:rPr>
          <w:spacing w:val="-19"/>
        </w:rPr>
        <w:t> </w:t>
      </w:r>
      <w:bookmarkEnd w:id="11"/>
      <w:r>
        <w:rPr/>
        <w:t>humoral</w:t>
      </w:r>
    </w:p>
    <w:p>
      <w:pPr>
        <w:pStyle w:val="BodyText"/>
        <w:rPr>
          <w:b/>
        </w:rPr>
      </w:pPr>
    </w:p>
    <w:p>
      <w:pPr>
        <w:pStyle w:val="BodyText"/>
        <w:spacing w:line="340" w:lineRule="auto" w:before="144"/>
        <w:ind w:left="196" w:right="276"/>
        <w:jc w:val="both"/>
      </w:pPr>
      <w:r>
        <w:rPr/>
        <w:t>Los linfocitos B son fácilmente diferenciables por poseer el marcador de membrana CD19, además de presentar inmunoglobulinas de superficie IgM. Existen varias subpoblaciones de linfocitos B: los linfocitos B-1a (CD19, CD5</w:t>
      </w:r>
      <w:r>
        <w:rPr>
          <w:position w:val="11"/>
          <w:sz w:val="16"/>
        </w:rPr>
        <w:t>+</w:t>
      </w:r>
      <w:r>
        <w:rPr/>
        <w:t>), los linfocitos B-1b (CD19, CD5</w:t>
      </w:r>
      <w:r>
        <w:rPr>
          <w:position w:val="11"/>
          <w:sz w:val="16"/>
        </w:rPr>
        <w:t>-</w:t>
      </w:r>
      <w:r>
        <w:rPr/>
        <w:t>), los linfocitos B de la zona marginal (ZM) (CD19, CD5</w:t>
      </w:r>
      <w:r>
        <w:rPr>
          <w:position w:val="11"/>
          <w:sz w:val="16"/>
        </w:rPr>
        <w:t>-</w:t>
      </w:r>
      <w:r>
        <w:rPr/>
        <w:t>)  </w:t>
      </w:r>
      <w:r>
        <w:rPr>
          <w:spacing w:val="57"/>
        </w:rPr>
        <w:t> </w:t>
      </w:r>
      <w:r>
        <w:rPr/>
        <w:t>y los linfocitos</w:t>
      </w:r>
    </w:p>
    <w:p>
      <w:pPr>
        <w:pStyle w:val="BodyText"/>
        <w:spacing w:line="285" w:lineRule="exact"/>
        <w:ind w:left="196"/>
        <w:jc w:val="both"/>
      </w:pPr>
      <w:r>
        <w:rPr/>
        <w:t>B-2  o  foliculares (FO)  (CD19,  CD5</w:t>
      </w:r>
      <w:r>
        <w:rPr>
          <w:position w:val="11"/>
          <w:sz w:val="16"/>
        </w:rPr>
        <w:t>-</w:t>
      </w:r>
      <w:r>
        <w:rPr/>
        <w:t>). Los linfocitos  B-2  son  los  que  producen </w:t>
      </w:r>
      <w:r>
        <w:rPr>
          <w:spacing w:val="64"/>
        </w:rPr>
        <w:t> </w:t>
      </w:r>
      <w:r>
        <w:rPr/>
        <w:t>la</w:t>
      </w:r>
    </w:p>
    <w:p>
      <w:pPr>
        <w:pStyle w:val="BodyText"/>
        <w:spacing w:before="106"/>
        <w:ind w:left="196"/>
        <w:jc w:val="both"/>
        <w:rPr>
          <w:sz w:val="16"/>
        </w:rPr>
      </w:pPr>
      <w:r>
        <w:rPr/>
        <w:t>respuesta inmune convencional por anticuerpos.</w:t>
      </w:r>
      <w:r>
        <w:rPr>
          <w:position w:val="11"/>
          <w:sz w:val="16"/>
        </w:rPr>
        <w:t>24</w:t>
      </w:r>
    </w:p>
    <w:p>
      <w:pPr>
        <w:pStyle w:val="BodyText"/>
        <w:spacing w:before="1"/>
        <w:rPr>
          <w:sz w:val="36"/>
        </w:rPr>
      </w:pPr>
    </w:p>
    <w:p>
      <w:pPr>
        <w:pStyle w:val="BodyText"/>
        <w:spacing w:line="328" w:lineRule="auto"/>
        <w:ind w:left="196" w:right="286"/>
        <w:jc w:val="both"/>
        <w:rPr>
          <w:sz w:val="16"/>
        </w:rPr>
      </w:pPr>
      <w:r>
        <w:rPr/>
        <w:t>Los linfocitos B, maduran y se diferencian en la médula ósea, pasando por distintos estadios (prolinfocito B, prelinfocito B, linfocito B inmaduro, y linfocito B maduro).</w:t>
      </w:r>
      <w:r>
        <w:rPr>
          <w:position w:val="11"/>
          <w:sz w:val="16"/>
        </w:rPr>
        <w:t>23</w:t>
      </w:r>
    </w:p>
    <w:p>
      <w:pPr>
        <w:pStyle w:val="BodyText"/>
        <w:spacing w:before="7"/>
        <w:rPr>
          <w:sz w:val="26"/>
        </w:rPr>
      </w:pPr>
    </w:p>
    <w:p>
      <w:pPr>
        <w:pStyle w:val="BodyText"/>
        <w:spacing w:line="360" w:lineRule="auto" w:before="1"/>
        <w:ind w:left="196" w:right="287"/>
        <w:jc w:val="both"/>
      </w:pPr>
      <w:r>
        <w:rPr/>
        <w:t>Los linfocitos B pueden ser activados por dos rutas, dependiendo de la naturaleza del antígeno. La vía timoindependiente depende del reconocimiento directo de componentes de la pared bacteriana (lipopolisacáridos, antígenos poliméricos y polisacáridos capsulares) por las inmunoglobulinas de membrana (IgM). Este reconocimiento activa  al  linfocito  B e induce la generación de células   plasmáticas,</w:t>
      </w:r>
    </w:p>
    <w:p>
      <w:pPr>
        <w:pStyle w:val="BodyText"/>
        <w:spacing w:line="279" w:lineRule="exact"/>
        <w:ind w:left="196"/>
        <w:jc w:val="both"/>
        <w:rPr>
          <w:sz w:val="16"/>
        </w:rPr>
      </w:pPr>
      <w:r>
        <w:rPr/>
        <w:t>responsables de la síntesis de anticuerpos.</w:t>
      </w:r>
      <w:r>
        <w:rPr>
          <w:position w:val="11"/>
          <w:sz w:val="16"/>
        </w:rPr>
        <w:t>24</w:t>
      </w:r>
    </w:p>
    <w:p>
      <w:pPr>
        <w:pStyle w:val="BodyText"/>
        <w:spacing w:before="9"/>
        <w:rPr>
          <w:sz w:val="32"/>
        </w:rPr>
      </w:pPr>
    </w:p>
    <w:p>
      <w:pPr>
        <w:pStyle w:val="BodyText"/>
        <w:spacing w:line="360" w:lineRule="auto"/>
        <w:ind w:left="196" w:right="288"/>
        <w:jc w:val="both"/>
      </w:pPr>
      <w:r>
        <w:rPr/>
        <w:t>En la activación timodependiente, el linfocito B se comporta como una célula presentadora de antígeno (CPA); a través de la IgM, el linfocito reconoce los antígenos para después endocitarlos, procesarlos y presentarlos en el contexto de MHC-II (complejo mayor de histocompatibilidad II) al linfocito T CD4. La interacción entre ambos linfocitos es estabilizada por moléculas accesorias. El linfocito Th  libera</w:t>
      </w:r>
    </w:p>
    <w:p>
      <w:pPr>
        <w:pStyle w:val="BodyText"/>
        <w:spacing w:line="328" w:lineRule="auto" w:before="7"/>
        <w:ind w:left="196" w:right="288"/>
        <w:jc w:val="both"/>
        <w:rPr>
          <w:sz w:val="16"/>
        </w:rPr>
      </w:pPr>
      <w:r>
        <w:rPr/>
        <w:t>citocinas que inducen la proliferación y diferenciación de linfocitos B a células plasmáticas productoras de anticuerpos o a linfocitos B de memoria.</w:t>
      </w:r>
      <w:r>
        <w:rPr>
          <w:position w:val="11"/>
          <w:sz w:val="16"/>
        </w:rPr>
        <w:t>24</w:t>
      </w:r>
    </w:p>
    <w:p>
      <w:pPr>
        <w:pStyle w:val="BodyText"/>
        <w:spacing w:before="3"/>
        <w:rPr>
          <w:sz w:val="26"/>
        </w:rPr>
      </w:pPr>
    </w:p>
    <w:p>
      <w:pPr>
        <w:pStyle w:val="BodyText"/>
        <w:spacing w:line="362" w:lineRule="auto"/>
        <w:ind w:left="196" w:right="277"/>
        <w:jc w:val="both"/>
      </w:pPr>
      <w:r>
        <w:rPr/>
        <w:t>El receptor para antígeno de los linfocitos B (BCR) es una forma transmembranaria, constituida  por  una  inmunoglobulina  anclada  a  la  membrana  asociada  con   </w:t>
      </w:r>
      <w:r>
        <w:rPr>
          <w:spacing w:val="62"/>
        </w:rPr>
        <w:t> </w:t>
      </w:r>
      <w:r>
        <w:rPr/>
        <w:t>un</w:t>
      </w:r>
    </w:p>
    <w:p>
      <w:pPr>
        <w:spacing w:after="0" w:line="362" w:lineRule="auto"/>
        <w:jc w:val="both"/>
        <w:sectPr>
          <w:pgSz w:w="12240" w:h="15840"/>
          <w:pgMar w:header="726" w:footer="1031" w:top="1340" w:bottom="1220" w:left="1220" w:right="1420"/>
        </w:sectPr>
      </w:pPr>
    </w:p>
    <w:p>
      <w:pPr>
        <w:pStyle w:val="BodyText"/>
        <w:spacing w:before="8"/>
      </w:pPr>
    </w:p>
    <w:p>
      <w:pPr>
        <w:pStyle w:val="BodyText"/>
        <w:spacing w:line="355" w:lineRule="auto" w:before="56"/>
        <w:ind w:left="196" w:right="274"/>
        <w:jc w:val="both"/>
        <w:rPr>
          <w:sz w:val="16"/>
        </w:rPr>
      </w:pPr>
      <w:r>
        <w:rPr/>
        <w:t>heterodímero Ig</w:t>
      </w:r>
      <w:r>
        <w:rPr>
          <w:rFonts w:ascii="Symbol" w:hAnsi="Symbol"/>
        </w:rPr>
        <w:t></w:t>
      </w:r>
      <w:r>
        <w:rPr>
          <w:rFonts w:ascii="Times New Roman" w:hAnsi="Times New Roman"/>
        </w:rPr>
        <w:t> </w:t>
      </w:r>
      <w:r>
        <w:rPr/>
        <w:t>(CD79a) e Ig</w:t>
      </w:r>
      <w:r>
        <w:rPr>
          <w:rFonts w:ascii="Symbol" w:hAnsi="Symbol"/>
        </w:rPr>
        <w:t></w:t>
      </w:r>
      <w:r>
        <w:rPr>
          <w:rFonts w:ascii="Times New Roman" w:hAnsi="Times New Roman"/>
        </w:rPr>
        <w:t> </w:t>
      </w:r>
      <w:r>
        <w:rPr>
          <w:rFonts w:ascii="Calibri" w:hAnsi="Calibri"/>
        </w:rPr>
        <w:t>(</w:t>
      </w:r>
      <w:r>
        <w:rPr/>
        <w:t>CD79b</w:t>
      </w:r>
      <w:r>
        <w:rPr>
          <w:rFonts w:ascii="Calibri" w:hAnsi="Calibri"/>
        </w:rPr>
        <w:t>), </w:t>
      </w:r>
      <w:r>
        <w:rPr/>
        <w:t>unidas por un enlace disulfuro, cuyas colas citoplasmáticas contienen un solo motivo de ITAM (motivos de activación de inmunorreceptor basado en tirosina). Mientras que la inmunoglobulina es la responsable del reconocimiento antigénico, la transducción de la señal al interior de la célula B se lleva a cabo por el heterodímero Ig</w:t>
      </w:r>
      <w:r>
        <w:rPr>
          <w:rFonts w:ascii="Symbol" w:hAnsi="Symbol"/>
        </w:rPr>
        <w:t></w:t>
      </w:r>
      <w:r>
        <w:rPr/>
        <w:t>-Ig</w:t>
      </w:r>
      <w:r>
        <w:rPr>
          <w:rFonts w:ascii="Symbol" w:hAnsi="Symbol"/>
        </w:rPr>
        <w:t></w:t>
      </w:r>
      <w:r>
        <w:rPr/>
        <w:t>.</w:t>
      </w:r>
      <w:r>
        <w:rPr>
          <w:position w:val="11"/>
          <w:sz w:val="16"/>
        </w:rPr>
        <w:t>23,</w:t>
      </w:r>
      <w:r>
        <w:rPr>
          <w:spacing w:val="-26"/>
          <w:position w:val="11"/>
          <w:sz w:val="16"/>
        </w:rPr>
        <w:t> </w:t>
      </w:r>
      <w:r>
        <w:rPr>
          <w:position w:val="11"/>
          <w:sz w:val="16"/>
        </w:rPr>
        <w:t>25</w:t>
      </w:r>
    </w:p>
    <w:p>
      <w:pPr>
        <w:pStyle w:val="BodyText"/>
        <w:ind w:left="2816"/>
        <w:rPr>
          <w:sz w:val="20"/>
        </w:rPr>
      </w:pPr>
      <w:r>
        <w:rPr>
          <w:sz w:val="20"/>
        </w:rPr>
        <w:drawing>
          <wp:inline distT="0" distB="0" distL="0" distR="0">
            <wp:extent cx="2406136" cy="2179605"/>
            <wp:effectExtent l="0" t="0" r="0" b="0"/>
            <wp:docPr id="7" name="image11.png" descr=""/>
            <wp:cNvGraphicFramePr>
              <a:graphicFrameLocks noChangeAspect="1"/>
            </wp:cNvGraphicFramePr>
            <a:graphic>
              <a:graphicData uri="http://schemas.openxmlformats.org/drawingml/2006/picture">
                <pic:pic>
                  <pic:nvPicPr>
                    <pic:cNvPr id="8" name="image11.png"/>
                    <pic:cNvPicPr/>
                  </pic:nvPicPr>
                  <pic:blipFill>
                    <a:blip r:embed="rId22" cstate="print"/>
                    <a:stretch>
                      <a:fillRect/>
                    </a:stretch>
                  </pic:blipFill>
                  <pic:spPr>
                    <a:xfrm>
                      <a:off x="0" y="0"/>
                      <a:ext cx="2406136" cy="2179605"/>
                    </a:xfrm>
                    <a:prstGeom prst="rect">
                      <a:avLst/>
                    </a:prstGeom>
                  </pic:spPr>
                </pic:pic>
              </a:graphicData>
            </a:graphic>
          </wp:inline>
        </w:drawing>
      </w:r>
      <w:r>
        <w:rPr>
          <w:sz w:val="20"/>
        </w:rPr>
      </w:r>
    </w:p>
    <w:p>
      <w:pPr>
        <w:spacing w:before="131"/>
        <w:ind w:left="3120" w:right="0" w:firstLine="0"/>
        <w:jc w:val="left"/>
        <w:rPr>
          <w:sz w:val="20"/>
        </w:rPr>
      </w:pPr>
      <w:r>
        <w:rPr>
          <w:b/>
          <w:sz w:val="20"/>
        </w:rPr>
        <w:t>Figura 4. </w:t>
      </w:r>
      <w:r>
        <w:rPr>
          <w:i/>
          <w:sz w:val="20"/>
        </w:rPr>
        <w:t>Linfocito B. </w:t>
      </w:r>
      <w:r>
        <w:rPr>
          <w:sz w:val="20"/>
        </w:rPr>
        <w:t>Fuente directa.</w:t>
      </w:r>
    </w:p>
    <w:p>
      <w:pPr>
        <w:pStyle w:val="BodyText"/>
        <w:rPr>
          <w:sz w:val="20"/>
        </w:rPr>
      </w:pPr>
    </w:p>
    <w:p>
      <w:pPr>
        <w:pStyle w:val="BodyText"/>
        <w:spacing w:before="6"/>
        <w:rPr>
          <w:sz w:val="20"/>
        </w:rPr>
      </w:pPr>
    </w:p>
    <w:p>
      <w:pPr>
        <w:pStyle w:val="BodyText"/>
        <w:spacing w:before="1"/>
        <w:ind w:left="196"/>
        <w:jc w:val="both"/>
      </w:pPr>
      <w:r>
        <w:rPr/>
        <w:t>2.2.2.1 </w:t>
      </w:r>
      <w:r>
        <w:rPr>
          <w:u w:val="single"/>
        </w:rPr>
        <w:t>Anticuerpos (Inmunoglobulinas)</w:t>
      </w:r>
    </w:p>
    <w:p>
      <w:pPr>
        <w:pStyle w:val="BodyText"/>
        <w:spacing w:before="8"/>
        <w:rPr>
          <w:sz w:val="26"/>
        </w:rPr>
      </w:pPr>
    </w:p>
    <w:p>
      <w:pPr>
        <w:pStyle w:val="BodyText"/>
        <w:spacing w:line="345" w:lineRule="auto" w:before="70"/>
        <w:ind w:left="196" w:right="289"/>
        <w:jc w:val="both"/>
        <w:rPr>
          <w:sz w:val="16"/>
        </w:rPr>
      </w:pPr>
      <w:r>
        <w:rPr/>
        <w:t>Los anticuerpos son proteínas glucosiladas que se encuentran en la circulación sanguínea y en las secreciones biológicas, se producen en los vertebrados en respuesta a la exposición a estructuras extrañas conocidas como antígenos. </w:t>
      </w:r>
      <w:r>
        <w:rPr>
          <w:position w:val="11"/>
          <w:sz w:val="16"/>
        </w:rPr>
        <w:t>23, 24</w:t>
      </w:r>
    </w:p>
    <w:p>
      <w:pPr>
        <w:pStyle w:val="BodyText"/>
        <w:spacing w:before="5"/>
      </w:pPr>
    </w:p>
    <w:p>
      <w:pPr>
        <w:pStyle w:val="BodyText"/>
        <w:spacing w:line="360" w:lineRule="auto"/>
        <w:ind w:left="196" w:right="284"/>
        <w:jc w:val="both"/>
      </w:pPr>
      <w:r>
        <w:rPr/>
        <w:t>En la activación de los linfocitos B, estos proliferan y se diferencian en células plasmáticas secretoras de anticuerpos. Cada célula plasmática secreta anticuerpos que tienen la misma zona de unión al antígeno que los anticuerpos de su superficie (receptores del linfocito B), que reconocen en primer lugar al antígeno. Los polisacáridos y los lípidos estimulan,  sobre todo, la  clase  de  anticuerpo  IgM.    Los</w:t>
      </w:r>
    </w:p>
    <w:p>
      <w:pPr>
        <w:pStyle w:val="BodyText"/>
        <w:spacing w:line="324" w:lineRule="auto" w:before="7"/>
        <w:ind w:left="196" w:right="288"/>
        <w:jc w:val="both"/>
        <w:rPr>
          <w:sz w:val="16"/>
        </w:rPr>
      </w:pPr>
      <w:r>
        <w:rPr/>
        <w:t>antígenos proteínicos inducen la producción de anticuerpos de clases funcionales diferentes (IgG, IgA, IgE) a partir de un solo clon de linfocito B.</w:t>
      </w:r>
      <w:r>
        <w:rPr>
          <w:position w:val="11"/>
          <w:sz w:val="16"/>
        </w:rPr>
        <w:t>23</w:t>
      </w:r>
    </w:p>
    <w:p>
      <w:pPr>
        <w:pStyle w:val="BodyText"/>
        <w:spacing w:line="360" w:lineRule="auto" w:before="236"/>
        <w:ind w:left="196" w:right="289"/>
        <w:jc w:val="both"/>
      </w:pPr>
      <w:r>
        <w:rPr/>
        <w:t>La producción de estos diferentes anticuerpos, todos con la </w:t>
      </w:r>
      <w:r>
        <w:rPr>
          <w:spacing w:val="-3"/>
        </w:rPr>
        <w:t>misma </w:t>
      </w:r>
      <w:r>
        <w:rPr/>
        <w:t>especificidad, se denomina  cambio  de  clase  y  requiere  la  acción  de  linfocitos  T   </w:t>
      </w:r>
      <w:r>
        <w:rPr>
          <w:spacing w:val="66"/>
        </w:rPr>
        <w:t> </w:t>
      </w:r>
      <w:r>
        <w:rPr/>
        <w:t>cooperadores;</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28" w:lineRule="auto" w:before="69"/>
        <w:ind w:left="196" w:right="279"/>
        <w:jc w:val="both"/>
        <w:rPr>
          <w:sz w:val="16"/>
        </w:rPr>
      </w:pPr>
      <w:r>
        <w:rPr/>
        <w:t>proporciona plasticidad a la respuesta de anticuerpos, capacitándola para intervenir en diversas funciones.</w:t>
      </w:r>
      <w:r>
        <w:rPr>
          <w:position w:val="11"/>
          <w:sz w:val="16"/>
        </w:rPr>
        <w:t>23</w:t>
      </w:r>
    </w:p>
    <w:p>
      <w:pPr>
        <w:pStyle w:val="BodyText"/>
        <w:spacing w:line="340" w:lineRule="auto" w:before="230"/>
        <w:ind w:left="196" w:right="280"/>
        <w:jc w:val="both"/>
        <w:rPr>
          <w:sz w:val="16"/>
        </w:rPr>
      </w:pPr>
      <w:r>
        <w:rPr/>
        <w:t>Los linfocitos T cooperadores también estimulan la producción de anticuerpos con una afinidad cada vez mayor por el antígeno; este proceso llamado maduración de la afinidad, mejora la calidad de la respuesta inmune humoral.</w:t>
      </w:r>
      <w:r>
        <w:rPr>
          <w:position w:val="11"/>
          <w:sz w:val="16"/>
        </w:rPr>
        <w:t>23</w:t>
      </w:r>
    </w:p>
    <w:p>
      <w:pPr>
        <w:pStyle w:val="ListParagraph"/>
        <w:numPr>
          <w:ilvl w:val="0"/>
          <w:numId w:val="8"/>
        </w:numPr>
        <w:tabs>
          <w:tab w:pos="624" w:val="left" w:leader="none"/>
        </w:tabs>
        <w:spacing w:line="240" w:lineRule="auto" w:before="210" w:after="0"/>
        <w:ind w:left="623" w:right="0" w:hanging="360"/>
        <w:jc w:val="both"/>
        <w:rPr>
          <w:sz w:val="24"/>
        </w:rPr>
      </w:pPr>
      <w:r>
        <w:rPr>
          <w:sz w:val="24"/>
        </w:rPr>
        <w:t>Estructura de los</w:t>
      </w:r>
      <w:r>
        <w:rPr>
          <w:spacing w:val="-11"/>
          <w:sz w:val="24"/>
        </w:rPr>
        <w:t> </w:t>
      </w:r>
      <w:r>
        <w:rPr>
          <w:sz w:val="24"/>
        </w:rPr>
        <w:t>anticuerpos</w:t>
      </w:r>
    </w:p>
    <w:p>
      <w:pPr>
        <w:pStyle w:val="BodyText"/>
        <w:spacing w:before="9"/>
        <w:rPr>
          <w:sz w:val="29"/>
        </w:rPr>
      </w:pPr>
    </w:p>
    <w:p>
      <w:pPr>
        <w:pStyle w:val="BodyText"/>
        <w:spacing w:line="340" w:lineRule="auto"/>
        <w:ind w:left="196" w:right="289"/>
        <w:jc w:val="both"/>
        <w:rPr>
          <w:sz w:val="16"/>
        </w:rPr>
      </w:pPr>
      <w:r>
        <w:rPr/>
        <w:t>De manera general, las moléculas de anticuerpo comparten las mismas características estructurales básicas, pero muestran una variabilidad acentuada en las regiones que se unen a los antígenos.</w:t>
      </w:r>
      <w:r>
        <w:rPr>
          <w:position w:val="11"/>
          <w:sz w:val="16"/>
        </w:rPr>
        <w:t>23</w:t>
      </w:r>
    </w:p>
    <w:p>
      <w:pPr>
        <w:pStyle w:val="BodyText"/>
        <w:spacing w:line="362" w:lineRule="auto" w:before="215"/>
        <w:ind w:left="196" w:right="285"/>
        <w:jc w:val="both"/>
      </w:pPr>
      <w:r>
        <w:rPr/>
        <w:t>Una molécula de anticuerpo se compone de dos cadenas pesadas (H) y dos cadenas ligeras (L). Las cadenas H y L están unidas de forma covalente por enlaces disulfuro; también existen muchas uniones no covalentes, que incluyen las interacciones de</w:t>
      </w:r>
    </w:p>
    <w:p>
      <w:pPr>
        <w:pStyle w:val="BodyText"/>
        <w:spacing w:line="324" w:lineRule="auto"/>
        <w:ind w:left="196" w:right="286"/>
        <w:jc w:val="both"/>
        <w:rPr>
          <w:sz w:val="16"/>
        </w:rPr>
      </w:pPr>
      <w:r>
        <w:rPr/>
        <w:t>tipo salino, las interacciones hidrofóbicas, las fuerzas de Van de Waals y puentes de hidrógeno.</w:t>
      </w:r>
      <w:r>
        <w:rPr>
          <w:position w:val="11"/>
          <w:sz w:val="16"/>
        </w:rPr>
        <w:t>23, 24, 26</w:t>
      </w:r>
    </w:p>
    <w:p>
      <w:pPr>
        <w:pStyle w:val="BodyText"/>
        <w:spacing w:line="343" w:lineRule="auto" w:before="236"/>
        <w:ind w:left="196" w:right="290"/>
        <w:jc w:val="both"/>
        <w:rPr>
          <w:sz w:val="16"/>
        </w:rPr>
      </w:pPr>
      <w:r>
        <w:rPr/>
        <w:t>Las cadenas L y H contienen una serie de unidades repetidas, homólogas, cada una de unos 110 aminoácidos de longitud, que se pliegan independientemente en una estructura globular que se llama dominio de Ig. </w:t>
      </w:r>
      <w:r>
        <w:rPr>
          <w:position w:val="11"/>
          <w:sz w:val="16"/>
        </w:rPr>
        <w:t>23, 24</w:t>
      </w:r>
    </w:p>
    <w:p>
      <w:pPr>
        <w:pStyle w:val="BodyText"/>
        <w:spacing w:line="348" w:lineRule="auto" w:before="212"/>
        <w:ind w:left="196" w:right="279"/>
        <w:jc w:val="both"/>
        <w:rPr>
          <w:sz w:val="16"/>
        </w:rPr>
      </w:pPr>
      <w:r>
        <w:rPr/>
        <w:t>Ambos tipos de cadenas constan de regiones amino terminales variables (V) que participan en el reconocimiento del antígeno y las regiones carboxilo terminales constantes (C); las regiones C de las cadenas pesadas median las funciones efectoras.</w:t>
      </w:r>
      <w:r>
        <w:rPr>
          <w:position w:val="11"/>
          <w:sz w:val="16"/>
        </w:rPr>
        <w:t>23, 24</w:t>
      </w:r>
    </w:p>
    <w:p>
      <w:pPr>
        <w:pStyle w:val="BodyText"/>
        <w:spacing w:line="360" w:lineRule="auto" w:before="206"/>
        <w:ind w:left="196" w:right="284"/>
        <w:jc w:val="both"/>
      </w:pPr>
      <w:r>
        <w:rPr/>
        <w:t>En las cadenas H, la región V se compone de un dominio de Ig y la región C se compone de tres o cuatro dominios de Ig, llamándose C1, C2, C3 y C4. En la cadena</w:t>
      </w:r>
    </w:p>
    <w:p>
      <w:pPr>
        <w:pStyle w:val="BodyText"/>
        <w:spacing w:line="324" w:lineRule="auto" w:before="7"/>
        <w:ind w:left="196" w:right="284"/>
        <w:jc w:val="both"/>
        <w:rPr>
          <w:sz w:val="16"/>
        </w:rPr>
      </w:pPr>
      <w:r>
        <w:rPr/>
        <w:t>L, la región V y la región C, cada una se </w:t>
      </w:r>
      <w:r>
        <w:rPr>
          <w:spacing w:val="-3"/>
        </w:rPr>
        <w:t>compone </w:t>
      </w:r>
      <w:r>
        <w:rPr/>
        <w:t>de un domino de Ig, llamándose  V1 (Figura 5). </w:t>
      </w:r>
      <w:r>
        <w:rPr>
          <w:position w:val="11"/>
          <w:sz w:val="16"/>
        </w:rPr>
        <w:t>23,</w:t>
      </w:r>
      <w:r>
        <w:rPr>
          <w:spacing w:val="-30"/>
          <w:position w:val="11"/>
          <w:sz w:val="16"/>
        </w:rPr>
        <w:t> </w:t>
      </w:r>
      <w:r>
        <w:rPr>
          <w:position w:val="11"/>
          <w:sz w:val="16"/>
        </w:rPr>
        <w:t>24</w:t>
      </w:r>
    </w:p>
    <w:p>
      <w:pPr>
        <w:pStyle w:val="BodyText"/>
        <w:spacing w:line="360" w:lineRule="auto" w:before="236"/>
        <w:ind w:left="196" w:right="284"/>
        <w:jc w:val="both"/>
      </w:pPr>
      <w:r>
        <w:rPr/>
        <w:t>Los genes para las cadenas pesadas de las Igs se localizan en el cromosoma 14 de los linfocitos B; existen por lo menos 4 familias de genes (V, D, J y C) relacionados</w:t>
      </w:r>
    </w:p>
    <w:p>
      <w:pPr>
        <w:spacing w:after="0" w:line="360" w:lineRule="auto"/>
        <w:jc w:val="both"/>
        <w:sectPr>
          <w:footerReference w:type="default" r:id="rId23"/>
          <w:pgSz w:w="12240" w:h="15840"/>
          <w:pgMar w:footer="1031" w:header="726" w:top="1340" w:bottom="1220" w:left="1220" w:right="1420"/>
        </w:sectPr>
      </w:pPr>
    </w:p>
    <w:p>
      <w:pPr>
        <w:pStyle w:val="BodyText"/>
        <w:spacing w:before="3"/>
        <w:rPr>
          <w:sz w:val="23"/>
        </w:rPr>
      </w:pPr>
    </w:p>
    <w:p>
      <w:pPr>
        <w:pStyle w:val="BodyText"/>
        <w:spacing w:line="355" w:lineRule="auto" w:before="69"/>
        <w:ind w:left="196" w:right="279"/>
        <w:jc w:val="both"/>
        <w:rPr>
          <w:sz w:val="16"/>
        </w:rPr>
      </w:pPr>
      <w:r>
        <w:rPr/>
        <w:t>con la síntesis de las cadenas pesadas. Cada familia se integra de la siguiente manera: aproximadamente por 50 genes de la región variable (V), 30 genes de diversidad (D), 6 genes para la región de unión (J) y 9 genes de región constante (C) (C</w:t>
      </w:r>
      <w:r>
        <w:rPr>
          <w:rFonts w:ascii="Symbol" w:hAnsi="Symbol"/>
        </w:rPr>
        <w:t></w:t>
      </w:r>
      <w:r>
        <w:rPr/>
        <w:t>, C</w:t>
      </w:r>
      <w:r>
        <w:rPr>
          <w:rFonts w:ascii="Symbol" w:hAnsi="Symbol"/>
        </w:rPr>
        <w:t></w:t>
      </w:r>
      <w:r>
        <w:rPr/>
        <w:t>, C</w:t>
      </w:r>
      <w:r>
        <w:rPr>
          <w:rFonts w:ascii="Symbol" w:hAnsi="Symbol"/>
        </w:rPr>
        <w:t></w:t>
      </w:r>
      <w:r>
        <w:rPr/>
        <w:t>3, C</w:t>
      </w:r>
      <w:r>
        <w:rPr>
          <w:rFonts w:ascii="Symbol" w:hAnsi="Symbol"/>
        </w:rPr>
        <w:t></w:t>
      </w:r>
      <w:r>
        <w:rPr/>
        <w:t>1, C</w:t>
      </w:r>
      <w:r>
        <w:rPr>
          <w:rFonts w:ascii="Symbol" w:hAnsi="Symbol"/>
        </w:rPr>
        <w:t></w:t>
      </w:r>
      <w:r>
        <w:rPr/>
        <w:t>1, C</w:t>
      </w:r>
      <w:r>
        <w:rPr>
          <w:rFonts w:ascii="Symbol" w:hAnsi="Symbol"/>
        </w:rPr>
        <w:t></w:t>
      </w:r>
      <w:r>
        <w:rPr/>
        <w:t>2, C</w:t>
      </w:r>
      <w:r>
        <w:rPr>
          <w:rFonts w:ascii="Symbol" w:hAnsi="Symbol"/>
        </w:rPr>
        <w:t></w:t>
      </w:r>
      <w:r>
        <w:rPr/>
        <w:t>4, C</w:t>
      </w:r>
      <w:r>
        <w:rPr>
          <w:rFonts w:ascii="Symbol" w:hAnsi="Symbol"/>
        </w:rPr>
        <w:t></w:t>
      </w:r>
      <w:r>
        <w:rPr/>
        <w:t>, C</w:t>
      </w:r>
      <w:r>
        <w:rPr>
          <w:rFonts w:ascii="Symbol" w:hAnsi="Symbol"/>
        </w:rPr>
        <w:t></w:t>
      </w:r>
      <w:r>
        <w:rPr/>
        <w:t>2).</w:t>
      </w:r>
      <w:r>
        <w:rPr>
          <w:position w:val="11"/>
          <w:sz w:val="16"/>
        </w:rPr>
        <w:t>27</w:t>
      </w:r>
    </w:p>
    <w:p>
      <w:pPr>
        <w:pStyle w:val="BodyText"/>
        <w:spacing w:line="350" w:lineRule="auto" w:before="242"/>
        <w:ind w:left="196" w:right="274"/>
        <w:jc w:val="both"/>
        <w:rPr>
          <w:sz w:val="16"/>
        </w:rPr>
      </w:pPr>
      <w:r>
        <w:rPr/>
        <w:t>Las familias de genes para las cadenas ligeras, se integran de la siguiente manera:  la familia V con aproximadamente 70 miembros, la familia J con ≈ 9 miembros, y la familia C con 8 miembros (</w:t>
      </w:r>
      <w:r>
        <w:rPr>
          <w:rFonts w:ascii="Symbol" w:hAnsi="Symbol"/>
        </w:rPr>
        <w:t></w:t>
      </w:r>
      <w:r>
        <w:rPr/>
        <w:t>1, </w:t>
      </w:r>
      <w:r>
        <w:rPr>
          <w:rFonts w:ascii="Symbol" w:hAnsi="Symbol"/>
        </w:rPr>
        <w:t></w:t>
      </w:r>
      <w:r>
        <w:rPr>
          <w:rFonts w:ascii="Times New Roman" w:hAnsi="Times New Roman"/>
        </w:rPr>
        <w:t> </w:t>
      </w:r>
      <w:r>
        <w:rPr/>
        <w:t>2, y </w:t>
      </w:r>
      <w:r>
        <w:rPr>
          <w:rFonts w:ascii="Symbol" w:hAnsi="Symbol"/>
          <w:spacing w:val="-4"/>
        </w:rPr>
        <w:t></w:t>
      </w:r>
      <w:r>
        <w:rPr>
          <w:spacing w:val="-4"/>
        </w:rPr>
        <w:t>3 </w:t>
      </w:r>
      <w:r>
        <w:rPr/>
        <w:t>en el cromosoma 2; </w:t>
      </w:r>
      <w:r>
        <w:rPr>
          <w:rFonts w:ascii="Symbol" w:hAnsi="Symbol"/>
        </w:rPr>
        <w:t></w:t>
      </w:r>
      <w:r>
        <w:rPr/>
        <w:t>1, </w:t>
      </w:r>
      <w:r>
        <w:rPr>
          <w:rFonts w:ascii="Symbol" w:hAnsi="Symbol"/>
        </w:rPr>
        <w:t></w:t>
      </w:r>
      <w:r>
        <w:rPr/>
        <w:t>2, </w:t>
      </w:r>
      <w:r>
        <w:rPr>
          <w:rFonts w:ascii="Symbol" w:hAnsi="Symbol"/>
        </w:rPr>
        <w:t></w:t>
      </w:r>
      <w:r>
        <w:rPr/>
        <w:t>3, </w:t>
      </w:r>
      <w:r>
        <w:rPr>
          <w:rFonts w:ascii="Symbol" w:hAnsi="Symbol"/>
        </w:rPr>
        <w:t></w:t>
      </w:r>
      <w:r>
        <w:rPr/>
        <w:t>4 y </w:t>
      </w:r>
      <w:r>
        <w:rPr>
          <w:rFonts w:ascii="Symbol" w:hAnsi="Symbol"/>
        </w:rPr>
        <w:t></w:t>
      </w:r>
      <w:r>
        <w:rPr/>
        <w:t>5 en el cromosoma</w:t>
      </w:r>
      <w:r>
        <w:rPr>
          <w:spacing w:val="-11"/>
        </w:rPr>
        <w:t> </w:t>
      </w:r>
      <w:r>
        <w:rPr/>
        <w:t>22).</w:t>
      </w:r>
      <w:r>
        <w:rPr>
          <w:position w:val="11"/>
          <w:sz w:val="16"/>
        </w:rPr>
        <w:t>27</w:t>
      </w:r>
    </w:p>
    <w:p>
      <w:pPr>
        <w:pStyle w:val="BodyText"/>
        <w:spacing w:before="4"/>
      </w:pPr>
    </w:p>
    <w:p>
      <w:pPr>
        <w:pStyle w:val="BodyText"/>
        <w:spacing w:line="357" w:lineRule="auto"/>
        <w:ind w:left="196" w:right="273"/>
        <w:jc w:val="both"/>
      </w:pPr>
      <w:r>
        <w:rPr/>
        <w:t>El sitio activo del anticuerpo está formado por la región V de las cadenas L y  H. dentro de las regiones V</w:t>
      </w:r>
      <w:r>
        <w:rPr>
          <w:position w:val="-2"/>
          <w:sz w:val="16"/>
        </w:rPr>
        <w:t>H </w:t>
      </w:r>
      <w:r>
        <w:rPr/>
        <w:t>y V</w:t>
      </w:r>
      <w:r>
        <w:rPr>
          <w:position w:val="-2"/>
          <w:sz w:val="16"/>
        </w:rPr>
        <w:t>L</w:t>
      </w:r>
      <w:r>
        <w:rPr/>
        <w:t>, existen tres pequeñas regiones donde la variación en la secuencia de aminoácidos es mayor que en el resto del dominio variable; a estas tres partes se les denomina región hipervariable, o región determinante de la complementariedad (CDR). El sitio activo del anticuerpo    es la región que interactúa</w:t>
      </w:r>
    </w:p>
    <w:p>
      <w:pPr>
        <w:pStyle w:val="BodyText"/>
        <w:spacing w:line="324" w:lineRule="auto" w:before="5"/>
        <w:ind w:left="196" w:right="276"/>
        <w:jc w:val="both"/>
        <w:rPr>
          <w:sz w:val="16"/>
        </w:rPr>
      </w:pPr>
      <w:r>
        <w:rPr/>
        <w:t>de manera específica con el antígeno durante la reacción antígeno-anticuerpo, en esta reacción no hay uniones covalentes sino enlaces de baja energía. </w:t>
      </w:r>
      <w:r>
        <w:rPr>
          <w:position w:val="11"/>
          <w:sz w:val="16"/>
        </w:rPr>
        <w:t>23, 24, 28</w:t>
      </w:r>
    </w:p>
    <w:p>
      <w:pPr>
        <w:pStyle w:val="BodyText"/>
        <w:spacing w:before="10"/>
        <w:rPr>
          <w:sz w:val="14"/>
        </w:rPr>
      </w:pPr>
      <w:r>
        <w:rPr/>
        <w:drawing>
          <wp:anchor distT="0" distB="0" distL="0" distR="0" allowOverlap="1" layoutInCell="1" locked="0" behindDoc="0" simplePos="0" relativeHeight="1120">
            <wp:simplePos x="0" y="0"/>
            <wp:positionH relativeFrom="page">
              <wp:posOffset>2545714</wp:posOffset>
            </wp:positionH>
            <wp:positionV relativeFrom="paragraph">
              <wp:posOffset>133695</wp:posOffset>
            </wp:positionV>
            <wp:extent cx="2671997" cy="2590038"/>
            <wp:effectExtent l="0" t="0" r="0" b="0"/>
            <wp:wrapTopAndBottom/>
            <wp:docPr id="9" name="image12.png" descr=""/>
            <wp:cNvGraphicFramePr>
              <a:graphicFrameLocks noChangeAspect="1"/>
            </wp:cNvGraphicFramePr>
            <a:graphic>
              <a:graphicData uri="http://schemas.openxmlformats.org/drawingml/2006/picture">
                <pic:pic>
                  <pic:nvPicPr>
                    <pic:cNvPr id="10" name="image12.png"/>
                    <pic:cNvPicPr/>
                  </pic:nvPicPr>
                  <pic:blipFill>
                    <a:blip r:embed="rId25" cstate="print"/>
                    <a:stretch>
                      <a:fillRect/>
                    </a:stretch>
                  </pic:blipFill>
                  <pic:spPr>
                    <a:xfrm>
                      <a:off x="0" y="0"/>
                      <a:ext cx="2671997" cy="2590038"/>
                    </a:xfrm>
                    <a:prstGeom prst="rect">
                      <a:avLst/>
                    </a:prstGeom>
                  </pic:spPr>
                </pic:pic>
              </a:graphicData>
            </a:graphic>
          </wp:anchor>
        </w:drawing>
      </w:r>
    </w:p>
    <w:p>
      <w:pPr>
        <w:spacing w:before="215"/>
        <w:ind w:left="629" w:right="712" w:firstLine="0"/>
        <w:jc w:val="center"/>
        <w:rPr>
          <w:sz w:val="20"/>
        </w:rPr>
      </w:pPr>
      <w:r>
        <w:rPr>
          <w:b/>
          <w:sz w:val="20"/>
        </w:rPr>
        <w:t>Figura 5. </w:t>
      </w:r>
      <w:r>
        <w:rPr>
          <w:i/>
          <w:sz w:val="20"/>
        </w:rPr>
        <w:t>Estructura de la inmunoglobulina. </w:t>
      </w:r>
      <w:r>
        <w:rPr>
          <w:sz w:val="20"/>
        </w:rPr>
        <w:t>Fuente directa.</w:t>
      </w:r>
    </w:p>
    <w:p>
      <w:pPr>
        <w:pStyle w:val="BodyText"/>
        <w:rPr>
          <w:sz w:val="20"/>
        </w:rPr>
      </w:pPr>
    </w:p>
    <w:p>
      <w:pPr>
        <w:pStyle w:val="BodyText"/>
        <w:spacing w:before="2"/>
        <w:rPr>
          <w:sz w:val="20"/>
        </w:rPr>
      </w:pPr>
    </w:p>
    <w:p>
      <w:pPr>
        <w:pStyle w:val="BodyText"/>
        <w:spacing w:line="362" w:lineRule="auto"/>
        <w:ind w:left="196" w:right="276"/>
        <w:jc w:val="both"/>
        <w:rPr>
          <w:i/>
        </w:rPr>
      </w:pPr>
      <w:r>
        <w:rPr/>
        <w:t>La enzima papaína logra escindir la molécula de anticuerpo en la región bisagra, separándola en tres fragmentos; dos fragmentos Fab (del inglés</w:t>
      </w:r>
      <w:r>
        <w:rPr>
          <w:spacing w:val="52"/>
        </w:rPr>
        <w:t> </w:t>
      </w:r>
      <w:r>
        <w:rPr>
          <w:i/>
        </w:rPr>
        <w:t>fragment antigen</w:t>
      </w:r>
    </w:p>
    <w:p>
      <w:pPr>
        <w:spacing w:after="0" w:line="362" w:lineRule="auto"/>
        <w:jc w:val="both"/>
        <w:sectPr>
          <w:footerReference w:type="default" r:id="rId24"/>
          <w:pgSz w:w="12240" w:h="15840"/>
          <w:pgMar w:footer="1031" w:header="726" w:top="1340" w:bottom="1220" w:left="1220" w:right="1420"/>
          <w:pgNumType w:start="21"/>
        </w:sectPr>
      </w:pPr>
    </w:p>
    <w:p>
      <w:pPr>
        <w:pStyle w:val="BodyText"/>
        <w:spacing w:before="3"/>
        <w:rPr>
          <w:i/>
          <w:sz w:val="23"/>
        </w:rPr>
      </w:pPr>
    </w:p>
    <w:p>
      <w:pPr>
        <w:pStyle w:val="BodyText"/>
        <w:spacing w:line="364" w:lineRule="auto" w:before="69"/>
        <w:ind w:left="196" w:right="292"/>
        <w:jc w:val="both"/>
      </w:pPr>
      <w:r>
        <w:rPr>
          <w:i/>
        </w:rPr>
        <w:t>binding</w:t>
      </w:r>
      <w:r>
        <w:rPr/>
        <w:t>) que conservan su capacidad de reaccionar con el antígeno; y un fragmento Fc   formado   por   dominios   de   las   cadenas   H,   además   de   ser </w:t>
      </w:r>
      <w:r>
        <w:rPr>
          <w:spacing w:val="50"/>
        </w:rPr>
        <w:t> </w:t>
      </w:r>
      <w:r>
        <w:rPr/>
        <w:t>homogéneo</w:t>
      </w:r>
    </w:p>
    <w:p>
      <w:pPr>
        <w:pStyle w:val="BodyText"/>
        <w:spacing w:line="324" w:lineRule="auto"/>
        <w:ind w:left="196" w:right="292"/>
        <w:jc w:val="both"/>
        <w:rPr>
          <w:sz w:val="16"/>
        </w:rPr>
      </w:pPr>
      <w:r>
        <w:rPr/>
        <w:t>químicamente, y por ello logra formar cristales de donde deriva su nombre de fragmento cristalizable.</w:t>
      </w:r>
      <w:r>
        <w:rPr>
          <w:position w:val="11"/>
          <w:sz w:val="16"/>
        </w:rPr>
        <w:t>24, 28</w:t>
      </w:r>
    </w:p>
    <w:p>
      <w:pPr>
        <w:pStyle w:val="BodyText"/>
        <w:spacing w:line="348" w:lineRule="auto" w:before="236"/>
        <w:ind w:left="196" w:right="278"/>
        <w:jc w:val="both"/>
        <w:rPr>
          <w:sz w:val="16"/>
        </w:rPr>
      </w:pPr>
      <w:r>
        <w:rPr/>
        <w:t>El tratamiento del anticuerpo con pepsina produce un fragmento Fab2, el cual resulta de utilidad médica ya que conserva su capacidad para reaccionar con el antígeno, carece de la porción Fc con lo cual no puede ser removido de la circulación, y su vida media es mayor.</w:t>
      </w:r>
      <w:r>
        <w:rPr>
          <w:position w:val="11"/>
          <w:sz w:val="16"/>
        </w:rPr>
        <w:t>24, 28</w:t>
      </w:r>
    </w:p>
    <w:p>
      <w:pPr>
        <w:pStyle w:val="ListParagraph"/>
        <w:numPr>
          <w:ilvl w:val="0"/>
          <w:numId w:val="8"/>
        </w:numPr>
        <w:tabs>
          <w:tab w:pos="624" w:val="left" w:leader="none"/>
        </w:tabs>
        <w:spacing w:line="240" w:lineRule="auto" w:before="201" w:after="0"/>
        <w:ind w:left="623" w:right="0" w:hanging="360"/>
        <w:jc w:val="both"/>
        <w:rPr>
          <w:sz w:val="24"/>
        </w:rPr>
      </w:pPr>
      <w:r>
        <w:rPr>
          <w:sz w:val="24"/>
        </w:rPr>
        <w:t>Cambio de isotipo</w:t>
      </w:r>
      <w:r>
        <w:rPr>
          <w:spacing w:val="-8"/>
          <w:sz w:val="24"/>
        </w:rPr>
        <w:t> </w:t>
      </w:r>
      <w:r>
        <w:rPr>
          <w:sz w:val="24"/>
        </w:rPr>
        <w:t>(clase)</w:t>
      </w:r>
    </w:p>
    <w:p>
      <w:pPr>
        <w:pStyle w:val="BodyText"/>
        <w:spacing w:before="9"/>
        <w:rPr>
          <w:sz w:val="29"/>
        </w:rPr>
      </w:pPr>
    </w:p>
    <w:p>
      <w:pPr>
        <w:pStyle w:val="BodyText"/>
        <w:spacing w:line="360" w:lineRule="auto"/>
        <w:ind w:left="196" w:right="279"/>
        <w:jc w:val="both"/>
      </w:pPr>
      <w:r>
        <w:rPr/>
        <w:t>El cambio de isotipo de cadena pesada y la maduración de la afinidad son típicos de las respuestas inmunitarias humorales a antígenos proteínicos que dependen del linfocito T cooperador. El cambio de isotipo se debe, sobre todo, a la estimulación de los linfocitos B por los linfocitos T cooperadores. El ligando para el CD40 (CD40L) situado en la superficie de los linfocitos T activados cooperadores y las citocinas secretadas por estos linfocitos T, son los principales impulsores moleculares que inducen a los linfocitos B a realizar el proceso de cambio de isotipo; parte de la progenie de linfocitos B activados que expresan IgM e IgD sufren el proceso de cambio de clase, que lleva a la producción de anticuerpos con cadenas pesadas de diferentes clases como </w:t>
      </w:r>
      <w:r>
        <w:rPr>
          <w:rFonts w:ascii="Symbol" w:hAnsi="Symbol"/>
        </w:rPr>
        <w:t></w:t>
      </w:r>
      <w:r>
        <w:rPr>
          <w:rFonts w:ascii="Times New Roman" w:hAnsi="Times New Roman"/>
        </w:rPr>
        <w:t> </w:t>
      </w:r>
      <w:r>
        <w:rPr>
          <w:rFonts w:ascii="Symbol" w:hAnsi="Symbol"/>
        </w:rPr>
        <w:t></w:t>
      </w:r>
      <w:r>
        <w:rPr>
          <w:rFonts w:ascii="Times New Roman" w:hAnsi="Times New Roman"/>
        </w:rPr>
        <w:t> </w:t>
      </w:r>
      <w:r>
        <w:rPr/>
        <w:t>y </w:t>
      </w:r>
      <w:r>
        <w:rPr>
          <w:rFonts w:ascii="Symbol" w:hAnsi="Symbol"/>
        </w:rPr>
        <w:t></w:t>
      </w:r>
      <w:r>
        <w:rPr/>
        <w:t>. Algunos cambios de isotipo pueden ocurrir fuera   de</w:t>
      </w:r>
    </w:p>
    <w:p>
      <w:pPr>
        <w:pStyle w:val="BodyText"/>
        <w:spacing w:line="274" w:lineRule="exact"/>
        <w:ind w:left="196"/>
        <w:jc w:val="both"/>
        <w:rPr>
          <w:sz w:val="16"/>
        </w:rPr>
      </w:pPr>
      <w:r>
        <w:rPr/>
        <w:t>los folículos linfáticos, pero sobre todo, ocurren en los centros germinales.</w:t>
      </w:r>
      <w:r>
        <w:rPr>
          <w:position w:val="11"/>
          <w:sz w:val="16"/>
        </w:rPr>
        <w:t>23</w:t>
      </w:r>
    </w:p>
    <w:p>
      <w:pPr>
        <w:pStyle w:val="BodyText"/>
        <w:spacing w:before="9"/>
        <w:rPr>
          <w:sz w:val="29"/>
        </w:rPr>
      </w:pPr>
    </w:p>
    <w:p>
      <w:pPr>
        <w:pStyle w:val="BodyText"/>
        <w:spacing w:line="360" w:lineRule="auto"/>
        <w:ind w:left="196" w:right="277"/>
        <w:jc w:val="both"/>
      </w:pPr>
      <w:r>
        <w:rPr/>
        <w:t>El mecanismo molecular de cambio de isotipo es un proceso llamado recombinación del cambio, en el que el exón VDJ reordenado que codifica un dominio V de cadena pesada de Ig se recombina con una región génica C situada en sentido 3´ y el DNA intermedio  es  eliminado.  Esta  recombinación  del  DNA  afecta  a  secuencias    de</w:t>
      </w:r>
    </w:p>
    <w:p>
      <w:pPr>
        <w:pStyle w:val="BodyText"/>
        <w:spacing w:line="324" w:lineRule="auto" w:before="7"/>
        <w:ind w:left="196" w:right="279"/>
        <w:jc w:val="both"/>
        <w:rPr>
          <w:sz w:val="16"/>
        </w:rPr>
      </w:pPr>
      <w:r>
        <w:rPr/>
        <w:t>nucleótidos llamadas regiones de cambio, que se localizan en los intrones entre los segmentos J y C en los extremos 5´ de cada </w:t>
      </w:r>
      <w:r>
        <w:rPr>
          <w:i/>
        </w:rPr>
        <w:t>locus </w:t>
      </w:r>
      <w:r>
        <w:rPr/>
        <w:t>C</w:t>
      </w:r>
      <w:r>
        <w:rPr>
          <w:position w:val="-2"/>
          <w:sz w:val="16"/>
        </w:rPr>
        <w:t>H</w:t>
      </w:r>
      <w:r>
        <w:rPr/>
        <w:t>.</w:t>
      </w:r>
      <w:r>
        <w:rPr>
          <w:position w:val="11"/>
          <w:sz w:val="16"/>
        </w:rPr>
        <w:t>23</w:t>
      </w:r>
    </w:p>
    <w:p>
      <w:pPr>
        <w:pStyle w:val="BodyText"/>
        <w:spacing w:line="360" w:lineRule="auto" w:before="218"/>
        <w:ind w:left="196" w:right="287"/>
        <w:jc w:val="both"/>
      </w:pPr>
      <w:r>
        <w:rPr/>
        <w:t>Las regiones de cambio contienen numerosas repeticiones de secuencias de DNA ricas en guanina y citosina, y se encuentran en sentido 5´a cada gen de cadena</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0" w:lineRule="auto" w:before="69"/>
        <w:ind w:left="196" w:right="275"/>
        <w:jc w:val="both"/>
      </w:pPr>
      <w:r>
        <w:rPr/>
        <w:t>pesada. En sentido 5´ a cada región de cambio hay un pequeño exón llamado exón I (por iniciador de la trascripción) precedido de un promotor de la región I, las señales de las citocinas y del CD40 inducen la transcripción de un promotor partículas de la región I que lee a través del exón I, la región de cambio y los exones C</w:t>
      </w:r>
      <w:r>
        <w:rPr>
          <w:position w:val="-2"/>
          <w:sz w:val="16"/>
        </w:rPr>
        <w:t>H </w:t>
      </w:r>
      <w:r>
        <w:rPr/>
        <w:t>adyacentes. Estos transcriptos se conocen como transcriptos en línea germinal, y se encuentran en el </w:t>
      </w:r>
      <w:r>
        <w:rPr>
          <w:i/>
        </w:rPr>
        <w:t>locus </w:t>
      </w:r>
      <w:r>
        <w:rPr>
          <w:rFonts w:ascii="Symbol" w:hAnsi="Symbol"/>
        </w:rPr>
        <w:t></w:t>
      </w:r>
      <w:r>
        <w:rPr>
          <w:rFonts w:ascii="Times New Roman" w:hAnsi="Times New Roman"/>
        </w:rPr>
        <w:t> </w:t>
      </w:r>
      <w:r>
        <w:rPr/>
        <w:t>y los </w:t>
      </w:r>
      <w:r>
        <w:rPr>
          <w:i/>
        </w:rPr>
        <w:t>loci </w:t>
      </w:r>
      <w:r>
        <w:rPr/>
        <w:t>de cadena pesada situados en sentido 3´ a cual se induce a cambiar en un linfocito B activado. En cada región de cambio que participa, el transcripto de línea germinal facilita la generación de roturas en el DNA bicatenario. La rotura del DNA en la región cambio situada en sentido 5´ (</w:t>
      </w:r>
      <w:r>
        <w:rPr>
          <w:rFonts w:ascii="Symbol" w:hAnsi="Symbol"/>
        </w:rPr>
        <w:t></w:t>
      </w:r>
      <w:r>
        <w:rPr/>
        <w:t>) se une a la rotura en la región de cambio seleccionada en sentido 3´. Como resultado de ello el exón VDJ reordenado justo en sentido 5´ a la región de cambio </w:t>
      </w:r>
      <w:r>
        <w:rPr>
          <w:rFonts w:ascii="Symbol" w:hAnsi="Symbol"/>
        </w:rPr>
        <w:t></w:t>
      </w:r>
      <w:r>
        <w:rPr>
          <w:rFonts w:ascii="Times New Roman" w:hAnsi="Times New Roman"/>
        </w:rPr>
        <w:t> </w:t>
      </w:r>
      <w:r>
        <w:rPr/>
        <w:t>en el linfocito B productor   de</w:t>
      </w:r>
    </w:p>
    <w:p>
      <w:pPr>
        <w:pStyle w:val="BodyText"/>
        <w:spacing w:line="274" w:lineRule="exact"/>
        <w:ind w:left="196"/>
        <w:jc w:val="both"/>
        <w:rPr>
          <w:sz w:val="16"/>
        </w:rPr>
      </w:pPr>
      <w:r>
        <w:rPr/>
        <w:t>IgM se recombina con la región de cambio en sentido 3´ que se está transcribiendo.</w:t>
      </w:r>
      <w:r>
        <w:rPr>
          <w:position w:val="11"/>
          <w:sz w:val="16"/>
        </w:rPr>
        <w:t>23</w:t>
      </w:r>
    </w:p>
    <w:p>
      <w:pPr>
        <w:pStyle w:val="BodyText"/>
        <w:spacing w:before="10"/>
        <w:rPr>
          <w:sz w:val="29"/>
        </w:rPr>
      </w:pPr>
    </w:p>
    <w:p>
      <w:pPr>
        <w:pStyle w:val="BodyText"/>
        <w:spacing w:line="364" w:lineRule="auto"/>
        <w:ind w:left="196" w:right="278"/>
        <w:jc w:val="both"/>
      </w:pPr>
      <w:r>
        <w:rPr/>
        <w:t>Las citocinas determinan qué región </w:t>
      </w:r>
      <w:r>
        <w:rPr>
          <w:spacing w:val="3"/>
        </w:rPr>
        <w:t>C</w:t>
      </w:r>
      <w:r>
        <w:rPr>
          <w:spacing w:val="3"/>
          <w:position w:val="-2"/>
          <w:sz w:val="16"/>
        </w:rPr>
        <w:t>H </w:t>
      </w:r>
      <w:r>
        <w:rPr/>
        <w:t>se transcribirá en línea germinal. Por  ejemplo, la IL-4 induce la transcripción en línea germinal a través del locus I</w:t>
      </w:r>
      <w:r>
        <w:rPr>
          <w:rFonts w:ascii="Symbol" w:hAnsi="Symbol"/>
          <w:position w:val="-2"/>
          <w:sz w:val="16"/>
        </w:rPr>
        <w:t></w:t>
      </w:r>
      <w:r>
        <w:rPr/>
        <w:t>-S</w:t>
      </w:r>
      <w:r>
        <w:rPr>
          <w:rFonts w:ascii="Symbol" w:hAnsi="Symbol"/>
          <w:position w:val="-2"/>
          <w:sz w:val="16"/>
        </w:rPr>
        <w:t></w:t>
      </w:r>
      <w:r>
        <w:rPr/>
        <w:t>-C</w:t>
      </w:r>
      <w:r>
        <w:rPr>
          <w:rFonts w:ascii="Symbol" w:hAnsi="Symbol"/>
          <w:position w:val="-2"/>
          <w:sz w:val="16"/>
        </w:rPr>
        <w:t></w:t>
      </w:r>
      <w:r>
        <w:rPr/>
        <w:t>. Esto lleva primero a la producción de transcriptos de </w:t>
      </w:r>
      <w:r>
        <w:rPr>
          <w:rFonts w:ascii="Symbol" w:hAnsi="Symbol"/>
        </w:rPr>
        <w:t></w:t>
      </w:r>
      <w:r>
        <w:rPr>
          <w:rFonts w:ascii="Times New Roman" w:hAnsi="Times New Roman"/>
        </w:rPr>
        <w:t> </w:t>
      </w:r>
      <w:r>
        <w:rPr/>
        <w:t>en línea germinal en un linfocito B que exprese IgM, y después a la recombinación de la región de cambio </w:t>
      </w:r>
      <w:r>
        <w:rPr>
          <w:spacing w:val="7"/>
        </w:rPr>
        <w:t>S</w:t>
      </w:r>
      <w:r>
        <w:rPr>
          <w:rFonts w:ascii="Symbol" w:hAnsi="Symbol"/>
          <w:spacing w:val="7"/>
          <w:position w:val="-2"/>
          <w:sz w:val="16"/>
        </w:rPr>
        <w:t></w:t>
      </w:r>
      <w:r>
        <w:rPr>
          <w:rFonts w:ascii="Times New Roman" w:hAnsi="Times New Roman"/>
          <w:spacing w:val="7"/>
          <w:position w:val="-2"/>
          <w:sz w:val="16"/>
        </w:rPr>
        <w:t> </w:t>
      </w:r>
      <w:r>
        <w:rPr/>
        <w:t>con la región de cambio S</w:t>
      </w:r>
      <w:r>
        <w:rPr>
          <w:rFonts w:ascii="Symbol" w:hAnsi="Symbol"/>
          <w:position w:val="-2"/>
          <w:sz w:val="16"/>
        </w:rPr>
        <w:t></w:t>
      </w:r>
      <w:r>
        <w:rPr/>
        <w:t>. El DNA situado en medio se pierde y el exón VDJ </w:t>
      </w:r>
      <w:r>
        <w:rPr>
          <w:spacing w:val="19"/>
        </w:rPr>
        <w:t> </w:t>
      </w:r>
      <w:r>
        <w:rPr/>
        <w:t>queda</w:t>
      </w:r>
    </w:p>
    <w:p>
      <w:pPr>
        <w:pStyle w:val="BodyText"/>
        <w:spacing w:line="324" w:lineRule="auto" w:before="4"/>
        <w:ind w:left="196" w:right="293"/>
        <w:jc w:val="both"/>
        <w:rPr>
          <w:sz w:val="16"/>
        </w:rPr>
      </w:pPr>
      <w:r>
        <w:rPr/>
        <w:t>entonces adyacente a C</w:t>
      </w:r>
      <w:r>
        <w:rPr>
          <w:rFonts w:ascii="Symbol" w:hAnsi="Symbol"/>
          <w:position w:val="-2"/>
          <w:sz w:val="16"/>
        </w:rPr>
        <w:t></w:t>
      </w:r>
      <w:r>
        <w:rPr/>
        <w:t>. El resultado final es la producción de IgE con la misma región V que la IgM original producida por ese linfocito B.</w:t>
      </w:r>
      <w:r>
        <w:rPr>
          <w:position w:val="11"/>
          <w:sz w:val="16"/>
        </w:rPr>
        <w:t>23</w:t>
      </w:r>
    </w:p>
    <w:p>
      <w:pPr>
        <w:pStyle w:val="ListParagraph"/>
        <w:numPr>
          <w:ilvl w:val="0"/>
          <w:numId w:val="8"/>
        </w:numPr>
        <w:tabs>
          <w:tab w:pos="624" w:val="left" w:leader="none"/>
        </w:tabs>
        <w:spacing w:line="240" w:lineRule="auto" w:before="227" w:after="0"/>
        <w:ind w:left="623" w:right="0" w:hanging="360"/>
        <w:jc w:val="both"/>
        <w:rPr>
          <w:sz w:val="24"/>
        </w:rPr>
      </w:pPr>
      <w:r>
        <w:rPr>
          <w:sz w:val="24"/>
        </w:rPr>
        <w:t>Clases y</w:t>
      </w:r>
      <w:r>
        <w:rPr>
          <w:spacing w:val="-4"/>
          <w:sz w:val="24"/>
        </w:rPr>
        <w:t> </w:t>
      </w:r>
      <w:r>
        <w:rPr>
          <w:sz w:val="24"/>
        </w:rPr>
        <w:t>subclases</w:t>
      </w:r>
    </w:p>
    <w:p>
      <w:pPr>
        <w:pStyle w:val="BodyText"/>
        <w:spacing w:before="9"/>
        <w:rPr>
          <w:sz w:val="29"/>
        </w:rPr>
      </w:pPr>
    </w:p>
    <w:p>
      <w:pPr>
        <w:pStyle w:val="BodyText"/>
        <w:spacing w:line="357" w:lineRule="auto"/>
        <w:ind w:left="196" w:right="274"/>
        <w:jc w:val="both"/>
      </w:pPr>
      <w:r>
        <w:rPr/>
        <w:t>Las moléculas de anticuerpo pueden dividirse en distintas clases (o isotipos) y subclases en función de diferencias estructurales de las regiones C de su cadena H (C</w:t>
      </w:r>
      <w:r>
        <w:rPr>
          <w:position w:val="-2"/>
          <w:sz w:val="16"/>
        </w:rPr>
        <w:t>H</w:t>
      </w:r>
      <w:r>
        <w:rPr/>
        <w:t>). Los isotipos de anticuerpo se denominan IgA, IgD, IgE, IgG e IgM. En los humanos los isotipos IgA e IgG pueden subdividirse a su vez en subclases llamados IgA1 e IgA2, e IgG1, IgG2, IgG3 e Ig4. Las cadenas pesadas se designan por la letra griega del alfabeto correspondiente al isotipo del anticuerpo: </w:t>
      </w:r>
      <w:r>
        <w:rPr>
          <w:rFonts w:ascii="Symbol" w:hAnsi="Symbol"/>
        </w:rPr>
        <w:t></w:t>
      </w:r>
      <w:r>
        <w:rPr>
          <w:rFonts w:ascii="Times New Roman" w:hAnsi="Times New Roman"/>
        </w:rPr>
        <w:t> </w:t>
      </w:r>
      <w:r>
        <w:rPr>
          <w:rFonts w:ascii="Symbol" w:hAnsi="Symbol"/>
        </w:rPr>
        <w:t></w:t>
      </w:r>
      <w:r>
        <w:rPr>
          <w:rFonts w:ascii="Times New Roman" w:hAnsi="Times New Roman"/>
        </w:rPr>
        <w:t> </w:t>
      </w:r>
      <w:r>
        <w:rPr>
          <w:rFonts w:ascii="Symbol" w:hAnsi="Symbol"/>
        </w:rPr>
        <w:t></w:t>
      </w:r>
      <w:r>
        <w:rPr>
          <w:rFonts w:ascii="Times New Roman" w:hAnsi="Times New Roman"/>
        </w:rPr>
        <w:t> </w:t>
      </w:r>
      <w:r>
        <w:rPr>
          <w:rFonts w:ascii="Symbol" w:hAnsi="Symbol"/>
        </w:rPr>
        <w:t></w:t>
      </w:r>
      <w:r>
        <w:rPr>
          <w:rFonts w:ascii="Times New Roman" w:hAnsi="Times New Roman"/>
        </w:rPr>
        <w:t> </w:t>
      </w:r>
      <w:r>
        <w:rPr/>
        <w:t>y </w:t>
      </w:r>
      <w:r>
        <w:rPr>
          <w:rFonts w:ascii="Symbol" w:hAnsi="Symbol"/>
        </w:rPr>
        <w:t></w:t>
      </w:r>
      <w:r>
        <w:rPr>
          <w:rFonts w:ascii="Times New Roman" w:hAnsi="Times New Roman"/>
        </w:rPr>
        <w:t> </w:t>
      </w:r>
      <w:r>
        <w:rPr/>
        <w:t>Hay dos tipos  de  cadenas  ligeras,  llamados  </w:t>
      </w:r>
      <w:r>
        <w:rPr>
          <w:rFonts w:ascii="Symbol" w:hAnsi="Symbol"/>
        </w:rPr>
        <w:t></w:t>
      </w:r>
      <w:r>
        <w:rPr>
          <w:rFonts w:ascii="Times New Roman" w:hAnsi="Times New Roman"/>
        </w:rPr>
        <w:t>  </w:t>
      </w:r>
      <w:r>
        <w:rPr/>
        <w:t>y  </w:t>
      </w:r>
      <w:r>
        <w:rPr>
          <w:rFonts w:ascii="Symbol" w:hAnsi="Symbol"/>
        </w:rPr>
        <w:t></w:t>
      </w:r>
      <w:r>
        <w:rPr/>
        <w:t>,  que  se  distinguen  por  sus    regiones</w:t>
      </w:r>
    </w:p>
    <w:p>
      <w:pPr>
        <w:spacing w:line="276" w:lineRule="exact" w:before="0"/>
        <w:ind w:left="196" w:right="0" w:firstLine="0"/>
        <w:jc w:val="both"/>
        <w:rPr>
          <w:sz w:val="16"/>
        </w:rPr>
      </w:pPr>
      <w:r>
        <w:rPr>
          <w:sz w:val="24"/>
        </w:rPr>
        <w:t>constantes carboxilo terminales.</w:t>
      </w:r>
      <w:r>
        <w:rPr>
          <w:position w:val="11"/>
          <w:sz w:val="16"/>
        </w:rPr>
        <w:t>23, 24, 28</w:t>
      </w:r>
    </w:p>
    <w:p>
      <w:pPr>
        <w:spacing w:after="0" w:line="276" w:lineRule="exact"/>
        <w:jc w:val="both"/>
        <w:rPr>
          <w:sz w:val="16"/>
        </w:rPr>
        <w:sectPr>
          <w:pgSz w:w="12240" w:h="15840"/>
          <w:pgMar w:header="726" w:footer="1031" w:top="1340" w:bottom="1220" w:left="1220" w:right="1420"/>
        </w:sectPr>
      </w:pPr>
    </w:p>
    <w:p>
      <w:pPr>
        <w:pStyle w:val="BodyText"/>
        <w:spacing w:before="9"/>
        <w:rPr>
          <w:sz w:val="22"/>
        </w:rPr>
      </w:pPr>
    </w:p>
    <w:p>
      <w:pPr>
        <w:pStyle w:val="BodyText"/>
        <w:spacing w:before="70"/>
        <w:ind w:left="196"/>
        <w:jc w:val="both"/>
      </w:pPr>
      <w:r>
        <w:rPr/>
        <w:t>Inmunoglobulina A (IgA)</w:t>
      </w:r>
    </w:p>
    <w:p>
      <w:pPr>
        <w:pStyle w:val="BodyText"/>
        <w:spacing w:before="10"/>
        <w:rPr>
          <w:sz w:val="29"/>
        </w:rPr>
      </w:pPr>
    </w:p>
    <w:p>
      <w:pPr>
        <w:pStyle w:val="BodyText"/>
        <w:spacing w:line="360" w:lineRule="auto"/>
        <w:ind w:left="196" w:right="274"/>
        <w:jc w:val="both"/>
      </w:pPr>
      <w:r>
        <w:rPr/>
        <w:t>Es producida por las células B maduras en la sangre y se secreta en los fluidos corporales como la saliva, las lágrimas, la leche materna, así como en secreciones nasofaríngeas, bronquiales, intestinales y urogenitales, </w:t>
      </w:r>
      <w:r>
        <w:rPr>
          <w:spacing w:val="-3"/>
        </w:rPr>
        <w:t>ya </w:t>
      </w:r>
      <w:r>
        <w:rPr/>
        <w:t>que penetra libremente a través de las membranas mucosas. El cuerpo humano produce dos tipos de inmunoglobulina A: sérica y secretora. La IgA sérica por lo regular se presenta en forma monomérica, mientras que la IgA secretora (SIgA) es dimérica (Figura 6). Los dímeros de la SIgA se mantiene unidos por un polipéptido llamado pieza o cadena J, la </w:t>
      </w:r>
      <w:r>
        <w:rPr>
          <w:spacing w:val="-3"/>
        </w:rPr>
        <w:t>cual </w:t>
      </w:r>
      <w:r>
        <w:rPr/>
        <w:t>está involucrada en la regulación del grado de polimerización de inmunoglobulinas sintetizadas localmente; también se </w:t>
      </w:r>
      <w:r>
        <w:rPr>
          <w:spacing w:val="3"/>
        </w:rPr>
        <w:t>unen </w:t>
      </w:r>
      <w:r>
        <w:rPr/>
        <w:t>a un componente secretor (SC), éste</w:t>
      </w:r>
      <w:r>
        <w:rPr>
          <w:spacing w:val="52"/>
        </w:rPr>
        <w:t> </w:t>
      </w:r>
      <w:r>
        <w:rPr/>
        <w:t>aporta a la IgA resistencia a la</w:t>
      </w:r>
      <w:r>
        <w:rPr>
          <w:spacing w:val="62"/>
        </w:rPr>
        <w:t> </w:t>
      </w:r>
      <w:r>
        <w:rPr/>
        <w:t>degradación</w:t>
      </w:r>
      <w:r>
        <w:rPr>
          <w:spacing w:val="52"/>
        </w:rPr>
        <w:t> </w:t>
      </w:r>
      <w:r>
        <w:rPr/>
        <w:t>por las enzimas</w:t>
      </w:r>
    </w:p>
    <w:p>
      <w:pPr>
        <w:pStyle w:val="BodyText"/>
        <w:spacing w:line="324" w:lineRule="auto" w:before="7"/>
        <w:ind w:left="196" w:right="289"/>
        <w:jc w:val="both"/>
        <w:rPr>
          <w:sz w:val="16"/>
        </w:rPr>
      </w:pPr>
      <w:r>
        <w:rPr/>
        <w:t>digestivas, además el SC se une de manera inespecífica a patógenos intestinales y </w:t>
      </w:r>
      <w:r>
        <w:rPr>
          <w:position w:val="-10"/>
        </w:rPr>
        <w:t>virus.</w:t>
      </w:r>
      <w:r>
        <w:rPr>
          <w:sz w:val="16"/>
        </w:rPr>
        <w:t>24, 26, 29, 30</w:t>
      </w:r>
    </w:p>
    <w:p>
      <w:pPr>
        <w:pStyle w:val="BodyText"/>
        <w:spacing w:before="4"/>
        <w:rPr>
          <w:sz w:val="18"/>
        </w:rPr>
      </w:pPr>
      <w:r>
        <w:rPr/>
        <w:drawing>
          <wp:anchor distT="0" distB="0" distL="0" distR="0" allowOverlap="1" layoutInCell="1" locked="0" behindDoc="0" simplePos="0" relativeHeight="1144">
            <wp:simplePos x="0" y="0"/>
            <wp:positionH relativeFrom="page">
              <wp:posOffset>1961514</wp:posOffset>
            </wp:positionH>
            <wp:positionV relativeFrom="paragraph">
              <wp:posOffset>159349</wp:posOffset>
            </wp:positionV>
            <wp:extent cx="3410497" cy="1333023"/>
            <wp:effectExtent l="0" t="0" r="0" b="0"/>
            <wp:wrapTopAndBottom/>
            <wp:docPr id="11" name="image13.jpeg" descr=""/>
            <wp:cNvGraphicFramePr>
              <a:graphicFrameLocks noChangeAspect="1"/>
            </wp:cNvGraphicFramePr>
            <a:graphic>
              <a:graphicData uri="http://schemas.openxmlformats.org/drawingml/2006/picture">
                <pic:pic>
                  <pic:nvPicPr>
                    <pic:cNvPr id="12" name="image13.jpeg"/>
                    <pic:cNvPicPr/>
                  </pic:nvPicPr>
                  <pic:blipFill>
                    <a:blip r:embed="rId26" cstate="print"/>
                    <a:stretch>
                      <a:fillRect/>
                    </a:stretch>
                  </pic:blipFill>
                  <pic:spPr>
                    <a:xfrm>
                      <a:off x="0" y="0"/>
                      <a:ext cx="3410497" cy="1333023"/>
                    </a:xfrm>
                    <a:prstGeom prst="rect">
                      <a:avLst/>
                    </a:prstGeom>
                  </pic:spPr>
                </pic:pic>
              </a:graphicData>
            </a:graphic>
          </wp:anchor>
        </w:drawing>
      </w:r>
    </w:p>
    <w:p>
      <w:pPr>
        <w:spacing w:before="238"/>
        <w:ind w:left="2285" w:right="0" w:firstLine="0"/>
        <w:jc w:val="left"/>
        <w:rPr>
          <w:sz w:val="20"/>
        </w:rPr>
      </w:pPr>
      <w:r>
        <w:rPr>
          <w:b/>
          <w:sz w:val="20"/>
        </w:rPr>
        <w:t>Figura 6. </w:t>
      </w:r>
      <w:r>
        <w:rPr>
          <w:i/>
          <w:sz w:val="20"/>
        </w:rPr>
        <w:t>Inmunoglobulina A (dimérica). </w:t>
      </w:r>
      <w:r>
        <w:rPr>
          <w:sz w:val="20"/>
        </w:rPr>
        <w:t>Fuente directa.</w:t>
      </w:r>
    </w:p>
    <w:p>
      <w:pPr>
        <w:pStyle w:val="BodyText"/>
        <w:rPr>
          <w:sz w:val="20"/>
        </w:rPr>
      </w:pPr>
    </w:p>
    <w:p>
      <w:pPr>
        <w:pStyle w:val="BodyText"/>
        <w:spacing w:before="6"/>
        <w:rPr>
          <w:sz w:val="20"/>
        </w:rPr>
      </w:pPr>
    </w:p>
    <w:p>
      <w:pPr>
        <w:pStyle w:val="BodyText"/>
        <w:spacing w:line="348" w:lineRule="auto" w:before="1"/>
        <w:ind w:left="196" w:right="280"/>
        <w:jc w:val="both"/>
        <w:rPr>
          <w:sz w:val="16"/>
        </w:rPr>
      </w:pPr>
      <w:r>
        <w:rPr/>
        <w:t>Hay dos subclases de IgA, IgA1 e IgA2, cuyas estructuras difieren principalmente en sus regiones de bisagra. Se ha establecido la existencia de partículas IgA2m (1), IgA2m (2) e IgA2 (n), cada una de estas formas se produce en diversos grados de polimerización.</w:t>
      </w:r>
      <w:r>
        <w:rPr>
          <w:position w:val="11"/>
          <w:sz w:val="16"/>
        </w:rPr>
        <w:t>24, 26, 29, 30</w:t>
      </w:r>
    </w:p>
    <w:p>
      <w:pPr>
        <w:pStyle w:val="BodyText"/>
        <w:spacing w:line="348" w:lineRule="auto" w:before="205"/>
        <w:ind w:left="196" w:right="273"/>
        <w:jc w:val="both"/>
        <w:rPr>
          <w:sz w:val="16"/>
        </w:rPr>
      </w:pPr>
      <w:r>
        <w:rPr/>
        <w:t>La SIgA es responsable de la aglutinación </w:t>
      </w:r>
      <w:r>
        <w:rPr>
          <w:spacing w:val="4"/>
        </w:rPr>
        <w:t>de </w:t>
      </w:r>
      <w:r>
        <w:rPr/>
        <w:t>las bacterias, la inhibición de la adhesión bacteriana a células epiteliales de las membranas mucosas, la absorción  de antígenos de los alimentos, la neutralización de virus, toxinas, exotoxinas y enzimas producidas por el microorganismo.</w:t>
      </w:r>
      <w:r>
        <w:rPr>
          <w:position w:val="11"/>
          <w:sz w:val="16"/>
        </w:rPr>
        <w:t>26, 29,</w:t>
      </w:r>
      <w:r>
        <w:rPr>
          <w:spacing w:val="-16"/>
          <w:position w:val="11"/>
          <w:sz w:val="16"/>
        </w:rPr>
        <w:t> </w:t>
      </w:r>
      <w:r>
        <w:rPr>
          <w:position w:val="11"/>
          <w:sz w:val="16"/>
        </w:rPr>
        <w:t>30</w:t>
      </w:r>
    </w:p>
    <w:p>
      <w:pPr>
        <w:spacing w:after="0" w:line="348" w:lineRule="auto"/>
        <w:jc w:val="both"/>
        <w:rPr>
          <w:sz w:val="16"/>
        </w:rPr>
        <w:sectPr>
          <w:pgSz w:w="12240" w:h="15840"/>
          <w:pgMar w:header="726" w:footer="1031" w:top="1340" w:bottom="1220" w:left="1220" w:right="1420"/>
        </w:sectPr>
      </w:pPr>
    </w:p>
    <w:p>
      <w:pPr>
        <w:pStyle w:val="BodyText"/>
        <w:spacing w:before="9"/>
        <w:rPr>
          <w:sz w:val="22"/>
        </w:rPr>
      </w:pPr>
    </w:p>
    <w:p>
      <w:pPr>
        <w:pStyle w:val="BodyText"/>
        <w:spacing w:before="70"/>
        <w:ind w:left="196"/>
        <w:jc w:val="both"/>
      </w:pPr>
      <w:r>
        <w:rPr/>
        <w:t>Inmunoglobulina G (IgG)</w:t>
      </w:r>
    </w:p>
    <w:p>
      <w:pPr>
        <w:pStyle w:val="BodyText"/>
        <w:spacing w:before="10"/>
        <w:rPr>
          <w:sz w:val="29"/>
        </w:rPr>
      </w:pPr>
    </w:p>
    <w:p>
      <w:pPr>
        <w:pStyle w:val="BodyText"/>
        <w:spacing w:line="360" w:lineRule="auto"/>
        <w:ind w:left="196" w:right="276"/>
        <w:jc w:val="both"/>
      </w:pPr>
      <w:r>
        <w:rPr/>
        <w:t>La IgG se presenta como monómero, y es la inmunoglobulina </w:t>
      </w:r>
      <w:r>
        <w:rPr>
          <w:spacing w:val="-3"/>
        </w:rPr>
        <w:t>más </w:t>
      </w:r>
      <w:r>
        <w:rPr/>
        <w:t>abundante en la sangre; aparece durante la primera y segunda respuesta inmune mediante la activación del sistema del complemento y los macrófagos (Figura 7). Es la única clase  de  anticuerpo  que  tiene  la  capacidad  de  pasar  a  través  de  la  </w:t>
      </w:r>
      <w:r>
        <w:rPr>
          <w:spacing w:val="55"/>
        </w:rPr>
        <w:t> </w:t>
      </w:r>
      <w:r>
        <w:rPr/>
        <w:t>placenta.</w:t>
      </w:r>
    </w:p>
    <w:p>
      <w:pPr>
        <w:pStyle w:val="BodyText"/>
        <w:spacing w:line="324" w:lineRule="auto" w:before="3"/>
        <w:ind w:left="196" w:right="289"/>
        <w:jc w:val="both"/>
        <w:rPr>
          <w:sz w:val="16"/>
        </w:rPr>
      </w:pPr>
      <w:r>
        <w:rPr/>
        <w:t>Basándose en las diferencias estructurales, antigénicas y funcionales en la región  C</w:t>
      </w:r>
      <w:r>
        <w:rPr>
          <w:position w:val="-2"/>
          <w:sz w:val="16"/>
        </w:rPr>
        <w:t>H</w:t>
      </w:r>
      <w:r>
        <w:rPr/>
        <w:t>, se han identificaron cuatro subclases de IgG: IgG1, IgG2, IgG3 e IgG4.</w:t>
      </w:r>
      <w:r>
        <w:rPr>
          <w:position w:val="11"/>
          <w:sz w:val="16"/>
        </w:rPr>
        <w:t>24,</w:t>
      </w:r>
      <w:r>
        <w:rPr>
          <w:spacing w:val="-23"/>
          <w:position w:val="11"/>
          <w:sz w:val="16"/>
        </w:rPr>
        <w:t> </w:t>
      </w:r>
      <w:r>
        <w:rPr>
          <w:position w:val="11"/>
          <w:sz w:val="16"/>
        </w:rPr>
        <w:t>30</w:t>
      </w:r>
    </w:p>
    <w:p>
      <w:pPr>
        <w:pStyle w:val="BodyText"/>
        <w:rPr>
          <w:sz w:val="16"/>
        </w:rPr>
      </w:pPr>
      <w:r>
        <w:rPr/>
        <w:drawing>
          <wp:anchor distT="0" distB="0" distL="0" distR="0" allowOverlap="1" layoutInCell="1" locked="0" behindDoc="0" simplePos="0" relativeHeight="1168">
            <wp:simplePos x="0" y="0"/>
            <wp:positionH relativeFrom="page">
              <wp:posOffset>2922270</wp:posOffset>
            </wp:positionH>
            <wp:positionV relativeFrom="paragraph">
              <wp:posOffset>141942</wp:posOffset>
            </wp:positionV>
            <wp:extent cx="1316692" cy="1902714"/>
            <wp:effectExtent l="0" t="0" r="0" b="0"/>
            <wp:wrapTopAndBottom/>
            <wp:docPr id="13" name="image14.jpeg" descr=""/>
            <wp:cNvGraphicFramePr>
              <a:graphicFrameLocks noChangeAspect="1"/>
            </wp:cNvGraphicFramePr>
            <a:graphic>
              <a:graphicData uri="http://schemas.openxmlformats.org/drawingml/2006/picture">
                <pic:pic>
                  <pic:nvPicPr>
                    <pic:cNvPr id="14" name="image14.jpeg"/>
                    <pic:cNvPicPr/>
                  </pic:nvPicPr>
                  <pic:blipFill>
                    <a:blip r:embed="rId27" cstate="print"/>
                    <a:stretch>
                      <a:fillRect/>
                    </a:stretch>
                  </pic:blipFill>
                  <pic:spPr>
                    <a:xfrm>
                      <a:off x="0" y="0"/>
                      <a:ext cx="1316692" cy="1902714"/>
                    </a:xfrm>
                    <a:prstGeom prst="rect">
                      <a:avLst/>
                    </a:prstGeom>
                  </pic:spPr>
                </pic:pic>
              </a:graphicData>
            </a:graphic>
          </wp:anchor>
        </w:drawing>
      </w:r>
    </w:p>
    <w:p>
      <w:pPr>
        <w:spacing w:before="37"/>
        <w:ind w:left="633" w:right="712" w:firstLine="0"/>
        <w:jc w:val="center"/>
        <w:rPr>
          <w:sz w:val="20"/>
        </w:rPr>
      </w:pPr>
      <w:r>
        <w:rPr>
          <w:b/>
          <w:sz w:val="20"/>
        </w:rPr>
        <w:t>Figura 7. </w:t>
      </w:r>
      <w:r>
        <w:rPr>
          <w:i/>
          <w:sz w:val="20"/>
        </w:rPr>
        <w:t>Inmunoglobulina G. </w:t>
      </w:r>
      <w:r>
        <w:rPr>
          <w:sz w:val="20"/>
        </w:rPr>
        <w:t>Fuente directa.</w:t>
      </w:r>
    </w:p>
    <w:p>
      <w:pPr>
        <w:pStyle w:val="BodyText"/>
        <w:rPr>
          <w:sz w:val="20"/>
        </w:rPr>
      </w:pPr>
    </w:p>
    <w:p>
      <w:pPr>
        <w:pStyle w:val="BodyText"/>
        <w:spacing w:before="5"/>
        <w:rPr>
          <w:sz w:val="26"/>
        </w:rPr>
      </w:pPr>
    </w:p>
    <w:p>
      <w:pPr>
        <w:pStyle w:val="BodyText"/>
        <w:spacing w:line="360" w:lineRule="auto"/>
        <w:ind w:left="196" w:right="276"/>
        <w:jc w:val="both"/>
      </w:pPr>
      <w:r>
        <w:rPr/>
        <w:t>Algunas de las similitudes dentro de las subclases son el transporte transplacentario y la participación en la respuesta inmune secundaria. Sin embargo, dentro de la respuesta secundaria de anticuerpos, existen diferencias de la subclase predominante  que  es  inducida.  Por  ejemplo,  IgG1  e  IgG3  son      </w:t>
      </w:r>
      <w:r>
        <w:rPr>
          <w:spacing w:val="21"/>
        </w:rPr>
        <w:t> </w:t>
      </w:r>
      <w:r>
        <w:rPr/>
        <w:t>generalmente</w:t>
      </w:r>
    </w:p>
    <w:p>
      <w:pPr>
        <w:pStyle w:val="BodyText"/>
        <w:spacing w:line="324" w:lineRule="auto" w:before="2"/>
        <w:ind w:left="196" w:right="289"/>
        <w:jc w:val="both"/>
        <w:rPr>
          <w:sz w:val="16"/>
        </w:rPr>
      </w:pPr>
      <w:r>
        <w:rPr/>
        <w:t>inducidas en respuesta a antígenos proteínicos, mientras que la IgG2 y la IgG4 están asociados con antígenos polisacáridos.</w:t>
      </w:r>
      <w:r>
        <w:rPr>
          <w:position w:val="11"/>
          <w:sz w:val="16"/>
        </w:rPr>
        <w:t>24, 26</w:t>
      </w:r>
    </w:p>
    <w:p>
      <w:pPr>
        <w:pStyle w:val="BodyText"/>
        <w:spacing w:line="343" w:lineRule="auto" w:before="236"/>
        <w:ind w:left="196" w:right="282"/>
        <w:jc w:val="both"/>
        <w:rPr>
          <w:sz w:val="16"/>
        </w:rPr>
      </w:pPr>
      <w:r>
        <w:rPr/>
        <w:t>La IgG también participa directamente en la respuesta inmune por medio de la neutralización de toxinas y virus, además de favorecer la fagocitosis a través de la opsonización.</w:t>
      </w:r>
      <w:r>
        <w:rPr>
          <w:position w:val="11"/>
          <w:sz w:val="16"/>
        </w:rPr>
        <w:t>24, 26</w:t>
      </w:r>
    </w:p>
    <w:p>
      <w:pPr>
        <w:pStyle w:val="BodyText"/>
        <w:spacing w:before="207"/>
        <w:ind w:left="196"/>
        <w:jc w:val="both"/>
      </w:pPr>
      <w:r>
        <w:rPr/>
        <w:t>Inmunoglobulina E (IgE)</w:t>
      </w:r>
    </w:p>
    <w:p>
      <w:pPr>
        <w:pStyle w:val="BodyText"/>
        <w:spacing w:before="4"/>
        <w:rPr>
          <w:sz w:val="29"/>
        </w:rPr>
      </w:pPr>
    </w:p>
    <w:p>
      <w:pPr>
        <w:pStyle w:val="BodyText"/>
        <w:spacing w:line="362" w:lineRule="auto" w:before="1"/>
        <w:ind w:left="196" w:right="287"/>
        <w:jc w:val="both"/>
      </w:pPr>
      <w:r>
        <w:rPr/>
        <w:t>La IgE se presenta como monómero, y al igual que la IgM, cuenta con un domino extra  (C</w:t>
      </w:r>
      <w:r>
        <w:rPr>
          <w:position w:val="-2"/>
          <w:sz w:val="16"/>
        </w:rPr>
        <w:t>H</w:t>
      </w:r>
      <w:r>
        <w:rPr/>
        <w:t>4)  en  la  porción  Fc.  En  condiciones  normales,  la  IgE  se  encuentra en</w:t>
      </w:r>
    </w:p>
    <w:p>
      <w:pPr>
        <w:spacing w:after="0" w:line="362" w:lineRule="auto"/>
        <w:jc w:val="both"/>
        <w:sectPr>
          <w:pgSz w:w="12240" w:h="15840"/>
          <w:pgMar w:header="726" w:footer="1031" w:top="1340" w:bottom="1220" w:left="1220" w:right="1420"/>
        </w:sectPr>
      </w:pPr>
    </w:p>
    <w:p>
      <w:pPr>
        <w:pStyle w:val="BodyText"/>
        <w:spacing w:before="3"/>
        <w:rPr>
          <w:sz w:val="23"/>
        </w:rPr>
      </w:pPr>
    </w:p>
    <w:p>
      <w:pPr>
        <w:pStyle w:val="BodyText"/>
        <w:spacing w:line="343" w:lineRule="auto" w:before="69"/>
        <w:ind w:left="196" w:right="279"/>
        <w:jc w:val="both"/>
        <w:rPr>
          <w:sz w:val="16"/>
        </w:rPr>
      </w:pPr>
      <w:r>
        <w:rPr/>
        <w:t>concentración muy baja en la circulación sanguínea; sin embargo, en pacientes con padecimientos alérgicos, hipersensibilidad o parasitosis, incrementan los niveles de este isotipo de anticuerpo.</w:t>
      </w:r>
      <w:r>
        <w:rPr>
          <w:position w:val="11"/>
          <w:sz w:val="16"/>
        </w:rPr>
        <w:t>25</w:t>
      </w:r>
    </w:p>
    <w:p>
      <w:pPr>
        <w:pStyle w:val="BodyText"/>
        <w:spacing w:before="2"/>
        <w:rPr>
          <w:sz w:val="13"/>
        </w:rPr>
      </w:pPr>
      <w:r>
        <w:rPr/>
        <w:drawing>
          <wp:anchor distT="0" distB="0" distL="0" distR="0" allowOverlap="1" layoutInCell="1" locked="0" behindDoc="0" simplePos="0" relativeHeight="1192">
            <wp:simplePos x="0" y="0"/>
            <wp:positionH relativeFrom="page">
              <wp:posOffset>2887345</wp:posOffset>
            </wp:positionH>
            <wp:positionV relativeFrom="paragraph">
              <wp:posOffset>121213</wp:posOffset>
            </wp:positionV>
            <wp:extent cx="1660737" cy="2613088"/>
            <wp:effectExtent l="0" t="0" r="0" b="0"/>
            <wp:wrapTopAndBottom/>
            <wp:docPr id="15" name="image15.jpeg" descr=""/>
            <wp:cNvGraphicFramePr>
              <a:graphicFrameLocks noChangeAspect="1"/>
            </wp:cNvGraphicFramePr>
            <a:graphic>
              <a:graphicData uri="http://schemas.openxmlformats.org/drawingml/2006/picture">
                <pic:pic>
                  <pic:nvPicPr>
                    <pic:cNvPr id="16" name="image15.jpeg"/>
                    <pic:cNvPicPr/>
                  </pic:nvPicPr>
                  <pic:blipFill>
                    <a:blip r:embed="rId28" cstate="print"/>
                    <a:stretch>
                      <a:fillRect/>
                    </a:stretch>
                  </pic:blipFill>
                  <pic:spPr>
                    <a:xfrm>
                      <a:off x="0" y="0"/>
                      <a:ext cx="1660737" cy="2613088"/>
                    </a:xfrm>
                    <a:prstGeom prst="rect">
                      <a:avLst/>
                    </a:prstGeom>
                  </pic:spPr>
                </pic:pic>
              </a:graphicData>
            </a:graphic>
          </wp:anchor>
        </w:drawing>
      </w:r>
    </w:p>
    <w:p>
      <w:pPr>
        <w:spacing w:before="168"/>
        <w:ind w:left="2760" w:right="0" w:firstLine="0"/>
        <w:jc w:val="left"/>
        <w:rPr>
          <w:sz w:val="20"/>
        </w:rPr>
      </w:pPr>
      <w:r>
        <w:rPr>
          <w:b/>
          <w:sz w:val="20"/>
        </w:rPr>
        <w:t>Figura 8. </w:t>
      </w:r>
      <w:r>
        <w:rPr>
          <w:i/>
          <w:sz w:val="20"/>
        </w:rPr>
        <w:t>Inmunoglobulina E. </w:t>
      </w:r>
      <w:r>
        <w:rPr>
          <w:sz w:val="20"/>
        </w:rPr>
        <w:t>Fuente directa.</w:t>
      </w:r>
    </w:p>
    <w:p>
      <w:pPr>
        <w:pStyle w:val="BodyText"/>
        <w:rPr>
          <w:sz w:val="20"/>
        </w:rPr>
      </w:pPr>
    </w:p>
    <w:p>
      <w:pPr>
        <w:pStyle w:val="BodyText"/>
        <w:spacing w:before="6"/>
        <w:rPr>
          <w:sz w:val="20"/>
        </w:rPr>
      </w:pPr>
    </w:p>
    <w:p>
      <w:pPr>
        <w:pStyle w:val="BodyText"/>
        <w:spacing w:line="360" w:lineRule="auto" w:before="1"/>
        <w:ind w:left="196" w:right="276"/>
        <w:jc w:val="both"/>
      </w:pPr>
      <w:r>
        <w:rPr/>
        <w:t>Los niveles séricos de IgE son altamente dependientes de la edad, son alcanzados en su totalidad entre los 10 a 15 años de edad y disminuyen gradualmente a partir de la  segunda  década  de  la  vida.  En  condiciones  fisiológicas  normales,  la  IgE </w:t>
      </w:r>
      <w:r>
        <w:rPr>
          <w:spacing w:val="45"/>
        </w:rPr>
        <w:t> </w:t>
      </w:r>
      <w:r>
        <w:rPr/>
        <w:t>se</w:t>
      </w:r>
    </w:p>
    <w:p>
      <w:pPr>
        <w:pStyle w:val="BodyText"/>
        <w:spacing w:line="324" w:lineRule="auto" w:before="7"/>
        <w:ind w:left="196" w:right="276"/>
        <w:jc w:val="both"/>
        <w:rPr>
          <w:sz w:val="16"/>
        </w:rPr>
      </w:pPr>
      <w:r>
        <w:rPr/>
        <w:t>encuentra en su mayoría fija en la superficie de células como basófilos y células </w:t>
      </w:r>
      <w:r>
        <w:rPr>
          <w:position w:val="-10"/>
        </w:rPr>
        <w:t>cebadas.</w:t>
      </w:r>
      <w:r>
        <w:rPr>
          <w:sz w:val="16"/>
        </w:rPr>
        <w:t>24, 26, 31</w:t>
      </w:r>
    </w:p>
    <w:p>
      <w:pPr>
        <w:pStyle w:val="BodyText"/>
        <w:spacing w:before="232"/>
        <w:ind w:left="196"/>
        <w:jc w:val="both"/>
      </w:pPr>
      <w:r>
        <w:rPr/>
        <w:t>Inmunoglobulina M (IgM)</w:t>
      </w:r>
    </w:p>
    <w:p>
      <w:pPr>
        <w:pStyle w:val="BodyText"/>
        <w:spacing w:before="9"/>
        <w:rPr>
          <w:sz w:val="29"/>
        </w:rPr>
      </w:pPr>
    </w:p>
    <w:p>
      <w:pPr>
        <w:pStyle w:val="BodyText"/>
        <w:spacing w:line="348" w:lineRule="auto"/>
        <w:ind w:left="196" w:right="274"/>
        <w:jc w:val="both"/>
        <w:rPr>
          <w:sz w:val="16"/>
        </w:rPr>
      </w:pPr>
      <w:r>
        <w:rPr/>
        <w:t>IgM es la primera inmunoglobulina expresada en la superficie de los linfocitos B, se presenta en </w:t>
      </w:r>
      <w:r>
        <w:rPr>
          <w:spacing w:val="-3"/>
        </w:rPr>
        <w:t>forma </w:t>
      </w:r>
      <w:r>
        <w:rPr/>
        <w:t>monomérica para </w:t>
      </w:r>
      <w:r>
        <w:rPr>
          <w:spacing w:val="-2"/>
        </w:rPr>
        <w:t>formar </w:t>
      </w:r>
      <w:r>
        <w:rPr/>
        <w:t>parte del receptor de linfocito B (BCR),  su estructura presenta un dominio adicional (C</w:t>
      </w:r>
      <w:r>
        <w:rPr>
          <w:position w:val="-2"/>
          <w:sz w:val="16"/>
        </w:rPr>
        <w:t>H</w:t>
      </w:r>
      <w:r>
        <w:rPr/>
        <w:t>4) en la porción Fc. Después de la maduración y el estímulo antigénico de los linfocitos B, se presenta la IgM pentamérica, formada por cinco monómeros unidos entre sí por una cadena o pieza J (al igual que la IgA dimérica) que facilita la secreción en la superficies mucosas.</w:t>
      </w:r>
      <w:r>
        <w:rPr>
          <w:position w:val="11"/>
          <w:sz w:val="16"/>
        </w:rPr>
        <w:t>24, 25, </w:t>
      </w:r>
      <w:r>
        <w:rPr>
          <w:sz w:val="16"/>
        </w:rPr>
        <w:t>26</w:t>
      </w:r>
    </w:p>
    <w:p>
      <w:pPr>
        <w:spacing w:after="0" w:line="348" w:lineRule="auto"/>
        <w:jc w:val="both"/>
        <w:rPr>
          <w:sz w:val="16"/>
        </w:rPr>
        <w:sectPr>
          <w:pgSz w:w="12240" w:h="15840"/>
          <w:pgMar w:header="726" w:footer="1031" w:top="1340" w:bottom="1220" w:left="1220" w:right="1420"/>
        </w:sectPr>
      </w:pPr>
    </w:p>
    <w:p>
      <w:pPr>
        <w:pStyle w:val="BodyText"/>
        <w:spacing w:before="3"/>
        <w:rPr>
          <w:sz w:val="23"/>
        </w:rPr>
      </w:pPr>
    </w:p>
    <w:p>
      <w:pPr>
        <w:pStyle w:val="BodyText"/>
        <w:spacing w:line="364" w:lineRule="auto" w:before="69"/>
        <w:ind w:left="196" w:right="279"/>
        <w:jc w:val="both"/>
      </w:pPr>
      <w:r>
        <w:rPr/>
        <w:t>Se encuentra en el suero y es muy eficaz en la activación del complemento. La IgM forma parte de los anticuerpos naturales o isoaglutininas, las cuales aparecen    en la</w:t>
      </w:r>
    </w:p>
    <w:p>
      <w:pPr>
        <w:pStyle w:val="BodyText"/>
        <w:spacing w:line="324" w:lineRule="auto"/>
        <w:ind w:left="196" w:right="279"/>
        <w:jc w:val="both"/>
        <w:rPr>
          <w:sz w:val="16"/>
        </w:rPr>
      </w:pPr>
      <w:r>
        <w:rPr/>
        <w:drawing>
          <wp:anchor distT="0" distB="0" distL="0" distR="0" allowOverlap="1" layoutInCell="1" locked="0" behindDoc="0" simplePos="0" relativeHeight="1216">
            <wp:simplePos x="0" y="0"/>
            <wp:positionH relativeFrom="page">
              <wp:posOffset>2701925</wp:posOffset>
            </wp:positionH>
            <wp:positionV relativeFrom="paragraph">
              <wp:posOffset>532585</wp:posOffset>
            </wp:positionV>
            <wp:extent cx="2003311" cy="2031492"/>
            <wp:effectExtent l="0" t="0" r="0" b="0"/>
            <wp:wrapTopAndBottom/>
            <wp:docPr id="17" name="image16.jpeg" descr=""/>
            <wp:cNvGraphicFramePr>
              <a:graphicFrameLocks noChangeAspect="1"/>
            </wp:cNvGraphicFramePr>
            <a:graphic>
              <a:graphicData uri="http://schemas.openxmlformats.org/drawingml/2006/picture">
                <pic:pic>
                  <pic:nvPicPr>
                    <pic:cNvPr id="18" name="image16.jpeg"/>
                    <pic:cNvPicPr/>
                  </pic:nvPicPr>
                  <pic:blipFill>
                    <a:blip r:embed="rId29" cstate="print"/>
                    <a:stretch>
                      <a:fillRect/>
                    </a:stretch>
                  </pic:blipFill>
                  <pic:spPr>
                    <a:xfrm>
                      <a:off x="0" y="0"/>
                      <a:ext cx="2003311" cy="2031492"/>
                    </a:xfrm>
                    <a:prstGeom prst="rect">
                      <a:avLst/>
                    </a:prstGeom>
                  </pic:spPr>
                </pic:pic>
              </a:graphicData>
            </a:graphic>
          </wp:anchor>
        </w:drawing>
      </w:r>
      <w:r>
        <w:rPr/>
        <w:t>circulación sanguínea sin un aparente estimulo antigénico, pero se han relacionado con funciones homeostáticas, como la destrucción de células seniles.</w:t>
      </w:r>
      <w:r>
        <w:rPr>
          <w:position w:val="11"/>
          <w:sz w:val="16"/>
        </w:rPr>
        <w:t>24</w:t>
      </w:r>
    </w:p>
    <w:p>
      <w:pPr>
        <w:spacing w:before="27"/>
        <w:ind w:left="629" w:right="712" w:firstLine="0"/>
        <w:jc w:val="center"/>
        <w:rPr>
          <w:sz w:val="20"/>
        </w:rPr>
      </w:pPr>
      <w:r>
        <w:rPr>
          <w:b/>
          <w:sz w:val="20"/>
        </w:rPr>
        <w:t>Figura 9. </w:t>
      </w:r>
      <w:r>
        <w:rPr>
          <w:i/>
          <w:sz w:val="20"/>
        </w:rPr>
        <w:t>Inmunoglobulina M (pentamérica). </w:t>
      </w:r>
      <w:r>
        <w:rPr>
          <w:sz w:val="20"/>
        </w:rPr>
        <w:t>Fuente directa.</w:t>
      </w:r>
    </w:p>
    <w:p>
      <w:pPr>
        <w:pStyle w:val="BodyText"/>
        <w:rPr>
          <w:sz w:val="20"/>
        </w:rPr>
      </w:pPr>
    </w:p>
    <w:p>
      <w:pPr>
        <w:pStyle w:val="BodyText"/>
        <w:spacing w:before="2"/>
        <w:rPr>
          <w:sz w:val="20"/>
        </w:rPr>
      </w:pPr>
    </w:p>
    <w:p>
      <w:pPr>
        <w:pStyle w:val="BodyText"/>
        <w:spacing w:line="360" w:lineRule="auto"/>
        <w:ind w:left="196" w:right="276"/>
        <w:jc w:val="both"/>
      </w:pPr>
      <w:r>
        <w:rPr/>
        <w:t>Entre las propiedades biológicas de la IgM, se destaca que es el primer anticuerpo producido como respuesta a un estímulo antigénico (vacuna, infección), no cruza la barrera placentaria, su capacidad aglutinante es mayor que el resto de los isotipos, activa el complemento por vía clásica de manera más efectiva que el resto de los anticuerpos,  es el  anticuerpo predominante en la respuesta  inmune  primaria y    se</w:t>
      </w:r>
    </w:p>
    <w:p>
      <w:pPr>
        <w:pStyle w:val="BodyText"/>
        <w:spacing w:line="324" w:lineRule="auto" w:before="7"/>
        <w:ind w:left="196" w:right="284"/>
        <w:jc w:val="both"/>
        <w:rPr>
          <w:sz w:val="16"/>
        </w:rPr>
      </w:pPr>
      <w:r>
        <w:rPr/>
        <w:t>utiliza con frecuencia para diagnosticar la exposición aguda a un inmunógeno o patógeno; su concentración disminuye después del estímulo antigénico.</w:t>
      </w:r>
      <w:r>
        <w:rPr>
          <w:position w:val="11"/>
          <w:sz w:val="16"/>
        </w:rPr>
        <w:t>24, 26</w:t>
      </w:r>
    </w:p>
    <w:p>
      <w:pPr>
        <w:pStyle w:val="BodyText"/>
        <w:spacing w:before="231"/>
        <w:ind w:left="196"/>
        <w:jc w:val="both"/>
      </w:pPr>
      <w:r>
        <w:rPr/>
        <w:t>Inmunoglobulina D (IgD)</w:t>
      </w:r>
    </w:p>
    <w:p>
      <w:pPr>
        <w:pStyle w:val="BodyText"/>
        <w:spacing w:before="9"/>
        <w:rPr>
          <w:sz w:val="29"/>
        </w:rPr>
      </w:pPr>
    </w:p>
    <w:p>
      <w:pPr>
        <w:pStyle w:val="BodyText"/>
        <w:spacing w:line="350" w:lineRule="auto"/>
        <w:ind w:left="196" w:right="273"/>
        <w:jc w:val="both"/>
        <w:rPr>
          <w:sz w:val="16"/>
        </w:rPr>
      </w:pPr>
      <w:r>
        <w:rPr/>
        <w:t>La IgD prácticamente no circula en la sangre, donde </w:t>
      </w:r>
      <w:r>
        <w:rPr>
          <w:spacing w:val="-3"/>
        </w:rPr>
        <w:t>su </w:t>
      </w:r>
      <w:r>
        <w:rPr/>
        <w:t>concentración es </w:t>
      </w:r>
      <w:r>
        <w:rPr>
          <w:spacing w:val="-3"/>
        </w:rPr>
        <w:t>muy </w:t>
      </w:r>
      <w:r>
        <w:rPr/>
        <w:t>baja. Además, al igual que la IgM, la IgD también se une a la membrana de linfocitos B y se asocia con CD79</w:t>
      </w:r>
      <w:r>
        <w:rPr>
          <w:rFonts w:ascii="Symbol" w:hAnsi="Symbol"/>
        </w:rPr>
        <w:t></w:t>
      </w:r>
      <w:r>
        <w:rPr>
          <w:rFonts w:ascii="Times New Roman" w:hAnsi="Times New Roman"/>
        </w:rPr>
        <w:t> </w:t>
      </w:r>
      <w:r>
        <w:rPr/>
        <w:t>y CD79</w:t>
      </w:r>
      <w:r>
        <w:rPr>
          <w:rFonts w:ascii="Calibri" w:hAnsi="Calibri"/>
        </w:rPr>
        <w:t>β </w:t>
      </w:r>
      <w:r>
        <w:rPr/>
        <w:t>para formar parte del BCR. La función de la IgD circulante no está clara ya que, se desconoce cómo participa en los principales mecanismos efectores de anticuerpos.</w:t>
      </w:r>
      <w:r>
        <w:rPr>
          <w:position w:val="11"/>
          <w:sz w:val="16"/>
        </w:rPr>
        <w:t>24, 26,</w:t>
      </w:r>
      <w:r>
        <w:rPr>
          <w:spacing w:val="-17"/>
          <w:position w:val="11"/>
          <w:sz w:val="16"/>
        </w:rPr>
        <w:t> </w:t>
      </w:r>
      <w:r>
        <w:rPr>
          <w:position w:val="11"/>
          <w:sz w:val="16"/>
        </w:rPr>
        <w:t>32</w:t>
      </w:r>
    </w:p>
    <w:p>
      <w:pPr>
        <w:pStyle w:val="BodyText"/>
        <w:spacing w:line="360" w:lineRule="auto" w:before="203"/>
        <w:ind w:left="196" w:right="273"/>
        <w:jc w:val="both"/>
      </w:pPr>
      <w:r>
        <w:rPr/>
        <w:t>La distribución de la IgD se correlaciona en gran medida con la distribución de los linfocitos  B  responsables  de  su  producción.  La  mucosa  intestinal,  el  hígado, los</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4" w:lineRule="auto" w:before="69"/>
        <w:ind w:left="196" w:right="275"/>
        <w:jc w:val="both"/>
      </w:pPr>
      <w:r>
        <w:rPr/>
        <w:t>ganglios linfáticos periféricos, bazo y médula ósea, contienen muy pocos linfocitos B que  producen IgD;  mientras  que las amígdalas, la  glándula  adenoides,  salival,    y</w:t>
      </w:r>
    </w:p>
    <w:p>
      <w:pPr>
        <w:pStyle w:val="BodyText"/>
        <w:spacing w:line="324" w:lineRule="auto"/>
        <w:ind w:left="196" w:right="276"/>
        <w:jc w:val="both"/>
        <w:rPr>
          <w:sz w:val="16"/>
        </w:rPr>
      </w:pPr>
      <w:r>
        <w:rPr/>
        <w:t>lacrimales, además de la mucosa nasal, albergan abundantes linfocitos B que producen IgD.</w:t>
      </w:r>
      <w:r>
        <w:rPr>
          <w:position w:val="11"/>
          <w:sz w:val="16"/>
        </w:rPr>
        <w:t>33</w:t>
      </w:r>
    </w:p>
    <w:p>
      <w:pPr>
        <w:pStyle w:val="Heading2"/>
        <w:numPr>
          <w:ilvl w:val="1"/>
          <w:numId w:val="9"/>
        </w:numPr>
        <w:tabs>
          <w:tab w:pos="599" w:val="left" w:leader="none"/>
        </w:tabs>
        <w:spacing w:line="240" w:lineRule="auto" w:before="231" w:after="0"/>
        <w:ind w:left="598" w:right="0" w:hanging="402"/>
        <w:jc w:val="both"/>
      </w:pPr>
      <w:bookmarkStart w:name="_TOC_250054" w:id="12"/>
      <w:r>
        <w:rPr/>
        <w:t>Receptores Fc para las</w:t>
      </w:r>
      <w:r>
        <w:rPr>
          <w:spacing w:val="-22"/>
        </w:rPr>
        <w:t> </w:t>
      </w:r>
      <w:bookmarkEnd w:id="12"/>
      <w:r>
        <w:rPr/>
        <w:t>Inmunoglobulinas</w:t>
      </w:r>
    </w:p>
    <w:p>
      <w:pPr>
        <w:pStyle w:val="BodyText"/>
        <w:rPr>
          <w:b/>
        </w:rPr>
      </w:pPr>
    </w:p>
    <w:p>
      <w:pPr>
        <w:pStyle w:val="BodyText"/>
        <w:spacing w:line="360" w:lineRule="auto" w:before="149"/>
        <w:ind w:left="196" w:right="274"/>
        <w:jc w:val="both"/>
      </w:pPr>
      <w:r>
        <w:rPr/>
        <w:t>Las células humanas mieloides, células NK (</w:t>
      </w:r>
      <w:r>
        <w:rPr>
          <w:i/>
        </w:rPr>
        <w:t>natural killer</w:t>
      </w:r>
      <w:r>
        <w:rPr/>
        <w:t>) y células B están equipadas con una variedad de receptores que permiten su interacción con inmunoglobulinas monoméricas o agregados, inmunocomplejos y partículas opsonizadas (recubiertas con anticuerpo). La mayoría de estos receptores se unen</w:t>
      </w:r>
      <w:r>
        <w:rPr>
          <w:spacing w:val="65"/>
        </w:rPr>
        <w:t> </w:t>
      </w:r>
      <w:r>
        <w:rPr/>
        <w:t>a</w:t>
      </w:r>
    </w:p>
    <w:p>
      <w:pPr>
        <w:pStyle w:val="BodyText"/>
        <w:spacing w:line="324" w:lineRule="auto" w:before="7"/>
        <w:ind w:left="196" w:right="283"/>
        <w:jc w:val="both"/>
        <w:rPr>
          <w:sz w:val="16"/>
        </w:rPr>
      </w:pPr>
      <w:r>
        <w:rPr/>
        <w:t>la porción Fc de inmunoglobulinas (FcR) y dotan estas células con la capacidad de interactuar con IgM, IgA, IgG, y/o IgE.</w:t>
      </w:r>
      <w:r>
        <w:rPr>
          <w:position w:val="11"/>
          <w:sz w:val="16"/>
        </w:rPr>
        <w:t>34</w:t>
      </w:r>
    </w:p>
    <w:p>
      <w:pPr>
        <w:pStyle w:val="BodyText"/>
        <w:spacing w:line="360" w:lineRule="auto" w:before="235"/>
        <w:ind w:left="196" w:right="274"/>
        <w:jc w:val="both"/>
      </w:pPr>
      <w:r>
        <w:rPr/>
        <w:t>Los receptores Fc </w:t>
      </w:r>
      <w:r>
        <w:rPr>
          <w:spacing w:val="-3"/>
        </w:rPr>
        <w:t>más </w:t>
      </w:r>
      <w:r>
        <w:rPr/>
        <w:t>estudiados son el Fc</w:t>
      </w:r>
      <w:r>
        <w:rPr>
          <w:rFonts w:ascii="Symbol" w:hAnsi="Symbol"/>
        </w:rPr>
        <w:t></w:t>
      </w:r>
      <w:r>
        <w:rPr/>
        <w:t>R y FcR neonatal (FcRn) para la IgG, el Fc</w:t>
      </w:r>
      <w:r>
        <w:rPr>
          <w:rFonts w:ascii="Symbol" w:hAnsi="Symbol"/>
        </w:rPr>
        <w:t></w:t>
      </w:r>
      <w:r>
        <w:rPr/>
        <w:t>R para IgE y el Fc</w:t>
      </w:r>
      <w:r>
        <w:rPr>
          <w:rFonts w:ascii="Symbol" w:hAnsi="Symbol"/>
        </w:rPr>
        <w:t></w:t>
      </w:r>
      <w:r>
        <w:rPr/>
        <w:t>R para IgA. Los receptores Fc pertenecen a la superfamilia de genes de las inmunoglobulinas, excepto por el FcRn y FcεRII, que están estructuralmente  relacionadas  con  la  clase  I  del   MHC  y  lectinas  de  tipo      </w:t>
      </w:r>
      <w:r>
        <w:rPr>
          <w:spacing w:val="54"/>
        </w:rPr>
        <w:t> </w:t>
      </w:r>
      <w:r>
        <w:rPr/>
        <w:t>C,</w:t>
      </w:r>
    </w:p>
    <w:p>
      <w:pPr>
        <w:pStyle w:val="BodyText"/>
        <w:spacing w:line="326" w:lineRule="auto" w:before="2"/>
        <w:ind w:left="196" w:right="283"/>
        <w:jc w:val="both"/>
        <w:rPr>
          <w:sz w:val="16"/>
        </w:rPr>
      </w:pPr>
      <w:r>
        <w:rPr/>
        <w:t>respectivamente</w:t>
      </w:r>
      <w:r>
        <w:rPr>
          <w:sz w:val="22"/>
        </w:rPr>
        <w:t>. </w:t>
      </w:r>
      <w:r>
        <w:rPr/>
        <w:t>Los receptores Fc poseen una función importante en el sistema inmune ya que proporcionan la conexión entre inmunidad humoral y celular.</w:t>
      </w:r>
      <w:r>
        <w:rPr>
          <w:position w:val="11"/>
          <w:sz w:val="16"/>
        </w:rPr>
        <w:t>25, 26, 28, 35, </w:t>
      </w:r>
      <w:r>
        <w:rPr>
          <w:sz w:val="16"/>
        </w:rPr>
        <w:t>36, 37</w:t>
      </w:r>
    </w:p>
    <w:p>
      <w:pPr>
        <w:pStyle w:val="BodyText"/>
        <w:rPr>
          <w:sz w:val="16"/>
        </w:rPr>
      </w:pPr>
    </w:p>
    <w:p>
      <w:pPr>
        <w:pStyle w:val="BodyText"/>
        <w:spacing w:before="2"/>
        <w:rPr>
          <w:sz w:val="19"/>
        </w:rPr>
      </w:pPr>
    </w:p>
    <w:p>
      <w:pPr>
        <w:pStyle w:val="BodyText"/>
        <w:spacing w:line="360" w:lineRule="auto"/>
        <w:ind w:left="196" w:right="274"/>
        <w:jc w:val="both"/>
      </w:pPr>
      <w:r>
        <w:rPr/>
        <w:t>Los receptores Fc están compuestos por una cadena principal alfa (</w:t>
      </w:r>
      <w:r>
        <w:rPr>
          <w:rFonts w:ascii="Symbol" w:hAnsi="Symbol"/>
        </w:rPr>
        <w:t></w:t>
      </w:r>
      <w:r>
        <w:rPr/>
        <w:t>) y unas cadenas accesorias que pueden ser beta (</w:t>
      </w:r>
      <w:r>
        <w:rPr>
          <w:rFonts w:ascii="Calibri" w:hAnsi="Calibri"/>
        </w:rPr>
        <w:t>β</w:t>
      </w:r>
      <w:r>
        <w:rPr/>
        <w:t>), gamma (</w:t>
      </w:r>
      <w:r>
        <w:rPr>
          <w:rFonts w:ascii="Symbol" w:hAnsi="Symbol"/>
        </w:rPr>
        <w:t></w:t>
      </w:r>
      <w:r>
        <w:rPr/>
        <w:t>) o dseta (</w:t>
      </w:r>
      <w:r>
        <w:rPr>
          <w:rFonts w:ascii="Symbol" w:hAnsi="Symbol"/>
        </w:rPr>
        <w:t></w:t>
      </w:r>
      <w:r>
        <w:rPr/>
        <w:t>), que influyen sobre la respuesta inmunológica, debido a los receptores de activación o de  inhibición</w:t>
      </w:r>
      <w:r>
        <w:rPr>
          <w:spacing w:val="51"/>
        </w:rPr>
        <w:t> </w:t>
      </w:r>
      <w:r>
        <w:rPr/>
        <w:t>que</w:t>
      </w:r>
      <w:r>
        <w:rPr>
          <w:spacing w:val="51"/>
        </w:rPr>
        <w:t> </w:t>
      </w:r>
      <w:r>
        <w:rPr/>
        <w:t>posean.</w:t>
      </w:r>
      <w:r>
        <w:rPr>
          <w:spacing w:val="50"/>
        </w:rPr>
        <w:t> </w:t>
      </w:r>
      <w:r>
        <w:rPr/>
        <w:t>Los</w:t>
      </w:r>
      <w:r>
        <w:rPr>
          <w:spacing w:val="50"/>
        </w:rPr>
        <w:t> </w:t>
      </w:r>
      <w:r>
        <w:rPr/>
        <w:t>receptores</w:t>
      </w:r>
      <w:r>
        <w:rPr>
          <w:spacing w:val="50"/>
        </w:rPr>
        <w:t> </w:t>
      </w:r>
      <w:r>
        <w:rPr/>
        <w:t>Fc</w:t>
      </w:r>
      <w:r>
        <w:rPr>
          <w:spacing w:val="50"/>
        </w:rPr>
        <w:t> </w:t>
      </w:r>
      <w:r>
        <w:rPr/>
        <w:t>contienen</w:t>
      </w:r>
      <w:r>
        <w:rPr>
          <w:spacing w:val="51"/>
        </w:rPr>
        <w:t> </w:t>
      </w:r>
      <w:r>
        <w:rPr/>
        <w:t>tres</w:t>
      </w:r>
      <w:r>
        <w:rPr>
          <w:spacing w:val="50"/>
        </w:rPr>
        <w:t> </w:t>
      </w:r>
      <w:r>
        <w:rPr/>
        <w:t>regiones</w:t>
      </w:r>
      <w:r>
        <w:rPr>
          <w:spacing w:val="50"/>
        </w:rPr>
        <w:t> </w:t>
      </w:r>
      <w:r>
        <w:rPr/>
        <w:t>clasificadas</w:t>
      </w:r>
      <w:r>
        <w:rPr>
          <w:spacing w:val="50"/>
        </w:rPr>
        <w:t> </w:t>
      </w:r>
      <w:r>
        <w:rPr/>
        <w:t>de</w:t>
      </w:r>
    </w:p>
    <w:p>
      <w:pPr>
        <w:pStyle w:val="BodyText"/>
        <w:spacing w:line="328" w:lineRule="auto" w:before="2"/>
        <w:ind w:left="196" w:right="276"/>
        <w:jc w:val="both"/>
        <w:rPr>
          <w:sz w:val="16"/>
        </w:rPr>
      </w:pPr>
      <w:r>
        <w:rPr/>
        <w:t>acuerdo con su ubicación, llamados región extracitoplasmática, región transmembrana y región citoplasmática (dominio de activación/inhibición) (Tabla 1).</w:t>
      </w:r>
      <w:r>
        <w:rPr>
          <w:position w:val="11"/>
          <w:sz w:val="16"/>
        </w:rPr>
        <w:t>25,</w:t>
      </w:r>
    </w:p>
    <w:p>
      <w:pPr>
        <w:spacing w:line="172" w:lineRule="exact" w:before="0"/>
        <w:ind w:left="196" w:right="0" w:firstLine="0"/>
        <w:jc w:val="both"/>
        <w:rPr>
          <w:sz w:val="16"/>
        </w:rPr>
      </w:pPr>
      <w:r>
        <w:rPr>
          <w:sz w:val="16"/>
        </w:rPr>
        <w:t>36</w:t>
      </w:r>
    </w:p>
    <w:p>
      <w:pPr>
        <w:pStyle w:val="BodyText"/>
        <w:rPr>
          <w:sz w:val="16"/>
        </w:rPr>
      </w:pPr>
    </w:p>
    <w:p>
      <w:pPr>
        <w:pStyle w:val="BodyText"/>
        <w:rPr>
          <w:sz w:val="16"/>
        </w:rPr>
      </w:pPr>
    </w:p>
    <w:p>
      <w:pPr>
        <w:pStyle w:val="BodyText"/>
        <w:spacing w:line="360" w:lineRule="auto" w:before="98"/>
        <w:ind w:left="196" w:right="283"/>
        <w:jc w:val="both"/>
      </w:pPr>
      <w:r>
        <w:rPr/>
        <w:t>Las cadenas accesorias del FcR tiene motivos de activación de inmunorreceptor basados en tirosina (ITAM) en su región citoplasmática que actúan como unidad central para la transmisión de señales de activación, influyendo en funciones como</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4" w:lineRule="auto" w:before="69"/>
        <w:ind w:left="196" w:right="277"/>
        <w:jc w:val="both"/>
      </w:pPr>
      <w:r>
        <w:rPr/>
        <w:t>citotoxicidad dependiente de anticuerpos (ADCC), citotoxicidad dependiente de complemento   (CDCC),   endocitosis,   regulación   de   anticuerpos,   producción  de</w:t>
      </w:r>
    </w:p>
    <w:p>
      <w:pPr>
        <w:pStyle w:val="BodyText"/>
        <w:spacing w:line="324" w:lineRule="auto"/>
        <w:ind w:left="196" w:right="277"/>
        <w:jc w:val="both"/>
        <w:rPr>
          <w:sz w:val="16"/>
        </w:rPr>
      </w:pPr>
      <w:r>
        <w:rPr/>
        <w:t>citocinas inflamatorias, potenciación de la presentación antigénica y regulación del estallido respiratorio.</w:t>
      </w:r>
      <w:r>
        <w:rPr>
          <w:position w:val="11"/>
          <w:sz w:val="16"/>
        </w:rPr>
        <w:t>25, 35, 36, 38</w:t>
      </w:r>
    </w:p>
    <w:p>
      <w:pPr>
        <w:pStyle w:val="BodyText"/>
        <w:spacing w:line="360" w:lineRule="auto" w:before="234"/>
        <w:ind w:left="196" w:right="274"/>
        <w:jc w:val="both"/>
      </w:pPr>
      <w:r>
        <w:rPr/>
        <w:t>Algunas cadenas </w:t>
      </w:r>
      <w:r>
        <w:rPr>
          <w:rFonts w:ascii="Symbol" w:hAnsi="Symbol"/>
        </w:rPr>
        <w:t></w:t>
      </w:r>
      <w:r>
        <w:rPr>
          <w:rFonts w:ascii="Times New Roman" w:hAnsi="Times New Roman"/>
        </w:rPr>
        <w:t> </w:t>
      </w:r>
      <w:r>
        <w:rPr/>
        <w:t>del receptor portan sus propios ITAM en sus regiones citoplasmáticas, mientras que otras presentan motivos de inhibición de inmunorreceptor basados en tirosina (ITIM) que regulan las funciones de los  dominios activadores, como es el caso de la regulación de anticuerpos y la activación de</w:t>
      </w:r>
      <w:r>
        <w:rPr>
          <w:spacing w:val="24"/>
        </w:rPr>
        <w:t> </w:t>
      </w:r>
      <w:r>
        <w:rPr/>
        <w:t>la</w:t>
      </w:r>
      <w:r>
        <w:rPr>
          <w:spacing w:val="24"/>
        </w:rPr>
        <w:t> </w:t>
      </w:r>
      <w:r>
        <w:rPr/>
        <w:t>apoptosis</w:t>
      </w:r>
      <w:r>
        <w:rPr>
          <w:spacing w:val="23"/>
        </w:rPr>
        <w:t> </w:t>
      </w:r>
      <w:r>
        <w:rPr/>
        <w:t>de</w:t>
      </w:r>
      <w:r>
        <w:rPr>
          <w:spacing w:val="19"/>
        </w:rPr>
        <w:t> </w:t>
      </w:r>
      <w:r>
        <w:rPr/>
        <w:t>las</w:t>
      </w:r>
      <w:r>
        <w:rPr>
          <w:spacing w:val="23"/>
        </w:rPr>
        <w:t> </w:t>
      </w:r>
      <w:r>
        <w:rPr/>
        <w:t>células</w:t>
      </w:r>
      <w:r>
        <w:rPr>
          <w:spacing w:val="23"/>
        </w:rPr>
        <w:t> </w:t>
      </w:r>
      <w:r>
        <w:rPr/>
        <w:t>B.</w:t>
      </w:r>
      <w:r>
        <w:rPr>
          <w:spacing w:val="23"/>
        </w:rPr>
        <w:t> </w:t>
      </w:r>
      <w:r>
        <w:rPr/>
        <w:t>Los</w:t>
      </w:r>
      <w:r>
        <w:rPr>
          <w:spacing w:val="23"/>
        </w:rPr>
        <w:t> </w:t>
      </w:r>
      <w:r>
        <w:rPr/>
        <w:t>receptores</w:t>
      </w:r>
      <w:r>
        <w:rPr>
          <w:spacing w:val="23"/>
        </w:rPr>
        <w:t> </w:t>
      </w:r>
      <w:r>
        <w:rPr/>
        <w:t>Fc</w:t>
      </w:r>
      <w:r>
        <w:rPr>
          <w:spacing w:val="23"/>
        </w:rPr>
        <w:t> </w:t>
      </w:r>
      <w:r>
        <w:rPr/>
        <w:t>son</w:t>
      </w:r>
      <w:r>
        <w:rPr>
          <w:spacing w:val="24"/>
        </w:rPr>
        <w:t> </w:t>
      </w:r>
      <w:r>
        <w:rPr/>
        <w:t>clasificados</w:t>
      </w:r>
      <w:r>
        <w:rPr>
          <w:spacing w:val="23"/>
        </w:rPr>
        <w:t> </w:t>
      </w:r>
      <w:r>
        <w:rPr/>
        <w:t>también</w:t>
      </w:r>
      <w:r>
        <w:rPr>
          <w:spacing w:val="24"/>
        </w:rPr>
        <w:t> </w:t>
      </w:r>
      <w:r>
        <w:rPr/>
        <w:t>por</w:t>
      </w:r>
      <w:r>
        <w:rPr>
          <w:spacing w:val="25"/>
        </w:rPr>
        <w:t> </w:t>
      </w:r>
      <w:r>
        <w:rPr/>
        <w:t>la</w:t>
      </w:r>
    </w:p>
    <w:p>
      <w:pPr>
        <w:pStyle w:val="BodyText"/>
        <w:spacing w:line="324" w:lineRule="auto" w:before="2"/>
        <w:ind w:left="196" w:right="280"/>
        <w:jc w:val="both"/>
        <w:rPr>
          <w:sz w:val="16"/>
        </w:rPr>
      </w:pPr>
      <w:r>
        <w:rPr/>
        <w:t>afinidad del receptor hacia la inmunoglobulina; por lo tanto existen los receptores de alta afinidad y de baja afinidad.</w:t>
      </w:r>
      <w:r>
        <w:rPr>
          <w:position w:val="11"/>
          <w:sz w:val="16"/>
        </w:rPr>
        <w:t>36</w:t>
      </w:r>
    </w:p>
    <w:p>
      <w:pPr>
        <w:pStyle w:val="Heading2"/>
        <w:numPr>
          <w:ilvl w:val="2"/>
          <w:numId w:val="9"/>
        </w:numPr>
        <w:tabs>
          <w:tab w:pos="801" w:val="left" w:leader="none"/>
        </w:tabs>
        <w:spacing w:line="240" w:lineRule="auto" w:before="230" w:after="0"/>
        <w:ind w:left="800" w:right="0" w:hanging="604"/>
        <w:jc w:val="both"/>
        <w:rPr>
          <w:rFonts w:ascii="Symbol" w:hAnsi="Symbol"/>
        </w:rPr>
      </w:pPr>
      <w:bookmarkStart w:name="_TOC_250053" w:id="13"/>
      <w:r>
        <w:rPr/>
        <w:t>Receptores</w:t>
      </w:r>
      <w:r>
        <w:rPr>
          <w:spacing w:val="-9"/>
        </w:rPr>
        <w:t> </w:t>
      </w:r>
      <w:r>
        <w:rPr/>
        <w:t>Fc</w:t>
      </w:r>
      <w:bookmarkEnd w:id="13"/>
      <w:r>
        <w:rPr>
          <w:rFonts w:ascii="Symbol" w:hAnsi="Symbol"/>
        </w:rPr>
        <w:t></w:t>
      </w:r>
    </w:p>
    <w:p>
      <w:pPr>
        <w:pStyle w:val="BodyText"/>
        <w:spacing w:before="10"/>
        <w:rPr>
          <w:rFonts w:ascii="Symbol" w:hAnsi="Symbol"/>
          <w:b/>
          <w:sz w:val="28"/>
        </w:rPr>
      </w:pPr>
    </w:p>
    <w:p>
      <w:pPr>
        <w:pStyle w:val="BodyText"/>
        <w:spacing w:line="355" w:lineRule="auto" w:before="1"/>
        <w:ind w:left="196" w:right="275"/>
        <w:jc w:val="both"/>
        <w:rPr>
          <w:sz w:val="16"/>
        </w:rPr>
      </w:pPr>
      <w:r>
        <w:rPr/>
        <w:t>Los Fc</w:t>
      </w:r>
      <w:r>
        <w:rPr>
          <w:rFonts w:ascii="Symbol" w:hAnsi="Symbol"/>
        </w:rPr>
        <w:t></w:t>
      </w:r>
      <w:r>
        <w:rPr/>
        <w:t>R identificados en humanos son el Fc</w:t>
      </w:r>
      <w:r>
        <w:rPr>
          <w:rFonts w:ascii="Symbol" w:hAnsi="Symbol"/>
        </w:rPr>
        <w:t></w:t>
      </w:r>
      <w:r>
        <w:rPr/>
        <w:t>RI (CD64), Fc</w:t>
      </w:r>
      <w:r>
        <w:rPr>
          <w:rFonts w:ascii="Symbol" w:hAnsi="Symbol"/>
        </w:rPr>
        <w:t></w:t>
      </w:r>
      <w:r>
        <w:rPr/>
        <w:t>RII (CD32) y Fc</w:t>
      </w:r>
      <w:r>
        <w:rPr>
          <w:rFonts w:ascii="Symbol" w:hAnsi="Symbol"/>
        </w:rPr>
        <w:t></w:t>
      </w:r>
      <w:r>
        <w:rPr/>
        <w:t>RIII (CD16); estos dos últimos presentan isoformas A y B, y en algunos casos C (Tabla  1). Los genes que codifican para los Fc</w:t>
      </w:r>
      <w:r>
        <w:rPr>
          <w:rFonts w:ascii="Symbol" w:hAnsi="Symbol"/>
        </w:rPr>
        <w:t></w:t>
      </w:r>
      <w:r>
        <w:rPr/>
        <w:t>R se ubican en un </w:t>
      </w:r>
      <w:r>
        <w:rPr>
          <w:i/>
        </w:rPr>
        <w:t>locus </w:t>
      </w:r>
      <w:r>
        <w:rPr/>
        <w:t>del brazo largo del cromosoma 1, (Fc</w:t>
      </w:r>
      <w:r>
        <w:rPr>
          <w:rFonts w:ascii="Symbol" w:hAnsi="Symbol"/>
        </w:rPr>
        <w:t></w:t>
      </w:r>
      <w:r>
        <w:rPr/>
        <w:t>RI en 1q21.2-q21.3, Fc</w:t>
      </w:r>
      <w:r>
        <w:rPr>
          <w:rFonts w:ascii="Symbol" w:hAnsi="Symbol"/>
        </w:rPr>
        <w:t></w:t>
      </w:r>
      <w:r>
        <w:rPr/>
        <w:t>RII y Fc</w:t>
      </w:r>
      <w:r>
        <w:rPr>
          <w:rFonts w:ascii="Symbol" w:hAnsi="Symbol"/>
        </w:rPr>
        <w:t></w:t>
      </w:r>
      <w:r>
        <w:rPr/>
        <w:t>RIII en 1q23).</w:t>
      </w:r>
      <w:r>
        <w:rPr>
          <w:position w:val="11"/>
          <w:sz w:val="16"/>
        </w:rPr>
        <w:t>26, 36,</w:t>
      </w:r>
      <w:r>
        <w:rPr>
          <w:spacing w:val="-28"/>
          <w:position w:val="11"/>
          <w:sz w:val="16"/>
        </w:rPr>
        <w:t> </w:t>
      </w:r>
      <w:r>
        <w:rPr>
          <w:position w:val="11"/>
          <w:sz w:val="16"/>
        </w:rPr>
        <w:t>37</w:t>
      </w:r>
    </w:p>
    <w:p>
      <w:pPr>
        <w:pStyle w:val="BodyText"/>
        <w:spacing w:line="360" w:lineRule="auto" w:before="196"/>
        <w:ind w:left="196" w:right="274"/>
        <w:jc w:val="both"/>
      </w:pPr>
      <w:r>
        <w:rPr/>
        <w:t>El Fc</w:t>
      </w:r>
      <w:r>
        <w:rPr>
          <w:rFonts w:ascii="Symbol" w:hAnsi="Symbol"/>
        </w:rPr>
        <w:t></w:t>
      </w:r>
      <w:r>
        <w:rPr/>
        <w:t>RI (CD64) se caracteriza por su alta afinidad por la IgG monomérica, posee  tres dominios extracelulares similares a la inmunoglobulina en su cadena </w:t>
      </w:r>
      <w:r>
        <w:rPr>
          <w:rFonts w:ascii="Symbol" w:hAnsi="Symbol"/>
        </w:rPr>
        <w:t></w:t>
      </w:r>
      <w:r>
        <w:rPr/>
        <w:t>, mientras que Fc</w:t>
      </w:r>
      <w:r>
        <w:rPr>
          <w:rFonts w:ascii="Symbol" w:hAnsi="Symbol"/>
        </w:rPr>
        <w:t></w:t>
      </w:r>
      <w:r>
        <w:rPr/>
        <w:t>RII y Fc</w:t>
      </w:r>
      <w:r>
        <w:rPr>
          <w:rFonts w:ascii="Symbol" w:hAnsi="Symbol"/>
        </w:rPr>
        <w:t></w:t>
      </w:r>
      <w:r>
        <w:rPr/>
        <w:t>RIII tienen dos dominios. Es un componente constitutivo de monocitos, macrófagos y células dendríticas, y es inducido en neutrófilos y  eosinófilos tras su activación por INF-</w:t>
      </w:r>
      <w:r>
        <w:rPr>
          <w:rFonts w:ascii="Symbol" w:hAnsi="Symbol"/>
        </w:rPr>
        <w:t></w:t>
      </w:r>
      <w:r>
        <w:rPr>
          <w:rFonts w:ascii="Times New Roman" w:hAnsi="Times New Roman"/>
        </w:rPr>
        <w:t> </w:t>
      </w:r>
      <w:r>
        <w:rPr/>
        <w:t>y G-CSF (factor estimulante de colonias de granulocitos); el Fc</w:t>
      </w:r>
      <w:r>
        <w:rPr>
          <w:rFonts w:ascii="Symbol" w:hAnsi="Symbol"/>
        </w:rPr>
        <w:t></w:t>
      </w:r>
      <w:r>
        <w:rPr/>
        <w:t>RI puede estar regulado negativamente en respuesta a IL-4 e </w:t>
      </w:r>
      <w:r>
        <w:rPr>
          <w:spacing w:val="6"/>
        </w:rPr>
        <w:t> </w:t>
      </w:r>
      <w:r>
        <w:rPr/>
        <w:t>IL-</w:t>
      </w:r>
    </w:p>
    <w:p>
      <w:pPr>
        <w:pStyle w:val="ListParagraph"/>
        <w:numPr>
          <w:ilvl w:val="0"/>
          <w:numId w:val="3"/>
        </w:numPr>
        <w:tabs>
          <w:tab w:pos="508" w:val="left" w:leader="none"/>
        </w:tabs>
        <w:spacing w:line="240" w:lineRule="auto" w:before="0" w:after="0"/>
        <w:ind w:left="508" w:right="0" w:hanging="312"/>
        <w:jc w:val="both"/>
        <w:rPr>
          <w:sz w:val="24"/>
        </w:rPr>
      </w:pPr>
      <w:r>
        <w:rPr>
          <w:sz w:val="24"/>
        </w:rPr>
        <w:t>Estructuralmente</w:t>
      </w:r>
      <w:r>
        <w:rPr>
          <w:spacing w:val="43"/>
          <w:sz w:val="24"/>
        </w:rPr>
        <w:t> </w:t>
      </w:r>
      <w:r>
        <w:rPr>
          <w:sz w:val="24"/>
        </w:rPr>
        <w:t>consiste</w:t>
      </w:r>
      <w:r>
        <w:rPr>
          <w:spacing w:val="43"/>
          <w:sz w:val="24"/>
        </w:rPr>
        <w:t> </w:t>
      </w:r>
      <w:r>
        <w:rPr>
          <w:sz w:val="24"/>
        </w:rPr>
        <w:t>en</w:t>
      </w:r>
      <w:r>
        <w:rPr>
          <w:spacing w:val="42"/>
          <w:sz w:val="24"/>
        </w:rPr>
        <w:t> </w:t>
      </w:r>
      <w:r>
        <w:rPr>
          <w:sz w:val="24"/>
        </w:rPr>
        <w:t>una</w:t>
      </w:r>
      <w:r>
        <w:rPr>
          <w:spacing w:val="42"/>
          <w:sz w:val="24"/>
        </w:rPr>
        <w:t> </w:t>
      </w:r>
      <w:r>
        <w:rPr>
          <w:sz w:val="24"/>
        </w:rPr>
        <w:t>cadena</w:t>
      </w:r>
      <w:r>
        <w:rPr>
          <w:spacing w:val="45"/>
          <w:sz w:val="24"/>
        </w:rPr>
        <w:t> </w:t>
      </w:r>
      <w:r>
        <w:rPr>
          <w:rFonts w:ascii="Symbol" w:hAnsi="Symbol"/>
          <w:sz w:val="24"/>
        </w:rPr>
        <w:t></w:t>
      </w:r>
      <w:r>
        <w:rPr>
          <w:rFonts w:ascii="Times New Roman" w:hAnsi="Times New Roman"/>
          <w:spacing w:val="45"/>
          <w:sz w:val="24"/>
        </w:rPr>
        <w:t> </w:t>
      </w:r>
      <w:r>
        <w:rPr>
          <w:sz w:val="24"/>
        </w:rPr>
        <w:t>de</w:t>
      </w:r>
      <w:r>
        <w:rPr>
          <w:spacing w:val="42"/>
          <w:sz w:val="24"/>
        </w:rPr>
        <w:t> </w:t>
      </w:r>
      <w:r>
        <w:rPr>
          <w:sz w:val="24"/>
        </w:rPr>
        <w:t>unión</w:t>
      </w:r>
      <w:r>
        <w:rPr>
          <w:spacing w:val="42"/>
          <w:sz w:val="24"/>
        </w:rPr>
        <w:t> </w:t>
      </w:r>
      <w:r>
        <w:rPr>
          <w:sz w:val="24"/>
        </w:rPr>
        <w:t>a</w:t>
      </w:r>
      <w:r>
        <w:rPr>
          <w:spacing w:val="37"/>
          <w:sz w:val="24"/>
        </w:rPr>
        <w:t> </w:t>
      </w:r>
      <w:r>
        <w:rPr>
          <w:sz w:val="24"/>
        </w:rPr>
        <w:t>la</w:t>
      </w:r>
      <w:r>
        <w:rPr>
          <w:spacing w:val="42"/>
          <w:sz w:val="24"/>
        </w:rPr>
        <w:t> </w:t>
      </w:r>
      <w:r>
        <w:rPr>
          <w:sz w:val="24"/>
        </w:rPr>
        <w:t>IgG</w:t>
      </w:r>
      <w:r>
        <w:rPr>
          <w:spacing w:val="42"/>
          <w:sz w:val="24"/>
        </w:rPr>
        <w:t> </w:t>
      </w:r>
      <w:r>
        <w:rPr>
          <w:sz w:val="24"/>
        </w:rPr>
        <w:t>y</w:t>
      </w:r>
      <w:r>
        <w:rPr>
          <w:spacing w:val="41"/>
          <w:sz w:val="24"/>
        </w:rPr>
        <w:t> </w:t>
      </w:r>
      <w:r>
        <w:rPr>
          <w:sz w:val="24"/>
        </w:rPr>
        <w:t>una</w:t>
      </w:r>
      <w:r>
        <w:rPr>
          <w:spacing w:val="42"/>
          <w:sz w:val="24"/>
        </w:rPr>
        <w:t> </w:t>
      </w:r>
      <w:r>
        <w:rPr>
          <w:sz w:val="24"/>
        </w:rPr>
        <w:t>cadena</w:t>
      </w:r>
      <w:r>
        <w:rPr>
          <w:spacing w:val="44"/>
          <w:sz w:val="24"/>
        </w:rPr>
        <w:t> </w:t>
      </w:r>
      <w:r>
        <w:rPr>
          <w:rFonts w:ascii="Symbol" w:hAnsi="Symbol"/>
          <w:sz w:val="24"/>
        </w:rPr>
        <w:t></w:t>
      </w:r>
    </w:p>
    <w:p>
      <w:pPr>
        <w:spacing w:before="109"/>
        <w:ind w:left="196" w:right="0" w:firstLine="0"/>
        <w:jc w:val="both"/>
        <w:rPr>
          <w:sz w:val="16"/>
        </w:rPr>
      </w:pPr>
      <w:r>
        <w:rPr>
          <w:sz w:val="24"/>
        </w:rPr>
        <w:t>homodimérica que contienen ITAM.</w:t>
      </w:r>
      <w:r>
        <w:rPr>
          <w:position w:val="11"/>
          <w:sz w:val="16"/>
        </w:rPr>
        <w:t>25, 26, 34</w:t>
      </w:r>
    </w:p>
    <w:p>
      <w:pPr>
        <w:pStyle w:val="BodyText"/>
        <w:spacing w:before="8"/>
        <w:rPr>
          <w:sz w:val="29"/>
        </w:rPr>
      </w:pPr>
    </w:p>
    <w:p>
      <w:pPr>
        <w:pStyle w:val="BodyText"/>
        <w:spacing w:line="360" w:lineRule="auto"/>
        <w:ind w:left="196" w:right="276"/>
        <w:jc w:val="both"/>
      </w:pPr>
      <w:r>
        <w:rPr/>
        <w:t>Se han identificado tres genes que codifican para Fc</w:t>
      </w:r>
      <w:r>
        <w:rPr>
          <w:rFonts w:ascii="Symbol" w:hAnsi="Symbol"/>
        </w:rPr>
        <w:t></w:t>
      </w:r>
      <w:r>
        <w:rPr/>
        <w:t>RI: </w:t>
      </w:r>
      <w:r>
        <w:rPr>
          <w:i/>
        </w:rPr>
        <w:t>FCGR1A, FCGR1B </w:t>
      </w:r>
      <w:r>
        <w:rPr/>
        <w:t>y </w:t>
      </w:r>
      <w:r>
        <w:rPr>
          <w:i/>
        </w:rPr>
        <w:t>FCGR1C</w:t>
      </w:r>
      <w:r>
        <w:rPr/>
        <w:t>. Sin embargo, en general se acepta que sólo </w:t>
      </w:r>
      <w:r>
        <w:rPr>
          <w:i/>
        </w:rPr>
        <w:t>FCGR1A </w:t>
      </w:r>
      <w:r>
        <w:rPr/>
        <w:t>es capaz de  producir   la   unión   de   IgG,   mientras   que   </w:t>
      </w:r>
      <w:r>
        <w:rPr>
          <w:i/>
        </w:rPr>
        <w:t>FCGR1B   </w:t>
      </w:r>
      <w:r>
        <w:rPr/>
        <w:t>y   </w:t>
      </w:r>
      <w:r>
        <w:rPr>
          <w:i/>
        </w:rPr>
        <w:t>FCGR1C</w:t>
      </w:r>
      <w:r>
        <w:rPr>
          <w:i/>
          <w:spacing w:val="41"/>
        </w:rPr>
        <w:t> </w:t>
      </w:r>
      <w:r>
        <w:rPr/>
        <w:t>posiblemente</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2" w:lineRule="auto" w:before="69"/>
        <w:ind w:left="196" w:right="275"/>
        <w:jc w:val="both"/>
      </w:pPr>
      <w:r>
        <w:rPr/>
        <w:t>representan formas truncadas o solubles del receptor, y con una función mal caracterizada.  Las  funciones  principales  de   Fc</w:t>
      </w:r>
      <w:r>
        <w:rPr>
          <w:rFonts w:ascii="Symbol" w:hAnsi="Symbol"/>
        </w:rPr>
        <w:t></w:t>
      </w:r>
      <w:r>
        <w:rPr/>
        <w:t>RI  se  relacionan  con    procesos</w:t>
      </w:r>
    </w:p>
    <w:p>
      <w:pPr>
        <w:pStyle w:val="BodyText"/>
        <w:spacing w:line="324" w:lineRule="auto"/>
        <w:ind w:left="196" w:right="289"/>
        <w:jc w:val="both"/>
        <w:rPr>
          <w:sz w:val="16"/>
        </w:rPr>
      </w:pPr>
      <w:r>
        <w:rPr/>
        <w:t>dirigidos a facilitar la fagocitosis, la presentación del antígeno y la  citotoxicidad celular dependiente de anticuerpo.</w:t>
      </w:r>
      <w:r>
        <w:rPr>
          <w:position w:val="11"/>
          <w:sz w:val="16"/>
        </w:rPr>
        <w:t>25, 37</w:t>
      </w:r>
    </w:p>
    <w:p>
      <w:pPr>
        <w:pStyle w:val="BodyText"/>
        <w:spacing w:line="360" w:lineRule="auto" w:before="235"/>
        <w:ind w:left="196" w:right="277"/>
        <w:jc w:val="both"/>
      </w:pPr>
      <w:r>
        <w:rPr/>
        <w:t>El Fc</w:t>
      </w:r>
      <w:r>
        <w:rPr>
          <w:rFonts w:ascii="Symbol" w:hAnsi="Symbol"/>
        </w:rPr>
        <w:t></w:t>
      </w:r>
      <w:r>
        <w:rPr/>
        <w:t>RII (CD32) se une de manera </w:t>
      </w:r>
      <w:r>
        <w:rPr>
          <w:spacing w:val="-3"/>
        </w:rPr>
        <w:t>muy </w:t>
      </w:r>
      <w:r>
        <w:rPr/>
        <w:t>débil a la IgG monomérica pero con afinidad considerablemente aumentada a la </w:t>
      </w:r>
      <w:r>
        <w:rPr>
          <w:spacing w:val="2"/>
        </w:rPr>
        <w:t>IgG </w:t>
      </w:r>
      <w:r>
        <w:rPr/>
        <w:t>asociada (inmunocomplejos o células diana recubiertas de anticuerpo); por lo tanto las células que tienen </w:t>
      </w:r>
      <w:r>
        <w:rPr>
          <w:spacing w:val="2"/>
        </w:rPr>
        <w:t>Fc</w:t>
      </w:r>
      <w:r>
        <w:rPr>
          <w:rFonts w:ascii="Symbol" w:hAnsi="Symbol"/>
          <w:spacing w:val="2"/>
        </w:rPr>
        <w:t></w:t>
      </w:r>
      <w:r>
        <w:rPr>
          <w:spacing w:val="2"/>
        </w:rPr>
        <w:t>RII </w:t>
      </w:r>
      <w:r>
        <w:rPr/>
        <w:t>pueden unirse</w:t>
      </w:r>
      <w:r>
        <w:rPr>
          <w:spacing w:val="52"/>
        </w:rPr>
        <w:t> </w:t>
      </w:r>
      <w:r>
        <w:rPr/>
        <w:t>a</w:t>
      </w:r>
    </w:p>
    <w:p>
      <w:pPr>
        <w:pStyle w:val="BodyText"/>
        <w:spacing w:line="324" w:lineRule="auto" w:before="2"/>
        <w:ind w:left="196" w:right="289"/>
        <w:jc w:val="both"/>
        <w:rPr>
          <w:sz w:val="16"/>
        </w:rPr>
      </w:pPr>
      <w:r>
        <w:rPr/>
        <w:t>elementos diana recubiertos de anticuerpo en presencia de concentraciones séricas elevadas de IgG monomérica.</w:t>
      </w:r>
      <w:r>
        <w:rPr>
          <w:position w:val="11"/>
          <w:sz w:val="16"/>
        </w:rPr>
        <w:t>25</w:t>
      </w:r>
    </w:p>
    <w:p>
      <w:pPr>
        <w:pStyle w:val="BodyText"/>
        <w:spacing w:line="360" w:lineRule="auto" w:before="234"/>
        <w:ind w:left="196" w:right="280"/>
        <w:jc w:val="both"/>
      </w:pPr>
      <w:r>
        <w:rPr/>
        <w:t>El Fc</w:t>
      </w:r>
      <w:r>
        <w:rPr>
          <w:rFonts w:ascii="Symbol" w:hAnsi="Symbol"/>
        </w:rPr>
        <w:t></w:t>
      </w:r>
      <w:r>
        <w:rPr/>
        <w:t>RII está codificado por tres genes: </w:t>
      </w:r>
      <w:r>
        <w:rPr>
          <w:i/>
        </w:rPr>
        <w:t>FCGR2A, FCGR2B </w:t>
      </w:r>
      <w:r>
        <w:rPr/>
        <w:t>y </w:t>
      </w:r>
      <w:r>
        <w:rPr>
          <w:i/>
        </w:rPr>
        <w:t>FCGR2C</w:t>
      </w:r>
      <w:r>
        <w:rPr/>
        <w:t>, los cuales dan origen a las isoformas Fc</w:t>
      </w:r>
      <w:r>
        <w:rPr>
          <w:rFonts w:ascii="Symbol" w:hAnsi="Symbol"/>
        </w:rPr>
        <w:t></w:t>
      </w:r>
      <w:r>
        <w:rPr/>
        <w:t>RIIA, Fc</w:t>
      </w:r>
      <w:r>
        <w:rPr>
          <w:rFonts w:ascii="Symbol" w:hAnsi="Symbol"/>
        </w:rPr>
        <w:t></w:t>
      </w:r>
      <w:r>
        <w:rPr/>
        <w:t>RIIB (B1, B2) y Fc</w:t>
      </w:r>
      <w:r>
        <w:rPr>
          <w:rFonts w:ascii="Symbol" w:hAnsi="Symbol"/>
        </w:rPr>
        <w:t></w:t>
      </w:r>
      <w:r>
        <w:rPr/>
        <w:t>RIIC, respectivamente;</w:t>
      </w:r>
    </w:p>
    <w:p>
      <w:pPr>
        <w:pStyle w:val="BodyText"/>
        <w:spacing w:line="324" w:lineRule="auto" w:before="2"/>
        <w:ind w:left="196" w:right="289"/>
        <w:jc w:val="both"/>
        <w:rPr>
          <w:sz w:val="16"/>
        </w:rPr>
      </w:pPr>
      <w:r>
        <w:rPr/>
        <w:t>estas isoformas tienen dominios extracelulares y especificidades por el ligando similares.</w:t>
      </w:r>
      <w:r>
        <w:rPr>
          <w:position w:val="11"/>
          <w:sz w:val="16"/>
        </w:rPr>
        <w:t>23, 37</w:t>
      </w:r>
    </w:p>
    <w:p>
      <w:pPr>
        <w:pStyle w:val="BodyText"/>
        <w:spacing w:line="357" w:lineRule="auto" w:before="234"/>
        <w:ind w:left="196" w:right="275"/>
        <w:jc w:val="both"/>
        <w:rPr>
          <w:sz w:val="16"/>
        </w:rPr>
      </w:pPr>
      <w:r>
        <w:rPr/>
        <w:t>El Fc</w:t>
      </w:r>
      <w:r>
        <w:rPr>
          <w:rFonts w:ascii="Symbol" w:hAnsi="Symbol"/>
        </w:rPr>
        <w:t></w:t>
      </w:r>
      <w:r>
        <w:rPr/>
        <w:t>RIIA y el Fc</w:t>
      </w:r>
      <w:r>
        <w:rPr>
          <w:rFonts w:ascii="Symbol" w:hAnsi="Symbol"/>
        </w:rPr>
        <w:t></w:t>
      </w:r>
      <w:r>
        <w:rPr/>
        <w:t>RIIC son receptores de cadena única en el cual el dominio citoplasmático de la cadena </w:t>
      </w:r>
      <w:r>
        <w:rPr>
          <w:rFonts w:ascii="Symbol" w:hAnsi="Symbol"/>
        </w:rPr>
        <w:t></w:t>
      </w:r>
      <w:r>
        <w:rPr>
          <w:rFonts w:ascii="Times New Roman" w:hAnsi="Times New Roman"/>
        </w:rPr>
        <w:t> </w:t>
      </w:r>
      <w:r>
        <w:rPr/>
        <w:t>reemplaza la función de la cadena </w:t>
      </w:r>
      <w:r>
        <w:rPr>
          <w:rFonts w:ascii="Symbol" w:hAnsi="Symbol"/>
        </w:rPr>
        <w:t></w:t>
      </w:r>
      <w:r>
        <w:rPr/>
        <w:t>, en sus colas citoplasmáticas presentan ITAM, y al ser agrupadas por partículas o células cubiertas de IgG1 o IgG3, pueden enviar señales activadoras a los fagocitos. El Fc</w:t>
      </w:r>
      <w:r>
        <w:rPr>
          <w:rFonts w:ascii="Symbol" w:hAnsi="Symbol"/>
        </w:rPr>
        <w:t></w:t>
      </w:r>
      <w:r>
        <w:rPr/>
        <w:t>RIIA se expresa en macrófagos, neutrófilos, eosinófilos, plaquetas y células de Langerhans; y el Fc</w:t>
      </w:r>
      <w:r>
        <w:rPr>
          <w:rFonts w:ascii="Symbol" w:hAnsi="Symbol"/>
        </w:rPr>
        <w:t></w:t>
      </w:r>
      <w:r>
        <w:rPr/>
        <w:t>RIIC en macrófagos, neutrófilos y linfocitos NK.</w:t>
      </w:r>
      <w:r>
        <w:rPr>
          <w:position w:val="11"/>
          <w:sz w:val="16"/>
        </w:rPr>
        <w:t>23, 28, 34</w:t>
      </w:r>
    </w:p>
    <w:p>
      <w:pPr>
        <w:pStyle w:val="BodyText"/>
        <w:spacing w:line="360" w:lineRule="auto" w:before="193"/>
        <w:ind w:left="196" w:right="273"/>
        <w:jc w:val="both"/>
      </w:pPr>
      <w:r>
        <w:rPr/>
        <w:t>El Fc</w:t>
      </w:r>
      <w:r>
        <w:rPr>
          <w:rFonts w:ascii="Symbol" w:hAnsi="Symbol"/>
        </w:rPr>
        <w:t></w:t>
      </w:r>
      <w:r>
        <w:rPr/>
        <w:t>RIIB-1 y Fc</w:t>
      </w:r>
      <w:r>
        <w:rPr>
          <w:rFonts w:ascii="Symbol" w:hAnsi="Symbol"/>
        </w:rPr>
        <w:t></w:t>
      </w:r>
      <w:r>
        <w:rPr/>
        <w:t>RIIB-2, también son receptores de cadena única </w:t>
      </w:r>
      <w:r>
        <w:rPr>
          <w:rFonts w:ascii="Symbol" w:hAnsi="Symbol"/>
        </w:rPr>
        <w:t></w:t>
      </w:r>
      <w:r>
        <w:rPr>
          <w:rFonts w:ascii="Times New Roman" w:hAnsi="Times New Roman"/>
        </w:rPr>
        <w:t> </w:t>
      </w:r>
      <w:r>
        <w:rPr/>
        <w:t>pero actúan como receptores inhibidores ya que contienen ITIM en sus colas citoplasmáticas, su ocupación lleva a una regulación negativa de la capacidad de respuesta celular, teniendo como objeto la atenuación de las vías activadoras, para evitar un estado de activación  excesivo  de  las  células  del  sistema  inmune  innato  o  adaptativo.  Los</w:t>
      </w:r>
    </w:p>
    <w:p>
      <w:pPr>
        <w:pStyle w:val="BodyText"/>
        <w:spacing w:line="328" w:lineRule="auto" w:before="1"/>
        <w:ind w:left="196" w:right="286"/>
        <w:jc w:val="both"/>
        <w:rPr>
          <w:sz w:val="16"/>
        </w:rPr>
      </w:pPr>
      <w:r>
        <w:rPr/>
        <w:t>Fc</w:t>
      </w:r>
      <w:r>
        <w:rPr>
          <w:rFonts w:ascii="Symbol" w:hAnsi="Symbol"/>
        </w:rPr>
        <w:t></w:t>
      </w:r>
      <w:r>
        <w:rPr/>
        <w:t>RIIB se expresan en macrófagos, neutrófilos, eosinófilos, células B y células </w:t>
      </w:r>
      <w:r>
        <w:rPr>
          <w:position w:val="-10"/>
        </w:rPr>
        <w:t>cebadas.</w:t>
      </w:r>
      <w:r>
        <w:rPr>
          <w:sz w:val="16"/>
        </w:rPr>
        <w:t>25, 28, 34, 38, 39</w:t>
      </w:r>
    </w:p>
    <w:p>
      <w:pPr>
        <w:spacing w:after="0" w:line="328" w:lineRule="auto"/>
        <w:jc w:val="both"/>
        <w:rPr>
          <w:sz w:val="16"/>
        </w:rPr>
        <w:sectPr>
          <w:footerReference w:type="default" r:id="rId30"/>
          <w:pgSz w:w="12240" w:h="15840"/>
          <w:pgMar w:footer="1031" w:header="726" w:top="1340" w:bottom="1220" w:left="1220" w:right="1420"/>
        </w:sectPr>
      </w:pPr>
    </w:p>
    <w:p>
      <w:pPr>
        <w:pStyle w:val="BodyText"/>
        <w:spacing w:before="3"/>
      </w:pPr>
    </w:p>
    <w:p>
      <w:pPr>
        <w:pStyle w:val="BodyText"/>
        <w:spacing w:line="360" w:lineRule="auto" w:before="56"/>
        <w:ind w:left="196" w:right="273"/>
        <w:jc w:val="both"/>
      </w:pPr>
      <w:r>
        <w:rPr/>
        <w:t>El Fc</w:t>
      </w:r>
      <w:r>
        <w:rPr>
          <w:rFonts w:ascii="Symbol" w:hAnsi="Symbol"/>
        </w:rPr>
        <w:t></w:t>
      </w:r>
      <w:r>
        <w:rPr/>
        <w:t>RIII (CD16) también es un receptor de afinidad baja para la IgG. La porción extracelular que se une al ligando del Fc</w:t>
      </w:r>
      <w:r>
        <w:rPr>
          <w:rFonts w:ascii="Symbol" w:hAnsi="Symbol"/>
        </w:rPr>
        <w:t></w:t>
      </w:r>
      <w:r>
        <w:rPr/>
        <w:t>RIII es similar al Fc</w:t>
      </w:r>
      <w:r>
        <w:rPr>
          <w:rFonts w:ascii="Symbol" w:hAnsi="Symbol"/>
        </w:rPr>
        <w:t></w:t>
      </w:r>
      <w:r>
        <w:rPr/>
        <w:t>RIIB en estructura, afinidad y especificidad por la IgG. Las isoformas de esta receptor son Fc</w:t>
      </w:r>
      <w:r>
        <w:rPr>
          <w:rFonts w:ascii="Symbol" w:hAnsi="Symbol"/>
        </w:rPr>
        <w:t></w:t>
      </w:r>
      <w:r>
        <w:rPr/>
        <w:t>RIIIA y Fc</w:t>
      </w:r>
      <w:r>
        <w:rPr>
          <w:rFonts w:ascii="Symbol" w:hAnsi="Symbol"/>
        </w:rPr>
        <w:t></w:t>
      </w:r>
      <w:r>
        <w:rPr/>
        <w:t>RIIIB, cada isoforma es codificada por un gen separado: </w:t>
      </w:r>
      <w:r>
        <w:rPr>
          <w:i/>
        </w:rPr>
        <w:t>FCGR3A </w:t>
      </w:r>
      <w:r>
        <w:rPr/>
        <w:t>y </w:t>
      </w:r>
      <w:r>
        <w:rPr>
          <w:i/>
        </w:rPr>
        <w:t>FCGR3B</w:t>
      </w:r>
      <w:r>
        <w:rPr/>
        <w:t>, respectivamente. El Fc</w:t>
      </w:r>
      <w:r>
        <w:rPr>
          <w:rFonts w:ascii="Symbol" w:hAnsi="Symbol"/>
        </w:rPr>
        <w:t></w:t>
      </w:r>
      <w:r>
        <w:rPr/>
        <w:t>RIIIA es una proteína transmembranaria expresada en linfocitos NK; se asocia a homodímeros de cadena </w:t>
      </w:r>
      <w:r>
        <w:rPr>
          <w:rFonts w:ascii="Symbol" w:hAnsi="Symbol"/>
        </w:rPr>
        <w:t></w:t>
      </w:r>
      <w:r>
        <w:rPr>
          <w:rFonts w:ascii="Times New Roman" w:hAnsi="Times New Roman"/>
        </w:rPr>
        <w:t> </w:t>
      </w:r>
      <w:r>
        <w:rPr/>
        <w:t>del FcR, homodímeros de cadena </w:t>
      </w:r>
      <w:r>
        <w:rPr>
          <w:rFonts w:ascii="Symbol" w:hAnsi="Symbol"/>
        </w:rPr>
        <w:t></w:t>
      </w:r>
      <w:r>
        <w:rPr/>
        <w:t>, del TDR, o heterodímeros compuestos de la cadena </w:t>
      </w:r>
      <w:r>
        <w:rPr>
          <w:rFonts w:ascii="Symbol" w:hAnsi="Symbol"/>
        </w:rPr>
        <w:t></w:t>
      </w:r>
      <w:r>
        <w:rPr>
          <w:rFonts w:ascii="Times New Roman" w:hAnsi="Times New Roman"/>
        </w:rPr>
        <w:t> </w:t>
      </w:r>
      <w:r>
        <w:rPr/>
        <w:t>del FcR y la  cadena</w:t>
      </w:r>
    </w:p>
    <w:p>
      <w:pPr>
        <w:pStyle w:val="BodyText"/>
        <w:spacing w:line="331" w:lineRule="auto"/>
        <w:ind w:left="196" w:right="284"/>
        <w:jc w:val="both"/>
        <w:rPr>
          <w:sz w:val="16"/>
        </w:rPr>
      </w:pPr>
      <w:r>
        <w:rPr>
          <w:rFonts w:ascii="Symbol" w:hAnsi="Symbol"/>
        </w:rPr>
        <w:t></w:t>
      </w:r>
      <w:r>
        <w:rPr/>
        <w:t>. El Fc</w:t>
      </w:r>
      <w:r>
        <w:rPr>
          <w:rFonts w:ascii="Symbol" w:hAnsi="Symbol"/>
        </w:rPr>
        <w:t></w:t>
      </w:r>
      <w:r>
        <w:rPr/>
        <w:t>RIIIB es una proteína ligada al glucofosfatidilinositol (GPI) para adherirse a la membrana celular; se expresa en los neutrófilos y su función se conoce poco.</w:t>
      </w:r>
      <w:r>
        <w:rPr>
          <w:position w:val="11"/>
          <w:sz w:val="16"/>
        </w:rPr>
        <w:t>23, 25, 34, </w:t>
      </w:r>
      <w:r>
        <w:rPr>
          <w:sz w:val="16"/>
        </w:rPr>
        <w:t>37</w:t>
      </w:r>
    </w:p>
    <w:p>
      <w:pPr>
        <w:pStyle w:val="BodyText"/>
        <w:spacing w:before="5"/>
        <w:rPr>
          <w:sz w:val="16"/>
        </w:rPr>
      </w:pPr>
    </w:p>
    <w:p>
      <w:pPr>
        <w:pStyle w:val="Heading2"/>
        <w:numPr>
          <w:ilvl w:val="2"/>
          <w:numId w:val="9"/>
        </w:numPr>
        <w:tabs>
          <w:tab w:pos="801" w:val="left" w:leader="none"/>
        </w:tabs>
        <w:spacing w:line="240" w:lineRule="auto" w:before="0" w:after="0"/>
        <w:ind w:left="800" w:right="0" w:hanging="604"/>
        <w:jc w:val="both"/>
        <w:rPr>
          <w:rFonts w:ascii="Symbol" w:hAnsi="Symbol"/>
        </w:rPr>
      </w:pPr>
      <w:bookmarkStart w:name="_TOC_250052" w:id="14"/>
      <w:r>
        <w:rPr/>
        <w:t>Receptores</w:t>
      </w:r>
      <w:r>
        <w:rPr>
          <w:spacing w:val="-9"/>
        </w:rPr>
        <w:t> </w:t>
      </w:r>
      <w:r>
        <w:rPr/>
        <w:t>Fc</w:t>
      </w:r>
      <w:bookmarkEnd w:id="14"/>
      <w:r>
        <w:rPr>
          <w:rFonts w:ascii="Symbol" w:hAnsi="Symbol"/>
        </w:rPr>
        <w:t></w:t>
      </w:r>
    </w:p>
    <w:p>
      <w:pPr>
        <w:pStyle w:val="BodyText"/>
        <w:spacing w:before="8"/>
        <w:rPr>
          <w:rFonts w:ascii="Symbol" w:hAnsi="Symbol"/>
          <w:b/>
          <w:sz w:val="28"/>
        </w:rPr>
      </w:pPr>
    </w:p>
    <w:p>
      <w:pPr>
        <w:pStyle w:val="BodyText"/>
        <w:spacing w:line="352" w:lineRule="auto"/>
        <w:ind w:left="196" w:right="274"/>
        <w:jc w:val="both"/>
        <w:rPr>
          <w:sz w:val="16"/>
        </w:rPr>
      </w:pPr>
      <w:r>
        <w:rPr/>
        <w:t>Los receptores para la porción Fc de la IgA son el pIgR (receptor polimérico Ig para transporte epitelial de IgA/IgM), el Fc</w:t>
      </w:r>
      <w:r>
        <w:rPr>
          <w:rFonts w:ascii="Symbol" w:hAnsi="Symbol"/>
        </w:rPr>
        <w:t></w:t>
      </w:r>
      <w:r>
        <w:rPr/>
        <w:t>RI (CD89 o receptor Fc mieloide específico para IgA) y el Fc</w:t>
      </w:r>
      <w:r>
        <w:rPr>
          <w:rFonts w:ascii="Symbol" w:hAnsi="Symbol"/>
        </w:rPr>
        <w:t></w:t>
      </w:r>
      <w:r>
        <w:rPr/>
        <w:t>/μR (receptor Fcalpha/mu) (Tabla 1). </w:t>
      </w:r>
      <w:r>
        <w:rPr>
          <w:spacing w:val="-4"/>
        </w:rPr>
        <w:t>El </w:t>
      </w:r>
      <w:r>
        <w:rPr/>
        <w:t>pIgR y el Fc</w:t>
      </w:r>
      <w:r>
        <w:rPr>
          <w:rFonts w:ascii="Symbol" w:hAnsi="Symbol"/>
        </w:rPr>
        <w:t></w:t>
      </w:r>
      <w:r>
        <w:rPr/>
        <w:t>R se unen a IgA e IgM con afinidad intermedia, los genes que codifican estos receptores son </w:t>
      </w:r>
      <w:r>
        <w:rPr>
          <w:i/>
        </w:rPr>
        <w:t>PIGR </w:t>
      </w:r>
      <w:r>
        <w:rPr/>
        <w:t>y </w:t>
      </w:r>
      <w:r>
        <w:rPr>
          <w:i/>
        </w:rPr>
        <w:t>FCAMR, </w:t>
      </w:r>
      <w:r>
        <w:rPr/>
        <w:t>presentes en el mismo </w:t>
      </w:r>
      <w:r>
        <w:rPr>
          <w:i/>
        </w:rPr>
        <w:t>locus </w:t>
      </w:r>
      <w:r>
        <w:rPr/>
        <w:t>del cromosoma 1 (1</w:t>
      </w:r>
      <w:r>
        <w:rPr>
          <w:i/>
        </w:rPr>
        <w:t>q</w:t>
      </w:r>
      <w:r>
        <w:rPr/>
        <w:t>32).</w:t>
      </w:r>
      <w:r>
        <w:rPr>
          <w:position w:val="11"/>
          <w:sz w:val="16"/>
        </w:rPr>
        <w:t>37,</w:t>
      </w:r>
      <w:r>
        <w:rPr>
          <w:spacing w:val="-27"/>
          <w:position w:val="11"/>
          <w:sz w:val="16"/>
        </w:rPr>
        <w:t> </w:t>
      </w:r>
      <w:r>
        <w:rPr>
          <w:position w:val="11"/>
          <w:sz w:val="16"/>
        </w:rPr>
        <w:t>38</w:t>
      </w:r>
    </w:p>
    <w:p>
      <w:pPr>
        <w:pStyle w:val="BodyText"/>
        <w:spacing w:line="355" w:lineRule="auto" w:before="197"/>
        <w:ind w:left="196" w:right="275"/>
        <w:jc w:val="both"/>
        <w:rPr>
          <w:sz w:val="16"/>
        </w:rPr>
      </w:pPr>
      <w:r>
        <w:rPr/>
        <w:t>El Fc</w:t>
      </w:r>
      <w:r>
        <w:rPr>
          <w:rFonts w:ascii="Symbol" w:hAnsi="Symbol"/>
        </w:rPr>
        <w:t></w:t>
      </w:r>
      <w:r>
        <w:rPr/>
        <w:t>/</w:t>
      </w:r>
      <w:r>
        <w:rPr>
          <w:rFonts w:ascii="Symbol" w:hAnsi="Symbol"/>
        </w:rPr>
        <w:t></w:t>
      </w:r>
      <w:r>
        <w:rPr/>
        <w:t>R es una proteína transmembranal que presenta un solo dominio en su región extracitoplasmática y une débilmente IgA, pero se une a IgM con mayor afinidad; se expresa en células maduras B y los macrófagos, así como en órganos linfoides secundarios tales como, los ganglios linfáticos, el intestino y el apéndice, se prevé que posee una gama de funciones inmunorreguladoras. El pIgR se expresa predominantemente en la superficie basolateral de las células epiteliales y está implicado en el transporte de IgA e IgM de las mucosas a través de los epitelios. </w:t>
      </w:r>
      <w:r>
        <w:rPr>
          <w:position w:val="11"/>
          <w:sz w:val="16"/>
        </w:rPr>
        <w:t>37, 38,</w:t>
      </w:r>
    </w:p>
    <w:p>
      <w:pPr>
        <w:spacing w:line="134" w:lineRule="exact" w:before="0"/>
        <w:ind w:left="196" w:right="0" w:firstLine="0"/>
        <w:jc w:val="both"/>
        <w:rPr>
          <w:sz w:val="16"/>
        </w:rPr>
      </w:pPr>
      <w:r>
        <w:rPr>
          <w:sz w:val="16"/>
        </w:rPr>
        <w:t>40</w:t>
      </w:r>
    </w:p>
    <w:p>
      <w:pPr>
        <w:pStyle w:val="BodyText"/>
        <w:rPr>
          <w:sz w:val="16"/>
        </w:rPr>
      </w:pPr>
    </w:p>
    <w:p>
      <w:pPr>
        <w:pStyle w:val="BodyText"/>
        <w:rPr>
          <w:sz w:val="16"/>
        </w:rPr>
      </w:pPr>
    </w:p>
    <w:p>
      <w:pPr>
        <w:pStyle w:val="BodyText"/>
        <w:spacing w:line="360" w:lineRule="auto" w:before="101"/>
        <w:ind w:left="196" w:right="274"/>
        <w:jc w:val="both"/>
      </w:pPr>
      <w:r>
        <w:rPr/>
        <w:t>El Fc</w:t>
      </w:r>
      <w:r>
        <w:rPr>
          <w:rFonts w:ascii="Symbol" w:hAnsi="Symbol"/>
        </w:rPr>
        <w:t></w:t>
      </w:r>
      <w:r>
        <w:rPr/>
        <w:t>RI (CD89) es el único receptor específico para la IgA, su cadena </w:t>
      </w:r>
      <w:r>
        <w:rPr>
          <w:rFonts w:ascii="Symbol" w:hAnsi="Symbol"/>
        </w:rPr>
        <w:t></w:t>
      </w:r>
      <w:r>
        <w:rPr>
          <w:rFonts w:ascii="Times New Roman" w:hAnsi="Times New Roman"/>
        </w:rPr>
        <w:t> </w:t>
      </w:r>
      <w:r>
        <w:rPr/>
        <w:t>de unión al ligando se relaciona estructuralmente con la de los receptores Fc</w:t>
      </w:r>
      <w:r>
        <w:rPr>
          <w:rFonts w:ascii="Symbol" w:hAnsi="Symbol"/>
        </w:rPr>
        <w:t></w:t>
      </w:r>
      <w:r>
        <w:rPr/>
        <w:t>R y Fc</w:t>
      </w:r>
      <w:r>
        <w:rPr>
          <w:rFonts w:ascii="Symbol" w:hAnsi="Symbol"/>
        </w:rPr>
        <w:t></w:t>
      </w:r>
      <w:r>
        <w:rPr/>
        <w:t>RI, sin embargo representa un miembro de la familia más alejado, pues comparte homología más estrecha con los miembros de una familia que incluye a los receptores  similares</w:t>
      </w:r>
    </w:p>
    <w:p>
      <w:pPr>
        <w:spacing w:after="0" w:line="360" w:lineRule="auto"/>
        <w:jc w:val="both"/>
        <w:sectPr>
          <w:footerReference w:type="default" r:id="rId31"/>
          <w:pgSz w:w="12240" w:h="15840"/>
          <w:pgMar w:footer="1031" w:header="726" w:top="1340" w:bottom="1220" w:left="1220" w:right="1420"/>
          <w:pgNumType w:start="31"/>
        </w:sectPr>
      </w:pPr>
    </w:p>
    <w:p>
      <w:pPr>
        <w:pStyle w:val="BodyText"/>
        <w:spacing w:before="3"/>
        <w:rPr>
          <w:sz w:val="23"/>
        </w:rPr>
      </w:pPr>
    </w:p>
    <w:p>
      <w:pPr>
        <w:pStyle w:val="BodyText"/>
        <w:spacing w:line="345" w:lineRule="auto" w:before="69"/>
        <w:ind w:left="196" w:right="276"/>
        <w:jc w:val="both"/>
        <w:rPr>
          <w:sz w:val="16"/>
        </w:rPr>
      </w:pPr>
      <w:r>
        <w:rPr/>
        <w:t>a la inmunoglobulina de los linfocitos NK (KIR), de los leucocitos (LIR/LILR/ILT) y el receptor específico de colágeno de las plaquetas (GP-VI). Este receptor es  codificado por el gen </w:t>
      </w:r>
      <w:r>
        <w:rPr>
          <w:i/>
        </w:rPr>
        <w:t>FCAR</w:t>
      </w:r>
      <w:r>
        <w:rPr/>
        <w:t>, ubicado en un </w:t>
      </w:r>
      <w:r>
        <w:rPr>
          <w:i/>
        </w:rPr>
        <w:t>locus </w:t>
      </w:r>
      <w:r>
        <w:rPr/>
        <w:t>de cromosoma 19 (19q13.42).</w:t>
      </w:r>
      <w:r>
        <w:rPr>
          <w:position w:val="11"/>
          <w:sz w:val="16"/>
        </w:rPr>
        <w:t>25,  </w:t>
      </w:r>
      <w:r>
        <w:rPr>
          <w:spacing w:val="24"/>
          <w:position w:val="11"/>
          <w:sz w:val="16"/>
        </w:rPr>
        <w:t> </w:t>
      </w:r>
      <w:r>
        <w:rPr>
          <w:position w:val="11"/>
          <w:sz w:val="16"/>
        </w:rPr>
        <w:t>37,</w:t>
      </w:r>
    </w:p>
    <w:p>
      <w:pPr>
        <w:spacing w:line="146" w:lineRule="exact" w:before="0"/>
        <w:ind w:left="196" w:right="0" w:firstLine="0"/>
        <w:jc w:val="both"/>
        <w:rPr>
          <w:sz w:val="16"/>
        </w:rPr>
      </w:pPr>
      <w:r>
        <w:rPr>
          <w:sz w:val="16"/>
        </w:rPr>
        <w:t>38, 40</w:t>
      </w:r>
    </w:p>
    <w:p>
      <w:pPr>
        <w:pStyle w:val="BodyText"/>
        <w:rPr>
          <w:sz w:val="16"/>
        </w:rPr>
      </w:pPr>
    </w:p>
    <w:p>
      <w:pPr>
        <w:pStyle w:val="BodyText"/>
        <w:rPr>
          <w:sz w:val="16"/>
        </w:rPr>
      </w:pPr>
    </w:p>
    <w:p>
      <w:pPr>
        <w:pStyle w:val="BodyText"/>
        <w:spacing w:line="345" w:lineRule="auto" w:before="102"/>
        <w:ind w:left="196" w:right="274"/>
        <w:jc w:val="both"/>
        <w:rPr>
          <w:sz w:val="16"/>
        </w:rPr>
      </w:pPr>
      <w:r>
        <w:rPr/>
        <w:t>Este receptor presenta una alta afinidad por la IgA, cuenta con dos dominios extracelulares y se asocia con un homodímero de cadena </w:t>
      </w:r>
      <w:r>
        <w:rPr>
          <w:rFonts w:ascii="Symbol" w:hAnsi="Symbol"/>
        </w:rPr>
        <w:t></w:t>
      </w:r>
      <w:r>
        <w:rPr/>
        <w:t>, donde presenta un ITAM. El FcαRI se encuentra en la superficie de neutrófilos, eosinófilos, monocitos, algunos macrófagos (incluyendo células Kupffer) y algunas células dendríticas.</w:t>
      </w:r>
      <w:r>
        <w:rPr>
          <w:position w:val="11"/>
          <w:sz w:val="16"/>
        </w:rPr>
        <w:t>25, 26, </w:t>
      </w:r>
      <w:r>
        <w:rPr>
          <w:sz w:val="16"/>
        </w:rPr>
        <w:t>38,</w:t>
      </w:r>
      <w:r>
        <w:rPr>
          <w:spacing w:val="-4"/>
          <w:sz w:val="16"/>
        </w:rPr>
        <w:t> </w:t>
      </w:r>
      <w:r>
        <w:rPr>
          <w:sz w:val="16"/>
        </w:rPr>
        <w:t>40</w:t>
      </w:r>
    </w:p>
    <w:p>
      <w:pPr>
        <w:pStyle w:val="BodyText"/>
        <w:rPr>
          <w:sz w:val="16"/>
        </w:rPr>
      </w:pPr>
    </w:p>
    <w:p>
      <w:pPr>
        <w:pStyle w:val="BodyText"/>
        <w:rPr>
          <w:sz w:val="18"/>
        </w:rPr>
      </w:pPr>
    </w:p>
    <w:p>
      <w:pPr>
        <w:pStyle w:val="BodyText"/>
        <w:spacing w:line="357" w:lineRule="auto" w:before="1"/>
        <w:ind w:left="196" w:right="280"/>
        <w:jc w:val="both"/>
      </w:pPr>
      <w:r>
        <w:rPr/>
        <w:t>El FcαRI es responsable de activar respuestas celulares dependientes de IgA como el estallido respiratorio, la degranulación y la fagocitosis por granulocitos, monocitos  y macrófagos; otra función que se desencadena a partir del   </w:t>
      </w:r>
      <w:r>
        <w:rPr>
          <w:spacing w:val="4"/>
        </w:rPr>
        <w:t> </w:t>
      </w:r>
      <w:r>
        <w:rPr/>
        <w:t>Fc</w:t>
      </w:r>
      <w:r>
        <w:rPr>
          <w:rFonts w:ascii="Symbol" w:hAnsi="Symbol"/>
        </w:rPr>
        <w:t></w:t>
      </w:r>
      <w:r>
        <w:rPr/>
        <w:t>RI es la ADCC. Las</w:t>
      </w:r>
    </w:p>
    <w:p>
      <w:pPr>
        <w:pStyle w:val="BodyText"/>
        <w:spacing w:line="324" w:lineRule="auto" w:before="5"/>
        <w:ind w:left="196" w:right="286"/>
        <w:jc w:val="both"/>
        <w:rPr>
          <w:sz w:val="16"/>
        </w:rPr>
      </w:pPr>
      <w:r>
        <w:rPr/>
        <w:t>células sensibilizadas por anticuerpos de tipo IgA lisan células blanco como bacterias, eritrocitos y células tumorales.</w:t>
      </w:r>
      <w:r>
        <w:rPr>
          <w:position w:val="11"/>
          <w:sz w:val="16"/>
        </w:rPr>
        <w:t>26, 38,</w:t>
      </w:r>
      <w:r>
        <w:rPr>
          <w:spacing w:val="-20"/>
          <w:position w:val="11"/>
          <w:sz w:val="16"/>
        </w:rPr>
        <w:t> </w:t>
      </w:r>
      <w:r>
        <w:rPr>
          <w:position w:val="11"/>
          <w:sz w:val="16"/>
        </w:rPr>
        <w:t>40</w:t>
      </w:r>
    </w:p>
    <w:p>
      <w:pPr>
        <w:pStyle w:val="Heading2"/>
        <w:numPr>
          <w:ilvl w:val="2"/>
          <w:numId w:val="9"/>
        </w:numPr>
        <w:tabs>
          <w:tab w:pos="801" w:val="left" w:leader="none"/>
        </w:tabs>
        <w:spacing w:line="240" w:lineRule="auto" w:before="229" w:after="0"/>
        <w:ind w:left="800" w:right="0" w:hanging="604"/>
        <w:jc w:val="both"/>
        <w:rPr>
          <w:rFonts w:ascii="Symbol" w:hAnsi="Symbol"/>
        </w:rPr>
      </w:pPr>
      <w:bookmarkStart w:name="_TOC_250051" w:id="15"/>
      <w:r>
        <w:rPr/>
        <w:t>Receptores</w:t>
      </w:r>
      <w:r>
        <w:rPr>
          <w:spacing w:val="-9"/>
        </w:rPr>
        <w:t> </w:t>
      </w:r>
      <w:r>
        <w:rPr/>
        <w:t>Fc</w:t>
      </w:r>
      <w:bookmarkEnd w:id="15"/>
      <w:r>
        <w:rPr>
          <w:rFonts w:ascii="Symbol" w:hAnsi="Symbol"/>
        </w:rPr>
        <w:t></w:t>
      </w:r>
    </w:p>
    <w:p>
      <w:pPr>
        <w:pStyle w:val="BodyText"/>
        <w:rPr>
          <w:rFonts w:ascii="Symbol" w:hAnsi="Symbol"/>
          <w:b/>
          <w:sz w:val="29"/>
        </w:rPr>
      </w:pPr>
    </w:p>
    <w:p>
      <w:pPr>
        <w:pStyle w:val="BodyText"/>
        <w:spacing w:line="324" w:lineRule="auto" w:before="1"/>
        <w:ind w:left="196" w:right="277"/>
        <w:jc w:val="both"/>
        <w:rPr>
          <w:sz w:val="16"/>
        </w:rPr>
      </w:pPr>
      <w:r>
        <w:rPr/>
        <w:t>Se han descrito dos tipos de receptores FcεR, el receptor de alta afinidad FcεRI y el receptor de baja afinidad FcεRII (CD23).</w:t>
      </w:r>
      <w:r>
        <w:rPr>
          <w:position w:val="11"/>
          <w:sz w:val="16"/>
        </w:rPr>
        <w:t>37, 38, 41</w:t>
      </w:r>
    </w:p>
    <w:p>
      <w:pPr>
        <w:pStyle w:val="BodyText"/>
        <w:spacing w:line="345" w:lineRule="auto" w:before="235"/>
        <w:ind w:left="196" w:right="274"/>
        <w:jc w:val="both"/>
        <w:rPr>
          <w:sz w:val="16"/>
        </w:rPr>
      </w:pPr>
      <w:r>
        <w:rPr/>
        <w:t>El Fc</w:t>
      </w:r>
      <w:r>
        <w:rPr>
          <w:rFonts w:ascii="Symbol" w:hAnsi="Symbol"/>
        </w:rPr>
        <w:t></w:t>
      </w:r>
      <w:r>
        <w:rPr/>
        <w:t>RI está integrado por una cadena </w:t>
      </w:r>
      <w:r>
        <w:rPr>
          <w:rFonts w:ascii="Symbol" w:hAnsi="Symbol"/>
        </w:rPr>
        <w:t></w:t>
      </w:r>
      <w:r>
        <w:rPr>
          <w:rFonts w:ascii="Times New Roman" w:hAnsi="Times New Roman"/>
        </w:rPr>
        <w:t> </w:t>
      </w:r>
      <w:r>
        <w:rPr/>
        <w:t>formada por dos dominios de Ig que une la IgE, y por cadenas </w:t>
      </w:r>
      <w:r>
        <w:rPr>
          <w:rFonts w:ascii="Symbol" w:hAnsi="Symbol"/>
        </w:rPr>
        <w:t></w:t>
      </w:r>
      <w:r>
        <w:rPr>
          <w:rFonts w:ascii="Times New Roman" w:hAnsi="Times New Roman"/>
        </w:rPr>
        <w:t> </w:t>
      </w:r>
      <w:r>
        <w:rPr/>
        <w:t>y </w:t>
      </w:r>
      <w:r>
        <w:rPr>
          <w:rFonts w:ascii="Symbol" w:hAnsi="Symbol"/>
        </w:rPr>
        <w:t></w:t>
      </w:r>
      <w:r>
        <w:rPr>
          <w:rFonts w:ascii="Times New Roman" w:hAnsi="Times New Roman"/>
        </w:rPr>
        <w:t> </w:t>
      </w:r>
      <w:r>
        <w:rPr/>
        <w:t>asociadas a la cadena </w:t>
      </w:r>
      <w:r>
        <w:rPr>
          <w:rFonts w:ascii="Symbol" w:hAnsi="Symbol"/>
        </w:rPr>
        <w:t></w:t>
      </w:r>
      <w:r>
        <w:rPr/>
        <w:t>; cada cadena es codificada por un gen específico: </w:t>
      </w:r>
      <w:r>
        <w:rPr>
          <w:i/>
        </w:rPr>
        <w:t>FCER1A</w:t>
      </w:r>
      <w:r>
        <w:rPr/>
        <w:t>, </w:t>
      </w:r>
      <w:r>
        <w:rPr>
          <w:i/>
        </w:rPr>
        <w:t>MS4A2 </w:t>
      </w:r>
      <w:r>
        <w:rPr/>
        <w:t>y </w:t>
      </w:r>
      <w:r>
        <w:rPr>
          <w:i/>
        </w:rPr>
        <w:t>FCER1G</w:t>
      </w:r>
      <w:r>
        <w:rPr/>
        <w:t>, respectivamente.</w:t>
      </w:r>
      <w:r>
        <w:rPr>
          <w:position w:val="11"/>
          <w:sz w:val="16"/>
        </w:rPr>
        <w:t>23, 37</w:t>
      </w:r>
    </w:p>
    <w:p>
      <w:pPr>
        <w:pStyle w:val="BodyText"/>
        <w:spacing w:line="357" w:lineRule="auto" w:before="202"/>
        <w:ind w:left="196" w:right="273"/>
        <w:jc w:val="both"/>
        <w:rPr>
          <w:sz w:val="16"/>
        </w:rPr>
      </w:pPr>
      <w:r>
        <w:rPr/>
        <w:t>Existen dos formas de este receptor: </w:t>
      </w:r>
      <w:r>
        <w:rPr>
          <w:rFonts w:ascii="Symbol" w:hAnsi="Symbol"/>
        </w:rPr>
        <w:t></w:t>
      </w:r>
      <w:r>
        <w:rPr>
          <w:rFonts w:ascii="Times New Roman" w:hAnsi="Times New Roman"/>
        </w:rPr>
        <w:t> </w:t>
      </w:r>
      <w:r>
        <w:rPr/>
        <w:t>y </w:t>
      </w:r>
      <w:r>
        <w:rPr>
          <w:rFonts w:ascii="Symbol" w:hAnsi="Symbol"/>
        </w:rPr>
        <w:t></w:t>
      </w:r>
      <w:r>
        <w:rPr/>
        <w:t>. El papel principal de la cadena </w:t>
      </w:r>
      <w:r>
        <w:rPr>
          <w:rFonts w:ascii="Symbol" w:hAnsi="Symbol"/>
        </w:rPr>
        <w:t></w:t>
      </w:r>
      <w:r>
        <w:rPr>
          <w:rFonts w:ascii="Times New Roman" w:hAnsi="Times New Roman"/>
        </w:rPr>
        <w:t> </w:t>
      </w:r>
      <w:r>
        <w:rPr/>
        <w:t>es aumentar la expresión del receptor al promover la maduración y tránsito intracelular de la cadena </w:t>
      </w:r>
      <w:r>
        <w:rPr>
          <w:rFonts w:ascii="Symbol" w:hAnsi="Symbol"/>
        </w:rPr>
        <w:t></w:t>
      </w:r>
      <w:r>
        <w:rPr/>
        <w:t>. Las cadenas asociadas </w:t>
      </w:r>
      <w:r>
        <w:rPr>
          <w:rFonts w:ascii="Symbol" w:hAnsi="Symbol"/>
        </w:rPr>
        <w:t></w:t>
      </w:r>
      <w:r>
        <w:rPr>
          <w:rFonts w:ascii="Times New Roman" w:hAnsi="Times New Roman"/>
        </w:rPr>
        <w:t> </w:t>
      </w:r>
      <w:r>
        <w:rPr/>
        <w:t>y </w:t>
      </w:r>
      <w:r>
        <w:rPr>
          <w:rFonts w:ascii="Symbol" w:hAnsi="Symbol"/>
        </w:rPr>
        <w:t></w:t>
      </w:r>
      <w:r>
        <w:rPr>
          <w:rFonts w:ascii="Times New Roman" w:hAnsi="Times New Roman"/>
        </w:rPr>
        <w:t> </w:t>
      </w:r>
      <w:r>
        <w:rPr/>
        <w:t>contienen secuencias ITAM en su porción citoplasmática, que inician la señal. El Fc</w:t>
      </w:r>
      <w:r>
        <w:rPr>
          <w:rFonts w:ascii="Symbol" w:hAnsi="Symbol"/>
        </w:rPr>
        <w:t></w:t>
      </w:r>
      <w:r>
        <w:rPr/>
        <w:t>RI se expresa constitutivamente en células cebadas y basófilos; mientras en monocitos, eosinófilos y células dendríticas, este receptor carece de la cadena </w:t>
      </w:r>
      <w:r>
        <w:rPr>
          <w:rFonts w:ascii="Symbol" w:hAnsi="Symbol"/>
        </w:rPr>
        <w:t></w:t>
      </w:r>
      <w:r>
        <w:rPr>
          <w:rFonts w:ascii="Times New Roman" w:hAnsi="Times New Roman"/>
        </w:rPr>
        <w:t> </w:t>
      </w:r>
      <w:r>
        <w:rPr/>
        <w:t>de forma que las señales están mediadas sólo por las cadenas </w:t>
      </w:r>
      <w:r>
        <w:rPr>
          <w:rFonts w:ascii="Symbol" w:hAnsi="Symbol"/>
        </w:rPr>
        <w:t></w:t>
      </w:r>
      <w:r>
        <w:rPr>
          <w:rFonts w:ascii="Times New Roman" w:hAnsi="Times New Roman"/>
        </w:rPr>
        <w:t> </w:t>
      </w:r>
      <w:r>
        <w:rPr/>
        <w:t>en éstas células (Tabla1). </w:t>
      </w:r>
      <w:r>
        <w:rPr>
          <w:position w:val="11"/>
          <w:sz w:val="16"/>
        </w:rPr>
        <w:t>23, 37, 41, 42</w:t>
      </w:r>
    </w:p>
    <w:p>
      <w:pPr>
        <w:spacing w:after="0" w:line="357" w:lineRule="auto"/>
        <w:jc w:val="both"/>
        <w:rPr>
          <w:sz w:val="16"/>
        </w:rPr>
        <w:sectPr>
          <w:pgSz w:w="12240" w:h="15840"/>
          <w:pgMar w:header="726" w:footer="1031" w:top="1340" w:bottom="1220" w:left="1220" w:right="1420"/>
        </w:sectPr>
      </w:pPr>
    </w:p>
    <w:p>
      <w:pPr>
        <w:pStyle w:val="BodyText"/>
        <w:spacing w:before="3"/>
        <w:rPr>
          <w:sz w:val="23"/>
        </w:rPr>
      </w:pPr>
    </w:p>
    <w:p>
      <w:pPr>
        <w:pStyle w:val="BodyText"/>
        <w:spacing w:line="364" w:lineRule="auto" w:before="69"/>
        <w:ind w:left="236" w:right="283"/>
        <w:jc w:val="both"/>
      </w:pPr>
      <w:r>
        <w:rPr/>
        <w:t>Debido a su distribución, este receptor tiene un papel central en el control de las respuestas  alérgicas.  Además,  se  expresa  también  en  células  presentadoras de</w:t>
      </w:r>
    </w:p>
    <w:p>
      <w:pPr>
        <w:pStyle w:val="BodyText"/>
        <w:spacing w:line="324" w:lineRule="auto"/>
        <w:ind w:left="236" w:right="286"/>
        <w:jc w:val="both"/>
        <w:rPr>
          <w:sz w:val="16"/>
        </w:rPr>
      </w:pPr>
      <w:r>
        <w:rPr/>
        <w:t>antígeno (CPA) y regula la producción de citocinas importantes que controlan la inflamación.</w:t>
      </w:r>
      <w:r>
        <w:rPr>
          <w:position w:val="11"/>
          <w:sz w:val="16"/>
        </w:rPr>
        <w:t>38</w:t>
      </w:r>
    </w:p>
    <w:p>
      <w:pPr>
        <w:pStyle w:val="BodyText"/>
        <w:spacing w:line="333" w:lineRule="auto" w:before="234"/>
        <w:ind w:left="236" w:right="282"/>
        <w:jc w:val="both"/>
        <w:rPr>
          <w:sz w:val="16"/>
        </w:rPr>
      </w:pPr>
      <w:r>
        <w:rPr/>
        <w:t>El Fc</w:t>
      </w:r>
      <w:r>
        <w:rPr>
          <w:rFonts w:ascii="Symbol" w:hAnsi="Symbol"/>
        </w:rPr>
        <w:t></w:t>
      </w:r>
      <w:r>
        <w:rPr/>
        <w:t>RII (CD23) es una lectina tipo C que tiene múltiples funciones como receptor soluble o receptor unido a la membrana celular, y es codificado por el gen  </w:t>
      </w:r>
      <w:r>
        <w:rPr>
          <w:i/>
        </w:rPr>
        <w:t>FCER2.</w:t>
      </w:r>
      <w:r>
        <w:rPr>
          <w:position w:val="11"/>
          <w:sz w:val="16"/>
        </w:rPr>
        <w:t>23,</w:t>
      </w:r>
    </w:p>
    <w:p>
      <w:pPr>
        <w:spacing w:line="161" w:lineRule="exact" w:before="0"/>
        <w:ind w:left="236" w:right="0" w:firstLine="0"/>
        <w:jc w:val="both"/>
        <w:rPr>
          <w:sz w:val="16"/>
        </w:rPr>
      </w:pPr>
      <w:r>
        <w:rPr>
          <w:sz w:val="16"/>
        </w:rPr>
        <w:t>25, 37</w:t>
      </w:r>
    </w:p>
    <w:p>
      <w:pPr>
        <w:pStyle w:val="BodyText"/>
        <w:rPr>
          <w:sz w:val="16"/>
        </w:rPr>
      </w:pPr>
    </w:p>
    <w:p>
      <w:pPr>
        <w:pStyle w:val="BodyText"/>
        <w:rPr>
          <w:sz w:val="16"/>
        </w:rPr>
      </w:pPr>
    </w:p>
    <w:p>
      <w:pPr>
        <w:pStyle w:val="BodyText"/>
        <w:spacing w:line="360" w:lineRule="auto" w:before="102"/>
        <w:ind w:left="236" w:right="277"/>
        <w:jc w:val="both"/>
      </w:pPr>
      <w:r>
        <w:rPr/>
        <w:t>Este receptor se expresa en linfocitos B, linfocitos T, monocitos, eosinófilos y macrófagos; su función principal parece ser la regulación de la síntesis de IgE por los linfocitos B, con acción estimuladora en concentraciones bajas de IgE e inhibidora en concentraciones elevadas. También puede facilitar la fagocitosis de antígenos opsonizados por  IgE,  sin embargo,  la función  exacta  de  Fc</w:t>
      </w:r>
      <w:r>
        <w:rPr>
          <w:rFonts w:ascii="Symbol" w:hAnsi="Symbol"/>
        </w:rPr>
        <w:t></w:t>
      </w:r>
      <w:r>
        <w:rPr/>
        <w:t>RII  sigue siendo poco</w:t>
      </w:r>
    </w:p>
    <w:p>
      <w:pPr>
        <w:spacing w:line="274" w:lineRule="exact" w:before="0"/>
        <w:ind w:left="236" w:right="0" w:firstLine="0"/>
        <w:jc w:val="both"/>
        <w:rPr>
          <w:sz w:val="16"/>
        </w:rPr>
      </w:pPr>
      <w:r>
        <w:rPr>
          <w:sz w:val="24"/>
        </w:rPr>
        <w:t>conocida.</w:t>
      </w:r>
      <w:r>
        <w:rPr>
          <w:position w:val="11"/>
          <w:sz w:val="16"/>
        </w:rPr>
        <w:t>25, 42</w:t>
      </w:r>
    </w:p>
    <w:p>
      <w:pPr>
        <w:pStyle w:val="BodyText"/>
        <w:spacing w:before="4"/>
        <w:rPr>
          <w:sz w:val="29"/>
        </w:rPr>
      </w:pPr>
    </w:p>
    <w:p>
      <w:pPr>
        <w:spacing w:before="0"/>
        <w:ind w:left="1401" w:right="1448" w:firstLine="0"/>
        <w:jc w:val="center"/>
        <w:rPr>
          <w:b/>
          <w:sz w:val="20"/>
        </w:rPr>
      </w:pPr>
      <w:r>
        <w:rPr>
          <w:b/>
          <w:sz w:val="20"/>
        </w:rPr>
        <w:t>Tabla 1. Receptores Fc para inmunoglobulinas.</w:t>
      </w:r>
    </w:p>
    <w:p>
      <w:pPr>
        <w:pStyle w:val="BodyText"/>
        <w:spacing w:before="11"/>
        <w:rPr>
          <w:b/>
          <w:sz w:val="11"/>
        </w:rPr>
      </w:pPr>
      <w:r>
        <w:rPr/>
        <w:drawing>
          <wp:anchor distT="0" distB="0" distL="0" distR="0" allowOverlap="1" layoutInCell="1" locked="0" behindDoc="0" simplePos="0" relativeHeight="1240">
            <wp:simplePos x="0" y="0"/>
            <wp:positionH relativeFrom="page">
              <wp:posOffset>819150</wp:posOffset>
            </wp:positionH>
            <wp:positionV relativeFrom="paragraph">
              <wp:posOffset>112278</wp:posOffset>
            </wp:positionV>
            <wp:extent cx="5946254" cy="2834068"/>
            <wp:effectExtent l="0" t="0" r="0" b="0"/>
            <wp:wrapTopAndBottom/>
            <wp:docPr id="19" name="image17.png" descr=""/>
            <wp:cNvGraphicFramePr>
              <a:graphicFrameLocks noChangeAspect="1"/>
            </wp:cNvGraphicFramePr>
            <a:graphic>
              <a:graphicData uri="http://schemas.openxmlformats.org/drawingml/2006/picture">
                <pic:pic>
                  <pic:nvPicPr>
                    <pic:cNvPr id="20" name="image17.png"/>
                    <pic:cNvPicPr/>
                  </pic:nvPicPr>
                  <pic:blipFill>
                    <a:blip r:embed="rId32" cstate="print"/>
                    <a:stretch>
                      <a:fillRect/>
                    </a:stretch>
                  </pic:blipFill>
                  <pic:spPr>
                    <a:xfrm>
                      <a:off x="0" y="0"/>
                      <a:ext cx="5946254" cy="2834068"/>
                    </a:xfrm>
                    <a:prstGeom prst="rect">
                      <a:avLst/>
                    </a:prstGeom>
                  </pic:spPr>
                </pic:pic>
              </a:graphicData>
            </a:graphic>
          </wp:anchor>
        </w:drawing>
      </w:r>
    </w:p>
    <w:p>
      <w:pPr>
        <w:spacing w:before="13"/>
        <w:ind w:left="0" w:right="272" w:firstLine="0"/>
        <w:jc w:val="right"/>
        <w:rPr>
          <w:sz w:val="20"/>
        </w:rPr>
      </w:pPr>
      <w:r>
        <w:rPr>
          <w:sz w:val="20"/>
        </w:rPr>
        <w:t>Fuente directa</w:t>
      </w:r>
    </w:p>
    <w:p>
      <w:pPr>
        <w:spacing w:after="0"/>
        <w:jc w:val="right"/>
        <w:rPr>
          <w:sz w:val="20"/>
        </w:rPr>
        <w:sectPr>
          <w:pgSz w:w="12240" w:h="15840"/>
          <w:pgMar w:header="726" w:footer="1031" w:top="1340" w:bottom="1220" w:left="1180" w:right="1420"/>
        </w:sectPr>
      </w:pPr>
    </w:p>
    <w:p>
      <w:pPr>
        <w:pStyle w:val="BodyText"/>
        <w:spacing w:before="4"/>
        <w:rPr>
          <w:sz w:val="22"/>
        </w:rPr>
      </w:pPr>
    </w:p>
    <w:p>
      <w:pPr>
        <w:pStyle w:val="Heading2"/>
        <w:numPr>
          <w:ilvl w:val="0"/>
          <w:numId w:val="10"/>
        </w:numPr>
        <w:tabs>
          <w:tab w:pos="624" w:val="left" w:leader="none"/>
        </w:tabs>
        <w:spacing w:line="240" w:lineRule="auto" w:before="70" w:after="0"/>
        <w:ind w:left="623" w:right="0" w:hanging="427"/>
        <w:jc w:val="both"/>
      </w:pPr>
      <w:bookmarkStart w:name="_TOC_250050" w:id="16"/>
      <w:r>
        <w:rPr/>
        <w:t>INMUNOGLOBULINAS Y SU RELACIÓN CON LA CARIES</w:t>
      </w:r>
      <w:r>
        <w:rPr>
          <w:spacing w:val="-22"/>
        </w:rPr>
        <w:t> </w:t>
      </w:r>
      <w:bookmarkEnd w:id="16"/>
      <w:r>
        <w:rPr/>
        <w:t>DENTAL</w:t>
      </w:r>
    </w:p>
    <w:p>
      <w:pPr>
        <w:pStyle w:val="BodyText"/>
        <w:rPr>
          <w:b/>
        </w:rPr>
      </w:pPr>
    </w:p>
    <w:p>
      <w:pPr>
        <w:pStyle w:val="ListParagraph"/>
        <w:numPr>
          <w:ilvl w:val="1"/>
          <w:numId w:val="10"/>
        </w:numPr>
        <w:tabs>
          <w:tab w:pos="599" w:val="left" w:leader="none"/>
        </w:tabs>
        <w:spacing w:line="240" w:lineRule="auto" w:before="149" w:after="0"/>
        <w:ind w:left="598" w:right="0" w:hanging="402"/>
        <w:jc w:val="both"/>
        <w:rPr>
          <w:b/>
          <w:sz w:val="24"/>
        </w:rPr>
      </w:pPr>
      <w:r>
        <w:rPr>
          <w:b/>
          <w:sz w:val="24"/>
        </w:rPr>
        <w:t>Las Inmunoglobulinas en la Cavidad</w:t>
      </w:r>
      <w:r>
        <w:rPr>
          <w:b/>
          <w:spacing w:val="-17"/>
          <w:sz w:val="24"/>
        </w:rPr>
        <w:t> </w:t>
      </w:r>
      <w:r>
        <w:rPr>
          <w:b/>
          <w:sz w:val="24"/>
        </w:rPr>
        <w:t>Oral</w:t>
      </w:r>
    </w:p>
    <w:p>
      <w:pPr>
        <w:pStyle w:val="BodyText"/>
        <w:rPr>
          <w:b/>
        </w:rPr>
      </w:pPr>
    </w:p>
    <w:p>
      <w:pPr>
        <w:pStyle w:val="BodyText"/>
        <w:spacing w:line="360" w:lineRule="auto" w:before="149"/>
        <w:ind w:left="196" w:right="273"/>
        <w:jc w:val="both"/>
      </w:pPr>
      <w:r>
        <w:rPr/>
        <w:t>El anticuerpo SIgA es la inmunoglobulina predominante en las  secreciones corporales como la saliva, lágrimas, secreciones bronquiales, secreciones de la próstata, leche materna y sudor; además, es el principal anticuerpo que protege a los humanos de la infección local, y es el principal anticuerpo en la saliva. Por otro lado, la IgG contribuye con alrededor del 80% en el suero, que nos protege de todos los tipos de infecciones sistémicas; pero este no es el principal anticuerpo en la saliva, y por lo general    se eleva en la respuesta secundaria a la infección. La IgM contribuye</w:t>
      </w:r>
    </w:p>
    <w:p>
      <w:pPr>
        <w:pStyle w:val="BodyText"/>
        <w:spacing w:line="279" w:lineRule="exact"/>
        <w:ind w:left="196"/>
        <w:jc w:val="both"/>
        <w:rPr>
          <w:sz w:val="16"/>
        </w:rPr>
      </w:pPr>
      <w:r>
        <w:rPr/>
        <w:t>con cerca del 6% en el suero, y se eleva en la respuesta primaria a la infección.</w:t>
      </w:r>
      <w:r>
        <w:rPr>
          <w:position w:val="11"/>
          <w:sz w:val="16"/>
        </w:rPr>
        <w:t>43, 44</w:t>
      </w:r>
    </w:p>
    <w:p>
      <w:pPr>
        <w:pStyle w:val="BodyText"/>
        <w:spacing w:before="6"/>
        <w:rPr>
          <w:sz w:val="36"/>
        </w:rPr>
      </w:pPr>
    </w:p>
    <w:p>
      <w:pPr>
        <w:pStyle w:val="BodyText"/>
        <w:spacing w:line="340" w:lineRule="auto"/>
        <w:ind w:left="196" w:right="274"/>
        <w:jc w:val="both"/>
        <w:rPr>
          <w:sz w:val="16"/>
        </w:rPr>
      </w:pPr>
      <w:r>
        <w:rPr/>
        <w:t>Aunque la SIgA de la saliva esencialmente está ausente en el nacimiento, al mes de edad es la principal inmunoglobulina salival secretada, con una estructura dimérica unida al componente secretor (SC) y a una cadena J.</w:t>
      </w:r>
      <w:r>
        <w:rPr>
          <w:position w:val="11"/>
          <w:sz w:val="16"/>
        </w:rPr>
        <w:t>43</w:t>
      </w:r>
    </w:p>
    <w:p>
      <w:pPr>
        <w:pStyle w:val="BodyText"/>
        <w:spacing w:line="348" w:lineRule="auto" w:before="215"/>
        <w:ind w:left="196" w:right="278"/>
        <w:jc w:val="both"/>
        <w:rPr>
          <w:sz w:val="16"/>
        </w:rPr>
      </w:pPr>
      <w:r>
        <w:rPr/>
        <w:t>Las concentraciones de IgG, IgA, e IgM en la saliva total humana no estimulada son de 14, 194 y 2 </w:t>
      </w:r>
      <w:r>
        <w:rPr>
          <w:rFonts w:ascii="Symbol" w:hAnsi="Symbol"/>
        </w:rPr>
        <w:t></w:t>
      </w:r>
      <w:r>
        <w:rPr/>
        <w:t>g/mL</w:t>
      </w:r>
      <w:r>
        <w:rPr>
          <w:position w:val="11"/>
          <w:sz w:val="16"/>
        </w:rPr>
        <w:t>-1</w:t>
      </w:r>
      <w:r>
        <w:rPr/>
        <w:t>, respectivamente, lo que indica que la SIgA es cuantitativamente el principal componente inmunológico de las secreciones de las glándulas salivales mayores y menores, y por lo tanto se considera que es  el principal mediador de la inmunidad adaptativa en el medio salival.</w:t>
      </w:r>
      <w:r>
        <w:rPr>
          <w:position w:val="11"/>
          <w:sz w:val="16"/>
        </w:rPr>
        <w:t>45</w:t>
      </w:r>
    </w:p>
    <w:p>
      <w:pPr>
        <w:pStyle w:val="BodyText"/>
        <w:spacing w:line="360" w:lineRule="auto" w:before="205"/>
        <w:ind w:left="196" w:right="274"/>
        <w:jc w:val="both"/>
      </w:pPr>
      <w:r>
        <w:rPr/>
        <w:t>Otros componentes que aportan a la inmunidad adaptativa son los anticuerpos IgG e IgM, los cuales se derivan de la circulación al fluido gingival (o crevicular); de modo que, la placa dentobacteriana en la región cervical del diente está sometida a la influencia de SIgA, inmunoglobulinas séricas (IgG e IgM), factores del complemento y</w:t>
      </w:r>
    </w:p>
    <w:p>
      <w:pPr>
        <w:pStyle w:val="BodyText"/>
        <w:spacing w:line="324" w:lineRule="auto" w:before="7"/>
        <w:ind w:left="196" w:right="288"/>
        <w:jc w:val="both"/>
        <w:rPr>
          <w:sz w:val="16"/>
        </w:rPr>
      </w:pPr>
      <w:r>
        <w:rPr/>
        <w:t>diversos componentes celulares del sistema inmune, como los linfocitos, macrófagos y neutrófilos polimorfonucleares (PMN) del surco gingival.</w:t>
      </w:r>
      <w:r>
        <w:rPr>
          <w:position w:val="11"/>
          <w:sz w:val="16"/>
        </w:rPr>
        <w:t>43, 45, 46</w:t>
      </w:r>
    </w:p>
    <w:p>
      <w:pPr>
        <w:pStyle w:val="Heading2"/>
        <w:numPr>
          <w:ilvl w:val="1"/>
          <w:numId w:val="10"/>
        </w:numPr>
        <w:tabs>
          <w:tab w:pos="600" w:val="left" w:leader="none"/>
        </w:tabs>
        <w:spacing w:line="240" w:lineRule="auto" w:before="227" w:after="0"/>
        <w:ind w:left="599" w:right="0" w:hanging="403"/>
        <w:jc w:val="both"/>
      </w:pPr>
      <w:r>
        <w:rPr/>
        <w:t>Las Inmunoglobulinas y la Caries</w:t>
      </w:r>
      <w:r>
        <w:rPr>
          <w:spacing w:val="-19"/>
        </w:rPr>
        <w:t> </w:t>
      </w:r>
      <w:r>
        <w:rPr/>
        <w:t>Dental</w:t>
      </w:r>
    </w:p>
    <w:p>
      <w:pPr>
        <w:pStyle w:val="BodyText"/>
        <w:spacing w:before="10"/>
        <w:rPr>
          <w:b/>
          <w:sz w:val="21"/>
        </w:rPr>
      </w:pPr>
    </w:p>
    <w:p>
      <w:pPr>
        <w:pStyle w:val="BodyText"/>
        <w:spacing w:line="360" w:lineRule="auto"/>
        <w:ind w:left="196" w:right="279"/>
        <w:jc w:val="both"/>
      </w:pPr>
      <w:r>
        <w:rPr/>
        <w:t>Las diversas inmunoglobulinas pueden controlar el crecimiento de la microflora oral cariogénica.  Una  de  ellas  es  SIgA,  que  desempeña  el   papel   principal   en    la</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48" w:lineRule="auto" w:before="69"/>
        <w:ind w:left="196" w:right="276"/>
        <w:jc w:val="both"/>
        <w:rPr>
          <w:sz w:val="16"/>
        </w:rPr>
      </w:pPr>
      <w:r>
        <w:rPr/>
        <w:t>prevención de la caries dental por medio de la inhibición de la adhesión bacteriana (interferencia en la fijación de </w:t>
      </w:r>
      <w:r>
        <w:rPr>
          <w:i/>
        </w:rPr>
        <w:t>Streptococcus mutans </w:t>
      </w:r>
      <w:r>
        <w:rPr/>
        <w:t>a sacarosa independiente y sacarosa dependiente y en la acumulación en superficies dentales), la inactivación  de las enzimas bacterianas y toxinas, o al actuar en sinergia con otros factores antibacterianos tales como la lisozima, lactoferrina, peroxidasa salival y mucina.</w:t>
      </w:r>
      <w:r>
        <w:rPr>
          <w:position w:val="11"/>
          <w:sz w:val="16"/>
        </w:rPr>
        <w:t>45, 47, </w:t>
      </w:r>
      <w:r>
        <w:rPr>
          <w:sz w:val="16"/>
        </w:rPr>
        <w:t>48</w:t>
      </w:r>
    </w:p>
    <w:p>
      <w:pPr>
        <w:pStyle w:val="BodyText"/>
        <w:rPr>
          <w:sz w:val="16"/>
        </w:rPr>
      </w:pPr>
    </w:p>
    <w:p>
      <w:pPr>
        <w:pStyle w:val="BodyText"/>
        <w:spacing w:before="5"/>
        <w:rPr>
          <w:sz w:val="17"/>
        </w:rPr>
      </w:pPr>
    </w:p>
    <w:p>
      <w:pPr>
        <w:pStyle w:val="BodyText"/>
        <w:spacing w:line="362" w:lineRule="auto" w:before="1"/>
        <w:ind w:left="196" w:right="276"/>
        <w:jc w:val="both"/>
      </w:pPr>
      <w:r>
        <w:rPr/>
        <w:t>Sin embargo, la SIgA en saliva se puede formar contra otros patógenos orales comunes, por lo que puede no ser concluyente para evaluar su papel específico en la</w:t>
      </w:r>
    </w:p>
    <w:p>
      <w:pPr>
        <w:pStyle w:val="BodyText"/>
        <w:spacing w:line="324" w:lineRule="auto"/>
        <w:ind w:left="196" w:right="289"/>
        <w:jc w:val="both"/>
        <w:rPr>
          <w:sz w:val="16"/>
        </w:rPr>
      </w:pPr>
      <w:r>
        <w:rPr/>
        <w:t>protección contra la caries. Por otro lado, también es cierto que la cantidad de SIgA salival total determina el estado de inmunidad del paciente.</w:t>
      </w:r>
      <w:r>
        <w:rPr>
          <w:position w:val="11"/>
          <w:sz w:val="16"/>
        </w:rPr>
        <w:t>49</w:t>
      </w:r>
    </w:p>
    <w:p>
      <w:pPr>
        <w:pStyle w:val="BodyText"/>
        <w:spacing w:line="362" w:lineRule="auto" w:before="236"/>
        <w:ind w:left="196" w:right="287"/>
        <w:jc w:val="both"/>
      </w:pPr>
      <w:r>
        <w:rPr/>
        <w:t>Para inducir una respuesta por parte de la SIgA existen dos mecanismos. En el primero, los antígenos orales inducen la producción y diferenciación de células linfoides en las glándulas salivales, donde estos antígenos pueden ser captados </w:t>
      </w:r>
      <w:r>
        <w:rPr>
          <w:spacing w:val="61"/>
        </w:rPr>
        <w:t> </w:t>
      </w:r>
      <w:r>
        <w:rPr/>
        <w:t>por</w:t>
      </w:r>
    </w:p>
    <w:p>
      <w:pPr>
        <w:pStyle w:val="BodyText"/>
        <w:spacing w:line="324" w:lineRule="auto"/>
        <w:ind w:left="196" w:right="289"/>
        <w:jc w:val="both"/>
        <w:rPr>
          <w:sz w:val="16"/>
        </w:rPr>
      </w:pPr>
      <w:r>
        <w:rPr/>
        <w:t>los macrófagos y presentados a los linfocitos T, los cuales activarán a los linfocitos </w:t>
      </w:r>
      <w:r>
        <w:rPr>
          <w:position w:val="-10"/>
        </w:rPr>
        <w:t>B.</w:t>
      </w:r>
      <w:r>
        <w:rPr>
          <w:sz w:val="16"/>
        </w:rPr>
        <w:t>50</w:t>
      </w:r>
    </w:p>
    <w:p>
      <w:pPr>
        <w:pStyle w:val="BodyText"/>
        <w:spacing w:line="360" w:lineRule="auto" w:before="237"/>
        <w:ind w:left="196" w:right="276"/>
        <w:jc w:val="both"/>
      </w:pPr>
      <w:r>
        <w:rPr/>
        <w:t>El segundo mecanismo ocurre cuando las bacterias que pasan a través de la boca hasta el estómago y el intestino entran en contacto con tejido linfoide asociado al intestino (GALT), en las placas de Peyer y ganglios linfáticos mesentéricos. Ciertos linfocitos T y B en las placas de Peyer se sensibilizan ante estos microorganismos, posteriormente los linfocitos sensibilizados migran a través de los vasos linfáticos al torrente sanguíneo y finalmente se depositan en los tejidos glandulares, incluyendo las glándulas salivales. Estas células sensibilizadas producen IgA que se secreta en la saliva (SIgA), y al tener acceso directo a la superficie del diente, previene la adhesión del </w:t>
      </w:r>
      <w:r>
        <w:rPr>
          <w:i/>
        </w:rPr>
        <w:t>S. mutans </w:t>
      </w:r>
      <w:r>
        <w:rPr/>
        <w:t>a la superficie del esmalte y evita la formación de dextrano</w:t>
      </w:r>
    </w:p>
    <w:p>
      <w:pPr>
        <w:pStyle w:val="BodyText"/>
        <w:spacing w:line="324" w:lineRule="auto" w:before="2"/>
        <w:ind w:left="196" w:right="286"/>
        <w:jc w:val="both"/>
        <w:rPr>
          <w:sz w:val="16"/>
        </w:rPr>
      </w:pPr>
      <w:r>
        <w:rPr/>
        <w:t>mediante la inhibición de la actividad de la glucosiltransferasa (GTF), además de cumplir con las funciones anteriormente mencionadas.</w:t>
      </w:r>
      <w:r>
        <w:rPr>
          <w:position w:val="11"/>
          <w:sz w:val="16"/>
        </w:rPr>
        <w:t>43, 50, 51</w:t>
      </w:r>
    </w:p>
    <w:p>
      <w:pPr>
        <w:pStyle w:val="BodyText"/>
        <w:spacing w:line="360" w:lineRule="auto" w:before="237"/>
        <w:ind w:left="196" w:right="278"/>
        <w:jc w:val="both"/>
      </w:pPr>
      <w:r>
        <w:rPr/>
        <w:t>El mecanismo gingival crevicular involucra a componentes humorales y celulares del sistema inmune que pueden ejercer su función en la superficie del diente; actualmente existen pruebas suficientes para postular lo que puede suceder después</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0" w:lineRule="auto" w:before="69"/>
        <w:ind w:left="196" w:right="273"/>
        <w:jc w:val="both"/>
      </w:pPr>
      <w:r>
        <w:rPr/>
        <w:t>de la inmunización subcutánea con </w:t>
      </w:r>
      <w:r>
        <w:rPr>
          <w:i/>
        </w:rPr>
        <w:t>S. mutans. </w:t>
      </w:r>
      <w:r>
        <w:rPr/>
        <w:t>El microorganismo es fagocitado y se somete a procesamiento antigénico por los macrófagos. Los leucocitos polimorfonucleares tienen receptores específicos para la porción Fc de la IgG, permitiendo que el anticuerpo unido a </w:t>
      </w:r>
      <w:r>
        <w:rPr>
          <w:i/>
        </w:rPr>
        <w:t>S. mutans </w:t>
      </w:r>
      <w:r>
        <w:rPr/>
        <w:t>se adhiera a la membrana del leucocito. El complejo se internaliza después en vacuolas llamadas fagosomas    que</w:t>
      </w:r>
    </w:p>
    <w:p>
      <w:pPr>
        <w:pStyle w:val="BodyText"/>
        <w:spacing w:line="328" w:lineRule="auto" w:before="8"/>
        <w:ind w:left="196" w:right="277"/>
        <w:jc w:val="both"/>
        <w:rPr>
          <w:sz w:val="16"/>
        </w:rPr>
      </w:pPr>
      <w:r>
        <w:rPr/>
        <w:t>pueden combinarse con los lisosomas de los leucocitos para </w:t>
      </w:r>
      <w:r>
        <w:rPr>
          <w:spacing w:val="-2"/>
        </w:rPr>
        <w:t>formar </w:t>
      </w:r>
      <w:r>
        <w:rPr/>
        <w:t>fagolisosomas.  El microorganismo será entonces eliminado por la acción de enzimas </w:t>
      </w:r>
      <w:r>
        <w:rPr>
          <w:spacing w:val="43"/>
        </w:rPr>
        <w:t> </w:t>
      </w:r>
      <w:r>
        <w:rPr/>
        <w:t>lisosomales.</w:t>
      </w:r>
      <w:r>
        <w:rPr>
          <w:position w:val="11"/>
          <w:sz w:val="16"/>
        </w:rPr>
        <w:t>51,</w:t>
      </w:r>
    </w:p>
    <w:p>
      <w:pPr>
        <w:spacing w:line="168" w:lineRule="exact" w:before="0"/>
        <w:ind w:left="196" w:right="0" w:firstLine="0"/>
        <w:jc w:val="both"/>
        <w:rPr>
          <w:sz w:val="16"/>
        </w:rPr>
      </w:pPr>
      <w:r>
        <w:rPr>
          <w:sz w:val="16"/>
        </w:rPr>
        <w:t>52</w:t>
      </w:r>
    </w:p>
    <w:p>
      <w:pPr>
        <w:pStyle w:val="BodyText"/>
        <w:rPr>
          <w:sz w:val="16"/>
        </w:rPr>
      </w:pPr>
    </w:p>
    <w:p>
      <w:pPr>
        <w:pStyle w:val="BodyText"/>
        <w:rPr>
          <w:sz w:val="16"/>
        </w:rPr>
      </w:pPr>
    </w:p>
    <w:p>
      <w:pPr>
        <w:pStyle w:val="BodyText"/>
        <w:spacing w:line="360" w:lineRule="auto" w:before="103"/>
        <w:ind w:left="196" w:right="275"/>
        <w:jc w:val="both"/>
      </w:pPr>
      <w:r>
        <w:rPr/>
        <w:t>La actividad de las inmunoglobulinas contra los antígenos de </w:t>
      </w:r>
      <w:r>
        <w:rPr>
          <w:i/>
        </w:rPr>
        <w:t>Streptococcus mutans </w:t>
      </w:r>
      <w:r>
        <w:rPr/>
        <w:t>puede detectarse tanto en la saliva como en el suero. Los niños a menudo  comienzan a sintetizar anticuerpos séricos contra antígenos de </w:t>
      </w:r>
      <w:r>
        <w:rPr>
          <w:i/>
        </w:rPr>
        <w:t>S. mutans, </w:t>
      </w:r>
      <w:r>
        <w:rPr/>
        <w:t>por lo general a finales del segundo año de vida, cuando la bacteria comienza a acumularse en las superficies de los dientes primarios; entonces los niveles   </w:t>
      </w:r>
      <w:r>
        <w:rPr>
          <w:spacing w:val="9"/>
        </w:rPr>
        <w:t> </w:t>
      </w:r>
      <w:r>
        <w:rPr/>
        <w:t>séricos</w:t>
      </w:r>
    </w:p>
    <w:p>
      <w:pPr>
        <w:pStyle w:val="BodyText"/>
        <w:spacing w:line="324" w:lineRule="auto" w:before="2"/>
        <w:ind w:left="196" w:right="294"/>
        <w:jc w:val="both"/>
        <w:rPr>
          <w:sz w:val="16"/>
        </w:rPr>
      </w:pPr>
      <w:r>
        <w:rPr/>
        <w:t>de IgG aumentan durante la infancia y permanecen detectables durante toda la vida.</w:t>
      </w:r>
      <w:r>
        <w:rPr>
          <w:position w:val="11"/>
          <w:sz w:val="16"/>
        </w:rPr>
        <w:t>45</w:t>
      </w:r>
    </w:p>
    <w:p>
      <w:pPr>
        <w:pStyle w:val="BodyText"/>
        <w:spacing w:line="345" w:lineRule="auto" w:before="236"/>
        <w:ind w:left="196" w:right="274"/>
        <w:jc w:val="both"/>
        <w:rPr>
          <w:sz w:val="16"/>
        </w:rPr>
      </w:pPr>
      <w:r>
        <w:rPr/>
        <w:t>Estudios </w:t>
      </w:r>
      <w:r>
        <w:rPr>
          <w:i/>
          <w:spacing w:val="-3"/>
        </w:rPr>
        <w:t>in </w:t>
      </w:r>
      <w:r>
        <w:rPr>
          <w:i/>
        </w:rPr>
        <w:t>vitro </w:t>
      </w:r>
      <w:r>
        <w:rPr/>
        <w:t>han demostrado que la IgG tiene efecto inhibidor sobre la adherencia, la glucosiltransferasa y la producción de ácido. </w:t>
      </w:r>
      <w:r>
        <w:rPr>
          <w:spacing w:val="-2"/>
        </w:rPr>
        <w:t>Por </w:t>
      </w:r>
      <w:r>
        <w:rPr/>
        <w:t>lo tanto, la IgG también podría inhibir el establecimiento y el metabolismo </w:t>
      </w:r>
      <w:r>
        <w:rPr>
          <w:spacing w:val="3"/>
        </w:rPr>
        <w:t>del </w:t>
      </w:r>
      <w:r>
        <w:rPr>
          <w:i/>
        </w:rPr>
        <w:t>S.</w:t>
      </w:r>
      <w:r>
        <w:rPr>
          <w:i/>
          <w:spacing w:val="-37"/>
        </w:rPr>
        <w:t> </w:t>
      </w:r>
      <w:r>
        <w:rPr>
          <w:i/>
        </w:rPr>
        <w:t>mutans</w:t>
      </w:r>
      <w:r>
        <w:rPr/>
        <w:t>.</w:t>
      </w:r>
      <w:r>
        <w:rPr>
          <w:position w:val="11"/>
          <w:sz w:val="16"/>
        </w:rPr>
        <w:t>43</w:t>
      </w:r>
    </w:p>
    <w:p>
      <w:pPr>
        <w:spacing w:after="0" w:line="345" w:lineRule="auto"/>
        <w:jc w:val="both"/>
        <w:rPr>
          <w:sz w:val="16"/>
        </w:rPr>
        <w:sectPr>
          <w:pgSz w:w="12240" w:h="15840"/>
          <w:pgMar w:header="726" w:footer="1031" w:top="1340" w:bottom="1220" w:left="1220" w:right="1420"/>
        </w:sectPr>
      </w:pPr>
    </w:p>
    <w:p>
      <w:pPr>
        <w:pStyle w:val="BodyText"/>
        <w:spacing w:before="9"/>
        <w:rPr>
          <w:sz w:val="22"/>
        </w:rPr>
      </w:pPr>
    </w:p>
    <w:p>
      <w:pPr>
        <w:pStyle w:val="Heading2"/>
        <w:numPr>
          <w:ilvl w:val="0"/>
          <w:numId w:val="10"/>
        </w:numPr>
        <w:tabs>
          <w:tab w:pos="624" w:val="left" w:leader="none"/>
        </w:tabs>
        <w:spacing w:line="240" w:lineRule="auto" w:before="70" w:after="0"/>
        <w:ind w:left="623" w:right="0" w:hanging="427"/>
        <w:jc w:val="both"/>
      </w:pPr>
      <w:bookmarkStart w:name="_TOC_250049" w:id="17"/>
      <w:r>
        <w:rPr/>
        <w:t>LA BIOLOGÍA MOLECULAR Y </w:t>
      </w:r>
      <w:r>
        <w:rPr>
          <w:spacing w:val="3"/>
        </w:rPr>
        <w:t>LA</w:t>
      </w:r>
      <w:r>
        <w:rPr>
          <w:spacing w:val="-20"/>
        </w:rPr>
        <w:t> </w:t>
      </w:r>
      <w:bookmarkEnd w:id="17"/>
      <w:r>
        <w:rPr/>
        <w:t>SALIVA</w:t>
      </w:r>
    </w:p>
    <w:p>
      <w:pPr>
        <w:pStyle w:val="BodyText"/>
        <w:rPr>
          <w:b/>
        </w:rPr>
      </w:pPr>
    </w:p>
    <w:p>
      <w:pPr>
        <w:pStyle w:val="Heading2"/>
        <w:numPr>
          <w:ilvl w:val="1"/>
          <w:numId w:val="10"/>
        </w:numPr>
        <w:tabs>
          <w:tab w:pos="599" w:val="left" w:leader="none"/>
        </w:tabs>
        <w:spacing w:line="240" w:lineRule="auto" w:before="144" w:after="0"/>
        <w:ind w:left="598" w:right="0" w:hanging="402"/>
        <w:jc w:val="both"/>
      </w:pPr>
      <w:bookmarkStart w:name="_TOC_250048" w:id="18"/>
      <w:bookmarkEnd w:id="18"/>
      <w:r>
        <w:rPr/>
        <w:t>Saliva</w:t>
      </w:r>
    </w:p>
    <w:p>
      <w:pPr>
        <w:pStyle w:val="BodyText"/>
        <w:rPr>
          <w:b/>
        </w:rPr>
      </w:pPr>
    </w:p>
    <w:p>
      <w:pPr>
        <w:pStyle w:val="BodyText"/>
        <w:spacing w:line="360" w:lineRule="auto" w:before="149"/>
        <w:ind w:left="196" w:right="274"/>
        <w:jc w:val="both"/>
      </w:pPr>
      <w:r>
        <w:rPr/>
        <w:t>La boca se mantiene húmeda y es lubricada por la saliva que fluye para formar una película delgada sobre todas las superficies internas de la cavidad bucal. La saliva es una secreción compleja proveniente de las glándulas salivales mayores (glándula parótida, submaxilar y sublingual) en el 93% de su volumen y de las glándulas menores (glándulas de la mucosa bucal) en el 7% restante, las cuales se extienden por todas las regiones de la boca excepto en la encía y en la porción anterior del</w:t>
      </w:r>
    </w:p>
    <w:p>
      <w:pPr>
        <w:pStyle w:val="BodyText"/>
        <w:spacing w:line="324" w:lineRule="auto" w:before="2"/>
        <w:ind w:left="196" w:right="286"/>
        <w:jc w:val="both"/>
        <w:rPr>
          <w:sz w:val="16"/>
        </w:rPr>
      </w:pPr>
      <w:r>
        <w:rPr/>
        <w:t>paladar duro. Hay diferencia en la composición química de las secreciones de cada glándula, pero la mezcla compleja se llama “saliva total”.</w:t>
      </w:r>
      <w:r>
        <w:rPr>
          <w:position w:val="11"/>
          <w:sz w:val="16"/>
        </w:rPr>
        <w:t>53, 54</w:t>
      </w:r>
    </w:p>
    <w:p>
      <w:pPr>
        <w:pStyle w:val="BodyText"/>
        <w:spacing w:line="360" w:lineRule="auto" w:before="236"/>
        <w:ind w:left="196" w:right="274"/>
        <w:jc w:val="both"/>
      </w:pPr>
      <w:r>
        <w:rPr/>
        <w:t>La saliva es estéril cuando sale de las glándulas salivales, pero deja de serlo inmediatamente cuando se mezcla con el fluido gingival crevicular, el trasudado de la mucosa oral, las secreciones de la mucosa nasal y faríngea, las bacterias no adherentes,   los   productos   bacterianos,   virus,   hongos,   las   células   epiteliales</w:t>
      </w:r>
    </w:p>
    <w:p>
      <w:pPr>
        <w:pStyle w:val="BodyText"/>
        <w:spacing w:line="324" w:lineRule="auto" w:before="3"/>
        <w:ind w:left="196" w:right="288"/>
        <w:jc w:val="both"/>
        <w:rPr>
          <w:sz w:val="16"/>
        </w:rPr>
      </w:pPr>
      <w:r>
        <w:rPr/>
        <w:t>descamadas orales, algunos restos de queratina, los derivados de la sangre y el suero por heridas de la vía oral, y residuos de alimentos o de medicación.</w:t>
      </w:r>
      <w:r>
        <w:rPr>
          <w:position w:val="11"/>
          <w:sz w:val="16"/>
        </w:rPr>
        <w:t>54, 55, 56</w:t>
      </w:r>
    </w:p>
    <w:p>
      <w:pPr>
        <w:pStyle w:val="BodyText"/>
        <w:spacing w:line="362" w:lineRule="auto" w:before="236"/>
        <w:ind w:left="196" w:right="275"/>
        <w:jc w:val="both"/>
      </w:pPr>
      <w:r>
        <w:rPr/>
        <w:t>Las funciones de la saliva incluyen la digestión, la protección, la lubricación, la acción amortiguadora, el mantenimiento en la integridad de los dientes y la percepción del gusto; estas importantes funciones se logran por los diversos componentes químicos</w:t>
      </w:r>
    </w:p>
    <w:p>
      <w:pPr>
        <w:pStyle w:val="BodyText"/>
        <w:spacing w:line="324" w:lineRule="auto"/>
        <w:ind w:left="196" w:right="275"/>
        <w:jc w:val="both"/>
        <w:rPr>
          <w:sz w:val="16"/>
        </w:rPr>
      </w:pPr>
      <w:r>
        <w:rPr/>
        <w:t>de la saliva, incluyendo agua, compuestos inorgánicos (iones),  compuestos orgánicos (no proteínicos y lípidos), proteínas/polipéptidos y hormonas.</w:t>
      </w:r>
      <w:r>
        <w:rPr>
          <w:position w:val="11"/>
          <w:sz w:val="16"/>
        </w:rPr>
        <w:t>55, 56, 57</w:t>
      </w:r>
    </w:p>
    <w:p>
      <w:pPr>
        <w:pStyle w:val="BodyText"/>
        <w:spacing w:line="360" w:lineRule="auto" w:before="236"/>
        <w:ind w:left="196" w:right="275"/>
        <w:jc w:val="both"/>
      </w:pPr>
      <w:r>
        <w:rPr/>
        <w:t>Las proteínas y polipéptidos salivales constituyen una porción significativa de la mezcla salival y, desempeñan un papel importante en la realización de las principales funciones de la saliva. Hasta el momento, más de 2,300 proteínas y péptidos se han encontrado en la saliva humana. Las proteínas más abundantes son </w:t>
      </w:r>
      <w:r>
        <w:rPr>
          <w:rFonts w:ascii="Symbol" w:hAnsi="Symbol"/>
        </w:rPr>
        <w:t></w:t>
      </w:r>
      <w:r>
        <w:rPr/>
        <w:t>-amilasa, albúmina,   cistatinas,  histatinas,  IgA   secretora,  lactoferrina,   mucinas,   lisozimas,</w:t>
      </w:r>
    </w:p>
    <w:p>
      <w:pPr>
        <w:pStyle w:val="BodyText"/>
        <w:spacing w:line="324" w:lineRule="auto" w:before="2"/>
        <w:ind w:left="196" w:right="289"/>
        <w:jc w:val="both"/>
        <w:rPr>
          <w:sz w:val="16"/>
        </w:rPr>
      </w:pPr>
      <w:r>
        <w:rPr/>
        <w:t>proteínas ricas en prolina, estaterina y transferrina; que en conjunto representan más del 98% del total de las proteínas salivales.</w:t>
      </w:r>
      <w:r>
        <w:rPr>
          <w:position w:val="11"/>
          <w:sz w:val="16"/>
        </w:rPr>
        <w:t>55</w:t>
      </w:r>
    </w:p>
    <w:p>
      <w:pPr>
        <w:spacing w:after="0" w:line="324" w:lineRule="auto"/>
        <w:jc w:val="both"/>
        <w:rPr>
          <w:sz w:val="16"/>
        </w:rPr>
        <w:sectPr>
          <w:pgSz w:w="12240" w:h="15840"/>
          <w:pgMar w:header="726" w:footer="1031" w:top="1340" w:bottom="1220" w:left="1220" w:right="1420"/>
        </w:sectPr>
      </w:pPr>
    </w:p>
    <w:p>
      <w:pPr>
        <w:pStyle w:val="BodyText"/>
        <w:spacing w:before="4"/>
        <w:rPr>
          <w:sz w:val="22"/>
        </w:rPr>
      </w:pPr>
    </w:p>
    <w:p>
      <w:pPr>
        <w:pStyle w:val="Heading2"/>
        <w:numPr>
          <w:ilvl w:val="2"/>
          <w:numId w:val="10"/>
        </w:numPr>
        <w:tabs>
          <w:tab w:pos="802" w:val="left" w:leader="none"/>
        </w:tabs>
        <w:spacing w:line="240" w:lineRule="auto" w:before="70" w:after="0"/>
        <w:ind w:left="801" w:right="0" w:hanging="605"/>
        <w:jc w:val="both"/>
      </w:pPr>
      <w:bookmarkStart w:name="_TOC_250047" w:id="19"/>
      <w:r>
        <w:rPr/>
        <w:t>Fluido gingival crevicular</w:t>
      </w:r>
      <w:r>
        <w:rPr>
          <w:spacing w:val="-22"/>
        </w:rPr>
        <w:t> </w:t>
      </w:r>
      <w:bookmarkEnd w:id="19"/>
      <w:r>
        <w:rPr/>
        <w:t>(FGC)</w:t>
      </w:r>
    </w:p>
    <w:p>
      <w:pPr>
        <w:pStyle w:val="BodyText"/>
        <w:spacing w:before="3"/>
        <w:rPr>
          <w:b/>
          <w:sz w:val="30"/>
        </w:rPr>
      </w:pPr>
    </w:p>
    <w:p>
      <w:pPr>
        <w:pStyle w:val="BodyText"/>
        <w:spacing w:line="360" w:lineRule="auto"/>
        <w:ind w:left="196" w:right="274"/>
        <w:jc w:val="both"/>
      </w:pPr>
      <w:r>
        <w:rPr/>
        <w:t>Los componentes del suero pueden alcanzar la boca por el flujo de un líquido parecido al suero a través del epitelio de unión gingival (Figura 10). El flujo de este fluido gingival crevicular (</w:t>
      </w:r>
      <w:r>
        <w:rPr>
          <w:i/>
        </w:rPr>
        <w:t>FGC</w:t>
      </w:r>
      <w:r>
        <w:rPr/>
        <w:t>) es relativamente lento en los sitios sanos pero aumenta en 147% en la gingivitis y hasta más de 30% en las enfermedades periodontales avanzadas, como parte de la respuesta inflamatoria a la acumulación de placa dentobacteriana alrededor del margen gingival. El </w:t>
      </w:r>
      <w:r>
        <w:rPr>
          <w:i/>
        </w:rPr>
        <w:t>FGC </w:t>
      </w:r>
      <w:r>
        <w:rPr/>
        <w:t>puede influenciar la ecología microbiana del sitio en varias maneras. Este fluido removerá las células</w:t>
      </w:r>
    </w:p>
    <w:p>
      <w:pPr>
        <w:pStyle w:val="BodyText"/>
        <w:spacing w:line="324" w:lineRule="auto" w:before="3"/>
        <w:ind w:left="196" w:right="286"/>
        <w:jc w:val="both"/>
        <w:rPr>
          <w:sz w:val="16"/>
        </w:rPr>
      </w:pPr>
      <w:r>
        <w:rPr/>
        <w:t>microbianas no-adheridas, y también introducirá los componentes de las defensas  del huésped, especialmente la IgG y los</w:t>
      </w:r>
      <w:r>
        <w:rPr>
          <w:spacing w:val="-21"/>
        </w:rPr>
        <w:t> </w:t>
      </w:r>
      <w:r>
        <w:rPr/>
        <w:t>neutrófilos.</w:t>
      </w:r>
      <w:r>
        <w:rPr>
          <w:position w:val="11"/>
          <w:sz w:val="16"/>
        </w:rPr>
        <w:t>53</w:t>
      </w:r>
    </w:p>
    <w:p>
      <w:pPr>
        <w:pStyle w:val="BodyText"/>
        <w:spacing w:before="9"/>
        <w:rPr>
          <w:sz w:val="17"/>
        </w:rPr>
      </w:pPr>
      <w:r>
        <w:rPr/>
        <w:drawing>
          <wp:anchor distT="0" distB="0" distL="0" distR="0" allowOverlap="1" layoutInCell="1" locked="0" behindDoc="0" simplePos="0" relativeHeight="1264">
            <wp:simplePos x="0" y="0"/>
            <wp:positionH relativeFrom="page">
              <wp:posOffset>2420620</wp:posOffset>
            </wp:positionH>
            <wp:positionV relativeFrom="paragraph">
              <wp:posOffset>155031</wp:posOffset>
            </wp:positionV>
            <wp:extent cx="2460387" cy="1814417"/>
            <wp:effectExtent l="0" t="0" r="0" b="0"/>
            <wp:wrapTopAndBottom/>
            <wp:docPr id="21" name="image18.png" descr=""/>
            <wp:cNvGraphicFramePr>
              <a:graphicFrameLocks noChangeAspect="1"/>
            </wp:cNvGraphicFramePr>
            <a:graphic>
              <a:graphicData uri="http://schemas.openxmlformats.org/drawingml/2006/picture">
                <pic:pic>
                  <pic:nvPicPr>
                    <pic:cNvPr id="22" name="image18.png"/>
                    <pic:cNvPicPr/>
                  </pic:nvPicPr>
                  <pic:blipFill>
                    <a:blip r:embed="rId33" cstate="print"/>
                    <a:stretch>
                      <a:fillRect/>
                    </a:stretch>
                  </pic:blipFill>
                  <pic:spPr>
                    <a:xfrm>
                      <a:off x="0" y="0"/>
                      <a:ext cx="2460387" cy="1814417"/>
                    </a:xfrm>
                    <a:prstGeom prst="rect">
                      <a:avLst/>
                    </a:prstGeom>
                  </pic:spPr>
                </pic:pic>
              </a:graphicData>
            </a:graphic>
          </wp:anchor>
        </w:drawing>
      </w:r>
    </w:p>
    <w:p>
      <w:pPr>
        <w:spacing w:line="364" w:lineRule="auto" w:before="173"/>
        <w:ind w:left="1061" w:right="538" w:hanging="591"/>
        <w:jc w:val="left"/>
        <w:rPr>
          <w:sz w:val="20"/>
        </w:rPr>
      </w:pPr>
      <w:r>
        <w:rPr>
          <w:b/>
          <w:sz w:val="20"/>
        </w:rPr>
        <w:t>Figura 10. </w:t>
      </w:r>
      <w:r>
        <w:rPr>
          <w:i/>
          <w:sz w:val="20"/>
        </w:rPr>
        <w:t>Localización de la unión dentogingival. </w:t>
      </w:r>
      <w:r>
        <w:rPr>
          <w:sz w:val="20"/>
        </w:rPr>
        <w:t>Fuente: Gómez M, Campos A. Periodoncio de protección: encía y unión dentogingival. Editorial Médica Panamericana. 1999: 268.</w:t>
      </w:r>
    </w:p>
    <w:p>
      <w:pPr>
        <w:pStyle w:val="BodyText"/>
        <w:spacing w:before="8"/>
        <w:rPr>
          <w:sz w:val="29"/>
        </w:rPr>
      </w:pPr>
    </w:p>
    <w:p>
      <w:pPr>
        <w:pStyle w:val="BodyText"/>
        <w:spacing w:line="360" w:lineRule="auto"/>
        <w:ind w:left="196" w:right="277"/>
        <w:jc w:val="both"/>
      </w:pPr>
      <w:r>
        <w:rPr/>
        <w:t>En contraste con la saliva, la IgG es la inmunoglobulina predominante; la IgM y la IgA están también presentes como complemento. El </w:t>
      </w:r>
      <w:r>
        <w:rPr>
          <w:i/>
        </w:rPr>
        <w:t>FGC </w:t>
      </w:r>
      <w:r>
        <w:rPr/>
        <w:t>contiene leucocitos de los cuales un 95% son neutrófilo, el resto son linfocitos y monocitos; los neutrófilos en el </w:t>
      </w:r>
      <w:r>
        <w:rPr>
          <w:i/>
        </w:rPr>
        <w:t>FGC </w:t>
      </w:r>
      <w:r>
        <w:rPr/>
        <w:t>son viables y pueden fagocitar las bacterias dentro del surco. Numerosas enzimas pueden ser detectadas en el </w:t>
      </w:r>
      <w:r>
        <w:rPr>
          <w:i/>
        </w:rPr>
        <w:t>FGC</w:t>
      </w:r>
      <w:r>
        <w:rPr/>
        <w:t>, incluyendo la colagenasa y la elastasa, las cuales se derivan de las células fagocitarias del huésped y de las bacterias subgingivales. Estas enzimas pueden degradar los tejidos del huésped y de este</w:t>
      </w:r>
    </w:p>
    <w:p>
      <w:pPr>
        <w:pStyle w:val="BodyText"/>
        <w:spacing w:line="324" w:lineRule="auto" w:before="2"/>
        <w:ind w:left="196" w:right="290"/>
        <w:jc w:val="both"/>
        <w:rPr>
          <w:sz w:val="16"/>
        </w:rPr>
      </w:pPr>
      <w:r>
        <w:rPr/>
        <w:t>modo, contribuir al proceso destructivo asociado con las enfermedades periodontales.</w:t>
      </w:r>
      <w:r>
        <w:rPr>
          <w:position w:val="11"/>
          <w:sz w:val="16"/>
        </w:rPr>
        <w:t>53</w:t>
      </w:r>
    </w:p>
    <w:p>
      <w:pPr>
        <w:spacing w:after="0" w:line="324" w:lineRule="auto"/>
        <w:jc w:val="both"/>
        <w:rPr>
          <w:sz w:val="16"/>
        </w:rPr>
        <w:sectPr>
          <w:pgSz w:w="12240" w:h="15840"/>
          <w:pgMar w:header="726" w:footer="1031" w:top="1340" w:bottom="1220" w:left="1220" w:right="1420"/>
        </w:sectPr>
      </w:pPr>
    </w:p>
    <w:p>
      <w:pPr>
        <w:pStyle w:val="BodyText"/>
        <w:spacing w:before="9"/>
        <w:rPr>
          <w:sz w:val="22"/>
        </w:rPr>
      </w:pPr>
    </w:p>
    <w:p>
      <w:pPr>
        <w:pStyle w:val="Heading2"/>
        <w:numPr>
          <w:ilvl w:val="2"/>
          <w:numId w:val="10"/>
        </w:numPr>
        <w:tabs>
          <w:tab w:pos="802" w:val="left" w:leader="none"/>
        </w:tabs>
        <w:spacing w:line="240" w:lineRule="auto" w:before="70" w:after="0"/>
        <w:ind w:left="801" w:right="0" w:hanging="605"/>
        <w:jc w:val="both"/>
      </w:pPr>
      <w:r>
        <w:rPr/>
        <w:t>Saliva en el diagnóstico</w:t>
      </w:r>
      <w:r>
        <w:rPr>
          <w:spacing w:val="-19"/>
        </w:rPr>
        <w:t> </w:t>
      </w:r>
      <w:r>
        <w:rPr/>
        <w:t>clínico</w:t>
      </w:r>
    </w:p>
    <w:p>
      <w:pPr>
        <w:pStyle w:val="BodyText"/>
        <w:spacing w:before="11"/>
        <w:rPr>
          <w:b/>
          <w:sz w:val="26"/>
        </w:rPr>
      </w:pPr>
    </w:p>
    <w:p>
      <w:pPr>
        <w:pStyle w:val="BodyText"/>
        <w:spacing w:line="360" w:lineRule="auto"/>
        <w:ind w:left="196" w:right="277"/>
        <w:jc w:val="both"/>
      </w:pPr>
      <w:r>
        <w:rPr/>
        <w:t>El término </w:t>
      </w:r>
      <w:r>
        <w:rPr>
          <w:i/>
        </w:rPr>
        <w:t>biomarcador, </w:t>
      </w:r>
      <w:r>
        <w:rPr/>
        <w:t>se refiere a parámetros biológicos medibles y cuantificables que pueden servir como indicadores para la salud y evaluaciones relacionadas con la fisiología tales como, los procesos patológicos, la exposición ambiental,  el diagnóstico  y el  pronóstico  de la  enfermedad  o respuestas  farmacológicas  a</w:t>
      </w:r>
      <w:r>
        <w:rPr>
          <w:spacing w:val="65"/>
        </w:rPr>
        <w:t> </w:t>
      </w:r>
      <w:r>
        <w:rPr/>
        <w:t>una</w:t>
      </w:r>
    </w:p>
    <w:p>
      <w:pPr>
        <w:pStyle w:val="BodyText"/>
        <w:spacing w:line="324" w:lineRule="auto" w:before="3"/>
        <w:ind w:left="196" w:right="278"/>
        <w:jc w:val="both"/>
        <w:rPr>
          <w:sz w:val="16"/>
        </w:rPr>
      </w:pPr>
      <w:r>
        <w:rPr/>
        <w:t>intervención terapéutica. La saliva es un fluido biológico complejo y dinámico que contiene una amplia gama de compuestos.</w:t>
      </w:r>
      <w:r>
        <w:rPr>
          <w:position w:val="11"/>
          <w:sz w:val="16"/>
        </w:rPr>
        <w:t>58</w:t>
      </w:r>
    </w:p>
    <w:p>
      <w:pPr>
        <w:pStyle w:val="BodyText"/>
        <w:spacing w:line="360" w:lineRule="auto" w:before="202"/>
        <w:ind w:left="196" w:right="276"/>
        <w:jc w:val="both"/>
      </w:pPr>
      <w:r>
        <w:rPr/>
        <w:t>Además, la saliva es un buen indicador de los niveles plasmáticos de diversas sustancias tales como hormonas y drogas, por lo que puede utilizarse como método no invasivo para monitorizar las concentraciones plasmáticas de medicamentos u otras sustancias; así como para el desarrollo de diagnósticos moleculares, ya que no sólo  contiene  componentes  encontrados  en  el  suero,  sino  también  ofrece varias</w:t>
      </w:r>
    </w:p>
    <w:p>
      <w:pPr>
        <w:pStyle w:val="BodyText"/>
        <w:spacing w:line="328" w:lineRule="auto" w:before="3"/>
        <w:ind w:left="196" w:right="276"/>
        <w:jc w:val="both"/>
        <w:rPr>
          <w:sz w:val="16"/>
        </w:rPr>
      </w:pPr>
      <w:r>
        <w:rPr/>
        <w:t>ventajas sobre éste. La recolección de saliva es rentable, segura, fácil y no invasiva.</w:t>
      </w:r>
      <w:r>
        <w:rPr>
          <w:position w:val="11"/>
          <w:sz w:val="16"/>
        </w:rPr>
        <w:t>54, 59, 60</w:t>
      </w:r>
    </w:p>
    <w:p>
      <w:pPr>
        <w:pStyle w:val="BodyText"/>
        <w:spacing w:line="348" w:lineRule="auto" w:before="196"/>
        <w:ind w:left="196" w:right="277"/>
        <w:jc w:val="both"/>
        <w:rPr>
          <w:sz w:val="16"/>
        </w:rPr>
      </w:pPr>
      <w:r>
        <w:rPr/>
        <w:t>Se han producido avances significativos en las técnicas para la detección de señales de biomarcadores en la cavidad oral para el diagnóstico de condiciones locales y sistémicas, entre ellas, las pruebas ELISA para proteínas y la reacción en cadena de la polimerasa (PCR) para el RNA y el DNA.</w:t>
      </w:r>
      <w:r>
        <w:rPr>
          <w:position w:val="11"/>
          <w:sz w:val="16"/>
        </w:rPr>
        <w:t>61</w:t>
      </w:r>
    </w:p>
    <w:p>
      <w:pPr>
        <w:pStyle w:val="BodyText"/>
        <w:spacing w:line="360" w:lineRule="auto" w:before="206"/>
        <w:ind w:left="196" w:right="281"/>
        <w:jc w:val="both"/>
      </w:pPr>
      <w:r>
        <w:rPr/>
        <w:t>La secuencia de aminoácidos de las proteínas proporciona un enlace entre las proteínas y sus genes que codifican a través del código genético, y principalmente, proporcionan una relación entre la fisiología celular y la genética. El RNA   mensajero</w:t>
      </w:r>
    </w:p>
    <w:p>
      <w:pPr>
        <w:pStyle w:val="BodyText"/>
        <w:spacing w:line="328" w:lineRule="auto" w:before="2"/>
        <w:ind w:left="196" w:right="275"/>
        <w:jc w:val="both"/>
        <w:rPr>
          <w:sz w:val="16"/>
        </w:rPr>
      </w:pPr>
      <w:r>
        <w:rPr>
          <w:spacing w:val="-3"/>
        </w:rPr>
        <w:t>(m) </w:t>
      </w:r>
      <w:r>
        <w:rPr/>
        <w:t>es el precursor directo de las proteínas </w:t>
      </w:r>
      <w:r>
        <w:rPr>
          <w:spacing w:val="4"/>
        </w:rPr>
        <w:t>y, </w:t>
      </w:r>
      <w:r>
        <w:rPr/>
        <w:t>en general, los niveles correspondientes están correlacionados en las células y muestras de</w:t>
      </w:r>
      <w:r>
        <w:rPr>
          <w:spacing w:val="-24"/>
        </w:rPr>
        <w:t> </w:t>
      </w:r>
      <w:r>
        <w:rPr/>
        <w:t>tejidos.</w:t>
      </w:r>
      <w:r>
        <w:rPr>
          <w:position w:val="11"/>
          <w:sz w:val="16"/>
        </w:rPr>
        <w:t>59</w:t>
      </w:r>
    </w:p>
    <w:p>
      <w:pPr>
        <w:pStyle w:val="BodyText"/>
        <w:spacing w:before="3"/>
        <w:rPr>
          <w:sz w:val="26"/>
        </w:rPr>
      </w:pPr>
    </w:p>
    <w:p>
      <w:pPr>
        <w:pStyle w:val="BodyText"/>
        <w:spacing w:line="350" w:lineRule="auto"/>
        <w:ind w:left="196" w:right="273"/>
        <w:jc w:val="both"/>
        <w:rPr>
          <w:sz w:val="16"/>
        </w:rPr>
      </w:pPr>
      <w:r>
        <w:rPr/>
        <w:t>Los biomarcadores salivales de mRNA se han utilizado para ciertas enfermedades, incluyendo carcinoma oral de células escamosas, síndrome de Sjögren primario, cáncer de páncreas y cáncer de ovario, demostrando ser sensibles, específicos y precisos.</w:t>
      </w:r>
      <w:r>
        <w:rPr>
          <w:position w:val="11"/>
          <w:sz w:val="16"/>
        </w:rPr>
        <w:t>57</w:t>
      </w:r>
    </w:p>
    <w:p>
      <w:pPr>
        <w:spacing w:after="0" w:line="350" w:lineRule="auto"/>
        <w:jc w:val="both"/>
        <w:rPr>
          <w:sz w:val="16"/>
        </w:rPr>
        <w:sectPr>
          <w:pgSz w:w="12240" w:h="15840"/>
          <w:pgMar w:header="726" w:footer="1031" w:top="1340" w:bottom="1220" w:left="1220" w:right="1420"/>
        </w:sectPr>
      </w:pPr>
    </w:p>
    <w:p>
      <w:pPr>
        <w:pStyle w:val="BodyText"/>
        <w:spacing w:before="3"/>
        <w:rPr>
          <w:sz w:val="23"/>
        </w:rPr>
      </w:pPr>
    </w:p>
    <w:p>
      <w:pPr>
        <w:pStyle w:val="BodyText"/>
        <w:spacing w:line="345" w:lineRule="auto" w:before="69"/>
        <w:ind w:left="196" w:right="274"/>
        <w:jc w:val="both"/>
        <w:rPr>
          <w:sz w:val="16"/>
        </w:rPr>
      </w:pPr>
      <w:r>
        <w:rPr/>
        <w:t>Mediante el análisis de expresión génica basada en microarrays, transcripción inversa y PCR en tiempo real, se demostró que la saliva libre de células de individuos sanos contiene </w:t>
      </w:r>
      <w:r>
        <w:rPr>
          <w:spacing w:val="-3"/>
        </w:rPr>
        <w:t>más </w:t>
      </w:r>
      <w:r>
        <w:rPr/>
        <w:t>de 3,000 especies de</w:t>
      </w:r>
      <w:r>
        <w:rPr>
          <w:spacing w:val="-5"/>
        </w:rPr>
        <w:t> </w:t>
      </w:r>
      <w:r>
        <w:rPr/>
        <w:t>mRNA.</w:t>
      </w:r>
      <w:r>
        <w:rPr>
          <w:position w:val="11"/>
          <w:sz w:val="16"/>
        </w:rPr>
        <w:t>62</w:t>
      </w:r>
    </w:p>
    <w:p>
      <w:pPr>
        <w:pStyle w:val="BodyText"/>
        <w:spacing w:before="10"/>
        <w:rPr>
          <w:sz w:val="26"/>
        </w:rPr>
      </w:pPr>
    </w:p>
    <w:p>
      <w:pPr>
        <w:pStyle w:val="BodyText"/>
        <w:spacing w:line="360" w:lineRule="auto"/>
        <w:ind w:left="196" w:right="276"/>
        <w:jc w:val="both"/>
      </w:pPr>
      <w:r>
        <w:rPr/>
        <w:t>Elashoff y colaboradores, en el 2013, validaron siete RNAs y tres proteínas reportadas anteriormente como biomarcadores para discriminar pacientes con carcinomas orales de células escamosas </w:t>
      </w:r>
      <w:r>
        <w:rPr>
          <w:spacing w:val="2"/>
        </w:rPr>
        <w:t>de </w:t>
      </w:r>
      <w:r>
        <w:rPr/>
        <w:t>sujetos sanos; a partir una muestra salival se extrajo el RNA y se obtuvieron curvas de calibración, los biomarcadores</w:t>
      </w:r>
      <w:r>
        <w:rPr>
          <w:spacing w:val="50"/>
        </w:rPr>
        <w:t> </w:t>
      </w:r>
      <w:r>
        <w:rPr/>
        <w:t>se</w:t>
      </w:r>
    </w:p>
    <w:p>
      <w:pPr>
        <w:pStyle w:val="BodyText"/>
        <w:spacing w:line="328" w:lineRule="auto" w:before="2"/>
        <w:ind w:left="196" w:right="288"/>
        <w:jc w:val="both"/>
        <w:rPr>
          <w:sz w:val="16"/>
        </w:rPr>
      </w:pPr>
      <w:r>
        <w:rPr/>
        <w:t>validaron mediante PCR en tiempo real, y se demostró la viabilidad en la discriminación de cáncer oral de los sujetos sanos.</w:t>
      </w:r>
      <w:r>
        <w:rPr>
          <w:position w:val="11"/>
          <w:sz w:val="16"/>
        </w:rPr>
        <w:t>63</w:t>
      </w:r>
    </w:p>
    <w:p>
      <w:pPr>
        <w:pStyle w:val="BodyText"/>
        <w:spacing w:line="360" w:lineRule="auto" w:before="182"/>
        <w:ind w:left="196" w:right="273"/>
        <w:jc w:val="both"/>
      </w:pPr>
      <w:r>
        <w:rPr/>
        <w:t>Zhang y colaboradores, en el 2011, evaluaron biomarcadores salivales para la detección de cáncer de páncreas en pacientes diagnosticados y un grupo control sano; se extrajo el RNA de la saliva y se aplicó una    matriz Affymetrix HG U133 Plus</w:t>
      </w:r>
    </w:p>
    <w:p>
      <w:pPr>
        <w:pStyle w:val="BodyText"/>
        <w:spacing w:line="324" w:lineRule="auto" w:before="7"/>
        <w:ind w:left="196" w:right="283"/>
        <w:jc w:val="both"/>
        <w:rPr>
          <w:sz w:val="16"/>
        </w:rPr>
      </w:pPr>
      <w:r>
        <w:rPr/>
        <w:t>para perfilar transcriptomas; y mediante PCR en tiempo real se realizó la validación, logrando descubrir y validar doce biomarcadores de mRNA.</w:t>
      </w:r>
      <w:r>
        <w:rPr>
          <w:position w:val="11"/>
          <w:sz w:val="16"/>
        </w:rPr>
        <w:t>64</w:t>
      </w:r>
    </w:p>
    <w:p>
      <w:pPr>
        <w:pStyle w:val="BodyText"/>
        <w:spacing w:line="360" w:lineRule="auto" w:before="236"/>
        <w:ind w:left="196" w:right="279"/>
        <w:jc w:val="both"/>
      </w:pPr>
      <w:r>
        <w:rPr/>
        <w:t>El proteoma de saliva humana puede ser considerado esencialmente completado; más de 2,000 proteínas y péptidos diferentes se han identificado en la saliva y las secreciones glandulares salivales. Sin embargo, los biomarcadores identificados hasta ahora en su mayoría no pertenecen a los componentes intrínsecos de la saliva, sino más bien son marcadores inflamatorios de pequeño peso molecular derivados</w:t>
      </w:r>
    </w:p>
    <w:p>
      <w:pPr>
        <w:pStyle w:val="BodyText"/>
        <w:spacing w:line="324" w:lineRule="auto" w:before="2"/>
        <w:ind w:left="196" w:right="288"/>
        <w:jc w:val="both"/>
        <w:rPr>
          <w:sz w:val="16"/>
        </w:rPr>
      </w:pPr>
      <w:r>
        <w:rPr/>
        <w:t>de suero que se mueven en la saliva por medio de la difusión de los tejidos circundantes de la cavidad oral, sobre todo del líquido crevicular gingival.</w:t>
      </w:r>
      <w:r>
        <w:rPr>
          <w:position w:val="11"/>
          <w:sz w:val="16"/>
        </w:rPr>
        <w:t>65</w:t>
      </w:r>
    </w:p>
    <w:p>
      <w:pPr>
        <w:pStyle w:val="BodyText"/>
        <w:spacing w:line="360" w:lineRule="auto" w:before="236"/>
        <w:ind w:left="196" w:right="277"/>
        <w:jc w:val="both"/>
      </w:pPr>
      <w:r>
        <w:rPr/>
        <w:t>En el campo de la periodoncia se ha detectado un panel de biomarcadores salivales capaces de predecir la enfermedad, incluyendo la matriz metaloproteinasa-8   (MMP-</w:t>
      </w:r>
    </w:p>
    <w:p>
      <w:pPr>
        <w:pStyle w:val="BodyText"/>
        <w:spacing w:line="324" w:lineRule="auto" w:before="7"/>
        <w:ind w:left="196" w:right="279"/>
        <w:jc w:val="both"/>
        <w:rPr>
          <w:sz w:val="16"/>
        </w:rPr>
      </w:pPr>
      <w:r>
        <w:rPr/>
        <w:t>8), algunos factores microbianos y las citoquinas pro-inflamatorias, tales como IL-1 beta.</w:t>
      </w:r>
      <w:r>
        <w:rPr>
          <w:position w:val="11"/>
          <w:sz w:val="16"/>
        </w:rPr>
        <w:t>61</w:t>
      </w:r>
    </w:p>
    <w:p>
      <w:pPr>
        <w:pStyle w:val="BodyText"/>
        <w:spacing w:line="360" w:lineRule="auto" w:before="237"/>
        <w:ind w:left="196" w:right="278"/>
        <w:jc w:val="both"/>
      </w:pPr>
      <w:r>
        <w:rPr/>
        <w:t>Ito y colaboradores, en el 2008, realizaron un estudio sobre la relación entre los niveles de proteína antimicrobiana en saliva total y la periodontitis. Los autores compararon las cantidades de cistatinas y lisozima en la saliva de los sujetos sanos y</w:t>
      </w:r>
    </w:p>
    <w:p>
      <w:pPr>
        <w:spacing w:after="0" w:line="360" w:lineRule="auto"/>
        <w:jc w:val="both"/>
        <w:sectPr>
          <w:footerReference w:type="default" r:id="rId34"/>
          <w:pgSz w:w="12240" w:h="15840"/>
          <w:pgMar w:footer="1031" w:header="726" w:top="1340" w:bottom="1220" w:left="1220" w:right="1420"/>
          <w:pgNumType w:start="40"/>
        </w:sectPr>
      </w:pPr>
    </w:p>
    <w:p>
      <w:pPr>
        <w:pStyle w:val="BodyText"/>
        <w:spacing w:before="3"/>
        <w:rPr>
          <w:sz w:val="23"/>
        </w:rPr>
      </w:pPr>
    </w:p>
    <w:p>
      <w:pPr>
        <w:pStyle w:val="BodyText"/>
        <w:spacing w:line="364" w:lineRule="auto" w:before="69"/>
        <w:ind w:left="196" w:right="276"/>
        <w:jc w:val="both"/>
      </w:pPr>
      <w:r>
        <w:rPr/>
        <w:t>pacientes con periodontitis. Los niveles de cistatina y lisozima en la saliva de las personas con enfermedad periodontal eran más    bajos que en el grupo sano, lo que</w:t>
      </w:r>
    </w:p>
    <w:p>
      <w:pPr>
        <w:pStyle w:val="BodyText"/>
        <w:spacing w:line="324" w:lineRule="auto"/>
        <w:ind w:left="196" w:right="276"/>
        <w:jc w:val="both"/>
        <w:rPr>
          <w:sz w:val="16"/>
        </w:rPr>
      </w:pPr>
      <w:r>
        <w:rPr/>
        <w:t>indica que podrían ser marcadores potenciales de un aumento del riesgo para la periodontitis.</w:t>
      </w:r>
      <w:r>
        <w:rPr>
          <w:position w:val="11"/>
          <w:sz w:val="16"/>
        </w:rPr>
        <w:t>66</w:t>
      </w:r>
    </w:p>
    <w:p>
      <w:pPr>
        <w:pStyle w:val="BodyText"/>
        <w:spacing w:line="360" w:lineRule="auto" w:before="236"/>
        <w:ind w:left="196" w:right="283"/>
        <w:jc w:val="both"/>
      </w:pPr>
      <w:r>
        <w:rPr/>
        <w:t>Rudney y colaboradores, en el 2009, estudiaron el proteoma salival en busca de biomarcadores útiles como indicadores del riesgo de caries. Aplicaron isoelectroenfoque preparativo a muestras salivales, y los perfiles característicos de proteínas   se   compararon   por   SDS-PAGE   y   espectrometría   de   masas.    Se</w:t>
      </w:r>
    </w:p>
    <w:p>
      <w:pPr>
        <w:pStyle w:val="BodyText"/>
        <w:spacing w:line="328" w:lineRule="auto" w:before="3"/>
        <w:ind w:left="196" w:right="292"/>
        <w:jc w:val="both"/>
        <w:rPr>
          <w:sz w:val="16"/>
        </w:rPr>
      </w:pPr>
      <w:r>
        <w:rPr/>
        <w:t>identificaron estaterina y cistatina S como posibles indicadores de riesgo para el desarrollo de caries.</w:t>
      </w:r>
      <w:r>
        <w:rPr>
          <w:position w:val="11"/>
          <w:sz w:val="16"/>
        </w:rPr>
        <w:t>67</w:t>
      </w:r>
    </w:p>
    <w:p>
      <w:pPr>
        <w:pStyle w:val="BodyText"/>
        <w:spacing w:before="3"/>
        <w:rPr>
          <w:sz w:val="26"/>
        </w:rPr>
      </w:pPr>
    </w:p>
    <w:p>
      <w:pPr>
        <w:pStyle w:val="BodyText"/>
        <w:spacing w:line="352" w:lineRule="auto"/>
        <w:ind w:left="196" w:right="280"/>
        <w:jc w:val="both"/>
        <w:rPr>
          <w:sz w:val="16"/>
        </w:rPr>
      </w:pPr>
      <w:r>
        <w:rPr/>
        <w:t>Por otra parte, el avance ha sido insuficiente respecto a la identificación de marcadores de proteínas salivales que podrían ayudar a predecir la predisposición o un aumento del riesgo de ciertos individuos ante las dos principales enfermedades orales; caries dental y la enfermedad periodontal.</w:t>
      </w:r>
      <w:r>
        <w:rPr>
          <w:position w:val="11"/>
          <w:sz w:val="16"/>
        </w:rPr>
        <w:t>65</w:t>
      </w:r>
    </w:p>
    <w:p>
      <w:pPr>
        <w:pStyle w:val="BodyText"/>
        <w:spacing w:before="2"/>
        <w:rPr>
          <w:sz w:val="23"/>
        </w:rPr>
      </w:pPr>
    </w:p>
    <w:p>
      <w:pPr>
        <w:pStyle w:val="Heading2"/>
        <w:spacing w:before="0"/>
      </w:pPr>
      <w:bookmarkStart w:name="_TOC_250046" w:id="20"/>
      <w:bookmarkEnd w:id="20"/>
      <w:r>
        <w:rPr/>
        <w:t>4.2 DNA -&gt; RNA-&gt; Proteína</w:t>
      </w:r>
    </w:p>
    <w:p>
      <w:pPr>
        <w:pStyle w:val="BodyText"/>
        <w:rPr>
          <w:b/>
        </w:rPr>
      </w:pPr>
    </w:p>
    <w:p>
      <w:pPr>
        <w:pStyle w:val="BodyText"/>
        <w:spacing w:line="348" w:lineRule="auto" w:before="149"/>
        <w:ind w:left="196" w:right="274"/>
        <w:jc w:val="both"/>
        <w:rPr>
          <w:sz w:val="16"/>
        </w:rPr>
      </w:pPr>
      <w:r>
        <w:rPr/>
        <w:t>La información genética está contenida en el DNA de los cromosomas dentro del núcleo celular, pero la síntesis de proteínas, la cual utiliza la información codificada en el DNA, ocurre en el citoplasma. La relación molecular entre el código de DNA de los genes y el código de aminoácidos de las proteínas, está en el</w:t>
      </w:r>
      <w:r>
        <w:rPr>
          <w:spacing w:val="-26"/>
        </w:rPr>
        <w:t> </w:t>
      </w:r>
      <w:r>
        <w:rPr/>
        <w:t>RNA.</w:t>
      </w:r>
      <w:r>
        <w:rPr>
          <w:position w:val="11"/>
          <w:sz w:val="16"/>
        </w:rPr>
        <w:t>68</w:t>
      </w:r>
    </w:p>
    <w:p>
      <w:pPr>
        <w:pStyle w:val="BodyText"/>
        <w:spacing w:before="6"/>
      </w:pPr>
    </w:p>
    <w:p>
      <w:pPr>
        <w:pStyle w:val="BodyText"/>
        <w:spacing w:line="360" w:lineRule="auto"/>
        <w:ind w:left="196" w:right="276"/>
        <w:jc w:val="both"/>
      </w:pPr>
      <w:r>
        <w:rPr/>
        <w:t>La información genética se almacena en el DNA por medio de un código, en el que la secuencia de bases adyacentes determina la secuencia de aminoácidos en el polipéptido codificado. Primero, el RNA se sintetiza del DNA modelo mediante la transcripción. El RNA que contiene la información en forma de RNA mensajero (mRNA) es transportado del núcleo al citoplasma, donde la secuencia de RNA es decodificada o traducida para determinar la secuencia de aminoácidos en la proteína que está siendo sintetizada; este proceso ocurre en los ribosomas, presentando el RNA ribosómico  (rRNA). La  traducción involucra  también  al  RNA de  transferencia</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33" w:lineRule="auto" w:before="69"/>
        <w:ind w:left="196" w:right="293"/>
        <w:jc w:val="both"/>
        <w:rPr>
          <w:sz w:val="16"/>
        </w:rPr>
      </w:pPr>
      <w:r>
        <w:rPr/>
        <w:t>(tRNA) que proporciona la unión molecular entre la secuencia codificada básica del mRNA y la secuencia de aminoácidos de la proteína.</w:t>
      </w:r>
      <w:r>
        <w:rPr>
          <w:position w:val="11"/>
          <w:sz w:val="16"/>
        </w:rPr>
        <w:t>68</w:t>
      </w:r>
    </w:p>
    <w:p>
      <w:pPr>
        <w:pStyle w:val="BodyText"/>
        <w:spacing w:before="8"/>
        <w:rPr>
          <w:sz w:val="16"/>
        </w:rPr>
      </w:pPr>
      <w:r>
        <w:rPr/>
        <w:drawing>
          <wp:anchor distT="0" distB="0" distL="0" distR="0" allowOverlap="1" layoutInCell="1" locked="0" behindDoc="0" simplePos="0" relativeHeight="1288">
            <wp:simplePos x="0" y="0"/>
            <wp:positionH relativeFrom="page">
              <wp:posOffset>1951354</wp:posOffset>
            </wp:positionH>
            <wp:positionV relativeFrom="paragraph">
              <wp:posOffset>146886</wp:posOffset>
            </wp:positionV>
            <wp:extent cx="3717097" cy="2336006"/>
            <wp:effectExtent l="0" t="0" r="0" b="0"/>
            <wp:wrapTopAndBottom/>
            <wp:docPr id="23" name="image19.jpeg" descr=""/>
            <wp:cNvGraphicFramePr>
              <a:graphicFrameLocks noChangeAspect="1"/>
            </wp:cNvGraphicFramePr>
            <a:graphic>
              <a:graphicData uri="http://schemas.openxmlformats.org/drawingml/2006/picture">
                <pic:pic>
                  <pic:nvPicPr>
                    <pic:cNvPr id="24" name="image19.jpeg"/>
                    <pic:cNvPicPr/>
                  </pic:nvPicPr>
                  <pic:blipFill>
                    <a:blip r:embed="rId35" cstate="print"/>
                    <a:stretch>
                      <a:fillRect/>
                    </a:stretch>
                  </pic:blipFill>
                  <pic:spPr>
                    <a:xfrm>
                      <a:off x="0" y="0"/>
                      <a:ext cx="3717097" cy="2336006"/>
                    </a:xfrm>
                    <a:prstGeom prst="rect">
                      <a:avLst/>
                    </a:prstGeom>
                  </pic:spPr>
                </pic:pic>
              </a:graphicData>
            </a:graphic>
          </wp:anchor>
        </w:drawing>
      </w:r>
    </w:p>
    <w:p>
      <w:pPr>
        <w:spacing w:before="236"/>
        <w:ind w:left="2611" w:right="0" w:firstLine="0"/>
        <w:jc w:val="left"/>
        <w:rPr>
          <w:sz w:val="20"/>
        </w:rPr>
      </w:pPr>
      <w:r>
        <w:rPr>
          <w:b/>
          <w:sz w:val="20"/>
        </w:rPr>
        <w:t>Figura 11. </w:t>
      </w:r>
      <w:r>
        <w:rPr>
          <w:i/>
          <w:sz w:val="20"/>
        </w:rPr>
        <w:t>Trascripción de DNA. </w:t>
      </w:r>
      <w:r>
        <w:rPr>
          <w:sz w:val="20"/>
        </w:rPr>
        <w:t>Fuente directa.</w:t>
      </w:r>
    </w:p>
    <w:p>
      <w:pPr>
        <w:pStyle w:val="BodyText"/>
        <w:rPr>
          <w:sz w:val="20"/>
        </w:rPr>
      </w:pPr>
    </w:p>
    <w:p>
      <w:pPr>
        <w:pStyle w:val="BodyText"/>
        <w:spacing w:before="8"/>
        <w:rPr>
          <w:sz w:val="19"/>
        </w:rPr>
      </w:pPr>
    </w:p>
    <w:p>
      <w:pPr>
        <w:pStyle w:val="Heading2"/>
        <w:spacing w:before="1"/>
      </w:pPr>
      <w:bookmarkStart w:name="_TOC_250045" w:id="21"/>
      <w:bookmarkEnd w:id="21"/>
      <w:r>
        <w:rPr/>
        <w:t>4.2.1 Bibliotecas de DNA complementario (cDNA)</w:t>
      </w:r>
    </w:p>
    <w:p>
      <w:pPr>
        <w:pStyle w:val="BodyText"/>
        <w:spacing w:before="3"/>
        <w:rPr>
          <w:b/>
          <w:sz w:val="30"/>
        </w:rPr>
      </w:pPr>
    </w:p>
    <w:p>
      <w:pPr>
        <w:pStyle w:val="BodyText"/>
        <w:spacing w:line="360" w:lineRule="auto"/>
        <w:ind w:left="196" w:right="271"/>
        <w:jc w:val="both"/>
      </w:pPr>
      <w:r>
        <w:rPr/>
        <w:t>El propósito de aislar un gen particular u otra secuencia de DNA en grandes cantidades es para su posterior estudio, para lograrlo se construye una biblioteca de cDNA, que contienen copias del DNA complementario de la población de mRNA presente en un tejido específico. Su ventaja sobre las bibliotecas genómicas es que, el uso de una fuente particular de mRNA con frecuencia enriquece de modo sustancial las secuencias derivadas de un determinado gen que se expresa selectivamente en dicho tejido. Un método para lograr la clonación del cDNA se basa en la enzima trasncriptasa inversa, una DNA polimerasa dependiente de RNA que puede sintetizar una cadena de cDNA a partir de una matriz de RNA; requiere de un cebador para comenzar la síntesis de DNA, generalmente se emplea una secuencia de residuo de politimina (oligo-dT); este homopolímero se enlaza a la cola de poli-A en  el  extremo  3´  de  las  moléculas  de  mRNA  e  inicia  la  síntesis  de  una  copia</w:t>
      </w:r>
    </w:p>
    <w:p>
      <w:pPr>
        <w:pStyle w:val="BodyText"/>
        <w:spacing w:line="324" w:lineRule="auto" w:before="3"/>
        <w:ind w:left="196" w:right="284"/>
        <w:jc w:val="both"/>
        <w:rPr>
          <w:sz w:val="16"/>
        </w:rPr>
      </w:pPr>
      <w:r>
        <w:rPr/>
        <w:t>complementaria, el cDNA de una sola cadena se convierte entonces en una molécula de doble cadena.</w:t>
      </w:r>
      <w:r>
        <w:rPr>
          <w:position w:val="11"/>
          <w:sz w:val="16"/>
        </w:rPr>
        <w:t>68</w:t>
      </w:r>
    </w:p>
    <w:p>
      <w:pPr>
        <w:spacing w:after="0" w:line="324" w:lineRule="auto"/>
        <w:jc w:val="both"/>
        <w:rPr>
          <w:sz w:val="16"/>
        </w:rPr>
        <w:sectPr>
          <w:pgSz w:w="12240" w:h="15840"/>
          <w:pgMar w:header="726" w:footer="1031" w:top="1340" w:bottom="1220" w:left="1220" w:right="1420"/>
        </w:sectPr>
      </w:pPr>
    </w:p>
    <w:p>
      <w:pPr>
        <w:pStyle w:val="BodyText"/>
        <w:spacing w:before="4"/>
        <w:rPr>
          <w:sz w:val="22"/>
        </w:rPr>
      </w:pPr>
    </w:p>
    <w:p>
      <w:pPr>
        <w:pStyle w:val="Heading2"/>
        <w:numPr>
          <w:ilvl w:val="1"/>
          <w:numId w:val="11"/>
        </w:numPr>
        <w:tabs>
          <w:tab w:pos="599" w:val="left" w:leader="none"/>
        </w:tabs>
        <w:spacing w:line="240" w:lineRule="auto" w:before="70" w:after="0"/>
        <w:ind w:left="598" w:right="0" w:hanging="402"/>
        <w:jc w:val="both"/>
      </w:pPr>
      <w:bookmarkStart w:name="_TOC_250044" w:id="22"/>
      <w:r>
        <w:rPr/>
        <w:t>Reacción en Cadena de la Polimerasa</w:t>
      </w:r>
      <w:r>
        <w:rPr>
          <w:spacing w:val="-32"/>
        </w:rPr>
        <w:t> </w:t>
      </w:r>
      <w:bookmarkEnd w:id="22"/>
      <w:r>
        <w:rPr/>
        <w:t>(PCR)</w:t>
      </w:r>
    </w:p>
    <w:p>
      <w:pPr>
        <w:pStyle w:val="BodyText"/>
        <w:spacing w:before="5"/>
        <w:rPr>
          <w:b/>
          <w:sz w:val="29"/>
        </w:rPr>
      </w:pPr>
    </w:p>
    <w:p>
      <w:pPr>
        <w:pStyle w:val="Heading2"/>
        <w:numPr>
          <w:ilvl w:val="2"/>
          <w:numId w:val="11"/>
        </w:numPr>
        <w:tabs>
          <w:tab w:pos="801" w:val="left" w:leader="none"/>
        </w:tabs>
        <w:spacing w:line="240" w:lineRule="auto" w:before="0" w:after="0"/>
        <w:ind w:left="800" w:right="0" w:hanging="604"/>
        <w:jc w:val="both"/>
      </w:pPr>
      <w:bookmarkStart w:name="_TOC_250043" w:id="23"/>
      <w:r>
        <w:rPr/>
        <w:t>Generalidades de la</w:t>
      </w:r>
      <w:r>
        <w:rPr>
          <w:spacing w:val="-18"/>
        </w:rPr>
        <w:t> </w:t>
      </w:r>
      <w:bookmarkEnd w:id="23"/>
      <w:r>
        <w:rPr/>
        <w:t>PCR</w:t>
      </w:r>
    </w:p>
    <w:p>
      <w:pPr>
        <w:pStyle w:val="BodyText"/>
        <w:spacing w:before="3"/>
        <w:rPr>
          <w:b/>
          <w:sz w:val="30"/>
        </w:rPr>
      </w:pPr>
    </w:p>
    <w:p>
      <w:pPr>
        <w:pStyle w:val="BodyText"/>
        <w:spacing w:line="360" w:lineRule="auto"/>
        <w:ind w:left="196" w:right="275"/>
        <w:jc w:val="both"/>
      </w:pPr>
      <w:r>
        <w:rPr/>
        <w:t>La reacción en cadena de la polimerasa (PCR) fue desarrollada por Kary B. Mullis en 1983. La PCR se basa en la amplificación exponencial de una secuencia específica de DNA, utilizada como molde para generar millones de copias. Esta amplificación continua se lleva a cabo por la acción de la Taq polimerasa, una enzima capaz de encadenar nucleótidos para </w:t>
      </w:r>
      <w:r>
        <w:rPr>
          <w:spacing w:val="-2"/>
        </w:rPr>
        <w:t>formar </w:t>
      </w:r>
      <w:r>
        <w:rPr/>
        <w:t>largas cadenas moleculares. Además se necesitan iniciadores o cebadores, que son pequeños segmentos de nucleotidos con una secuencia específica, y sirven como punto de extensión para la Taq </w:t>
      </w:r>
      <w:r>
        <w:rPr>
          <w:spacing w:val="35"/>
        </w:rPr>
        <w:t> </w:t>
      </w:r>
      <w:r>
        <w:rPr/>
        <w:t>polimerasa.</w:t>
      </w:r>
    </w:p>
    <w:p>
      <w:pPr>
        <w:pStyle w:val="BodyText"/>
        <w:spacing w:line="324" w:lineRule="auto" w:before="2"/>
        <w:ind w:left="196" w:right="275"/>
        <w:jc w:val="both"/>
        <w:rPr>
          <w:sz w:val="16"/>
        </w:rPr>
      </w:pPr>
      <w:r>
        <w:rPr/>
        <w:t>La reacción transcurre a través de tres pasos repetidos cíclicamente, que son: desnaturalización, hibridación y extensión.</w:t>
      </w:r>
      <w:r>
        <w:rPr>
          <w:position w:val="11"/>
          <w:sz w:val="16"/>
        </w:rPr>
        <w:t>69, 70, 71</w:t>
      </w:r>
    </w:p>
    <w:p>
      <w:pPr>
        <w:pStyle w:val="BodyText"/>
        <w:spacing w:line="360" w:lineRule="auto" w:before="236"/>
        <w:ind w:left="196" w:right="274"/>
        <w:jc w:val="both"/>
      </w:pPr>
      <w:r>
        <w:rPr/>
        <w:t>La PCR cuantitativa o en tiempo real (qPCR) se considera como el método </w:t>
      </w:r>
      <w:r>
        <w:rPr>
          <w:spacing w:val="-3"/>
        </w:rPr>
        <w:t>más</w:t>
      </w:r>
      <w:r>
        <w:rPr>
          <w:spacing w:val="60"/>
        </w:rPr>
        <w:t> </w:t>
      </w:r>
      <w:r>
        <w:rPr/>
        <w:t>fiable y exacto, siendo una modificación de la PCR convencional. Para estos  estudios, el análisis cuantitativo de la expresión génica es precedido por una fase de la transcriptasa inversa de la  PCR (RT-abreviado de transcripción inversa),  que   </w:t>
      </w:r>
      <w:r>
        <w:rPr>
          <w:spacing w:val="6"/>
        </w:rPr>
        <w:t> </w:t>
      </w:r>
      <w:r>
        <w:rPr/>
        <w:t>es</w:t>
      </w:r>
    </w:p>
    <w:p>
      <w:pPr>
        <w:pStyle w:val="BodyText"/>
        <w:spacing w:line="324" w:lineRule="auto" w:before="3"/>
        <w:ind w:left="196" w:right="279"/>
        <w:jc w:val="both"/>
        <w:rPr>
          <w:sz w:val="16"/>
        </w:rPr>
      </w:pPr>
      <w:r>
        <w:rPr/>
        <w:t>seguido por la transcripción de la información genética a partir de mRNA extraído a </w:t>
      </w:r>
      <w:r>
        <w:rPr>
          <w:position w:val="-10"/>
        </w:rPr>
        <w:t>cDNA.</w:t>
      </w:r>
      <w:r>
        <w:rPr>
          <w:sz w:val="16"/>
        </w:rPr>
        <w:t>69, 71</w:t>
      </w:r>
    </w:p>
    <w:p>
      <w:pPr>
        <w:pStyle w:val="BodyText"/>
        <w:spacing w:line="355" w:lineRule="auto" w:before="236"/>
        <w:ind w:left="196" w:right="273"/>
        <w:jc w:val="both"/>
        <w:rPr>
          <w:sz w:val="16"/>
        </w:rPr>
      </w:pPr>
      <w:r>
        <w:rPr/>
        <w:t>La RT-qPCR a diferencia de la PCR convencional, permite amplificar y cuantificar, al mismo tiempo, las moléculas de DNA o cDNA producidas en cada ciclo; esto mediante el uso de fluoróforos. Cada vez que se realiza una copia del DNA molde se libera fluorescencia, por lo que ésta es proporcional a la cantidad de DNA generado. Una ventaja importante la RT-qPCR es que el proceso completo se realiza en un termociclador; esta característica ayuda a disminuir el riesgo de una posterior contaminación en el laboratorio y permite aumentar el rendimiento de la prueba.</w:t>
      </w:r>
      <w:r>
        <w:rPr>
          <w:position w:val="11"/>
          <w:sz w:val="16"/>
        </w:rPr>
        <w:t>70,  72,</w:t>
      </w:r>
    </w:p>
    <w:p>
      <w:pPr>
        <w:spacing w:line="134" w:lineRule="exact" w:before="0"/>
        <w:ind w:left="196" w:right="0" w:firstLine="0"/>
        <w:jc w:val="both"/>
        <w:rPr>
          <w:sz w:val="16"/>
        </w:rPr>
      </w:pPr>
      <w:r>
        <w:rPr>
          <w:sz w:val="16"/>
        </w:rPr>
        <w:t>73</w:t>
      </w:r>
    </w:p>
    <w:p>
      <w:pPr>
        <w:pStyle w:val="BodyText"/>
        <w:rPr>
          <w:sz w:val="16"/>
        </w:rPr>
      </w:pPr>
    </w:p>
    <w:p>
      <w:pPr>
        <w:pStyle w:val="BodyText"/>
        <w:rPr>
          <w:sz w:val="16"/>
        </w:rPr>
      </w:pPr>
    </w:p>
    <w:p>
      <w:pPr>
        <w:pStyle w:val="Heading2"/>
        <w:numPr>
          <w:ilvl w:val="2"/>
          <w:numId w:val="11"/>
        </w:numPr>
        <w:tabs>
          <w:tab w:pos="801" w:val="left" w:leader="none"/>
        </w:tabs>
        <w:spacing w:line="240" w:lineRule="auto" w:before="93" w:after="0"/>
        <w:ind w:left="800" w:right="0" w:hanging="604"/>
        <w:jc w:val="both"/>
      </w:pPr>
      <w:bookmarkStart w:name="_TOC_250042" w:id="24"/>
      <w:bookmarkEnd w:id="24"/>
      <w:r>
        <w:rPr/>
        <w:t>Ciclos</w:t>
      </w:r>
    </w:p>
    <w:p>
      <w:pPr>
        <w:pStyle w:val="BodyText"/>
        <w:spacing w:before="2"/>
        <w:rPr>
          <w:b/>
          <w:sz w:val="30"/>
        </w:rPr>
      </w:pPr>
    </w:p>
    <w:p>
      <w:pPr>
        <w:pStyle w:val="BodyText"/>
        <w:spacing w:line="355" w:lineRule="auto" w:before="1"/>
        <w:ind w:left="196" w:right="276"/>
        <w:jc w:val="both"/>
      </w:pPr>
      <w:r>
        <w:rPr/>
        <w:t>La reacción consta, por lo regular, de una treintena de ciclos repetitivos; cada uno de los cuales consta de tres pasos (Figura 12):</w:t>
      </w:r>
    </w:p>
    <w:p>
      <w:pPr>
        <w:spacing w:after="0" w:line="355" w:lineRule="auto"/>
        <w:jc w:val="both"/>
        <w:sectPr>
          <w:pgSz w:w="12240" w:h="15840"/>
          <w:pgMar w:header="726" w:footer="1031" w:top="1340" w:bottom="1220" w:left="1220" w:right="1420"/>
        </w:sectPr>
      </w:pPr>
    </w:p>
    <w:p>
      <w:pPr>
        <w:pStyle w:val="BodyText"/>
        <w:spacing w:before="9"/>
        <w:rPr>
          <w:sz w:val="22"/>
        </w:rPr>
      </w:pPr>
    </w:p>
    <w:p>
      <w:pPr>
        <w:pStyle w:val="ListParagraph"/>
        <w:numPr>
          <w:ilvl w:val="0"/>
          <w:numId w:val="12"/>
        </w:numPr>
        <w:tabs>
          <w:tab w:pos="538" w:val="left" w:leader="none"/>
        </w:tabs>
        <w:spacing w:line="362" w:lineRule="auto" w:before="70" w:after="0"/>
        <w:ind w:left="196" w:right="275" w:firstLine="0"/>
        <w:jc w:val="both"/>
        <w:rPr>
          <w:sz w:val="24"/>
        </w:rPr>
      </w:pPr>
      <w:r>
        <w:rPr>
          <w:i/>
          <w:sz w:val="24"/>
        </w:rPr>
        <w:t>Desnaturalización</w:t>
      </w:r>
      <w:r>
        <w:rPr>
          <w:b/>
          <w:sz w:val="24"/>
        </w:rPr>
        <w:t>: </w:t>
      </w:r>
      <w:r>
        <w:rPr>
          <w:sz w:val="24"/>
        </w:rPr>
        <w:t>consiste en la ruptura de los puentes de hidrógeno del </w:t>
      </w:r>
      <w:r>
        <w:rPr>
          <w:spacing w:val="3"/>
          <w:sz w:val="24"/>
        </w:rPr>
        <w:t>DNA </w:t>
      </w:r>
      <w:r>
        <w:rPr>
          <w:sz w:val="24"/>
        </w:rPr>
        <w:t>para desnaturalizarlo, para lo que </w:t>
      </w:r>
      <w:r>
        <w:rPr>
          <w:spacing w:val="-3"/>
          <w:sz w:val="24"/>
        </w:rPr>
        <w:t>se </w:t>
      </w:r>
      <w:r>
        <w:rPr>
          <w:sz w:val="24"/>
        </w:rPr>
        <w:t>incuba a una temperatura de alrededor de </w:t>
      </w:r>
      <w:r>
        <w:rPr>
          <w:spacing w:val="6"/>
          <w:sz w:val="24"/>
        </w:rPr>
        <w:t>94- </w:t>
      </w:r>
      <w:r>
        <w:rPr>
          <w:sz w:val="24"/>
        </w:rPr>
        <w:t>95ºC,</w:t>
      </w:r>
      <w:r>
        <w:rPr>
          <w:spacing w:val="37"/>
          <w:sz w:val="24"/>
        </w:rPr>
        <w:t> </w:t>
      </w:r>
      <w:r>
        <w:rPr>
          <w:sz w:val="24"/>
        </w:rPr>
        <w:t>en</w:t>
      </w:r>
      <w:r>
        <w:rPr>
          <w:spacing w:val="39"/>
          <w:sz w:val="24"/>
        </w:rPr>
        <w:t> </w:t>
      </w:r>
      <w:r>
        <w:rPr>
          <w:sz w:val="24"/>
        </w:rPr>
        <w:t>un</w:t>
      </w:r>
      <w:r>
        <w:rPr>
          <w:spacing w:val="38"/>
          <w:sz w:val="24"/>
        </w:rPr>
        <w:t> </w:t>
      </w:r>
      <w:r>
        <w:rPr>
          <w:sz w:val="24"/>
        </w:rPr>
        <w:t>promedio</w:t>
      </w:r>
      <w:r>
        <w:rPr>
          <w:spacing w:val="40"/>
          <w:sz w:val="24"/>
        </w:rPr>
        <w:t> </w:t>
      </w:r>
      <w:r>
        <w:rPr>
          <w:sz w:val="24"/>
        </w:rPr>
        <w:t>de</w:t>
      </w:r>
      <w:r>
        <w:rPr>
          <w:spacing w:val="38"/>
          <w:sz w:val="24"/>
        </w:rPr>
        <w:t> </w:t>
      </w:r>
      <w:r>
        <w:rPr>
          <w:sz w:val="24"/>
        </w:rPr>
        <w:t>90</w:t>
      </w:r>
      <w:r>
        <w:rPr>
          <w:spacing w:val="37"/>
          <w:sz w:val="24"/>
        </w:rPr>
        <w:t> </w:t>
      </w:r>
      <w:r>
        <w:rPr>
          <w:sz w:val="24"/>
        </w:rPr>
        <w:t>segundos</w:t>
      </w:r>
      <w:r>
        <w:rPr>
          <w:spacing w:val="37"/>
          <w:sz w:val="24"/>
        </w:rPr>
        <w:t> </w:t>
      </w:r>
      <w:r>
        <w:rPr>
          <w:sz w:val="24"/>
        </w:rPr>
        <w:t>a</w:t>
      </w:r>
      <w:r>
        <w:rPr>
          <w:spacing w:val="37"/>
          <w:sz w:val="24"/>
        </w:rPr>
        <w:t> </w:t>
      </w:r>
      <w:r>
        <w:rPr>
          <w:sz w:val="24"/>
        </w:rPr>
        <w:t>3</w:t>
      </w:r>
      <w:r>
        <w:rPr>
          <w:spacing w:val="42"/>
          <w:sz w:val="24"/>
        </w:rPr>
        <w:t> </w:t>
      </w:r>
      <w:r>
        <w:rPr>
          <w:sz w:val="24"/>
        </w:rPr>
        <w:t>minutos.</w:t>
      </w:r>
      <w:r>
        <w:rPr>
          <w:spacing w:val="37"/>
          <w:sz w:val="24"/>
        </w:rPr>
        <w:t> </w:t>
      </w:r>
      <w:r>
        <w:rPr>
          <w:sz w:val="24"/>
        </w:rPr>
        <w:t>Este</w:t>
      </w:r>
      <w:r>
        <w:rPr>
          <w:spacing w:val="38"/>
          <w:sz w:val="24"/>
        </w:rPr>
        <w:t> </w:t>
      </w:r>
      <w:r>
        <w:rPr>
          <w:sz w:val="24"/>
        </w:rPr>
        <w:t>paso</w:t>
      </w:r>
      <w:r>
        <w:rPr>
          <w:spacing w:val="37"/>
          <w:sz w:val="24"/>
        </w:rPr>
        <w:t> </w:t>
      </w:r>
      <w:r>
        <w:rPr>
          <w:sz w:val="24"/>
        </w:rPr>
        <w:t>expone</w:t>
      </w:r>
      <w:r>
        <w:rPr>
          <w:spacing w:val="37"/>
          <w:sz w:val="24"/>
        </w:rPr>
        <w:t> </w:t>
      </w:r>
      <w:r>
        <w:rPr>
          <w:sz w:val="24"/>
        </w:rPr>
        <w:t>las</w:t>
      </w:r>
      <w:r>
        <w:rPr>
          <w:spacing w:val="37"/>
          <w:sz w:val="24"/>
        </w:rPr>
        <w:t> </w:t>
      </w:r>
      <w:r>
        <w:rPr>
          <w:sz w:val="24"/>
        </w:rPr>
        <w:t>bases</w:t>
      </w:r>
    </w:p>
    <w:p>
      <w:pPr>
        <w:pStyle w:val="BodyText"/>
        <w:spacing w:line="324" w:lineRule="auto"/>
        <w:ind w:left="196" w:right="279"/>
        <w:jc w:val="both"/>
        <w:rPr>
          <w:sz w:val="16"/>
        </w:rPr>
      </w:pPr>
      <w:r>
        <w:rPr/>
        <w:t>nitrogenadas del DNA blanco, permitiendo que se encuentre como una cadena </w:t>
      </w:r>
      <w:r>
        <w:rPr>
          <w:position w:val="-10"/>
        </w:rPr>
        <w:t>simple.</w:t>
      </w:r>
      <w:r>
        <w:rPr>
          <w:sz w:val="16"/>
        </w:rPr>
        <w:t>71, 74, 75</w:t>
      </w:r>
    </w:p>
    <w:p>
      <w:pPr>
        <w:pStyle w:val="ListParagraph"/>
        <w:numPr>
          <w:ilvl w:val="0"/>
          <w:numId w:val="12"/>
        </w:numPr>
        <w:tabs>
          <w:tab w:pos="610" w:val="left" w:leader="none"/>
        </w:tabs>
        <w:spacing w:line="343" w:lineRule="auto" w:before="237" w:after="0"/>
        <w:ind w:left="196" w:right="274" w:firstLine="0"/>
        <w:jc w:val="both"/>
        <w:rPr>
          <w:sz w:val="16"/>
        </w:rPr>
      </w:pPr>
      <w:r>
        <w:rPr>
          <w:i/>
          <w:sz w:val="24"/>
        </w:rPr>
        <w:t>Hibridación: </w:t>
      </w:r>
      <w:r>
        <w:rPr>
          <w:sz w:val="24"/>
        </w:rPr>
        <w:t>la temperatura se reduce a la temperatura de fusión de los cebadores, un valor que oscila entre los 40°C a los 60°C; cada uno de los cebadores (DNA sintético de hebra sencilla) hibrida con la secuencia complementaria en cada una de las cadenas simples de DNA, que </w:t>
      </w:r>
      <w:r>
        <w:rPr>
          <w:spacing w:val="-3"/>
          <w:sz w:val="24"/>
        </w:rPr>
        <w:t>se </w:t>
      </w:r>
      <w:r>
        <w:rPr>
          <w:sz w:val="24"/>
        </w:rPr>
        <w:t>han separado en el paso anterior. </w:t>
      </w:r>
      <w:r>
        <w:rPr>
          <w:position w:val="11"/>
          <w:sz w:val="16"/>
        </w:rPr>
        <w:t>71, 74, </w:t>
      </w:r>
      <w:r>
        <w:rPr>
          <w:sz w:val="16"/>
        </w:rPr>
        <w:t>75</w:t>
      </w:r>
    </w:p>
    <w:p>
      <w:pPr>
        <w:pStyle w:val="BodyText"/>
        <w:rPr>
          <w:sz w:val="16"/>
        </w:rPr>
      </w:pPr>
    </w:p>
    <w:p>
      <w:pPr>
        <w:pStyle w:val="BodyText"/>
        <w:spacing w:before="2"/>
        <w:rPr>
          <w:sz w:val="18"/>
        </w:rPr>
      </w:pPr>
    </w:p>
    <w:p>
      <w:pPr>
        <w:pStyle w:val="ListParagraph"/>
        <w:numPr>
          <w:ilvl w:val="0"/>
          <w:numId w:val="12"/>
        </w:numPr>
        <w:tabs>
          <w:tab w:pos="523" w:val="left" w:leader="none"/>
        </w:tabs>
        <w:spacing w:line="360" w:lineRule="auto" w:before="0" w:after="0"/>
        <w:ind w:left="196" w:right="274" w:firstLine="0"/>
        <w:jc w:val="both"/>
        <w:rPr>
          <w:sz w:val="24"/>
        </w:rPr>
      </w:pPr>
      <w:r>
        <w:rPr>
          <w:i/>
          <w:sz w:val="24"/>
        </w:rPr>
        <w:t>Extensión: </w:t>
      </w:r>
      <w:r>
        <w:rPr>
          <w:sz w:val="24"/>
        </w:rPr>
        <w:t>la síntesis de DNA se inicia cuando la temperatura de la reacción llega al valor óptimo para </w:t>
      </w:r>
      <w:r>
        <w:rPr>
          <w:spacing w:val="4"/>
          <w:sz w:val="24"/>
        </w:rPr>
        <w:t>la </w:t>
      </w:r>
      <w:r>
        <w:rPr>
          <w:sz w:val="24"/>
        </w:rPr>
        <w:t>actividad de la polimerasa, la cual extiende la longitud de los cebadores, añadiendo los diferentes nucleótidos libres en el orden que le va dictando la secuencia de nucleótidos de la cadena que actúa como molde. Para la mayoría de las polimerasas la temperatura de activación se encuentra aproximadamente los 72°C,</w:t>
      </w:r>
      <w:r>
        <w:rPr>
          <w:spacing w:val="23"/>
          <w:sz w:val="24"/>
        </w:rPr>
        <w:t> </w:t>
      </w:r>
      <w:r>
        <w:rPr>
          <w:sz w:val="24"/>
        </w:rPr>
        <w:t>la</w:t>
      </w:r>
      <w:r>
        <w:rPr>
          <w:spacing w:val="23"/>
          <w:sz w:val="24"/>
        </w:rPr>
        <w:t> </w:t>
      </w:r>
      <w:r>
        <w:rPr>
          <w:sz w:val="24"/>
        </w:rPr>
        <w:t>síntesis</w:t>
      </w:r>
      <w:r>
        <w:rPr>
          <w:spacing w:val="22"/>
          <w:sz w:val="24"/>
        </w:rPr>
        <w:t> </w:t>
      </w:r>
      <w:r>
        <w:rPr>
          <w:sz w:val="24"/>
        </w:rPr>
        <w:t>se</w:t>
      </w:r>
      <w:r>
        <w:rPr>
          <w:spacing w:val="23"/>
          <w:sz w:val="24"/>
        </w:rPr>
        <w:t> </w:t>
      </w:r>
      <w:r>
        <w:rPr>
          <w:sz w:val="24"/>
        </w:rPr>
        <w:t>permite</w:t>
      </w:r>
      <w:r>
        <w:rPr>
          <w:spacing w:val="28"/>
          <w:sz w:val="24"/>
        </w:rPr>
        <w:t> </w:t>
      </w:r>
      <w:r>
        <w:rPr>
          <w:sz w:val="24"/>
        </w:rPr>
        <w:t>durante</w:t>
      </w:r>
      <w:r>
        <w:rPr>
          <w:spacing w:val="23"/>
          <w:sz w:val="24"/>
        </w:rPr>
        <w:t> </w:t>
      </w:r>
      <w:r>
        <w:rPr>
          <w:sz w:val="24"/>
        </w:rPr>
        <w:t>30</w:t>
      </w:r>
      <w:r>
        <w:rPr>
          <w:spacing w:val="23"/>
          <w:sz w:val="24"/>
        </w:rPr>
        <w:t> </w:t>
      </w:r>
      <w:r>
        <w:rPr>
          <w:sz w:val="24"/>
        </w:rPr>
        <w:t>segundos</w:t>
      </w:r>
      <w:r>
        <w:rPr>
          <w:spacing w:val="24"/>
          <w:sz w:val="24"/>
        </w:rPr>
        <w:t> </w:t>
      </w:r>
      <w:r>
        <w:rPr>
          <w:sz w:val="24"/>
        </w:rPr>
        <w:t>a</w:t>
      </w:r>
      <w:r>
        <w:rPr>
          <w:spacing w:val="23"/>
          <w:sz w:val="24"/>
        </w:rPr>
        <w:t> </w:t>
      </w:r>
      <w:r>
        <w:rPr>
          <w:sz w:val="24"/>
        </w:rPr>
        <w:t>2</w:t>
      </w:r>
      <w:r>
        <w:rPr>
          <w:spacing w:val="23"/>
          <w:sz w:val="24"/>
        </w:rPr>
        <w:t> </w:t>
      </w:r>
      <w:r>
        <w:rPr>
          <w:sz w:val="24"/>
        </w:rPr>
        <w:t>minutos.</w:t>
      </w:r>
      <w:r>
        <w:rPr>
          <w:spacing w:val="22"/>
          <w:sz w:val="24"/>
        </w:rPr>
        <w:t> </w:t>
      </w:r>
      <w:r>
        <w:rPr>
          <w:sz w:val="24"/>
        </w:rPr>
        <w:t>Este</w:t>
      </w:r>
      <w:r>
        <w:rPr>
          <w:spacing w:val="23"/>
          <w:sz w:val="24"/>
        </w:rPr>
        <w:t> </w:t>
      </w:r>
      <w:r>
        <w:rPr>
          <w:sz w:val="24"/>
        </w:rPr>
        <w:t>paso</w:t>
      </w:r>
      <w:r>
        <w:rPr>
          <w:spacing w:val="23"/>
          <w:sz w:val="24"/>
        </w:rPr>
        <w:t> </w:t>
      </w:r>
      <w:r>
        <w:rPr>
          <w:sz w:val="24"/>
        </w:rPr>
        <w:t>completa</w:t>
      </w:r>
    </w:p>
    <w:p>
      <w:pPr>
        <w:pStyle w:val="BodyText"/>
        <w:spacing w:line="324" w:lineRule="auto" w:before="7"/>
        <w:ind w:left="196" w:right="276"/>
        <w:jc w:val="both"/>
        <w:rPr>
          <w:sz w:val="16"/>
        </w:rPr>
      </w:pPr>
      <w:r>
        <w:rPr/>
        <w:drawing>
          <wp:anchor distT="0" distB="0" distL="0" distR="0" allowOverlap="1" layoutInCell="1" locked="0" behindDoc="0" simplePos="0" relativeHeight="1312">
            <wp:simplePos x="0" y="0"/>
            <wp:positionH relativeFrom="page">
              <wp:posOffset>1995170</wp:posOffset>
            </wp:positionH>
            <wp:positionV relativeFrom="paragraph">
              <wp:posOffset>537030</wp:posOffset>
            </wp:positionV>
            <wp:extent cx="3837352" cy="2510408"/>
            <wp:effectExtent l="0" t="0" r="0" b="0"/>
            <wp:wrapTopAndBottom/>
            <wp:docPr id="25" name="image20.jpeg" descr=""/>
            <wp:cNvGraphicFramePr>
              <a:graphicFrameLocks noChangeAspect="1"/>
            </wp:cNvGraphicFramePr>
            <a:graphic>
              <a:graphicData uri="http://schemas.openxmlformats.org/drawingml/2006/picture">
                <pic:pic>
                  <pic:nvPicPr>
                    <pic:cNvPr id="26" name="image20.jpeg"/>
                    <pic:cNvPicPr/>
                  </pic:nvPicPr>
                  <pic:blipFill>
                    <a:blip r:embed="rId36" cstate="print"/>
                    <a:stretch>
                      <a:fillRect/>
                    </a:stretch>
                  </pic:blipFill>
                  <pic:spPr>
                    <a:xfrm>
                      <a:off x="0" y="0"/>
                      <a:ext cx="3837352" cy="2510408"/>
                    </a:xfrm>
                    <a:prstGeom prst="rect">
                      <a:avLst/>
                    </a:prstGeom>
                  </pic:spPr>
                </pic:pic>
              </a:graphicData>
            </a:graphic>
          </wp:anchor>
        </w:drawing>
      </w:r>
      <w:r>
        <w:rPr/>
        <w:t>un ciclo y el siguiente ciclo se inicia con el retorno a los 94-95 °C para la desnaturalización.</w:t>
      </w:r>
      <w:r>
        <w:rPr>
          <w:position w:val="11"/>
          <w:sz w:val="16"/>
        </w:rPr>
        <w:t>71, 74, 75</w:t>
      </w:r>
    </w:p>
    <w:p>
      <w:pPr>
        <w:spacing w:before="85"/>
        <w:ind w:left="2779" w:right="0" w:firstLine="0"/>
        <w:jc w:val="left"/>
        <w:rPr>
          <w:sz w:val="20"/>
        </w:rPr>
      </w:pPr>
      <w:r>
        <w:rPr>
          <w:b/>
          <w:sz w:val="20"/>
        </w:rPr>
        <w:t>Figura 12</w:t>
      </w:r>
      <w:r>
        <w:rPr>
          <w:sz w:val="20"/>
        </w:rPr>
        <w:t>. </w:t>
      </w:r>
      <w:r>
        <w:rPr>
          <w:i/>
          <w:sz w:val="20"/>
        </w:rPr>
        <w:t>Ciclos de la PCR. </w:t>
      </w:r>
      <w:r>
        <w:rPr>
          <w:sz w:val="20"/>
        </w:rPr>
        <w:t>Fuente directa.</w:t>
      </w:r>
    </w:p>
    <w:p>
      <w:pPr>
        <w:spacing w:after="0"/>
        <w:jc w:val="left"/>
        <w:rPr>
          <w:sz w:val="20"/>
        </w:rPr>
        <w:sectPr>
          <w:pgSz w:w="12240" w:h="15840"/>
          <w:pgMar w:header="726" w:footer="1031" w:top="1340" w:bottom="1220" w:left="1220" w:right="1420"/>
        </w:sectPr>
      </w:pPr>
    </w:p>
    <w:p>
      <w:pPr>
        <w:pStyle w:val="BodyText"/>
        <w:spacing w:before="9"/>
        <w:rPr>
          <w:sz w:val="22"/>
        </w:rPr>
      </w:pPr>
    </w:p>
    <w:p>
      <w:pPr>
        <w:pStyle w:val="BodyText"/>
        <w:spacing w:before="70"/>
        <w:ind w:left="196"/>
      </w:pPr>
      <w:r>
        <w:rPr/>
        <w:t>4.3.2.1 </w:t>
      </w:r>
      <w:r>
        <w:rPr>
          <w:u w:val="single"/>
        </w:rPr>
        <w:t>Número de ciclos.</w:t>
      </w:r>
    </w:p>
    <w:p>
      <w:pPr>
        <w:pStyle w:val="BodyText"/>
        <w:spacing w:before="10"/>
        <w:rPr>
          <w:sz w:val="23"/>
        </w:rPr>
      </w:pPr>
    </w:p>
    <w:p>
      <w:pPr>
        <w:pStyle w:val="BodyText"/>
        <w:spacing w:line="362" w:lineRule="auto" w:before="69"/>
        <w:ind w:left="196" w:right="288"/>
        <w:jc w:val="both"/>
      </w:pPr>
      <w:r>
        <w:rPr/>
        <w:t>El número óptimo de ciclos dependerá principalmente de la concentración inicial del DNA blanco cuando los otros parámetros son optimizados. Después de cada ciclo, la</w:t>
      </w:r>
    </w:p>
    <w:p>
      <w:pPr>
        <w:pStyle w:val="BodyText"/>
        <w:spacing w:line="324" w:lineRule="auto"/>
        <w:ind w:left="196" w:right="296"/>
        <w:jc w:val="both"/>
        <w:rPr>
          <w:sz w:val="16"/>
        </w:rPr>
      </w:pPr>
      <w:r>
        <w:rPr/>
        <w:t>cantidad de DNA es dos veces la anterior, así que después de dos ciclos tenemos 2 x 2 veces, así, después de N ciclos tendremos</w:t>
      </w:r>
      <w:r>
        <w:rPr>
          <w:spacing w:val="-18"/>
        </w:rPr>
        <w:t> </w:t>
      </w:r>
      <w:r>
        <w:rPr/>
        <w:t>2</w:t>
      </w:r>
      <w:r>
        <w:rPr>
          <w:position w:val="11"/>
          <w:sz w:val="16"/>
        </w:rPr>
        <w:t>N</w:t>
      </w:r>
      <w:r>
        <w:rPr/>
        <w:t>.</w:t>
      </w:r>
      <w:r>
        <w:rPr>
          <w:position w:val="11"/>
          <w:sz w:val="16"/>
        </w:rPr>
        <w:t>75</w:t>
      </w:r>
    </w:p>
    <w:p>
      <w:pPr>
        <w:pStyle w:val="Heading2"/>
        <w:numPr>
          <w:ilvl w:val="2"/>
          <w:numId w:val="13"/>
        </w:numPr>
        <w:tabs>
          <w:tab w:pos="802" w:val="left" w:leader="none"/>
        </w:tabs>
        <w:spacing w:line="240" w:lineRule="auto" w:before="232" w:after="0"/>
        <w:ind w:left="801" w:right="0" w:hanging="605"/>
        <w:jc w:val="both"/>
      </w:pPr>
      <w:bookmarkStart w:name="_TOC_250041" w:id="25"/>
      <w:r>
        <w:rPr/>
        <w:t>Componentes de la</w:t>
      </w:r>
      <w:r>
        <w:rPr>
          <w:spacing w:val="-14"/>
        </w:rPr>
        <w:t> </w:t>
      </w:r>
      <w:bookmarkEnd w:id="25"/>
      <w:r>
        <w:rPr/>
        <w:t>PCR</w:t>
      </w:r>
    </w:p>
    <w:p>
      <w:pPr>
        <w:pStyle w:val="BodyText"/>
        <w:spacing w:before="2"/>
        <w:rPr>
          <w:b/>
          <w:sz w:val="33"/>
        </w:rPr>
      </w:pPr>
    </w:p>
    <w:p>
      <w:pPr>
        <w:pStyle w:val="ListParagraph"/>
        <w:numPr>
          <w:ilvl w:val="0"/>
          <w:numId w:val="14"/>
        </w:numPr>
        <w:tabs>
          <w:tab w:pos="495" w:val="left" w:leader="none"/>
        </w:tabs>
        <w:spacing w:line="357" w:lineRule="auto" w:before="0" w:after="0"/>
        <w:ind w:left="196" w:right="276" w:firstLine="0"/>
        <w:jc w:val="both"/>
        <w:rPr>
          <w:sz w:val="24"/>
        </w:rPr>
      </w:pPr>
      <w:r>
        <w:rPr>
          <w:i/>
          <w:sz w:val="24"/>
        </w:rPr>
        <w:t>Solución amortiguadora o buffer</w:t>
      </w:r>
      <w:r>
        <w:rPr>
          <w:sz w:val="24"/>
        </w:rPr>
        <w:t>. Mantiene el pH adecuado para el funcionamiento de la polimerasa. La solución amortiguadora para la reacción se emplea  comúnmente concentrada diez veces y por lo general incluye Tris-HCl (pH=8.4 a temperatura ambiente), KCl, gelatina y MgCl</w:t>
      </w:r>
      <w:r>
        <w:rPr>
          <w:position w:val="-2"/>
          <w:sz w:val="16"/>
        </w:rPr>
        <w:t>2</w:t>
      </w:r>
      <w:r>
        <w:rPr>
          <w:sz w:val="24"/>
        </w:rPr>
        <w:t>. Algunos autores recomiendan el uso de adyuvantes los cuales en la práctica aumentarían especificidad y fidelidad. Entre los adyuvantes </w:t>
      </w:r>
      <w:r>
        <w:rPr>
          <w:spacing w:val="-3"/>
          <w:sz w:val="24"/>
        </w:rPr>
        <w:t>más </w:t>
      </w:r>
      <w:r>
        <w:rPr>
          <w:sz w:val="24"/>
        </w:rPr>
        <w:t>empleados se señalan dimetilsulfóxido (DMSO), añadido para disminuir las estructuras secundarias del   </w:t>
      </w:r>
      <w:r>
        <w:rPr>
          <w:spacing w:val="54"/>
          <w:sz w:val="24"/>
        </w:rPr>
        <w:t> </w:t>
      </w:r>
      <w:r>
        <w:rPr>
          <w:sz w:val="24"/>
        </w:rPr>
        <w:t>DNA; detergentes </w:t>
      </w:r>
      <w:r>
        <w:rPr>
          <w:spacing w:val="-4"/>
          <w:sz w:val="24"/>
        </w:rPr>
        <w:t>como  </w:t>
      </w:r>
      <w:r>
        <w:rPr>
          <w:sz w:val="24"/>
        </w:rPr>
        <w:t>el Tween 20 o el</w:t>
      </w:r>
    </w:p>
    <w:p>
      <w:pPr>
        <w:pStyle w:val="BodyText"/>
        <w:spacing w:line="328" w:lineRule="auto" w:before="5"/>
        <w:ind w:left="196" w:right="279"/>
        <w:jc w:val="both"/>
        <w:rPr>
          <w:sz w:val="16"/>
        </w:rPr>
      </w:pPr>
      <w:r>
        <w:rPr/>
        <w:t>Tritón X-100, que ayudan a estabilizar la enzima; y finalmente polietilenglicol (PEG), glicerol y formamida.</w:t>
      </w:r>
      <w:r>
        <w:rPr>
          <w:position w:val="11"/>
          <w:sz w:val="16"/>
        </w:rPr>
        <w:t>74</w:t>
      </w:r>
    </w:p>
    <w:p>
      <w:pPr>
        <w:pStyle w:val="BodyText"/>
        <w:spacing w:before="11"/>
        <w:rPr>
          <w:sz w:val="22"/>
        </w:rPr>
      </w:pPr>
    </w:p>
    <w:p>
      <w:pPr>
        <w:pStyle w:val="ListParagraph"/>
        <w:numPr>
          <w:ilvl w:val="0"/>
          <w:numId w:val="14"/>
        </w:numPr>
        <w:tabs>
          <w:tab w:pos="533" w:val="left" w:leader="none"/>
        </w:tabs>
        <w:spacing w:line="360" w:lineRule="auto" w:before="0" w:after="0"/>
        <w:ind w:left="196" w:right="279" w:firstLine="0"/>
        <w:jc w:val="both"/>
        <w:rPr>
          <w:sz w:val="24"/>
        </w:rPr>
      </w:pPr>
      <w:r>
        <w:rPr>
          <w:i/>
          <w:sz w:val="24"/>
        </w:rPr>
        <w:t>Cebadores o iniciadores. </w:t>
      </w:r>
      <w:r>
        <w:rPr>
          <w:sz w:val="24"/>
        </w:rPr>
        <w:t>Delimitan la secuencia de DNA a amplificar, y al ser reconocidos por la enzima polimerasa, permiten iniciar la reacción. Son secuencias cortas, normalmente de 18 a 22 nucleótidos, y la base en el extremo 3' debe ser una G o una C. Ambos iniciadores deben tener una temperatura de fusión (Tm) similar. Normalmente se diseñan para ser exactamente complementarios al molde de DNA y la</w:t>
      </w:r>
      <w:r>
        <w:rPr>
          <w:spacing w:val="27"/>
          <w:sz w:val="24"/>
        </w:rPr>
        <w:t> </w:t>
      </w:r>
      <w:r>
        <w:rPr>
          <w:sz w:val="24"/>
        </w:rPr>
        <w:t>concentración</w:t>
      </w:r>
      <w:r>
        <w:rPr>
          <w:spacing w:val="27"/>
          <w:sz w:val="24"/>
        </w:rPr>
        <w:t> </w:t>
      </w:r>
      <w:r>
        <w:rPr>
          <w:sz w:val="24"/>
        </w:rPr>
        <w:t>a</w:t>
      </w:r>
      <w:r>
        <w:rPr>
          <w:spacing w:val="24"/>
          <w:sz w:val="24"/>
        </w:rPr>
        <w:t> </w:t>
      </w:r>
      <w:r>
        <w:rPr>
          <w:sz w:val="24"/>
        </w:rPr>
        <w:t>la</w:t>
      </w:r>
      <w:r>
        <w:rPr>
          <w:spacing w:val="27"/>
          <w:sz w:val="24"/>
        </w:rPr>
        <w:t> </w:t>
      </w:r>
      <w:r>
        <w:rPr>
          <w:sz w:val="24"/>
        </w:rPr>
        <w:t>que</w:t>
      </w:r>
      <w:r>
        <w:rPr>
          <w:spacing w:val="27"/>
          <w:sz w:val="24"/>
        </w:rPr>
        <w:t> </w:t>
      </w:r>
      <w:r>
        <w:rPr>
          <w:sz w:val="24"/>
        </w:rPr>
        <w:t>suelen</w:t>
      </w:r>
      <w:r>
        <w:rPr>
          <w:spacing w:val="27"/>
          <w:sz w:val="24"/>
        </w:rPr>
        <w:t> </w:t>
      </w:r>
      <w:r>
        <w:rPr>
          <w:sz w:val="24"/>
        </w:rPr>
        <w:t>emplearse</w:t>
      </w:r>
      <w:r>
        <w:rPr>
          <w:spacing w:val="24"/>
          <w:sz w:val="24"/>
        </w:rPr>
        <w:t> </w:t>
      </w:r>
      <w:r>
        <w:rPr>
          <w:sz w:val="24"/>
        </w:rPr>
        <w:t>está</w:t>
      </w:r>
      <w:r>
        <w:rPr>
          <w:spacing w:val="28"/>
          <w:sz w:val="24"/>
        </w:rPr>
        <w:t> </w:t>
      </w:r>
      <w:r>
        <w:rPr>
          <w:sz w:val="24"/>
        </w:rPr>
        <w:t>en</w:t>
      </w:r>
      <w:r>
        <w:rPr>
          <w:spacing w:val="27"/>
          <w:sz w:val="24"/>
        </w:rPr>
        <w:t> </w:t>
      </w:r>
      <w:r>
        <w:rPr>
          <w:sz w:val="24"/>
        </w:rPr>
        <w:t>el</w:t>
      </w:r>
      <w:r>
        <w:rPr>
          <w:spacing w:val="31"/>
          <w:sz w:val="24"/>
        </w:rPr>
        <w:t> </w:t>
      </w:r>
      <w:r>
        <w:rPr>
          <w:sz w:val="24"/>
        </w:rPr>
        <w:t>intervalo</w:t>
      </w:r>
      <w:r>
        <w:rPr>
          <w:spacing w:val="27"/>
          <w:sz w:val="24"/>
        </w:rPr>
        <w:t> </w:t>
      </w:r>
      <w:r>
        <w:rPr>
          <w:sz w:val="24"/>
        </w:rPr>
        <w:t>de</w:t>
      </w:r>
      <w:r>
        <w:rPr>
          <w:spacing w:val="42"/>
          <w:sz w:val="24"/>
        </w:rPr>
        <w:t> </w:t>
      </w:r>
      <w:r>
        <w:rPr>
          <w:sz w:val="24"/>
        </w:rPr>
        <w:t>0.1-0.5μM.</w:t>
      </w:r>
      <w:r>
        <w:rPr>
          <w:spacing w:val="27"/>
          <w:sz w:val="24"/>
        </w:rPr>
        <w:t> </w:t>
      </w:r>
      <w:r>
        <w:rPr>
          <w:sz w:val="24"/>
        </w:rPr>
        <w:t>Los</w:t>
      </w:r>
    </w:p>
    <w:p>
      <w:pPr>
        <w:pStyle w:val="BodyText"/>
        <w:spacing w:line="328" w:lineRule="auto" w:before="3"/>
        <w:ind w:left="196" w:right="284"/>
        <w:jc w:val="both"/>
        <w:rPr>
          <w:sz w:val="16"/>
        </w:rPr>
      </w:pPr>
      <w:r>
        <w:rPr/>
        <w:t>cebadores ideales deben carecer de estructuras secundarias, así como de complementariedad entre sí.</w:t>
      </w:r>
      <w:r>
        <w:rPr>
          <w:position w:val="11"/>
          <w:sz w:val="16"/>
        </w:rPr>
        <w:t>74</w:t>
      </w:r>
    </w:p>
    <w:p>
      <w:pPr>
        <w:pStyle w:val="BodyText"/>
        <w:spacing w:before="10"/>
        <w:rPr>
          <w:sz w:val="22"/>
        </w:rPr>
      </w:pPr>
    </w:p>
    <w:p>
      <w:pPr>
        <w:pStyle w:val="ListParagraph"/>
        <w:numPr>
          <w:ilvl w:val="0"/>
          <w:numId w:val="14"/>
        </w:numPr>
        <w:tabs>
          <w:tab w:pos="571" w:val="left" w:leader="none"/>
        </w:tabs>
        <w:spacing w:line="345" w:lineRule="auto" w:before="0" w:after="0"/>
        <w:ind w:left="196" w:right="282" w:firstLine="0"/>
        <w:jc w:val="both"/>
        <w:rPr>
          <w:sz w:val="16"/>
        </w:rPr>
      </w:pPr>
      <w:r>
        <w:rPr>
          <w:i/>
          <w:sz w:val="24"/>
        </w:rPr>
        <w:t>Desoxirribonucleósidostrifosfatados (dNTPs). </w:t>
      </w:r>
      <w:r>
        <w:rPr>
          <w:sz w:val="24"/>
        </w:rPr>
        <w:t>Los cuatro dNTPs (dATP, dTTP, dCTP y dGTP; distinguibles por sus bases nitrogenadas) son </w:t>
      </w:r>
      <w:r>
        <w:rPr>
          <w:spacing w:val="5"/>
          <w:sz w:val="24"/>
        </w:rPr>
        <w:t>los </w:t>
      </w:r>
      <w:r>
        <w:rPr>
          <w:sz w:val="24"/>
        </w:rPr>
        <w:t>ladrillos con los que se construyen las nuevas cadenas de</w:t>
      </w:r>
      <w:r>
        <w:rPr>
          <w:spacing w:val="-17"/>
          <w:sz w:val="24"/>
        </w:rPr>
        <w:t> </w:t>
      </w:r>
      <w:r>
        <w:rPr>
          <w:sz w:val="24"/>
        </w:rPr>
        <w:t>DNA.</w:t>
      </w:r>
      <w:r>
        <w:rPr>
          <w:position w:val="11"/>
          <w:sz w:val="16"/>
        </w:rPr>
        <w:t>74</w:t>
      </w:r>
    </w:p>
    <w:p>
      <w:pPr>
        <w:spacing w:after="0" w:line="345" w:lineRule="auto"/>
        <w:jc w:val="both"/>
        <w:rPr>
          <w:sz w:val="16"/>
        </w:rPr>
        <w:sectPr>
          <w:pgSz w:w="12240" w:h="15840"/>
          <w:pgMar w:header="726" w:footer="1031" w:top="1340" w:bottom="1220" w:left="1220" w:right="1420"/>
        </w:sectPr>
      </w:pPr>
    </w:p>
    <w:p>
      <w:pPr>
        <w:pStyle w:val="BodyText"/>
        <w:spacing w:before="3"/>
        <w:rPr>
          <w:sz w:val="23"/>
        </w:rPr>
      </w:pPr>
    </w:p>
    <w:p>
      <w:pPr>
        <w:pStyle w:val="ListParagraph"/>
        <w:numPr>
          <w:ilvl w:val="0"/>
          <w:numId w:val="14"/>
        </w:numPr>
        <w:tabs>
          <w:tab w:pos="514" w:val="left" w:leader="none"/>
        </w:tabs>
        <w:spacing w:line="360" w:lineRule="auto" w:before="69" w:after="0"/>
        <w:ind w:left="196" w:right="274" w:firstLine="0"/>
        <w:jc w:val="both"/>
        <w:rPr>
          <w:sz w:val="24"/>
        </w:rPr>
      </w:pPr>
      <w:r>
        <w:rPr>
          <w:i/>
          <w:sz w:val="24"/>
        </w:rPr>
        <w:t>Enzima DNA polimerasa termoestable. </w:t>
      </w:r>
      <w:r>
        <w:rPr>
          <w:sz w:val="24"/>
        </w:rPr>
        <w:t>Dos enzimas de uso </w:t>
      </w:r>
      <w:r>
        <w:rPr>
          <w:spacing w:val="-3"/>
          <w:sz w:val="24"/>
        </w:rPr>
        <w:t>muy </w:t>
      </w:r>
      <w:r>
        <w:rPr>
          <w:sz w:val="24"/>
        </w:rPr>
        <w:t>extendido son la DNA polimerasa Taq, proveniente de la bacteria termofílica </w:t>
      </w:r>
      <w:r>
        <w:rPr>
          <w:i/>
          <w:sz w:val="24"/>
        </w:rPr>
        <w:t>Thermus aquaticus</w:t>
      </w:r>
      <w:r>
        <w:rPr>
          <w:sz w:val="24"/>
        </w:rPr>
        <w:t>, y la Vent de la bacteria </w:t>
      </w:r>
      <w:r>
        <w:rPr>
          <w:i/>
          <w:sz w:val="24"/>
        </w:rPr>
        <w:t>Thermococcus litoralis</w:t>
      </w:r>
      <w:r>
        <w:rPr>
          <w:sz w:val="24"/>
        </w:rPr>
        <w:t>. Sus temperaturas óptimas de catálisis oscilan alrededor de los 72ºC, temperatura a la cual incorporan aproximadamente 100 nucleótidos por segundo. La enzima Taq es una proteína que consta de una sola cadena</w:t>
      </w:r>
      <w:r>
        <w:rPr>
          <w:spacing w:val="40"/>
          <w:sz w:val="24"/>
        </w:rPr>
        <w:t> </w:t>
      </w:r>
      <w:r>
        <w:rPr>
          <w:sz w:val="24"/>
        </w:rPr>
        <w:t>polipeptídica</w:t>
      </w:r>
      <w:r>
        <w:rPr>
          <w:spacing w:val="40"/>
          <w:sz w:val="24"/>
        </w:rPr>
        <w:t> </w:t>
      </w:r>
      <w:r>
        <w:rPr>
          <w:sz w:val="24"/>
        </w:rPr>
        <w:t>con</w:t>
      </w:r>
      <w:r>
        <w:rPr>
          <w:spacing w:val="40"/>
          <w:sz w:val="24"/>
        </w:rPr>
        <w:t> </w:t>
      </w:r>
      <w:r>
        <w:rPr>
          <w:sz w:val="24"/>
        </w:rPr>
        <w:t>un</w:t>
      </w:r>
      <w:r>
        <w:rPr>
          <w:spacing w:val="40"/>
          <w:sz w:val="24"/>
        </w:rPr>
        <w:t> </w:t>
      </w:r>
      <w:r>
        <w:rPr>
          <w:sz w:val="24"/>
        </w:rPr>
        <w:t>peso</w:t>
      </w:r>
      <w:r>
        <w:rPr>
          <w:spacing w:val="40"/>
          <w:sz w:val="24"/>
        </w:rPr>
        <w:t> </w:t>
      </w:r>
      <w:r>
        <w:rPr>
          <w:sz w:val="24"/>
        </w:rPr>
        <w:t>molecular</w:t>
      </w:r>
      <w:r>
        <w:rPr>
          <w:spacing w:val="37"/>
          <w:sz w:val="24"/>
        </w:rPr>
        <w:t> </w:t>
      </w:r>
      <w:r>
        <w:rPr>
          <w:sz w:val="24"/>
        </w:rPr>
        <w:t>de</w:t>
      </w:r>
      <w:r>
        <w:rPr>
          <w:spacing w:val="40"/>
          <w:sz w:val="24"/>
        </w:rPr>
        <w:t> </w:t>
      </w:r>
      <w:r>
        <w:rPr>
          <w:sz w:val="24"/>
        </w:rPr>
        <w:t>aproximadamente</w:t>
      </w:r>
      <w:r>
        <w:rPr>
          <w:spacing w:val="41"/>
          <w:sz w:val="24"/>
        </w:rPr>
        <w:t> </w:t>
      </w:r>
      <w:r>
        <w:rPr>
          <w:sz w:val="24"/>
        </w:rPr>
        <w:t>95</w:t>
      </w:r>
      <w:r>
        <w:rPr>
          <w:spacing w:val="40"/>
          <w:sz w:val="24"/>
        </w:rPr>
        <w:t> </w:t>
      </w:r>
      <w:r>
        <w:rPr>
          <w:sz w:val="24"/>
        </w:rPr>
        <w:t>kDa,</w:t>
      </w:r>
      <w:r>
        <w:rPr>
          <w:spacing w:val="40"/>
          <w:sz w:val="24"/>
        </w:rPr>
        <w:t> </w:t>
      </w:r>
      <w:r>
        <w:rPr>
          <w:sz w:val="24"/>
        </w:rPr>
        <w:t>cuenta</w:t>
      </w:r>
    </w:p>
    <w:p>
      <w:pPr>
        <w:pStyle w:val="BodyText"/>
        <w:spacing w:line="328" w:lineRule="auto" w:before="2"/>
        <w:ind w:left="196" w:right="275"/>
        <w:jc w:val="both"/>
        <w:rPr>
          <w:sz w:val="16"/>
        </w:rPr>
      </w:pPr>
      <w:r>
        <w:rPr/>
        <w:t>con actividad de exonucleasa de 5´ a 3´; su fidelidad de replicación depende de la concentración del ión Mg</w:t>
      </w:r>
      <w:r>
        <w:rPr>
          <w:position w:val="11"/>
          <w:sz w:val="16"/>
        </w:rPr>
        <w:t>+2 </w:t>
      </w:r>
      <w:r>
        <w:rPr/>
        <w:t>y de los dNTPs, así como del que exista o no, balance en la concentración de estos últimos.</w:t>
      </w:r>
      <w:r>
        <w:rPr>
          <w:position w:val="11"/>
          <w:sz w:val="16"/>
        </w:rPr>
        <w:t>74</w:t>
      </w:r>
    </w:p>
    <w:p>
      <w:pPr>
        <w:pStyle w:val="BodyText"/>
        <w:spacing w:before="4"/>
        <w:rPr>
          <w:sz w:val="23"/>
        </w:rPr>
      </w:pPr>
    </w:p>
    <w:p>
      <w:pPr>
        <w:pStyle w:val="ListParagraph"/>
        <w:numPr>
          <w:ilvl w:val="0"/>
          <w:numId w:val="14"/>
        </w:numPr>
        <w:tabs>
          <w:tab w:pos="523" w:val="left" w:leader="none"/>
        </w:tabs>
        <w:spacing w:line="350" w:lineRule="auto" w:before="0" w:after="0"/>
        <w:ind w:left="196" w:right="276" w:firstLine="0"/>
        <w:jc w:val="both"/>
        <w:rPr>
          <w:sz w:val="16"/>
        </w:rPr>
      </w:pPr>
      <w:r>
        <w:rPr>
          <w:i/>
          <w:sz w:val="24"/>
        </w:rPr>
        <w:t>DNA molde. </w:t>
      </w:r>
      <w:r>
        <w:rPr>
          <w:sz w:val="24"/>
        </w:rPr>
        <w:t>Contiene la región de DNA que se va a amplificar. La cantidad de DNA molde puede ser de tan sólo 1 ng en el caso de material genético clonado, o de un mínimo de 20 ng cuando se utiliza </w:t>
      </w:r>
      <w:r>
        <w:rPr>
          <w:spacing w:val="-3"/>
          <w:sz w:val="24"/>
        </w:rPr>
        <w:t>DNA </w:t>
      </w:r>
      <w:r>
        <w:rPr>
          <w:sz w:val="24"/>
        </w:rPr>
        <w:t>genómico proveniente de células eucariotas; el molde puede ser también RNA, que sea previamente transformado en cDNA mediante transcripción</w:t>
      </w:r>
      <w:r>
        <w:rPr>
          <w:spacing w:val="-14"/>
          <w:sz w:val="24"/>
        </w:rPr>
        <w:t> </w:t>
      </w:r>
      <w:r>
        <w:rPr>
          <w:sz w:val="24"/>
        </w:rPr>
        <w:t>reversa.</w:t>
      </w:r>
      <w:r>
        <w:rPr>
          <w:position w:val="11"/>
          <w:sz w:val="16"/>
        </w:rPr>
        <w:t>74</w:t>
      </w:r>
    </w:p>
    <w:p>
      <w:pPr>
        <w:pStyle w:val="ListParagraph"/>
        <w:numPr>
          <w:ilvl w:val="0"/>
          <w:numId w:val="14"/>
        </w:numPr>
        <w:tabs>
          <w:tab w:pos="508" w:val="left" w:leader="none"/>
        </w:tabs>
        <w:spacing w:line="328" w:lineRule="auto" w:before="198" w:after="0"/>
        <w:ind w:left="196" w:right="287" w:firstLine="0"/>
        <w:jc w:val="both"/>
        <w:rPr>
          <w:sz w:val="16"/>
        </w:rPr>
      </w:pPr>
      <w:r>
        <w:rPr>
          <w:i/>
          <w:sz w:val="24"/>
        </w:rPr>
        <w:t>Agua. </w:t>
      </w:r>
      <w:r>
        <w:rPr>
          <w:spacing w:val="-4"/>
          <w:sz w:val="24"/>
        </w:rPr>
        <w:t>El </w:t>
      </w:r>
      <w:r>
        <w:rPr>
          <w:sz w:val="24"/>
        </w:rPr>
        <w:t>agua se usa </w:t>
      </w:r>
      <w:r>
        <w:rPr>
          <w:spacing w:val="-4"/>
          <w:sz w:val="24"/>
        </w:rPr>
        <w:t>como </w:t>
      </w:r>
      <w:r>
        <w:rPr>
          <w:sz w:val="24"/>
        </w:rPr>
        <w:t>solvente del resto de los ingredientes y se requiere  que al menos sea</w:t>
      </w:r>
      <w:r>
        <w:rPr>
          <w:spacing w:val="-11"/>
          <w:sz w:val="24"/>
        </w:rPr>
        <w:t> </w:t>
      </w:r>
      <w:r>
        <w:rPr>
          <w:sz w:val="24"/>
        </w:rPr>
        <w:t>destilada.</w:t>
      </w:r>
      <w:r>
        <w:rPr>
          <w:position w:val="11"/>
          <w:sz w:val="16"/>
        </w:rPr>
        <w:t>74</w:t>
      </w:r>
    </w:p>
    <w:p>
      <w:pPr>
        <w:pStyle w:val="Heading2"/>
        <w:numPr>
          <w:ilvl w:val="2"/>
          <w:numId w:val="13"/>
        </w:numPr>
        <w:tabs>
          <w:tab w:pos="802" w:val="left" w:leader="none"/>
        </w:tabs>
        <w:spacing w:line="240" w:lineRule="auto" w:before="220" w:after="0"/>
        <w:ind w:left="801" w:right="0" w:hanging="605"/>
        <w:jc w:val="both"/>
      </w:pPr>
      <w:bookmarkStart w:name="_TOC_250040" w:id="26"/>
      <w:r>
        <w:rPr/>
        <w:t>Detección por fluorescencia empleada en la</w:t>
      </w:r>
      <w:r>
        <w:rPr>
          <w:spacing w:val="-29"/>
        </w:rPr>
        <w:t> </w:t>
      </w:r>
      <w:bookmarkEnd w:id="26"/>
      <w:r>
        <w:rPr/>
        <w:t>RT-qPCR</w:t>
      </w:r>
    </w:p>
    <w:p>
      <w:pPr>
        <w:pStyle w:val="BodyText"/>
        <w:spacing w:before="9"/>
        <w:rPr>
          <w:b/>
          <w:sz w:val="29"/>
        </w:rPr>
      </w:pPr>
    </w:p>
    <w:p>
      <w:pPr>
        <w:pStyle w:val="BodyText"/>
        <w:ind w:left="196"/>
        <w:jc w:val="both"/>
      </w:pPr>
      <w:r>
        <w:rPr/>
        <w:t>Los sistemas de detección por fluorescencia empleados en la RT-qPCR pueden ser:</w:t>
      </w:r>
    </w:p>
    <w:p>
      <w:pPr>
        <w:pStyle w:val="BodyText"/>
        <w:spacing w:before="5"/>
        <w:rPr>
          <w:sz w:val="29"/>
        </w:rPr>
      </w:pPr>
    </w:p>
    <w:p>
      <w:pPr>
        <w:pStyle w:val="ListParagraph"/>
        <w:numPr>
          <w:ilvl w:val="0"/>
          <w:numId w:val="15"/>
        </w:numPr>
        <w:tabs>
          <w:tab w:pos="624" w:val="left" w:leader="none"/>
        </w:tabs>
        <w:spacing w:line="350" w:lineRule="auto" w:before="0" w:after="0"/>
        <w:ind w:left="623" w:right="282" w:hanging="360"/>
        <w:jc w:val="both"/>
        <w:rPr>
          <w:sz w:val="24"/>
        </w:rPr>
      </w:pPr>
      <w:r>
        <w:rPr>
          <w:i/>
          <w:sz w:val="24"/>
        </w:rPr>
        <w:t>Agentes intercalantes fluorescentes</w:t>
      </w:r>
      <w:r>
        <w:rPr>
          <w:sz w:val="24"/>
        </w:rPr>
        <w:t>: son fluorocromos que aumentan la emisión de fluorescencia cuando se unen al DNA de doble hélice. El </w:t>
      </w:r>
      <w:r>
        <w:rPr>
          <w:spacing w:val="-3"/>
          <w:sz w:val="24"/>
        </w:rPr>
        <w:t>más </w:t>
      </w:r>
      <w:r>
        <w:rPr>
          <w:sz w:val="24"/>
        </w:rPr>
        <w:t>empleado es el SYBR Green I el cual aumenta en </w:t>
      </w:r>
      <w:r>
        <w:rPr>
          <w:spacing w:val="-3"/>
          <w:sz w:val="24"/>
        </w:rPr>
        <w:t>más </w:t>
      </w:r>
      <w:r>
        <w:rPr>
          <w:sz w:val="24"/>
        </w:rPr>
        <w:t>de 1000 veces su fluorescencia cuando se une al surco menor del DNA.</w:t>
      </w:r>
      <w:r>
        <w:rPr>
          <w:position w:val="11"/>
          <w:sz w:val="16"/>
        </w:rPr>
        <w:t>69,</w:t>
      </w:r>
      <w:r>
        <w:rPr>
          <w:spacing w:val="-15"/>
          <w:position w:val="11"/>
          <w:sz w:val="16"/>
        </w:rPr>
        <w:t> </w:t>
      </w:r>
      <w:r>
        <w:rPr>
          <w:position w:val="11"/>
          <w:sz w:val="16"/>
        </w:rPr>
        <w:t>72</w:t>
      </w:r>
    </w:p>
    <w:p>
      <w:pPr>
        <w:pStyle w:val="ListParagraph"/>
        <w:numPr>
          <w:ilvl w:val="0"/>
          <w:numId w:val="15"/>
        </w:numPr>
        <w:tabs>
          <w:tab w:pos="624" w:val="left" w:leader="none"/>
        </w:tabs>
        <w:spacing w:line="272" w:lineRule="exact" w:before="0" w:after="0"/>
        <w:ind w:left="623" w:right="0" w:hanging="360"/>
        <w:jc w:val="both"/>
        <w:rPr>
          <w:i/>
          <w:sz w:val="24"/>
        </w:rPr>
      </w:pPr>
      <w:r>
        <w:rPr>
          <w:i/>
          <w:sz w:val="24"/>
        </w:rPr>
        <w:t>Sondas de</w:t>
      </w:r>
      <w:r>
        <w:rPr>
          <w:i/>
          <w:spacing w:val="-18"/>
          <w:sz w:val="24"/>
        </w:rPr>
        <w:t> </w:t>
      </w:r>
      <w:r>
        <w:rPr>
          <w:i/>
          <w:sz w:val="24"/>
        </w:rPr>
        <w:t>hidrólisis</w:t>
      </w:r>
    </w:p>
    <w:p>
      <w:pPr>
        <w:pStyle w:val="ListParagraph"/>
        <w:numPr>
          <w:ilvl w:val="0"/>
          <w:numId w:val="16"/>
        </w:numPr>
        <w:tabs>
          <w:tab w:pos="624" w:val="left" w:leader="none"/>
        </w:tabs>
        <w:spacing w:line="357" w:lineRule="auto" w:before="140" w:after="0"/>
        <w:ind w:left="623" w:right="274" w:hanging="360"/>
        <w:jc w:val="both"/>
        <w:rPr>
          <w:sz w:val="24"/>
        </w:rPr>
      </w:pPr>
      <w:r>
        <w:rPr>
          <w:i/>
          <w:sz w:val="24"/>
        </w:rPr>
        <w:t>Taqman</w:t>
      </w:r>
      <w:r>
        <w:rPr>
          <w:sz w:val="24"/>
        </w:rPr>
        <w:t>: la sonda es un oligonucleótido de unión específica al DNA blanco marcada con un colorante indicador [(reportero), FAM (6-carboxifluoresceína)] unido a su extremo 5´, así como un colorante inhibidor [(extintor) TAMRA (6- carboxi-tetrametilrodamina)] en su extremo 3´. En la sonda intacta, el colorante inhibidor y el colorante indicador están en estrecha proximidad el uno al otro,   </w:t>
      </w:r>
      <w:r>
        <w:rPr>
          <w:spacing w:val="39"/>
          <w:sz w:val="24"/>
        </w:rPr>
        <w:t> </w:t>
      </w:r>
      <w:r>
        <w:rPr>
          <w:sz w:val="24"/>
        </w:rPr>
        <w:t>la</w:t>
      </w:r>
    </w:p>
    <w:p>
      <w:pPr>
        <w:spacing w:after="0" w:line="357" w:lineRule="auto"/>
        <w:jc w:val="both"/>
        <w:rPr>
          <w:sz w:val="24"/>
        </w:rPr>
        <w:sectPr>
          <w:pgSz w:w="12240" w:h="15840"/>
          <w:pgMar w:header="726" w:footer="1031" w:top="1340" w:bottom="1220" w:left="1220" w:right="1420"/>
        </w:sectPr>
      </w:pPr>
    </w:p>
    <w:p>
      <w:pPr>
        <w:pStyle w:val="BodyText"/>
        <w:spacing w:before="3"/>
        <w:rPr>
          <w:sz w:val="23"/>
        </w:rPr>
      </w:pPr>
    </w:p>
    <w:p>
      <w:pPr>
        <w:pStyle w:val="BodyText"/>
        <w:spacing w:line="360" w:lineRule="auto" w:before="69"/>
        <w:ind w:left="623" w:right="273"/>
        <w:jc w:val="both"/>
      </w:pPr>
      <w:r>
        <w:rPr/>
        <w:t>emisión fluorescente del colorante indicador es absorbida por el colorante inhibidor por medio de una transferencia de energía de resonancia fluorescente (FRET). Después de la hibridación de los cebadores a la secuencia blanco, la sonda TaqMan está diseñada para unirse a la secuencia blanco de una cadena sencilla de DNA, después por la acción de la DNA polimerasa, la sonda es desplazada de su sitio, liberando al colorante indicador del colorante inhibidor y permite la emisión de fluorescencia al ser iluminada con un láser, se monitorea la</w:t>
      </w:r>
    </w:p>
    <w:p>
      <w:pPr>
        <w:pStyle w:val="BodyText"/>
        <w:spacing w:line="328" w:lineRule="auto" w:before="2"/>
        <w:ind w:left="623" w:right="288"/>
        <w:jc w:val="both"/>
        <w:rPr>
          <w:sz w:val="16"/>
        </w:rPr>
      </w:pPr>
      <w:r>
        <w:rPr/>
        <w:t>señal fluorescente del indicador que se va acumulando en los sucesivos ciclos de </w:t>
      </w:r>
      <w:r>
        <w:rPr>
          <w:position w:val="-10"/>
        </w:rPr>
        <w:t>PCR.</w:t>
      </w:r>
      <w:r>
        <w:rPr>
          <w:sz w:val="16"/>
        </w:rPr>
        <w:t>72, 73, 76</w:t>
      </w:r>
    </w:p>
    <w:p>
      <w:pPr>
        <w:pStyle w:val="ListParagraph"/>
        <w:numPr>
          <w:ilvl w:val="0"/>
          <w:numId w:val="15"/>
        </w:numPr>
        <w:tabs>
          <w:tab w:pos="624" w:val="left" w:leader="none"/>
        </w:tabs>
        <w:spacing w:line="240" w:lineRule="auto" w:before="29" w:after="0"/>
        <w:ind w:left="623" w:right="0" w:hanging="360"/>
        <w:jc w:val="left"/>
        <w:rPr>
          <w:sz w:val="24"/>
        </w:rPr>
      </w:pPr>
      <w:r>
        <w:rPr>
          <w:i/>
          <w:sz w:val="24"/>
        </w:rPr>
        <w:t>Sondas</w:t>
      </w:r>
      <w:r>
        <w:rPr>
          <w:i/>
          <w:spacing w:val="-11"/>
          <w:sz w:val="24"/>
        </w:rPr>
        <w:t> </w:t>
      </w:r>
      <w:r>
        <w:rPr>
          <w:i/>
          <w:sz w:val="24"/>
        </w:rPr>
        <w:t>Hairpin</w:t>
      </w:r>
      <w:r>
        <w:rPr>
          <w:sz w:val="24"/>
        </w:rPr>
        <w:t>:</w:t>
      </w:r>
    </w:p>
    <w:p>
      <w:pPr>
        <w:pStyle w:val="ListParagraph"/>
        <w:numPr>
          <w:ilvl w:val="0"/>
          <w:numId w:val="16"/>
        </w:numPr>
        <w:tabs>
          <w:tab w:pos="624" w:val="left" w:leader="none"/>
        </w:tabs>
        <w:spacing w:line="352" w:lineRule="auto" w:before="135" w:after="0"/>
        <w:ind w:left="623" w:right="276" w:hanging="360"/>
        <w:jc w:val="both"/>
        <w:rPr>
          <w:sz w:val="16"/>
        </w:rPr>
      </w:pPr>
      <w:r>
        <w:rPr>
          <w:i/>
          <w:sz w:val="24"/>
        </w:rPr>
        <w:t>Molecular Beacons</w:t>
      </w:r>
      <w:r>
        <w:rPr>
          <w:sz w:val="24"/>
        </w:rPr>
        <w:t>. Estas sondas poseen secuencias repetidas invertidas (ITR) en sus extremos 5´ y 3´. Este diseño permite que </w:t>
      </w:r>
      <w:r>
        <w:rPr>
          <w:spacing w:val="-3"/>
          <w:sz w:val="24"/>
        </w:rPr>
        <w:t>se </w:t>
      </w:r>
      <w:r>
        <w:rPr>
          <w:sz w:val="24"/>
        </w:rPr>
        <w:t>forme una estructura de horquilla (hairpin) por complementariedad de las dos regiones ITR, en ausencia de la secuencia blanco. La secuencia interna de la sonda es complementaria a la secuencia blanco, dirigiendo así la hibridación específica, resultando en una eficiente separación del extintor y del reportero y la consecuente emisión de este último.</w:t>
      </w:r>
      <w:r>
        <w:rPr>
          <w:position w:val="11"/>
          <w:sz w:val="16"/>
        </w:rPr>
        <w:t>73,</w:t>
      </w:r>
      <w:r>
        <w:rPr>
          <w:spacing w:val="-7"/>
          <w:position w:val="11"/>
          <w:sz w:val="16"/>
        </w:rPr>
        <w:t> </w:t>
      </w:r>
      <w:r>
        <w:rPr>
          <w:position w:val="11"/>
          <w:sz w:val="16"/>
        </w:rPr>
        <w:t>76</w:t>
      </w:r>
    </w:p>
    <w:p>
      <w:pPr>
        <w:pStyle w:val="ListParagraph"/>
        <w:numPr>
          <w:ilvl w:val="0"/>
          <w:numId w:val="16"/>
        </w:numPr>
        <w:tabs>
          <w:tab w:pos="624" w:val="left" w:leader="none"/>
        </w:tabs>
        <w:spacing w:line="348" w:lineRule="auto" w:before="0" w:after="0"/>
        <w:ind w:left="623" w:right="276" w:hanging="360"/>
        <w:jc w:val="both"/>
        <w:rPr>
          <w:sz w:val="16"/>
        </w:rPr>
      </w:pPr>
      <w:r>
        <w:rPr>
          <w:i/>
          <w:sz w:val="24"/>
        </w:rPr>
        <w:t>Scorpions. </w:t>
      </w:r>
      <w:r>
        <w:rPr>
          <w:sz w:val="24"/>
        </w:rPr>
        <w:t>Son primers de PCR con una cola tallo y asa ("Stem-Loop") que contiene un fluoróforo y un extintor. La estructura de tallo y asa es separada de la secuencia del primer de PCR por una modificación química que evita que se copie la secuencia de tallo y asa del scorpion.</w:t>
      </w:r>
      <w:r>
        <w:rPr>
          <w:position w:val="11"/>
          <w:sz w:val="16"/>
        </w:rPr>
        <w:t>73,</w:t>
      </w:r>
      <w:r>
        <w:rPr>
          <w:spacing w:val="-13"/>
          <w:position w:val="11"/>
          <w:sz w:val="16"/>
        </w:rPr>
        <w:t> </w:t>
      </w:r>
      <w:r>
        <w:rPr>
          <w:position w:val="11"/>
          <w:sz w:val="16"/>
        </w:rPr>
        <w:t>76</w:t>
      </w:r>
    </w:p>
    <w:p>
      <w:pPr>
        <w:pStyle w:val="ListParagraph"/>
        <w:numPr>
          <w:ilvl w:val="0"/>
          <w:numId w:val="15"/>
        </w:numPr>
        <w:tabs>
          <w:tab w:pos="624" w:val="left" w:leader="none"/>
        </w:tabs>
        <w:spacing w:line="360" w:lineRule="auto" w:before="0" w:after="0"/>
        <w:ind w:left="623" w:right="275" w:hanging="360"/>
        <w:jc w:val="both"/>
        <w:rPr>
          <w:sz w:val="24"/>
        </w:rPr>
      </w:pPr>
      <w:r>
        <w:rPr>
          <w:i/>
          <w:sz w:val="24"/>
        </w:rPr>
        <w:t>Sondas de hibridación</w:t>
      </w:r>
      <w:r>
        <w:rPr>
          <w:sz w:val="24"/>
        </w:rPr>
        <w:t>: El diseño implica el uso de dos secuencias de oligonucleótidos específicos como sondas, cada una marcada con un fluoróforo diferente, comúnmente, el extremo 3´ de la sonda donadora con fluoresceína y el extremo 5´ de la sonda aceptor con LC Red 640 o LC Red 705. Las dos  </w:t>
      </w:r>
      <w:r>
        <w:rPr>
          <w:spacing w:val="40"/>
          <w:sz w:val="24"/>
        </w:rPr>
        <w:t> </w:t>
      </w:r>
      <w:r>
        <w:rPr>
          <w:sz w:val="24"/>
        </w:rPr>
        <w:t>sondas</w:t>
      </w:r>
    </w:p>
    <w:p>
      <w:pPr>
        <w:pStyle w:val="BodyText"/>
        <w:spacing w:line="324" w:lineRule="auto" w:before="2"/>
        <w:ind w:left="623" w:right="275"/>
        <w:jc w:val="both"/>
        <w:rPr>
          <w:sz w:val="16"/>
        </w:rPr>
      </w:pPr>
      <w:r>
        <w:rPr/>
        <w:t>están diseñadas para hibridar en sus blancos específicos en un arreglo cabeza- cola que permite que ambos fluoróforos estén en estrecha proximidad entre sí.</w:t>
      </w:r>
      <w:r>
        <w:rPr>
          <w:position w:val="11"/>
          <w:sz w:val="16"/>
        </w:rPr>
        <w:t>76</w:t>
      </w:r>
    </w:p>
    <w:p>
      <w:pPr>
        <w:spacing w:after="0" w:line="324" w:lineRule="auto"/>
        <w:jc w:val="both"/>
        <w:rPr>
          <w:sz w:val="16"/>
        </w:rPr>
        <w:sectPr>
          <w:pgSz w:w="12240" w:h="15840"/>
          <w:pgMar w:header="726" w:footer="1031" w:top="1340" w:bottom="1220" w:left="1220" w:right="1420"/>
        </w:sectPr>
      </w:pPr>
    </w:p>
    <w:p>
      <w:pPr>
        <w:pStyle w:val="BodyText"/>
        <w:spacing w:before="4"/>
        <w:rPr>
          <w:sz w:val="22"/>
        </w:rPr>
      </w:pPr>
    </w:p>
    <w:p>
      <w:pPr>
        <w:pStyle w:val="Heading2"/>
        <w:numPr>
          <w:ilvl w:val="2"/>
          <w:numId w:val="13"/>
        </w:numPr>
        <w:tabs>
          <w:tab w:pos="801" w:val="left" w:leader="none"/>
        </w:tabs>
        <w:spacing w:line="240" w:lineRule="auto" w:before="70" w:after="0"/>
        <w:ind w:left="800" w:right="0" w:hanging="604"/>
        <w:jc w:val="left"/>
      </w:pPr>
      <w:bookmarkStart w:name="_TOC_250039" w:id="27"/>
      <w:r>
        <w:rPr/>
        <w:t>Controles para</w:t>
      </w:r>
      <w:r>
        <w:rPr>
          <w:spacing w:val="-11"/>
        </w:rPr>
        <w:t> </w:t>
      </w:r>
      <w:bookmarkEnd w:id="27"/>
      <w:r>
        <w:rPr/>
        <w:t>PCR</w:t>
      </w:r>
    </w:p>
    <w:p>
      <w:pPr>
        <w:pStyle w:val="BodyText"/>
        <w:spacing w:before="10"/>
        <w:rPr>
          <w:b/>
          <w:sz w:val="29"/>
        </w:rPr>
      </w:pPr>
    </w:p>
    <w:p>
      <w:pPr>
        <w:pStyle w:val="ListParagraph"/>
        <w:numPr>
          <w:ilvl w:val="3"/>
          <w:numId w:val="13"/>
        </w:numPr>
        <w:tabs>
          <w:tab w:pos="1004" w:val="left" w:leader="none"/>
        </w:tabs>
        <w:spacing w:line="240" w:lineRule="auto" w:before="0" w:after="0"/>
        <w:ind w:left="1003" w:right="0" w:hanging="807"/>
        <w:jc w:val="left"/>
        <w:rPr>
          <w:sz w:val="24"/>
        </w:rPr>
      </w:pPr>
      <w:r>
        <w:rPr>
          <w:sz w:val="24"/>
          <w:u w:val="single"/>
        </w:rPr>
        <w:t>Controles</w:t>
      </w:r>
      <w:r>
        <w:rPr>
          <w:spacing w:val="-11"/>
          <w:sz w:val="24"/>
          <w:u w:val="single"/>
        </w:rPr>
        <w:t> </w:t>
      </w:r>
      <w:r>
        <w:rPr>
          <w:sz w:val="24"/>
          <w:u w:val="single"/>
        </w:rPr>
        <w:t>negativos</w:t>
      </w:r>
    </w:p>
    <w:p>
      <w:pPr>
        <w:pStyle w:val="BodyText"/>
        <w:spacing w:before="9"/>
      </w:pPr>
    </w:p>
    <w:p>
      <w:pPr>
        <w:pStyle w:val="ListParagraph"/>
        <w:numPr>
          <w:ilvl w:val="4"/>
          <w:numId w:val="13"/>
        </w:numPr>
        <w:tabs>
          <w:tab w:pos="917" w:val="left" w:leader="none"/>
        </w:tabs>
        <w:spacing w:line="357" w:lineRule="auto" w:before="56" w:after="0"/>
        <w:ind w:left="917" w:right="277" w:hanging="361"/>
        <w:jc w:val="both"/>
        <w:rPr>
          <w:sz w:val="24"/>
        </w:rPr>
      </w:pPr>
      <w:r>
        <w:rPr>
          <w:sz w:val="24"/>
        </w:rPr>
        <w:t>NTC (</w:t>
      </w:r>
      <w:r>
        <w:rPr>
          <w:i/>
          <w:sz w:val="24"/>
        </w:rPr>
        <w:t>Negative Template Control</w:t>
      </w:r>
      <w:r>
        <w:rPr>
          <w:sz w:val="24"/>
        </w:rPr>
        <w:t>): el control negativo de la plantilla contiene una mezcla de agua y de reacción, no debe observarse ninguna amplificación en el NTC; sin embargo, a veces es difícil de</w:t>
      </w:r>
      <w:r>
        <w:rPr>
          <w:spacing w:val="-15"/>
          <w:sz w:val="24"/>
        </w:rPr>
        <w:t> </w:t>
      </w:r>
      <w:r>
        <w:rPr>
          <w:sz w:val="24"/>
        </w:rPr>
        <w:t>lograr.</w:t>
      </w:r>
    </w:p>
    <w:p>
      <w:pPr>
        <w:pStyle w:val="ListParagraph"/>
        <w:numPr>
          <w:ilvl w:val="4"/>
          <w:numId w:val="13"/>
        </w:numPr>
        <w:tabs>
          <w:tab w:pos="917" w:val="left" w:leader="none"/>
        </w:tabs>
        <w:spacing w:line="355" w:lineRule="auto" w:before="3" w:after="0"/>
        <w:ind w:left="917" w:right="276" w:hanging="361"/>
        <w:jc w:val="both"/>
        <w:rPr>
          <w:sz w:val="24"/>
        </w:rPr>
      </w:pPr>
      <w:r>
        <w:rPr>
          <w:sz w:val="24"/>
        </w:rPr>
        <w:t>NAC (</w:t>
      </w:r>
      <w:r>
        <w:rPr>
          <w:i/>
          <w:sz w:val="24"/>
        </w:rPr>
        <w:t>Negative Amplification Control</w:t>
      </w:r>
      <w:r>
        <w:rPr>
          <w:sz w:val="24"/>
        </w:rPr>
        <w:t>): el control negativo de amplificación incluye todos los componentes excepto la enzima</w:t>
      </w:r>
      <w:r>
        <w:rPr>
          <w:spacing w:val="-28"/>
          <w:sz w:val="24"/>
        </w:rPr>
        <w:t> </w:t>
      </w:r>
      <w:r>
        <w:rPr>
          <w:sz w:val="24"/>
        </w:rPr>
        <w:t>polimerasa.</w:t>
      </w:r>
    </w:p>
    <w:p>
      <w:pPr>
        <w:pStyle w:val="ListParagraph"/>
        <w:numPr>
          <w:ilvl w:val="4"/>
          <w:numId w:val="13"/>
        </w:numPr>
        <w:tabs>
          <w:tab w:pos="917" w:val="left" w:leader="none"/>
        </w:tabs>
        <w:spacing w:line="321" w:lineRule="auto" w:before="6" w:after="0"/>
        <w:ind w:left="917" w:right="275" w:hanging="361"/>
        <w:jc w:val="both"/>
        <w:rPr>
          <w:sz w:val="16"/>
        </w:rPr>
      </w:pPr>
      <w:r>
        <w:rPr>
          <w:sz w:val="24"/>
        </w:rPr>
        <w:t>No RT (No Reverse Transcriptase): control negativo de  transcriptasa reversa.</w:t>
      </w:r>
      <w:r>
        <w:rPr>
          <w:position w:val="11"/>
          <w:sz w:val="16"/>
        </w:rPr>
        <w:t>76</w:t>
      </w:r>
    </w:p>
    <w:p>
      <w:pPr>
        <w:pStyle w:val="ListParagraph"/>
        <w:numPr>
          <w:ilvl w:val="3"/>
          <w:numId w:val="13"/>
        </w:numPr>
        <w:tabs>
          <w:tab w:pos="1004" w:val="left" w:leader="none"/>
        </w:tabs>
        <w:spacing w:line="240" w:lineRule="auto" w:before="234" w:after="0"/>
        <w:ind w:left="1003" w:right="0" w:hanging="807"/>
        <w:jc w:val="left"/>
        <w:rPr>
          <w:sz w:val="24"/>
        </w:rPr>
      </w:pPr>
      <w:r>
        <w:rPr>
          <w:sz w:val="24"/>
          <w:u w:val="single"/>
        </w:rPr>
        <w:t>Controles</w:t>
      </w:r>
      <w:r>
        <w:rPr>
          <w:spacing w:val="-12"/>
          <w:sz w:val="24"/>
          <w:u w:val="single"/>
        </w:rPr>
        <w:t> </w:t>
      </w:r>
      <w:r>
        <w:rPr>
          <w:sz w:val="24"/>
          <w:u w:val="single"/>
        </w:rPr>
        <w:t>positivos</w:t>
      </w:r>
    </w:p>
    <w:p>
      <w:pPr>
        <w:pStyle w:val="BodyText"/>
        <w:spacing w:before="9"/>
        <w:rPr>
          <w:sz w:val="23"/>
        </w:rPr>
      </w:pPr>
    </w:p>
    <w:p>
      <w:pPr>
        <w:pStyle w:val="BodyText"/>
        <w:spacing w:line="357" w:lineRule="auto" w:before="70"/>
        <w:ind w:left="196" w:right="282"/>
        <w:jc w:val="both"/>
      </w:pPr>
      <w:r>
        <w:rPr/>
        <w:t>Sus objetivos principales son detectar la calidad de los reactivos utilizados, la presencia de inhibidores en la muestra, o muestra dañada. Los controles positivos también se pueden utilizar para la normalización.</w:t>
      </w:r>
    </w:p>
    <w:p>
      <w:pPr>
        <w:pStyle w:val="ListParagraph"/>
        <w:numPr>
          <w:ilvl w:val="4"/>
          <w:numId w:val="13"/>
        </w:numPr>
        <w:tabs>
          <w:tab w:pos="917" w:val="left" w:leader="none"/>
        </w:tabs>
        <w:spacing w:line="357" w:lineRule="auto" w:before="210" w:after="0"/>
        <w:ind w:left="917" w:right="276" w:hanging="361"/>
        <w:jc w:val="both"/>
        <w:rPr>
          <w:sz w:val="24"/>
        </w:rPr>
      </w:pPr>
      <w:r>
        <w:rPr>
          <w:sz w:val="24"/>
        </w:rPr>
        <w:t>Control Positivo endógeno: es un segundo objetivo para el nivel de expresión que se mide en la </w:t>
      </w:r>
      <w:r>
        <w:rPr>
          <w:spacing w:val="-3"/>
          <w:sz w:val="24"/>
        </w:rPr>
        <w:t>misma </w:t>
      </w:r>
      <w:r>
        <w:rPr>
          <w:sz w:val="24"/>
        </w:rPr>
        <w:t>muestra que el gen de interés; puede ser utilizado para estandarizar la cantidad de muestra de RNA o DNA añadido a la reacción.</w:t>
      </w:r>
    </w:p>
    <w:p>
      <w:pPr>
        <w:pStyle w:val="ListParagraph"/>
        <w:numPr>
          <w:ilvl w:val="4"/>
          <w:numId w:val="13"/>
        </w:numPr>
        <w:tabs>
          <w:tab w:pos="917" w:val="left" w:leader="none"/>
        </w:tabs>
        <w:spacing w:line="345" w:lineRule="auto" w:before="4" w:after="0"/>
        <w:ind w:left="917" w:right="275" w:hanging="361"/>
        <w:jc w:val="both"/>
        <w:rPr>
          <w:sz w:val="16"/>
        </w:rPr>
      </w:pPr>
      <w:r>
        <w:rPr>
          <w:sz w:val="24"/>
        </w:rPr>
        <w:t>Control Positivo exógeno: es una muestra diferente en la que se conoce el gen de interés a ser expresado; ofrece la posibilidad de comprobar la calidad de los cebadores, sondas y reactivos, pero no </w:t>
      </w:r>
      <w:r>
        <w:rPr>
          <w:spacing w:val="-3"/>
          <w:sz w:val="24"/>
        </w:rPr>
        <w:t>se </w:t>
      </w:r>
      <w:r>
        <w:rPr>
          <w:sz w:val="24"/>
        </w:rPr>
        <w:t>da ninguna indicación relativa a la</w:t>
      </w:r>
      <w:r>
        <w:rPr>
          <w:spacing w:val="-7"/>
          <w:sz w:val="24"/>
        </w:rPr>
        <w:t> </w:t>
      </w:r>
      <w:r>
        <w:rPr>
          <w:sz w:val="24"/>
        </w:rPr>
        <w:t>muestra.</w:t>
      </w:r>
      <w:r>
        <w:rPr>
          <w:position w:val="11"/>
          <w:sz w:val="16"/>
        </w:rPr>
        <w:t>76</w:t>
      </w:r>
    </w:p>
    <w:p>
      <w:pPr>
        <w:pStyle w:val="ListParagraph"/>
        <w:numPr>
          <w:ilvl w:val="3"/>
          <w:numId w:val="13"/>
        </w:numPr>
        <w:tabs>
          <w:tab w:pos="1004" w:val="left" w:leader="none"/>
        </w:tabs>
        <w:spacing w:line="240" w:lineRule="auto" w:before="204" w:after="0"/>
        <w:ind w:left="1003" w:right="0" w:hanging="807"/>
        <w:jc w:val="both"/>
        <w:rPr>
          <w:sz w:val="24"/>
        </w:rPr>
      </w:pPr>
      <w:r>
        <w:rPr>
          <w:sz w:val="24"/>
          <w:u w:val="single"/>
        </w:rPr>
        <w:t>Genes normalizadores o</w:t>
      </w:r>
      <w:r>
        <w:rPr>
          <w:spacing w:val="-21"/>
          <w:sz w:val="24"/>
          <w:u w:val="single"/>
        </w:rPr>
        <w:t> </w:t>
      </w:r>
      <w:r>
        <w:rPr>
          <w:sz w:val="24"/>
          <w:u w:val="single"/>
        </w:rPr>
        <w:t>constitutivos</w:t>
      </w:r>
    </w:p>
    <w:p>
      <w:pPr>
        <w:pStyle w:val="BodyText"/>
        <w:spacing w:before="9"/>
        <w:rPr>
          <w:sz w:val="23"/>
        </w:rPr>
      </w:pPr>
    </w:p>
    <w:p>
      <w:pPr>
        <w:pStyle w:val="BodyText"/>
        <w:spacing w:line="360" w:lineRule="auto" w:before="69"/>
        <w:ind w:left="196" w:right="284"/>
        <w:jc w:val="both"/>
      </w:pPr>
      <w:r>
        <w:rPr/>
        <w:t>Son un grupo de genes que se expresan en todas las células del organismo y codifican para proteínas que son esenciales para el funcionamiento general de las células; pueden ser expresados en diferentes condiciones experimentales incluyendo diferentes tejidos o tipo de células. Su expresión no debe ser muy diferente del gen blanco, la estabilidad y tamaño debe    ser parecido a los genes de interés. Los datos</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28" w:lineRule="auto" w:before="69"/>
        <w:ind w:left="196" w:right="279"/>
        <w:jc w:val="both"/>
        <w:rPr>
          <w:sz w:val="16"/>
        </w:rPr>
      </w:pPr>
      <w:r>
        <w:rPr/>
        <w:t>de la expresión de genes normalizadores son utilizados para corregir la variación muestra-muestra y compensar el error experimental.</w:t>
      </w:r>
      <w:r>
        <w:rPr>
          <w:position w:val="11"/>
          <w:sz w:val="16"/>
        </w:rPr>
        <w:t>69, 73</w:t>
      </w:r>
    </w:p>
    <w:p>
      <w:pPr>
        <w:pStyle w:val="BodyText"/>
        <w:spacing w:line="360" w:lineRule="auto" w:before="230"/>
        <w:ind w:left="196" w:right="272"/>
        <w:jc w:val="both"/>
      </w:pPr>
      <w:r>
        <w:rPr/>
        <w:t>En base a estudios y observaciones, de cuáles son más a menudo sometidos a validación, algunos ejemplos de genes de referencia de uso común son: 18S rRNA (18S RNA ribosomal), 28S rRNA (28S RNA ribosomal), TUBA (</w:t>
      </w:r>
      <w:r>
        <w:rPr>
          <w:rFonts w:ascii="Symbol" w:hAnsi="Symbol"/>
        </w:rPr>
        <w:t></w:t>
      </w:r>
      <w:r>
        <w:rPr>
          <w:rFonts w:ascii="Times New Roman" w:hAnsi="Times New Roman"/>
        </w:rPr>
        <w:t> </w:t>
      </w:r>
      <w:r>
        <w:rPr/>
        <w:t>-tubulina), ACTB (</w:t>
      </w:r>
      <w:r>
        <w:rPr>
          <w:rFonts w:ascii="Symbol" w:hAnsi="Symbol"/>
        </w:rPr>
        <w:t></w:t>
      </w:r>
      <w:r>
        <w:rPr/>
        <w:t>- actina), </w:t>
      </w:r>
      <w:r>
        <w:rPr>
          <w:rFonts w:ascii="Symbol" w:hAnsi="Symbol"/>
        </w:rPr>
        <w:t></w:t>
      </w:r>
      <w:r>
        <w:rPr/>
        <w:t>2M (</w:t>
      </w:r>
      <w:r>
        <w:rPr>
          <w:rFonts w:ascii="Symbol" w:hAnsi="Symbol"/>
        </w:rPr>
        <w:t></w:t>
      </w:r>
      <w:r>
        <w:rPr/>
        <w:t>2 microglobulina), ALB (albúmina), RPL32 (proteína ribosomal L32), TBP (proteína de unión a secuencia TATA), CYCC (ciclofilina C), EF1A (factor de</w:t>
      </w:r>
    </w:p>
    <w:p>
      <w:pPr>
        <w:pStyle w:val="BodyText"/>
        <w:spacing w:line="324" w:lineRule="auto" w:before="2"/>
        <w:ind w:left="196" w:right="275"/>
        <w:jc w:val="both"/>
        <w:rPr>
          <w:sz w:val="16"/>
        </w:rPr>
      </w:pPr>
      <w:r>
        <w:rPr/>
        <w:t>elongación 1α), GAPDH (gliceraldehído-3-fosfato deshidrogenasa), HPRT (hipoxantina fosforribosil transferasa) y RPII (RNA polimerasa II).</w:t>
      </w:r>
      <w:r>
        <w:rPr>
          <w:position w:val="11"/>
          <w:sz w:val="16"/>
        </w:rPr>
        <w:t>69, 73</w:t>
      </w:r>
    </w:p>
    <w:p>
      <w:pPr>
        <w:pStyle w:val="Heading2"/>
        <w:numPr>
          <w:ilvl w:val="2"/>
          <w:numId w:val="13"/>
        </w:numPr>
        <w:tabs>
          <w:tab w:pos="801" w:val="left" w:leader="none"/>
        </w:tabs>
        <w:spacing w:line="240" w:lineRule="auto" w:before="226" w:after="0"/>
        <w:ind w:left="800" w:right="0" w:hanging="604"/>
        <w:jc w:val="both"/>
      </w:pPr>
      <w:bookmarkStart w:name="_TOC_250038" w:id="28"/>
      <w:r>
        <w:rPr/>
        <w:t>Equipos para</w:t>
      </w:r>
      <w:r>
        <w:rPr>
          <w:spacing w:val="-14"/>
        </w:rPr>
        <w:t> </w:t>
      </w:r>
      <w:bookmarkEnd w:id="28"/>
      <w:r>
        <w:rPr/>
        <w:t>RT-qPCR</w:t>
      </w:r>
    </w:p>
    <w:p>
      <w:pPr>
        <w:pStyle w:val="BodyText"/>
        <w:spacing w:before="3"/>
        <w:rPr>
          <w:b/>
          <w:sz w:val="30"/>
        </w:rPr>
      </w:pPr>
    </w:p>
    <w:p>
      <w:pPr>
        <w:pStyle w:val="BodyText"/>
        <w:spacing w:line="343" w:lineRule="auto"/>
        <w:ind w:left="196" w:right="274"/>
        <w:jc w:val="both"/>
        <w:rPr>
          <w:sz w:val="16"/>
        </w:rPr>
      </w:pPr>
      <w:r>
        <w:rPr/>
        <w:t>Están compuestos por un termociclador y por un lector de fluorescencia y diseñados para poder efectuar la lectura de la fluorescencia emitida en cada uno de los viales usados y en cualquier momento de la reacción.</w:t>
      </w:r>
      <w:r>
        <w:rPr>
          <w:position w:val="11"/>
          <w:sz w:val="16"/>
        </w:rPr>
        <w:t>76</w:t>
      </w:r>
    </w:p>
    <w:p>
      <w:pPr>
        <w:pStyle w:val="Heading2"/>
        <w:numPr>
          <w:ilvl w:val="2"/>
          <w:numId w:val="13"/>
        </w:numPr>
        <w:tabs>
          <w:tab w:pos="801" w:val="left" w:leader="none"/>
        </w:tabs>
        <w:spacing w:line="240" w:lineRule="auto" w:before="197" w:after="0"/>
        <w:ind w:left="800" w:right="0" w:hanging="604"/>
        <w:jc w:val="both"/>
      </w:pPr>
      <w:bookmarkStart w:name="_TOC_250037" w:id="29"/>
      <w:r>
        <w:rPr/>
        <w:t>Cinética de la</w:t>
      </w:r>
      <w:r>
        <w:rPr>
          <w:spacing w:val="-7"/>
        </w:rPr>
        <w:t> </w:t>
      </w:r>
      <w:bookmarkEnd w:id="29"/>
      <w:r>
        <w:rPr/>
        <w:t>RT-qPCR</w:t>
      </w:r>
    </w:p>
    <w:p>
      <w:pPr>
        <w:pStyle w:val="BodyText"/>
        <w:spacing w:before="3"/>
        <w:rPr>
          <w:b/>
          <w:sz w:val="30"/>
        </w:rPr>
      </w:pPr>
    </w:p>
    <w:p>
      <w:pPr>
        <w:pStyle w:val="BodyText"/>
        <w:spacing w:line="360" w:lineRule="auto"/>
        <w:ind w:left="196" w:right="274"/>
        <w:jc w:val="both"/>
      </w:pPr>
      <w:r>
        <w:rPr/>
        <w:t>El resultado de una PCR en tiempo real </w:t>
      </w:r>
      <w:r>
        <w:rPr>
          <w:spacing w:val="-3"/>
        </w:rPr>
        <w:t>se </w:t>
      </w:r>
      <w:r>
        <w:rPr/>
        <w:t>visualiza en un gráfico de amplificación, en el cual se expresa la fluorescencia leída por el termociclador en el eje de las ordenadas (Y) y el número de ciclos de la PCR en el eje de las abscisas </w:t>
      </w:r>
      <w:r>
        <w:rPr>
          <w:spacing w:val="4"/>
        </w:rPr>
        <w:t>(X). </w:t>
      </w:r>
      <w:r>
        <w:rPr/>
        <w:t>De esta forma, la curva de amplificación muestra el aumento de nivel de fluorescencia (llamada Rn, Rfu, F1) y consta de cuatro fases principales: la fase lineal basal </w:t>
      </w:r>
      <w:r>
        <w:rPr>
          <w:spacing w:val="2"/>
        </w:rPr>
        <w:t>(línea </w:t>
      </w:r>
      <w:r>
        <w:rPr/>
        <w:t>basal o background), fase exponencial temprana, fase logarítmica lineal (o exponencial) y la fase de meseta (plateau). Durante la fase lineal basal (los primeros 10 a 15 ciclos), la PCR apenas comienza, y </w:t>
      </w:r>
      <w:r>
        <w:rPr>
          <w:spacing w:val="6"/>
        </w:rPr>
        <w:t>la </w:t>
      </w:r>
      <w:r>
        <w:rPr/>
        <w:t>producción de fluorescencia (DNA producto) está por debajo del nivel de detección del termociclador. En el gráfico es posible establecer un valor umbral de fluorescencia que señala la zona de aumento exponencial; este valor se representa en el gráfico con una recta horizontal (línea Threshold o Umbral), y se encuentra por encima de la línea basal; el umbral se  puede calcular de </w:t>
      </w:r>
      <w:r>
        <w:rPr>
          <w:spacing w:val="-3"/>
        </w:rPr>
        <w:t>forma </w:t>
      </w:r>
      <w:r>
        <w:rPr/>
        <w:t>automática o configurar manualmente. En la fase exponencial temprana, la cantidad de fluorescencia ha alcanzado el umbral; el </w:t>
      </w:r>
      <w:r>
        <w:rPr>
          <w:spacing w:val="21"/>
        </w:rPr>
        <w:t> </w:t>
      </w:r>
      <w:r>
        <w:rPr/>
        <w:t>punto</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52" w:lineRule="auto" w:before="69"/>
        <w:ind w:left="196" w:right="275"/>
        <w:jc w:val="both"/>
        <w:rPr>
          <w:sz w:val="16"/>
        </w:rPr>
      </w:pPr>
      <w:r>
        <w:rPr/>
        <w:t>donde se intersecta la curva de amplificación con el umbral se denomina </w:t>
      </w:r>
      <w:r>
        <w:rPr>
          <w:spacing w:val="2"/>
        </w:rPr>
        <w:t>C</w:t>
      </w:r>
      <w:r>
        <w:rPr>
          <w:spacing w:val="2"/>
          <w:position w:val="-2"/>
          <w:sz w:val="16"/>
        </w:rPr>
        <w:t>T </w:t>
      </w:r>
      <w:r>
        <w:rPr/>
        <w:t>(Threshold Cycle), y corresponde al número de ciclos necesarios para alcanzar el umbral. Durante la fase logarítmica lineal, la PCR alcanza su período de  amplificación óptima del producto. Por último, la etapa de meseta se </w:t>
      </w:r>
      <w:r>
        <w:rPr>
          <w:spacing w:val="2"/>
        </w:rPr>
        <w:t>alcanza </w:t>
      </w:r>
      <w:r>
        <w:rPr/>
        <w:t>cuando los componentes de reacción se van limitando y la intensidad de fluorescencia </w:t>
      </w:r>
      <w:r>
        <w:rPr>
          <w:spacing w:val="-3"/>
        </w:rPr>
        <w:t>ya </w:t>
      </w:r>
      <w:r>
        <w:rPr/>
        <w:t>no es útil para el cálculo de datos.</w:t>
      </w:r>
      <w:r>
        <w:rPr>
          <w:position w:val="11"/>
          <w:sz w:val="16"/>
        </w:rPr>
        <w:t>70, 76,</w:t>
      </w:r>
      <w:r>
        <w:rPr>
          <w:spacing w:val="-13"/>
          <w:position w:val="11"/>
          <w:sz w:val="16"/>
        </w:rPr>
        <w:t> </w:t>
      </w:r>
      <w:r>
        <w:rPr>
          <w:position w:val="11"/>
          <w:sz w:val="16"/>
        </w:rPr>
        <w:t>77</w:t>
      </w:r>
    </w:p>
    <w:p>
      <w:pPr>
        <w:pStyle w:val="BodyText"/>
        <w:spacing w:before="6"/>
        <w:rPr>
          <w:sz w:val="21"/>
        </w:rPr>
      </w:pPr>
      <w:r>
        <w:rPr/>
        <w:drawing>
          <wp:anchor distT="0" distB="0" distL="0" distR="0" allowOverlap="1" layoutInCell="1" locked="0" behindDoc="0" simplePos="0" relativeHeight="1336">
            <wp:simplePos x="0" y="0"/>
            <wp:positionH relativeFrom="page">
              <wp:posOffset>1725295</wp:posOffset>
            </wp:positionH>
            <wp:positionV relativeFrom="paragraph">
              <wp:posOffset>182283</wp:posOffset>
            </wp:positionV>
            <wp:extent cx="3958687" cy="2088261"/>
            <wp:effectExtent l="0" t="0" r="0" b="0"/>
            <wp:wrapTopAndBottom/>
            <wp:docPr id="27" name="image21.png" descr=""/>
            <wp:cNvGraphicFramePr>
              <a:graphicFrameLocks noChangeAspect="1"/>
            </wp:cNvGraphicFramePr>
            <a:graphic>
              <a:graphicData uri="http://schemas.openxmlformats.org/drawingml/2006/picture">
                <pic:pic>
                  <pic:nvPicPr>
                    <pic:cNvPr id="28" name="image21.png"/>
                    <pic:cNvPicPr/>
                  </pic:nvPicPr>
                  <pic:blipFill>
                    <a:blip r:embed="rId38" cstate="print"/>
                    <a:stretch>
                      <a:fillRect/>
                    </a:stretch>
                  </pic:blipFill>
                  <pic:spPr>
                    <a:xfrm>
                      <a:off x="0" y="0"/>
                      <a:ext cx="3958687" cy="2088261"/>
                    </a:xfrm>
                    <a:prstGeom prst="rect">
                      <a:avLst/>
                    </a:prstGeom>
                  </pic:spPr>
                </pic:pic>
              </a:graphicData>
            </a:graphic>
          </wp:anchor>
        </w:drawing>
      </w:r>
    </w:p>
    <w:p>
      <w:pPr>
        <w:pStyle w:val="BodyText"/>
        <w:spacing w:before="7"/>
        <w:rPr>
          <w:sz w:val="23"/>
        </w:rPr>
      </w:pPr>
    </w:p>
    <w:p>
      <w:pPr>
        <w:spacing w:before="0"/>
        <w:ind w:left="629" w:right="712" w:firstLine="0"/>
        <w:jc w:val="center"/>
        <w:rPr>
          <w:sz w:val="20"/>
        </w:rPr>
      </w:pPr>
      <w:r>
        <w:rPr>
          <w:b/>
          <w:sz w:val="20"/>
        </w:rPr>
        <w:t>Figura 13. </w:t>
      </w:r>
      <w:r>
        <w:rPr>
          <w:i/>
          <w:sz w:val="20"/>
        </w:rPr>
        <w:t>Fases de la curva de amplificación. </w:t>
      </w:r>
      <w:r>
        <w:rPr>
          <w:sz w:val="20"/>
        </w:rPr>
        <w:t>Fuente directa.</w:t>
      </w:r>
    </w:p>
    <w:p>
      <w:pPr>
        <w:pStyle w:val="BodyText"/>
        <w:rPr>
          <w:sz w:val="20"/>
        </w:rPr>
      </w:pPr>
    </w:p>
    <w:p>
      <w:pPr>
        <w:pStyle w:val="BodyText"/>
        <w:spacing w:before="9"/>
        <w:rPr>
          <w:sz w:val="19"/>
        </w:rPr>
      </w:pPr>
    </w:p>
    <w:p>
      <w:pPr>
        <w:pStyle w:val="Heading2"/>
        <w:numPr>
          <w:ilvl w:val="2"/>
          <w:numId w:val="13"/>
        </w:numPr>
        <w:tabs>
          <w:tab w:pos="801" w:val="left" w:leader="none"/>
        </w:tabs>
        <w:spacing w:line="240" w:lineRule="auto" w:before="0" w:after="0"/>
        <w:ind w:left="800" w:right="0" w:hanging="604"/>
        <w:jc w:val="both"/>
      </w:pPr>
      <w:bookmarkStart w:name="_TOC_250036" w:id="30"/>
      <w:r>
        <w:rPr/>
        <w:t>Análisis de datos de la</w:t>
      </w:r>
      <w:r>
        <w:rPr>
          <w:spacing w:val="-13"/>
        </w:rPr>
        <w:t> </w:t>
      </w:r>
      <w:bookmarkEnd w:id="30"/>
      <w:r>
        <w:rPr/>
        <w:t>RT-qPCR</w:t>
      </w:r>
    </w:p>
    <w:p>
      <w:pPr>
        <w:pStyle w:val="BodyText"/>
        <w:spacing w:before="3"/>
        <w:rPr>
          <w:b/>
          <w:sz w:val="30"/>
        </w:rPr>
      </w:pPr>
    </w:p>
    <w:p>
      <w:pPr>
        <w:pStyle w:val="BodyText"/>
        <w:spacing w:line="340" w:lineRule="auto"/>
        <w:ind w:left="196" w:right="275"/>
        <w:jc w:val="both"/>
        <w:rPr>
          <w:sz w:val="16"/>
        </w:rPr>
      </w:pPr>
      <w:r>
        <w:rPr/>
        <w:t>El análisis puede ser en niveles absolutos (es decir, número de copias de un DNA específico por muestra) o niveles relativos (es decir, la muestra “A” tiene dos veces más DNA de un gen específico que la muestra “B”).</w:t>
      </w:r>
      <w:r>
        <w:rPr>
          <w:position w:val="11"/>
          <w:sz w:val="16"/>
        </w:rPr>
        <w:t>73</w:t>
      </w:r>
    </w:p>
    <w:p>
      <w:pPr>
        <w:pStyle w:val="BodyText"/>
        <w:spacing w:line="357" w:lineRule="auto" w:before="215"/>
        <w:ind w:left="196" w:right="274"/>
        <w:jc w:val="both"/>
      </w:pPr>
      <w:r>
        <w:rPr/>
        <w:t>La cuantificación absoluta utiliza diluciones seriadas de estándares de concentraciones conocidas para generar una curva estándar. La curva estándar produce una relación lineal entre el C</w:t>
      </w:r>
      <w:r>
        <w:rPr>
          <w:position w:val="-2"/>
          <w:sz w:val="16"/>
        </w:rPr>
        <w:t>T </w:t>
      </w:r>
      <w:r>
        <w:rPr/>
        <w:t>y la cantidad inicial del RNA total o cDNA, lo que permite la determinación de la concentración desconocida sobre la base de   sus</w:t>
      </w:r>
    </w:p>
    <w:p>
      <w:pPr>
        <w:pStyle w:val="BodyText"/>
        <w:spacing w:line="314" w:lineRule="auto" w:before="5"/>
        <w:ind w:left="196" w:right="286"/>
        <w:jc w:val="both"/>
        <w:rPr>
          <w:sz w:val="16"/>
        </w:rPr>
      </w:pPr>
      <w:r>
        <w:rPr/>
        <w:t>valores C</w:t>
      </w:r>
      <w:r>
        <w:rPr>
          <w:position w:val="-2"/>
          <w:sz w:val="16"/>
        </w:rPr>
        <w:t>T</w:t>
      </w:r>
      <w:r>
        <w:rPr/>
        <w:t>. Este método asume que todos los estándares y las muestras tienen aproximadamente la misma eficiencia de amplificación.</w:t>
      </w:r>
      <w:r>
        <w:rPr>
          <w:position w:val="11"/>
          <w:sz w:val="16"/>
        </w:rPr>
        <w:t>69, 73, 77</w:t>
      </w:r>
    </w:p>
    <w:p>
      <w:pPr>
        <w:pStyle w:val="BodyText"/>
        <w:spacing w:line="360" w:lineRule="auto" w:before="248"/>
        <w:ind w:left="196" w:right="284"/>
        <w:jc w:val="both"/>
      </w:pPr>
      <w:r>
        <w:rPr/>
        <w:t>En la cuantificación relativa los cambios en la expresión génica de la muestra se miden sobre una base, ya sea un estándar externo o una muestra de referencia,</w:t>
      </w:r>
    </w:p>
    <w:p>
      <w:pPr>
        <w:spacing w:after="0" w:line="360" w:lineRule="auto"/>
        <w:jc w:val="both"/>
        <w:sectPr>
          <w:footerReference w:type="default" r:id="rId37"/>
          <w:pgSz w:w="12240" w:h="15840"/>
          <w:pgMar w:footer="1031" w:header="726" w:top="1340" w:bottom="1220" w:left="1220" w:right="1420"/>
        </w:sectPr>
      </w:pPr>
    </w:p>
    <w:p>
      <w:pPr>
        <w:pStyle w:val="BodyText"/>
        <w:spacing w:before="3"/>
        <w:rPr>
          <w:sz w:val="23"/>
        </w:rPr>
      </w:pPr>
    </w:p>
    <w:p>
      <w:pPr>
        <w:pStyle w:val="BodyText"/>
        <w:spacing w:line="364" w:lineRule="auto" w:before="69"/>
        <w:ind w:left="196" w:right="272"/>
      </w:pPr>
      <w:r>
        <w:rPr/>
        <w:t>también conocido como un calibrador. Cuando se utiliza un calibrador, los resultados se  expresan  como  una  relación  objetivo/referencia.  Existen  numerosos </w:t>
      </w:r>
      <w:r>
        <w:rPr>
          <w:spacing w:val="50"/>
        </w:rPr>
        <w:t> </w:t>
      </w:r>
      <w:r>
        <w:rPr/>
        <w:t>modelos</w:t>
      </w:r>
    </w:p>
    <w:p>
      <w:pPr>
        <w:pStyle w:val="BodyText"/>
        <w:spacing w:line="324" w:lineRule="auto"/>
        <w:ind w:left="196" w:right="272"/>
        <w:rPr>
          <w:sz w:val="16"/>
        </w:rPr>
      </w:pPr>
      <w:r>
        <w:rPr/>
        <w:t>matemáticos disponibles para calcular la cuantificación relativa de la expresión génica, los más comunes son el método 2</w:t>
      </w:r>
      <w:r>
        <w:rPr>
          <w:position w:val="11"/>
          <w:sz w:val="16"/>
        </w:rPr>
        <w:t>-ΔΔC</w:t>
      </w:r>
      <w:r>
        <w:rPr>
          <w:position w:val="-2"/>
          <w:sz w:val="16"/>
        </w:rPr>
        <w:t>T </w:t>
      </w:r>
      <w:r>
        <w:rPr/>
        <w:t>y el modelo matemático de Pfaffl.</w:t>
      </w:r>
      <w:r>
        <w:rPr>
          <w:position w:val="11"/>
          <w:sz w:val="16"/>
        </w:rPr>
        <w:t>69, 77</w:t>
      </w:r>
    </w:p>
    <w:p>
      <w:pPr>
        <w:pStyle w:val="ListParagraph"/>
        <w:numPr>
          <w:ilvl w:val="3"/>
          <w:numId w:val="13"/>
        </w:numPr>
        <w:tabs>
          <w:tab w:pos="1004" w:val="left" w:leader="none"/>
        </w:tabs>
        <w:spacing w:line="240" w:lineRule="auto" w:before="179" w:after="0"/>
        <w:ind w:left="1003" w:right="0" w:hanging="807"/>
        <w:jc w:val="left"/>
        <w:rPr>
          <w:sz w:val="16"/>
        </w:rPr>
      </w:pPr>
      <w:r>
        <w:rPr/>
        <w:pict>
          <v:group style="position:absolute;margin-left:110.669998pt;margin-top:23.141899pt;width:74.7pt;height:1.5pt;mso-position-horizontal-relative:page;mso-position-vertical-relative:paragraph;z-index:-175720" coordorigin="2213,463" coordsize="1494,30">
            <v:line style="position:absolute" from="2223,473" to="3601,473" stroked="true" strokeweight=".98401pt" strokecolor="#000000"/>
            <v:line style="position:absolute" from="3601,487" to="3702,487" stroked="true" strokeweight=".48pt" strokecolor="#000000"/>
            <w10:wrap type="none"/>
          </v:group>
        </w:pict>
      </w:r>
      <w:r>
        <w:rPr>
          <w:sz w:val="24"/>
        </w:rPr>
        <w:t>Método</w:t>
      </w:r>
      <w:r>
        <w:rPr>
          <w:spacing w:val="-12"/>
          <w:sz w:val="24"/>
        </w:rPr>
        <w:t> </w:t>
      </w:r>
      <w:r>
        <w:rPr>
          <w:sz w:val="24"/>
        </w:rPr>
        <w:t>2</w:t>
      </w:r>
      <w:r>
        <w:rPr>
          <w:position w:val="11"/>
          <w:sz w:val="16"/>
        </w:rPr>
        <w:t>-ΔΔC</w:t>
      </w:r>
      <w:r>
        <w:rPr>
          <w:position w:val="-2"/>
          <w:sz w:val="16"/>
        </w:rPr>
        <w:t>T</w:t>
      </w:r>
    </w:p>
    <w:p>
      <w:pPr>
        <w:pStyle w:val="BodyText"/>
        <w:spacing w:before="8"/>
        <w:rPr>
          <w:sz w:val="22"/>
        </w:rPr>
      </w:pPr>
    </w:p>
    <w:p>
      <w:pPr>
        <w:pStyle w:val="BodyText"/>
        <w:spacing w:line="357" w:lineRule="auto" w:before="69"/>
        <w:ind w:left="196" w:right="279"/>
        <w:jc w:val="both"/>
      </w:pPr>
      <w:r>
        <w:rPr/>
        <w:t>Este modelo es una comparación directa de los valores </w:t>
      </w:r>
      <w:r>
        <w:rPr>
          <w:spacing w:val="2"/>
        </w:rPr>
        <w:t>C</w:t>
      </w:r>
      <w:r>
        <w:rPr>
          <w:spacing w:val="2"/>
          <w:position w:val="-2"/>
          <w:sz w:val="16"/>
        </w:rPr>
        <w:t>T </w:t>
      </w:r>
      <w:r>
        <w:rPr/>
        <w:t>entre el gen objetivo y el gen de referencia; supone una eficiencia </w:t>
      </w:r>
      <w:r>
        <w:rPr>
          <w:spacing w:val="-3"/>
        </w:rPr>
        <w:t>óptima </w:t>
      </w:r>
      <w:r>
        <w:rPr/>
        <w:t>e idéntica (correspondiente al 100%) en la eficiencia de reacción en la RT-qPCR tanto del gen objetivo como del gen de referencia, y expresa la proporción obtenida de la relación entre los valores </w:t>
      </w:r>
      <w:r>
        <w:rPr>
          <w:spacing w:val="4"/>
        </w:rPr>
        <w:t>C</w:t>
      </w:r>
      <w:r>
        <w:rPr>
          <w:spacing w:val="4"/>
          <w:position w:val="-2"/>
          <w:sz w:val="16"/>
        </w:rPr>
        <w:t>T  </w:t>
      </w:r>
      <w:r>
        <w:rPr/>
        <w:t>de </w:t>
      </w:r>
      <w:r>
        <w:rPr>
          <w:spacing w:val="61"/>
        </w:rPr>
        <w:t> </w:t>
      </w:r>
      <w:r>
        <w:rPr/>
        <w:t>la</w:t>
      </w:r>
    </w:p>
    <w:p>
      <w:pPr>
        <w:pStyle w:val="BodyText"/>
        <w:spacing w:line="312" w:lineRule="auto"/>
        <w:ind w:left="196" w:right="282"/>
        <w:jc w:val="both"/>
        <w:rPr>
          <w:sz w:val="16"/>
        </w:rPr>
      </w:pPr>
      <w:r>
        <w:rPr/>
        <w:t>muestra y los valores C</w:t>
      </w:r>
      <w:r>
        <w:rPr>
          <w:position w:val="-2"/>
          <w:sz w:val="16"/>
        </w:rPr>
        <w:t>T  </w:t>
      </w:r>
      <w:r>
        <w:rPr/>
        <w:t>del calibrador. </w:t>
      </w:r>
      <w:r>
        <w:rPr>
          <w:spacing w:val="-4"/>
        </w:rPr>
        <w:t>El </w:t>
      </w:r>
      <w:r>
        <w:rPr/>
        <w:t>valor normalizado del nivel de expresión  en</w:t>
      </w:r>
      <w:r>
        <w:rPr>
          <w:spacing w:val="-4"/>
        </w:rPr>
        <w:t> </w:t>
      </w:r>
      <w:r>
        <w:rPr/>
        <w:t>relación</w:t>
      </w:r>
      <w:r>
        <w:rPr>
          <w:spacing w:val="-8"/>
        </w:rPr>
        <w:t> </w:t>
      </w:r>
      <w:r>
        <w:rPr/>
        <w:t>con</w:t>
      </w:r>
      <w:r>
        <w:rPr>
          <w:spacing w:val="-4"/>
        </w:rPr>
        <w:t> </w:t>
      </w:r>
      <w:r>
        <w:rPr/>
        <w:t>el calibrador</w:t>
      </w:r>
      <w:r>
        <w:rPr>
          <w:spacing w:val="-3"/>
        </w:rPr>
        <w:t> </w:t>
      </w:r>
      <w:r>
        <w:rPr/>
        <w:t>se</w:t>
      </w:r>
      <w:r>
        <w:rPr>
          <w:spacing w:val="-3"/>
        </w:rPr>
        <w:t> </w:t>
      </w:r>
      <w:r>
        <w:rPr/>
        <w:t>determina</w:t>
      </w:r>
      <w:r>
        <w:rPr>
          <w:spacing w:val="-4"/>
        </w:rPr>
        <w:t> </w:t>
      </w:r>
      <w:r>
        <w:rPr/>
        <w:t>por</w:t>
      </w:r>
      <w:r>
        <w:rPr>
          <w:spacing w:val="-8"/>
        </w:rPr>
        <w:t> </w:t>
      </w:r>
      <w:r>
        <w:rPr/>
        <w:t>la</w:t>
      </w:r>
      <w:r>
        <w:rPr>
          <w:spacing w:val="-4"/>
        </w:rPr>
        <w:t> </w:t>
      </w:r>
      <w:r>
        <w:rPr/>
        <w:t>fórmula:</w:t>
      </w:r>
      <w:r>
        <w:rPr>
          <w:spacing w:val="-17"/>
        </w:rPr>
        <w:t> </w:t>
      </w:r>
      <w:r>
        <w:rPr>
          <w:position w:val="11"/>
          <w:sz w:val="16"/>
        </w:rPr>
        <w:t>69,</w:t>
      </w:r>
      <w:r>
        <w:rPr>
          <w:spacing w:val="-1"/>
          <w:position w:val="11"/>
          <w:sz w:val="16"/>
        </w:rPr>
        <w:t> </w:t>
      </w:r>
      <w:r>
        <w:rPr>
          <w:position w:val="11"/>
          <w:sz w:val="16"/>
        </w:rPr>
        <w:t>72,</w:t>
      </w:r>
      <w:r>
        <w:rPr>
          <w:spacing w:val="-1"/>
          <w:position w:val="11"/>
          <w:sz w:val="16"/>
        </w:rPr>
        <w:t> </w:t>
      </w:r>
      <w:r>
        <w:rPr>
          <w:position w:val="11"/>
          <w:sz w:val="16"/>
        </w:rPr>
        <w:t>78,</w:t>
      </w:r>
      <w:r>
        <w:rPr>
          <w:spacing w:val="-1"/>
          <w:position w:val="11"/>
          <w:sz w:val="16"/>
        </w:rPr>
        <w:t> </w:t>
      </w:r>
      <w:r>
        <w:rPr>
          <w:position w:val="11"/>
          <w:sz w:val="16"/>
        </w:rPr>
        <w:t>79</w:t>
      </w:r>
    </w:p>
    <w:p>
      <w:pPr>
        <w:spacing w:before="211"/>
        <w:ind w:left="622" w:right="712" w:firstLine="0"/>
        <w:jc w:val="center"/>
        <w:rPr>
          <w:sz w:val="16"/>
        </w:rPr>
      </w:pPr>
      <w:r>
        <w:rPr>
          <w:position w:val="-10"/>
          <w:sz w:val="24"/>
        </w:rPr>
        <w:t>R= 2</w:t>
      </w:r>
      <w:r>
        <w:rPr>
          <w:sz w:val="16"/>
        </w:rPr>
        <w:t>-ΔΔC</w:t>
      </w:r>
      <w:r>
        <w:rPr>
          <w:position w:val="-13"/>
          <w:sz w:val="16"/>
        </w:rPr>
        <w:t>T</w:t>
      </w:r>
    </w:p>
    <w:p>
      <w:pPr>
        <w:pStyle w:val="BodyText"/>
        <w:spacing w:before="8"/>
        <w:rPr>
          <w:sz w:val="28"/>
        </w:rPr>
      </w:pPr>
    </w:p>
    <w:p>
      <w:pPr>
        <w:pStyle w:val="BodyText"/>
        <w:spacing w:line="343" w:lineRule="auto"/>
        <w:ind w:left="196" w:right="285"/>
        <w:jc w:val="both"/>
      </w:pPr>
      <w:r>
        <w:rPr/>
        <w:t>En primer lugar, la ΔC</w:t>
      </w:r>
      <w:r>
        <w:rPr>
          <w:position w:val="-2"/>
          <w:sz w:val="16"/>
        </w:rPr>
        <w:t>T </w:t>
      </w:r>
      <w:r>
        <w:rPr/>
        <w:t>entre el gen objetivo y el gen de referencia se calcula para cada muestra (para muestras tratamiento y para muestra calibradora).</w:t>
      </w:r>
    </w:p>
    <w:p>
      <w:pPr>
        <w:pStyle w:val="BodyText"/>
        <w:spacing w:before="3"/>
        <w:rPr>
          <w:sz w:val="19"/>
        </w:rPr>
      </w:pPr>
    </w:p>
    <w:p>
      <w:pPr>
        <w:spacing w:before="1"/>
        <w:ind w:left="622" w:right="712" w:firstLine="0"/>
        <w:jc w:val="center"/>
        <w:rPr>
          <w:sz w:val="16"/>
        </w:rPr>
      </w:pPr>
      <w:r>
        <w:rPr>
          <w:position w:val="3"/>
          <w:sz w:val="24"/>
        </w:rPr>
        <w:t>ΔC</w:t>
      </w:r>
      <w:r>
        <w:rPr>
          <w:sz w:val="16"/>
        </w:rPr>
        <w:t>T  </w:t>
      </w:r>
      <w:r>
        <w:rPr>
          <w:position w:val="3"/>
          <w:sz w:val="24"/>
        </w:rPr>
        <w:t>= C</w:t>
      </w:r>
      <w:r>
        <w:rPr>
          <w:sz w:val="16"/>
        </w:rPr>
        <w:t>T gen objetivo </w:t>
      </w:r>
      <w:r>
        <w:rPr>
          <w:position w:val="3"/>
          <w:sz w:val="24"/>
        </w:rPr>
        <w:t>– C</w:t>
      </w:r>
      <w:r>
        <w:rPr>
          <w:sz w:val="16"/>
        </w:rPr>
        <w:t>T gen referencia</w:t>
      </w:r>
    </w:p>
    <w:p>
      <w:pPr>
        <w:pStyle w:val="BodyText"/>
        <w:spacing w:before="9"/>
        <w:rPr>
          <w:sz w:val="28"/>
        </w:rPr>
      </w:pPr>
    </w:p>
    <w:p>
      <w:pPr>
        <w:pStyle w:val="BodyText"/>
        <w:spacing w:line="343" w:lineRule="auto"/>
        <w:ind w:left="196" w:right="279"/>
        <w:jc w:val="both"/>
      </w:pPr>
      <w:r>
        <w:rPr/>
        <w:t>Entonces la diferencia entre el ΔC</w:t>
      </w:r>
      <w:r>
        <w:rPr>
          <w:position w:val="-2"/>
          <w:sz w:val="16"/>
        </w:rPr>
        <w:t>T </w:t>
      </w:r>
      <w:r>
        <w:rPr/>
        <w:t>experimental y el ΔC</w:t>
      </w:r>
      <w:r>
        <w:rPr>
          <w:position w:val="-2"/>
          <w:sz w:val="16"/>
        </w:rPr>
        <w:t>T </w:t>
      </w:r>
      <w:r>
        <w:rPr/>
        <w:t>del calibrador se calcula, que da el valor ΔΔC</w:t>
      </w:r>
      <w:r>
        <w:rPr>
          <w:position w:val="-2"/>
          <w:sz w:val="16"/>
        </w:rPr>
        <w:t>T</w:t>
      </w:r>
      <w:r>
        <w:rPr/>
        <w:t>:</w:t>
      </w:r>
    </w:p>
    <w:p>
      <w:pPr>
        <w:spacing w:before="209"/>
        <w:ind w:left="637" w:right="712" w:firstLine="0"/>
        <w:jc w:val="center"/>
        <w:rPr>
          <w:sz w:val="20"/>
        </w:rPr>
      </w:pPr>
      <w:r>
        <w:rPr>
          <w:sz w:val="20"/>
        </w:rPr>
        <w:t>ΔΔC</w:t>
      </w:r>
      <w:r>
        <w:rPr>
          <w:position w:val="-2"/>
          <w:sz w:val="13"/>
        </w:rPr>
        <w:t>T</w:t>
      </w:r>
      <w:r>
        <w:rPr>
          <w:sz w:val="20"/>
        </w:rPr>
        <w:t>= (C</w:t>
      </w:r>
      <w:r>
        <w:rPr>
          <w:position w:val="-2"/>
          <w:sz w:val="13"/>
        </w:rPr>
        <w:t>T objetivo </w:t>
      </w:r>
      <w:r>
        <w:rPr>
          <w:sz w:val="20"/>
        </w:rPr>
        <w:t>- C</w:t>
      </w:r>
      <w:r>
        <w:rPr>
          <w:position w:val="-2"/>
          <w:sz w:val="13"/>
        </w:rPr>
        <w:t>T referencia</w:t>
      </w:r>
      <w:r>
        <w:rPr>
          <w:sz w:val="20"/>
        </w:rPr>
        <w:t>) muestra tratamiento - (C</w:t>
      </w:r>
      <w:r>
        <w:rPr>
          <w:position w:val="-2"/>
          <w:sz w:val="13"/>
        </w:rPr>
        <w:t>T objetivo  </w:t>
      </w:r>
      <w:r>
        <w:rPr>
          <w:sz w:val="20"/>
        </w:rPr>
        <w:t>- C</w:t>
      </w:r>
      <w:r>
        <w:rPr>
          <w:position w:val="-2"/>
          <w:sz w:val="13"/>
        </w:rPr>
        <w:t>T referencia</w:t>
      </w:r>
      <w:r>
        <w:rPr>
          <w:sz w:val="20"/>
        </w:rPr>
        <w:t>) muestra calibradora</w:t>
      </w:r>
    </w:p>
    <w:p>
      <w:pPr>
        <w:pStyle w:val="BodyText"/>
        <w:rPr>
          <w:sz w:val="22"/>
        </w:rPr>
      </w:pPr>
    </w:p>
    <w:p>
      <w:pPr>
        <w:pStyle w:val="BodyText"/>
        <w:spacing w:line="338" w:lineRule="auto" w:before="194"/>
        <w:ind w:left="196" w:right="281"/>
        <w:jc w:val="both"/>
        <w:rPr>
          <w:sz w:val="16"/>
        </w:rPr>
      </w:pPr>
      <w:r>
        <w:rPr/>
        <w:t>El valor negativo de esta substracción, el –ΔΔC</w:t>
      </w:r>
      <w:r>
        <w:rPr>
          <w:position w:val="-2"/>
          <w:sz w:val="14"/>
        </w:rPr>
        <w:t>T</w:t>
      </w:r>
      <w:r>
        <w:rPr/>
        <w:t>, es usado como el exponente de 2 en la ecuación, y representa una diferencia del número “corregido” de ciclos al </w:t>
      </w:r>
      <w:r>
        <w:rPr>
          <w:position w:val="-10"/>
        </w:rPr>
        <w:t>umbral.</w:t>
      </w:r>
      <w:r>
        <w:rPr>
          <w:sz w:val="16"/>
        </w:rPr>
        <w:t>69, 73, 76, 78</w:t>
      </w:r>
    </w:p>
    <w:p>
      <w:pPr>
        <w:spacing w:after="0" w:line="338" w:lineRule="auto"/>
        <w:jc w:val="both"/>
        <w:rPr>
          <w:sz w:val="16"/>
        </w:rPr>
        <w:sectPr>
          <w:footerReference w:type="default" r:id="rId39"/>
          <w:pgSz w:w="12240" w:h="15840"/>
          <w:pgMar w:footer="1031" w:header="726" w:top="1340" w:bottom="1220" w:left="1220" w:right="1420"/>
          <w:pgNumType w:start="51"/>
        </w:sectPr>
      </w:pPr>
    </w:p>
    <w:p>
      <w:pPr>
        <w:pStyle w:val="BodyText"/>
        <w:spacing w:before="3"/>
        <w:rPr>
          <w:sz w:val="23"/>
        </w:rPr>
      </w:pPr>
    </w:p>
    <w:p>
      <w:pPr>
        <w:pStyle w:val="ListParagraph"/>
        <w:numPr>
          <w:ilvl w:val="3"/>
          <w:numId w:val="13"/>
        </w:numPr>
        <w:tabs>
          <w:tab w:pos="1004" w:val="left" w:leader="none"/>
        </w:tabs>
        <w:spacing w:line="240" w:lineRule="auto" w:before="69" w:after="0"/>
        <w:ind w:left="1003" w:right="0" w:hanging="807"/>
        <w:jc w:val="left"/>
        <w:rPr>
          <w:sz w:val="24"/>
        </w:rPr>
      </w:pPr>
      <w:r>
        <w:rPr>
          <w:sz w:val="24"/>
          <w:u w:val="single"/>
        </w:rPr>
        <w:t>Modelo matemático de</w:t>
      </w:r>
      <w:r>
        <w:rPr>
          <w:spacing w:val="-20"/>
          <w:sz w:val="24"/>
          <w:u w:val="single"/>
        </w:rPr>
        <w:t> </w:t>
      </w:r>
      <w:r>
        <w:rPr>
          <w:sz w:val="24"/>
          <w:u w:val="single"/>
        </w:rPr>
        <w:t>Pfaffl</w:t>
      </w:r>
    </w:p>
    <w:p>
      <w:pPr>
        <w:pStyle w:val="BodyText"/>
        <w:rPr>
          <w:sz w:val="20"/>
        </w:rPr>
      </w:pPr>
    </w:p>
    <w:p>
      <w:pPr>
        <w:pStyle w:val="BodyText"/>
        <w:spacing w:line="343" w:lineRule="auto" w:before="190"/>
        <w:ind w:left="196" w:right="281"/>
        <w:jc w:val="both"/>
        <w:rPr>
          <w:sz w:val="16"/>
        </w:rPr>
      </w:pPr>
      <w:r>
        <w:rPr/>
        <w:t>Este modelo combina la cuantificación de genes y la normalización en un  solo cálculo, además incorpora las eficiencias de amplificación del gen objetivo y del gen de referencia para corregir las diferencias entre los dos ensayos.</w:t>
      </w:r>
      <w:r>
        <w:rPr>
          <w:position w:val="11"/>
          <w:sz w:val="16"/>
        </w:rPr>
        <w:t>72, 77, 79</w:t>
      </w:r>
    </w:p>
    <w:p>
      <w:pPr>
        <w:pStyle w:val="BodyText"/>
        <w:rPr>
          <w:sz w:val="20"/>
        </w:rPr>
      </w:pPr>
    </w:p>
    <w:p>
      <w:pPr>
        <w:pStyle w:val="BodyText"/>
        <w:rPr>
          <w:sz w:val="20"/>
        </w:rPr>
      </w:pPr>
    </w:p>
    <w:p>
      <w:pPr>
        <w:pStyle w:val="BodyText"/>
        <w:spacing w:before="11"/>
        <w:rPr>
          <w:sz w:val="12"/>
        </w:rPr>
      </w:pPr>
      <w:r>
        <w:rPr/>
        <w:pict>
          <v:line style="position:absolute;mso-position-horizontal-relative:page;mso-position-vertical-relative:paragraph;z-index:1384;mso-wrap-distance-left:0;mso-wrap-distance-right:0" from="155.589996pt,9.786363pt" to="468.429996pt,9.786363pt" stroked="true" strokeweight=".72pt" strokecolor="#000000">
            <w10:wrap type="topAndBottom"/>
          </v:line>
        </w:pict>
      </w:r>
    </w:p>
    <w:p>
      <w:pPr>
        <w:pStyle w:val="BodyText"/>
        <w:rPr>
          <w:sz w:val="20"/>
        </w:rPr>
      </w:pPr>
    </w:p>
    <w:p>
      <w:pPr>
        <w:pStyle w:val="BodyText"/>
        <w:spacing w:before="10"/>
        <w:rPr>
          <w:sz w:val="29"/>
        </w:rPr>
      </w:pPr>
    </w:p>
    <w:p>
      <w:pPr>
        <w:pStyle w:val="BodyText"/>
        <w:spacing w:line="355" w:lineRule="auto" w:before="69"/>
        <w:ind w:left="196" w:right="276"/>
        <w:jc w:val="both"/>
      </w:pPr>
      <w:r>
        <w:rPr/>
        <w:t>El radio del gen objetivo es expresado en una muestra tratamiento contra una muestra calibradora, en comparación con el gen de referencia; E</w:t>
      </w:r>
      <w:r>
        <w:rPr>
          <w:position w:val="-2"/>
          <w:sz w:val="16"/>
        </w:rPr>
        <w:t>objetivo </w:t>
      </w:r>
      <w:r>
        <w:rPr/>
        <w:t>es la eficiencia de la qPCR en la transcripción del gen objetivo; E</w:t>
      </w:r>
      <w:r>
        <w:rPr>
          <w:position w:val="-2"/>
          <w:sz w:val="16"/>
        </w:rPr>
        <w:t>referencia </w:t>
      </w:r>
      <w:r>
        <w:rPr/>
        <w:t>es la eficiencia de la qPCR en la transcripción del gen de referencia; </w:t>
      </w:r>
      <w:r>
        <w:rPr>
          <w:rFonts w:ascii="Calibri" w:hAnsi="Calibri"/>
        </w:rPr>
        <w:t>Δ</w:t>
      </w:r>
      <w:r>
        <w:rPr/>
        <w:t>C</w:t>
      </w:r>
      <w:r>
        <w:rPr>
          <w:position w:val="-2"/>
          <w:sz w:val="16"/>
        </w:rPr>
        <w:t>T objetivo </w:t>
      </w:r>
      <w:r>
        <w:rPr/>
        <w:t>es la desviación C</w:t>
      </w:r>
      <w:r>
        <w:rPr>
          <w:position w:val="-2"/>
          <w:sz w:val="16"/>
        </w:rPr>
        <w:t>T </w:t>
      </w:r>
      <w:r>
        <w:rPr/>
        <w:t>de la muestra calibradora – muestra tratamiento, en la transcripción del gen objetivo; </w:t>
      </w:r>
      <w:r>
        <w:rPr>
          <w:rFonts w:ascii="Calibri" w:hAnsi="Calibri"/>
        </w:rPr>
        <w:t>Δ</w:t>
      </w:r>
      <w:r>
        <w:rPr/>
        <w:t>C</w:t>
      </w:r>
      <w:r>
        <w:rPr>
          <w:position w:val="-2"/>
          <w:sz w:val="16"/>
        </w:rPr>
        <w:t>T referencia </w:t>
      </w:r>
      <w:r>
        <w:rPr/>
        <w:t>es la desviación C</w:t>
      </w:r>
      <w:r>
        <w:rPr>
          <w:position w:val="-2"/>
          <w:sz w:val="16"/>
        </w:rPr>
        <w:t>T </w:t>
      </w:r>
      <w:r>
        <w:rPr/>
        <w:t>de la muestra calibradora – muestra tratamiento, en la   transcripción</w:t>
      </w:r>
    </w:p>
    <w:p>
      <w:pPr>
        <w:pStyle w:val="BodyText"/>
        <w:spacing w:line="324" w:lineRule="auto"/>
        <w:ind w:left="196" w:right="294"/>
        <w:jc w:val="both"/>
        <w:rPr>
          <w:sz w:val="16"/>
        </w:rPr>
      </w:pPr>
      <w:r>
        <w:rPr/>
        <w:t>del gen de referencia. Para el cálculo de R, las eficiencias individuales de la qPCR y la desviación C</w:t>
      </w:r>
      <w:r>
        <w:rPr>
          <w:position w:val="-2"/>
          <w:sz w:val="16"/>
        </w:rPr>
        <w:t>T </w:t>
      </w:r>
      <w:r>
        <w:rPr/>
        <w:t>(ΔCT) de las transcripciones investigadas deben ser conocidas.</w:t>
      </w:r>
      <w:r>
        <w:rPr>
          <w:position w:val="11"/>
          <w:sz w:val="16"/>
        </w:rPr>
        <w:t>79</w:t>
      </w:r>
    </w:p>
    <w:p>
      <w:pPr>
        <w:spacing w:after="0" w:line="324" w:lineRule="auto"/>
        <w:jc w:val="both"/>
        <w:rPr>
          <w:sz w:val="16"/>
        </w:rPr>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17"/>
        </w:numPr>
        <w:tabs>
          <w:tab w:pos="2646" w:val="left" w:leader="none"/>
        </w:tabs>
        <w:spacing w:line="273" w:lineRule="auto" w:before="173" w:after="0"/>
        <w:ind w:left="3630" w:right="1296" w:hanging="1705"/>
        <w:jc w:val="left"/>
      </w:pPr>
      <w:bookmarkStart w:name="_TOC_250035" w:id="31"/>
      <w:r>
        <w:rPr/>
        <w:t>PLANTEAMIENTO</w:t>
      </w:r>
      <w:r>
        <w:rPr>
          <w:spacing w:val="-11"/>
        </w:rPr>
        <w:t> </w:t>
      </w:r>
      <w:bookmarkEnd w:id="31"/>
      <w:r>
        <w:rPr/>
        <w:t>DEL PROBLEMA</w:t>
      </w:r>
    </w:p>
    <w:p>
      <w:pPr>
        <w:spacing w:after="0" w:line="273" w:lineRule="auto"/>
        <w:jc w:val="left"/>
        <w:sectPr>
          <w:pgSz w:w="12240" w:h="15840"/>
          <w:pgMar w:header="726" w:footer="1031" w:top="1340" w:bottom="1220" w:left="1220" w:right="1420"/>
        </w:sectPr>
      </w:pPr>
    </w:p>
    <w:p>
      <w:pPr>
        <w:pStyle w:val="BodyText"/>
        <w:spacing w:before="3"/>
        <w:rPr>
          <w:b/>
          <w:sz w:val="23"/>
        </w:rPr>
      </w:pPr>
    </w:p>
    <w:p>
      <w:pPr>
        <w:pStyle w:val="BodyText"/>
        <w:spacing w:line="362" w:lineRule="auto" w:before="69"/>
        <w:ind w:left="196" w:right="276"/>
        <w:jc w:val="both"/>
      </w:pPr>
      <w:r>
        <w:rPr/>
        <w:t>La caries es una enfermedad infecto-contagiosa y multifactorial, que se caracteriza por la desintegración progresiva de los tejidos duros del diente debido a la desmineralización  de la porción mineral  y la subsecuente  disgregación  de la  parte</w:t>
      </w:r>
    </w:p>
    <w:p>
      <w:pPr>
        <w:pStyle w:val="BodyText"/>
        <w:spacing w:line="324" w:lineRule="auto"/>
        <w:ind w:left="196" w:right="282"/>
        <w:jc w:val="both"/>
        <w:rPr>
          <w:sz w:val="16"/>
        </w:rPr>
      </w:pPr>
      <w:r>
        <w:rPr/>
        <w:t>orgánica, provocada por ácidos producidos por la fermentación de los carbohidratos por los microorganismos bucales.</w:t>
      </w:r>
      <w:r>
        <w:rPr>
          <w:position w:val="11"/>
          <w:sz w:val="16"/>
        </w:rPr>
        <w:t>1, 2</w:t>
      </w:r>
    </w:p>
    <w:p>
      <w:pPr>
        <w:pStyle w:val="BodyText"/>
        <w:spacing w:line="360" w:lineRule="auto" w:before="236"/>
        <w:ind w:left="196" w:right="274"/>
        <w:jc w:val="both"/>
      </w:pPr>
      <w:r>
        <w:rPr/>
        <w:t>La alta prevalencia de caries que se presenta en el mundo entero (afecta del 95 al 99% de la población), la sitúa como principal causa de pérdida dental. En México,</w:t>
      </w:r>
      <w:r>
        <w:rPr>
          <w:spacing w:val="64"/>
        </w:rPr>
        <w:t> </w:t>
      </w:r>
      <w:r>
        <w:rPr/>
        <w:t>en</w:t>
      </w:r>
    </w:p>
    <w:p>
      <w:pPr>
        <w:pStyle w:val="BodyText"/>
        <w:spacing w:line="324" w:lineRule="auto" w:before="7"/>
        <w:ind w:left="196" w:right="289"/>
        <w:jc w:val="both"/>
        <w:rPr>
          <w:sz w:val="16"/>
        </w:rPr>
      </w:pPr>
      <w:r>
        <w:rPr/>
        <w:t>décadas pasadas la caries afectaba alrededor de 95% de los niños y 99% de los adultos.</w:t>
      </w:r>
      <w:r>
        <w:rPr>
          <w:position w:val="11"/>
          <w:sz w:val="16"/>
        </w:rPr>
        <w:t>3, 4</w:t>
      </w:r>
    </w:p>
    <w:p>
      <w:pPr>
        <w:pStyle w:val="BodyText"/>
        <w:spacing w:line="348" w:lineRule="auto" w:before="236"/>
        <w:ind w:left="196" w:right="289"/>
        <w:jc w:val="both"/>
        <w:rPr>
          <w:sz w:val="16"/>
        </w:rPr>
      </w:pPr>
      <w:r>
        <w:rPr/>
        <w:t>En el Estado de México, de acuerdo con la Secretaria de Salud, en el 2010, la prevalencia de caries en pacientes de 6 años fue del 81.2%; y el promedio del índice de caries dental en dentición permanente (CPOD) en pacientes de 12 años de edad, fue de 5.04.</w:t>
      </w:r>
      <w:r>
        <w:rPr>
          <w:position w:val="11"/>
          <w:sz w:val="16"/>
        </w:rPr>
        <w:t>80</w:t>
      </w:r>
    </w:p>
    <w:p>
      <w:pPr>
        <w:pStyle w:val="BodyText"/>
        <w:spacing w:line="350" w:lineRule="auto" w:before="205"/>
        <w:ind w:left="196" w:right="289"/>
        <w:jc w:val="both"/>
        <w:rPr>
          <w:sz w:val="16"/>
        </w:rPr>
      </w:pPr>
      <w:r>
        <w:rPr/>
        <w:t>Dentro de la etiología de la caries dental existen varios factores que involucran componentes primarios como los microorganismos, la dieta, el huésped; y factores moduladores como el tiempo, la edad, el estado de salud general, entre otros. Los elementos del huésped para el desarrollo de la caries son el diente, la saliva, la genética y la inmunidad.</w:t>
      </w:r>
      <w:r>
        <w:rPr>
          <w:position w:val="11"/>
          <w:sz w:val="16"/>
        </w:rPr>
        <w:t>1, 15</w:t>
      </w:r>
    </w:p>
    <w:p>
      <w:pPr>
        <w:pStyle w:val="BodyText"/>
        <w:spacing w:line="343" w:lineRule="auto" w:before="198"/>
        <w:ind w:left="196" w:right="276"/>
        <w:jc w:val="both"/>
        <w:rPr>
          <w:sz w:val="16"/>
        </w:rPr>
      </w:pPr>
      <w:r>
        <w:rPr/>
        <w:t>El sistema inmunitario del huésped es capaz de actuar contra la microflora cariogénica, produciendo tanto inmunidad celular (mediante linfocitos T) como humoral, esta última mediante anticuerpos del tipo IgA salival, e IgG sérica.</w:t>
      </w:r>
      <w:r>
        <w:rPr>
          <w:position w:val="11"/>
          <w:sz w:val="16"/>
        </w:rPr>
        <w:t>43, 45, 50</w:t>
      </w:r>
    </w:p>
    <w:p>
      <w:pPr>
        <w:pStyle w:val="BodyText"/>
        <w:spacing w:line="360" w:lineRule="auto" w:before="212"/>
        <w:ind w:left="196" w:right="273"/>
        <w:jc w:val="both"/>
      </w:pPr>
      <w:r>
        <w:rPr/>
        <w:t>Un referente de </w:t>
      </w:r>
      <w:r>
        <w:rPr>
          <w:spacing w:val="2"/>
        </w:rPr>
        <w:t>los </w:t>
      </w:r>
      <w:r>
        <w:rPr/>
        <w:t>anticuerpos, es el estudio de los receptores Fc que </w:t>
      </w:r>
      <w:r>
        <w:rPr>
          <w:spacing w:val="3"/>
        </w:rPr>
        <w:t>se </w:t>
      </w:r>
      <w:r>
        <w:rPr/>
        <w:t>expresan en la membrana celular y a los cuales se unen. Sin embargo, no se ha reportado la existencia de investigaciones realizadas en la Facultad de Odontología en este rubro, y menos aún sobre la expresión génica de los receptores de anticuerpos presentes en la saliva, los cuales intervienen en la respuesta inmune</w:t>
      </w:r>
      <w:r>
        <w:rPr>
          <w:spacing w:val="-34"/>
        </w:rPr>
        <w:t> </w:t>
      </w:r>
      <w:r>
        <w:rPr/>
        <w:t>humoral.</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4" w:lineRule="auto" w:before="69"/>
        <w:ind w:left="196" w:right="538"/>
      </w:pPr>
      <w:r>
        <w:rPr/>
        <w:t>Por lo tanto se hace necesario realizar estudios que respondan a la siguiente pregunta de investigación:</w:t>
      </w:r>
    </w:p>
    <w:p>
      <w:pPr>
        <w:pStyle w:val="BodyText"/>
        <w:spacing w:before="9"/>
        <w:rPr>
          <w:sz w:val="23"/>
        </w:rPr>
      </w:pPr>
    </w:p>
    <w:p>
      <w:pPr>
        <w:pStyle w:val="BodyText"/>
        <w:spacing w:line="357" w:lineRule="auto"/>
        <w:ind w:left="196"/>
      </w:pPr>
      <w:r>
        <w:rPr/>
        <w:t>¿Existe expresión génica de Fc</w:t>
      </w:r>
      <w:r>
        <w:rPr>
          <w:rFonts w:ascii="Symbol" w:hAnsi="Symbol"/>
        </w:rPr>
        <w:t></w:t>
      </w:r>
      <w:r>
        <w:rPr/>
        <w:t>R, Fc</w:t>
      </w:r>
      <w:r>
        <w:rPr>
          <w:rFonts w:ascii="Symbol" w:hAnsi="Symbol"/>
        </w:rPr>
        <w:t></w:t>
      </w:r>
      <w:r>
        <w:rPr/>
        <w:t>RIIB, Fc</w:t>
      </w:r>
      <w:r>
        <w:rPr>
          <w:rFonts w:ascii="Symbol" w:hAnsi="Symbol"/>
        </w:rPr>
        <w:t></w:t>
      </w:r>
      <w:r>
        <w:rPr/>
        <w:t>R en la saliva de pacientes mexiquenses con dentición mixta y permanente que presentan caries dental; 2013?</w:t>
      </w:r>
    </w:p>
    <w:p>
      <w:pPr>
        <w:spacing w:after="0" w:line="357" w:lineRule="auto"/>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17"/>
        </w:numPr>
        <w:tabs>
          <w:tab w:pos="3510" w:val="left" w:leader="none"/>
        </w:tabs>
        <w:spacing w:line="240" w:lineRule="auto" w:before="173" w:after="0"/>
        <w:ind w:left="3509" w:right="0" w:hanging="778"/>
        <w:jc w:val="left"/>
      </w:pPr>
      <w:bookmarkStart w:name="_TOC_250034" w:id="32"/>
      <w:bookmarkEnd w:id="32"/>
      <w:r>
        <w:rPr/>
        <w:t>JUSTIFICACIÓN</w:t>
      </w:r>
    </w:p>
    <w:p>
      <w:pPr>
        <w:spacing w:after="0" w:line="240" w:lineRule="auto"/>
        <w:jc w:val="left"/>
        <w:sectPr>
          <w:pgSz w:w="12240" w:h="15840"/>
          <w:pgMar w:header="726" w:footer="1031" w:top="1340" w:bottom="1220" w:left="1220" w:right="1420"/>
        </w:sectPr>
      </w:pPr>
    </w:p>
    <w:p>
      <w:pPr>
        <w:pStyle w:val="BodyText"/>
        <w:spacing w:before="3"/>
        <w:rPr>
          <w:b/>
          <w:sz w:val="23"/>
        </w:rPr>
      </w:pPr>
    </w:p>
    <w:p>
      <w:pPr>
        <w:pStyle w:val="BodyText"/>
        <w:spacing w:line="343" w:lineRule="auto" w:before="69"/>
        <w:ind w:left="196" w:right="337"/>
        <w:jc w:val="both"/>
        <w:rPr>
          <w:sz w:val="16"/>
        </w:rPr>
      </w:pPr>
      <w:r>
        <w:rPr/>
        <w:t>Según la OMS, las enfermedades bucodentales más comunes son la caries dental y las periodontopatías. Además, reporta que del 60% al 90% de los escolares de todo el mundo presentan caries dental.</w:t>
      </w:r>
      <w:r>
        <w:rPr>
          <w:position w:val="11"/>
          <w:sz w:val="16"/>
        </w:rPr>
        <w:t>81</w:t>
      </w:r>
    </w:p>
    <w:p>
      <w:pPr>
        <w:pStyle w:val="BodyText"/>
        <w:spacing w:line="360" w:lineRule="auto" w:before="211"/>
        <w:ind w:left="196" w:right="274"/>
        <w:jc w:val="both"/>
      </w:pPr>
      <w:r>
        <w:rPr/>
        <w:t>En México, de acuerdo con los resultados del Sistema de Vigilancia Epidemiológica de Patologías Bucales (SIVEPAB) 2012, los escolares de 6 a 10 años con dentición primaria, presentaron de 1.8 a 4 órganos dentarios cariados; y los escolares de 6 a</w:t>
      </w:r>
    </w:p>
    <w:p>
      <w:pPr>
        <w:pStyle w:val="BodyText"/>
        <w:spacing w:line="362" w:lineRule="auto" w:before="2"/>
        <w:ind w:left="196" w:right="289"/>
        <w:jc w:val="both"/>
      </w:pPr>
      <w:r>
        <w:rPr/>
        <w:t>12 años con dentición permanente, presentaron de 0.1 a 2.6 órganos dentarios cariados. Respecto a la población de adultos jóvenes (20 a 39 años), presentaron de</w:t>
      </w:r>
    </w:p>
    <w:p>
      <w:pPr>
        <w:pStyle w:val="ListParagraph"/>
        <w:numPr>
          <w:ilvl w:val="1"/>
          <w:numId w:val="18"/>
        </w:numPr>
        <w:tabs>
          <w:tab w:pos="623" w:val="left" w:leader="none"/>
        </w:tabs>
        <w:spacing w:line="324" w:lineRule="auto" w:before="0" w:after="0"/>
        <w:ind w:left="196" w:right="281" w:firstLine="0"/>
        <w:jc w:val="both"/>
        <w:rPr>
          <w:sz w:val="16"/>
        </w:rPr>
      </w:pPr>
      <w:r>
        <w:rPr>
          <w:sz w:val="24"/>
        </w:rPr>
        <w:t>a 7.1 órganos dentarios cariados; y con una prevalencia de caries dental hasta del 96.2%.</w:t>
      </w:r>
      <w:r>
        <w:rPr>
          <w:spacing w:val="-7"/>
          <w:sz w:val="24"/>
        </w:rPr>
        <w:t> </w:t>
      </w:r>
      <w:r>
        <w:rPr>
          <w:position w:val="11"/>
          <w:sz w:val="16"/>
        </w:rPr>
        <w:t>82</w:t>
      </w:r>
    </w:p>
    <w:p>
      <w:pPr>
        <w:pStyle w:val="BodyText"/>
        <w:spacing w:line="360" w:lineRule="auto" w:before="236"/>
        <w:ind w:left="196" w:right="279"/>
        <w:jc w:val="both"/>
      </w:pPr>
      <w:r>
        <w:rPr/>
        <w:t>En cuanto a la población mexiquense, la prevalencia de caries (CPOD+ cpod&gt; 0) en pacientes de 6 años fue del 81.2%; y el promedio del índice de caries dental en</w:t>
      </w:r>
    </w:p>
    <w:p>
      <w:pPr>
        <w:pStyle w:val="BodyText"/>
        <w:spacing w:line="324" w:lineRule="auto" w:before="7"/>
        <w:ind w:left="196" w:right="288"/>
        <w:jc w:val="both"/>
        <w:rPr>
          <w:sz w:val="16"/>
        </w:rPr>
      </w:pPr>
      <w:r>
        <w:rPr/>
        <w:t>dentición permanente (CPOD) en pacientes de 12 años de edad, fue de 5.04, siendo de los estados con mayores valores a nivel nacional.</w:t>
      </w:r>
      <w:r>
        <w:rPr>
          <w:position w:val="11"/>
          <w:sz w:val="16"/>
        </w:rPr>
        <w:t>80</w:t>
      </w:r>
    </w:p>
    <w:p>
      <w:pPr>
        <w:pStyle w:val="BodyText"/>
        <w:spacing w:line="357" w:lineRule="auto" w:before="236"/>
        <w:ind w:left="196" w:right="278"/>
        <w:jc w:val="both"/>
      </w:pPr>
      <w:r>
        <w:rPr/>
        <w:t>Ante este panorama, es de suma importancia conocer cuál es el papel que desempeña la inmunidad humoral en respuesta a la caries dental; dentro de este rubro se encuentra la expresión génica de los receptores Fc</w:t>
      </w:r>
      <w:r>
        <w:rPr>
          <w:rFonts w:ascii="Symbol" w:hAnsi="Symbol"/>
        </w:rPr>
        <w:t></w:t>
      </w:r>
      <w:r>
        <w:rPr/>
        <w:t>R, Fc</w:t>
      </w:r>
      <w:r>
        <w:rPr>
          <w:rFonts w:ascii="Symbol" w:hAnsi="Symbol"/>
        </w:rPr>
        <w:t></w:t>
      </w:r>
      <w:r>
        <w:rPr/>
        <w:t>RIIB, Fc</w:t>
      </w:r>
      <w:r>
        <w:rPr>
          <w:rFonts w:ascii="Symbol" w:hAnsi="Symbol"/>
        </w:rPr>
        <w:t></w:t>
      </w:r>
      <w:r>
        <w:rPr/>
        <w:t>R para</w:t>
      </w:r>
    </w:p>
    <w:p>
      <w:pPr>
        <w:pStyle w:val="BodyText"/>
        <w:spacing w:line="324" w:lineRule="auto" w:before="5"/>
        <w:ind w:left="196" w:right="288"/>
        <w:jc w:val="both"/>
        <w:rPr>
          <w:sz w:val="16"/>
        </w:rPr>
      </w:pPr>
      <w:r>
        <w:rPr/>
        <w:t>las inmunoglobulinas A, G y M, respectivamente, las cuales se encuentran presentes en la saliva.</w:t>
      </w:r>
      <w:r>
        <w:rPr>
          <w:position w:val="11"/>
          <w:sz w:val="16"/>
        </w:rPr>
        <w:t>45</w:t>
      </w:r>
    </w:p>
    <w:p>
      <w:pPr>
        <w:pStyle w:val="BodyText"/>
        <w:spacing w:line="360" w:lineRule="auto" w:before="236"/>
        <w:ind w:left="196" w:right="279"/>
        <w:jc w:val="both"/>
      </w:pPr>
      <w:r>
        <w:rPr/>
        <w:t>No obstante, actualmente en México no se cuenta con estudios que reporten la expresión génica de los receptores mencionados, lo cual hace necesaria la presente investigación.</w:t>
      </w:r>
    </w:p>
    <w:p>
      <w:pPr>
        <w:pStyle w:val="BodyText"/>
        <w:spacing w:line="360" w:lineRule="auto" w:before="209"/>
        <w:ind w:left="196" w:right="279"/>
        <w:jc w:val="both"/>
      </w:pPr>
      <w:r>
        <w:rPr/>
        <w:t>La Universidad Autónoma del Estado de México cuenta con las instalaciones y los medios para poder realizar investigaciones en el campo de la biología molecular, como lo es la aplicación de Fc</w:t>
      </w:r>
      <w:r>
        <w:rPr>
          <w:rFonts w:ascii="Symbol" w:hAnsi="Symbol"/>
        </w:rPr>
        <w:t></w:t>
      </w:r>
      <w:r>
        <w:rPr/>
        <w:t>R, Fc</w:t>
      </w:r>
      <w:r>
        <w:rPr>
          <w:rFonts w:ascii="Symbol" w:hAnsi="Symbol"/>
        </w:rPr>
        <w:t></w:t>
      </w:r>
      <w:r>
        <w:rPr/>
        <w:t>RIIB, Fc</w:t>
      </w:r>
      <w:r>
        <w:rPr>
          <w:rFonts w:ascii="Symbol" w:hAnsi="Symbol"/>
        </w:rPr>
        <w:t></w:t>
      </w:r>
      <w:r>
        <w:rPr/>
        <w:t>R; al ejecutar esta investigación, se estarán aprovechando los recursos que provee la Universidad, con la finalidad de aportar a la sociedad los resultados obtenidos y de esta manera, obtener las bases para  la   elaboración   de   futuras   investigaciones  que   ayuden   a   comprender la</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0" w:lineRule="auto" w:before="69"/>
        <w:ind w:left="196" w:right="272"/>
      </w:pPr>
      <w:r>
        <w:rPr/>
        <w:t>inmunología de la caries, así como entender mejor la presencia de dicha enfermedad en los diferentes tipos de dentición.</w:t>
      </w:r>
    </w:p>
    <w:p>
      <w:pPr>
        <w:spacing w:after="0" w:line="360" w:lineRule="auto"/>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17"/>
        </w:numPr>
        <w:tabs>
          <w:tab w:pos="3765" w:val="left" w:leader="none"/>
        </w:tabs>
        <w:spacing w:line="240" w:lineRule="auto" w:before="173" w:after="0"/>
        <w:ind w:left="3764" w:right="0" w:hanging="634"/>
        <w:jc w:val="left"/>
      </w:pPr>
      <w:bookmarkStart w:name="_TOC_250033" w:id="33"/>
      <w:bookmarkEnd w:id="33"/>
      <w:r>
        <w:rPr/>
        <w:t>OBJETIVOS</w:t>
      </w:r>
    </w:p>
    <w:p>
      <w:pPr>
        <w:spacing w:after="0" w:line="240" w:lineRule="auto"/>
        <w:jc w:val="left"/>
        <w:sectPr>
          <w:pgSz w:w="12240" w:h="15840"/>
          <w:pgMar w:header="726" w:footer="1031" w:top="1340" w:bottom="1220" w:left="1220" w:right="1420"/>
        </w:sectPr>
      </w:pPr>
    </w:p>
    <w:p>
      <w:pPr>
        <w:pStyle w:val="BodyText"/>
        <w:spacing w:before="4"/>
        <w:rPr>
          <w:b/>
          <w:sz w:val="22"/>
        </w:rPr>
      </w:pPr>
    </w:p>
    <w:p>
      <w:pPr>
        <w:pStyle w:val="Heading2"/>
        <w:jc w:val="left"/>
      </w:pPr>
      <w:r>
        <w:rPr/>
        <w:t>General</w:t>
      </w:r>
    </w:p>
    <w:p>
      <w:pPr>
        <w:pStyle w:val="BodyText"/>
        <w:spacing w:before="1"/>
        <w:rPr>
          <w:b/>
          <w:sz w:val="30"/>
        </w:rPr>
      </w:pPr>
    </w:p>
    <w:p>
      <w:pPr>
        <w:pStyle w:val="BodyText"/>
        <w:spacing w:line="357" w:lineRule="auto" w:before="1"/>
        <w:ind w:left="196"/>
      </w:pPr>
      <w:r>
        <w:rPr/>
        <w:t>Conocer la expresión génica de Fc</w:t>
      </w:r>
      <w:r>
        <w:rPr>
          <w:rFonts w:ascii="Symbol" w:hAnsi="Symbol"/>
        </w:rPr>
        <w:t></w:t>
      </w:r>
      <w:r>
        <w:rPr/>
        <w:t>R, Fc</w:t>
      </w:r>
      <w:r>
        <w:rPr>
          <w:rFonts w:ascii="Symbol" w:hAnsi="Symbol"/>
        </w:rPr>
        <w:t></w:t>
      </w:r>
      <w:r>
        <w:rPr/>
        <w:t>RIIB, Fc</w:t>
      </w:r>
      <w:r>
        <w:rPr>
          <w:rFonts w:ascii="Symbol" w:hAnsi="Symbol"/>
        </w:rPr>
        <w:t></w:t>
      </w:r>
      <w:r>
        <w:rPr/>
        <w:t>R en saliva de pacientes mexiquenses con dentición mixta y permanente que presentan caries; 2013.</w:t>
      </w:r>
    </w:p>
    <w:p>
      <w:pPr>
        <w:pStyle w:val="Heading2"/>
        <w:spacing w:before="202"/>
        <w:jc w:val="left"/>
      </w:pPr>
      <w:r>
        <w:rPr/>
        <w:t>Específicos</w:t>
      </w:r>
    </w:p>
    <w:p>
      <w:pPr>
        <w:pStyle w:val="BodyText"/>
        <w:spacing w:before="1"/>
        <w:rPr>
          <w:b/>
          <w:sz w:val="30"/>
        </w:rPr>
      </w:pPr>
    </w:p>
    <w:p>
      <w:pPr>
        <w:pStyle w:val="ListParagraph"/>
        <w:numPr>
          <w:ilvl w:val="2"/>
          <w:numId w:val="18"/>
        </w:numPr>
        <w:tabs>
          <w:tab w:pos="916" w:val="left" w:leader="none"/>
          <w:tab w:pos="917" w:val="left" w:leader="none"/>
        </w:tabs>
        <w:spacing w:line="240" w:lineRule="auto" w:before="0" w:after="0"/>
        <w:ind w:left="917" w:right="0" w:hanging="361"/>
        <w:jc w:val="left"/>
        <w:rPr>
          <w:sz w:val="24"/>
        </w:rPr>
      </w:pPr>
      <w:r>
        <w:rPr>
          <w:sz w:val="24"/>
        </w:rPr>
        <w:t>Caracterizar sociodemográficamente a la población en</w:t>
      </w:r>
      <w:r>
        <w:rPr>
          <w:spacing w:val="-22"/>
          <w:sz w:val="24"/>
        </w:rPr>
        <w:t> </w:t>
      </w:r>
      <w:r>
        <w:rPr>
          <w:sz w:val="24"/>
        </w:rPr>
        <w:t>estudio.</w:t>
      </w:r>
    </w:p>
    <w:p>
      <w:pPr>
        <w:pStyle w:val="ListParagraph"/>
        <w:numPr>
          <w:ilvl w:val="2"/>
          <w:numId w:val="18"/>
        </w:numPr>
        <w:tabs>
          <w:tab w:pos="916" w:val="left" w:leader="none"/>
          <w:tab w:pos="917" w:val="left" w:leader="none"/>
        </w:tabs>
        <w:spacing w:line="240" w:lineRule="auto" w:before="138" w:after="0"/>
        <w:ind w:left="917" w:right="0" w:hanging="361"/>
        <w:jc w:val="left"/>
        <w:rPr>
          <w:sz w:val="24"/>
        </w:rPr>
      </w:pPr>
      <w:r>
        <w:rPr>
          <w:sz w:val="24"/>
        </w:rPr>
        <w:t>Establecer el diagnóstico de caries por tipo de dentición: mixta y</w:t>
      </w:r>
      <w:r>
        <w:rPr>
          <w:spacing w:val="-25"/>
          <w:sz w:val="24"/>
        </w:rPr>
        <w:t> </w:t>
      </w:r>
      <w:r>
        <w:rPr>
          <w:sz w:val="24"/>
        </w:rPr>
        <w:t>permanente.</w:t>
      </w:r>
    </w:p>
    <w:p>
      <w:pPr>
        <w:pStyle w:val="ListParagraph"/>
        <w:numPr>
          <w:ilvl w:val="2"/>
          <w:numId w:val="18"/>
        </w:numPr>
        <w:tabs>
          <w:tab w:pos="916" w:val="left" w:leader="none"/>
          <w:tab w:pos="917" w:val="left" w:leader="none"/>
        </w:tabs>
        <w:spacing w:line="362" w:lineRule="auto" w:before="133" w:after="0"/>
        <w:ind w:left="917" w:right="274" w:hanging="361"/>
        <w:jc w:val="left"/>
        <w:rPr>
          <w:sz w:val="24"/>
        </w:rPr>
      </w:pPr>
      <w:r>
        <w:rPr>
          <w:sz w:val="24"/>
        </w:rPr>
        <w:t>Probar la existencia o no de la expresión génica de Fc</w:t>
      </w:r>
      <w:r>
        <w:rPr>
          <w:rFonts w:ascii="Symbol" w:hAnsi="Symbol"/>
          <w:sz w:val="24"/>
        </w:rPr>
        <w:t></w:t>
      </w:r>
      <w:r>
        <w:rPr>
          <w:sz w:val="24"/>
        </w:rPr>
        <w:t>R, Fc</w:t>
      </w:r>
      <w:r>
        <w:rPr>
          <w:rFonts w:ascii="Symbol" w:hAnsi="Symbol"/>
          <w:sz w:val="24"/>
        </w:rPr>
        <w:t></w:t>
      </w:r>
      <w:r>
        <w:rPr>
          <w:sz w:val="24"/>
        </w:rPr>
        <w:t>RIIB, Fc</w:t>
      </w:r>
      <w:r>
        <w:rPr>
          <w:rFonts w:ascii="Symbol" w:hAnsi="Symbol"/>
          <w:sz w:val="24"/>
        </w:rPr>
        <w:t></w:t>
      </w:r>
      <w:r>
        <w:rPr>
          <w:sz w:val="24"/>
        </w:rPr>
        <w:t>R en la saliva de pacientes con dentición mixta y permanente que presentan</w:t>
      </w:r>
      <w:r>
        <w:rPr>
          <w:spacing w:val="-27"/>
          <w:sz w:val="24"/>
        </w:rPr>
        <w:t> </w:t>
      </w:r>
      <w:r>
        <w:rPr>
          <w:sz w:val="24"/>
        </w:rPr>
        <w:t>caries.</w:t>
      </w:r>
    </w:p>
    <w:p>
      <w:pPr>
        <w:pStyle w:val="ListParagraph"/>
        <w:numPr>
          <w:ilvl w:val="3"/>
          <w:numId w:val="18"/>
        </w:numPr>
        <w:tabs>
          <w:tab w:pos="1637" w:val="left" w:leader="none"/>
        </w:tabs>
        <w:spacing w:line="240" w:lineRule="auto" w:before="0" w:after="0"/>
        <w:ind w:left="1637" w:right="0" w:hanging="360"/>
        <w:jc w:val="left"/>
        <w:rPr>
          <w:sz w:val="24"/>
        </w:rPr>
      </w:pPr>
      <w:r>
        <w:rPr>
          <w:sz w:val="24"/>
        </w:rPr>
        <w:t>Extracción de</w:t>
      </w:r>
      <w:r>
        <w:rPr>
          <w:spacing w:val="5"/>
          <w:sz w:val="24"/>
        </w:rPr>
        <w:t> </w:t>
      </w:r>
      <w:r>
        <w:rPr>
          <w:spacing w:val="-3"/>
          <w:sz w:val="24"/>
        </w:rPr>
        <w:t>mRNA.</w:t>
      </w:r>
    </w:p>
    <w:p>
      <w:pPr>
        <w:pStyle w:val="ListParagraph"/>
        <w:numPr>
          <w:ilvl w:val="3"/>
          <w:numId w:val="18"/>
        </w:numPr>
        <w:tabs>
          <w:tab w:pos="1637" w:val="left" w:leader="none"/>
        </w:tabs>
        <w:spacing w:line="240" w:lineRule="auto" w:before="120" w:after="0"/>
        <w:ind w:left="1637" w:right="0" w:hanging="360"/>
        <w:jc w:val="left"/>
        <w:rPr>
          <w:sz w:val="24"/>
        </w:rPr>
      </w:pPr>
      <w:r>
        <w:rPr>
          <w:sz w:val="24"/>
        </w:rPr>
        <w:t>Transcripción de RNA a</w:t>
      </w:r>
      <w:r>
        <w:rPr>
          <w:spacing w:val="-9"/>
          <w:sz w:val="24"/>
        </w:rPr>
        <w:t> </w:t>
      </w:r>
      <w:r>
        <w:rPr>
          <w:sz w:val="24"/>
        </w:rPr>
        <w:t>cDNA.</w:t>
      </w:r>
    </w:p>
    <w:p>
      <w:pPr>
        <w:pStyle w:val="ListParagraph"/>
        <w:numPr>
          <w:ilvl w:val="3"/>
          <w:numId w:val="18"/>
        </w:numPr>
        <w:tabs>
          <w:tab w:pos="1637" w:val="left" w:leader="none"/>
        </w:tabs>
        <w:spacing w:line="240" w:lineRule="auto" w:before="115" w:after="0"/>
        <w:ind w:left="1637" w:right="0" w:hanging="360"/>
        <w:jc w:val="left"/>
        <w:rPr>
          <w:sz w:val="24"/>
        </w:rPr>
      </w:pPr>
      <w:r>
        <w:rPr>
          <w:sz w:val="24"/>
        </w:rPr>
        <w:t>Reacción en Cadena de la Polimerasa en </w:t>
      </w:r>
      <w:r>
        <w:rPr>
          <w:spacing w:val="-3"/>
          <w:sz w:val="24"/>
        </w:rPr>
        <w:t>tiempo</w:t>
      </w:r>
      <w:r>
        <w:rPr>
          <w:spacing w:val="-11"/>
          <w:sz w:val="24"/>
        </w:rPr>
        <w:t> </w:t>
      </w:r>
      <w:r>
        <w:rPr>
          <w:sz w:val="24"/>
        </w:rPr>
        <w:t>real</w:t>
      </w:r>
    </w:p>
    <w:p>
      <w:pPr>
        <w:pStyle w:val="ListParagraph"/>
        <w:numPr>
          <w:ilvl w:val="2"/>
          <w:numId w:val="18"/>
        </w:numPr>
        <w:tabs>
          <w:tab w:pos="907" w:val="left" w:leader="none"/>
          <w:tab w:pos="908" w:val="left" w:leader="none"/>
        </w:tabs>
        <w:spacing w:line="357" w:lineRule="auto" w:before="114" w:after="0"/>
        <w:ind w:left="907" w:right="274" w:hanging="361"/>
        <w:jc w:val="left"/>
        <w:rPr>
          <w:sz w:val="24"/>
        </w:rPr>
      </w:pPr>
      <w:r>
        <w:rPr>
          <w:sz w:val="24"/>
        </w:rPr>
        <w:t>Comparación de la expresión génica de Fc</w:t>
      </w:r>
      <w:r>
        <w:rPr>
          <w:rFonts w:ascii="Symbol" w:hAnsi="Symbol"/>
          <w:sz w:val="24"/>
        </w:rPr>
        <w:t></w:t>
      </w:r>
      <w:r>
        <w:rPr>
          <w:sz w:val="24"/>
        </w:rPr>
        <w:t>R, Fc</w:t>
      </w:r>
      <w:r>
        <w:rPr>
          <w:rFonts w:ascii="Symbol" w:hAnsi="Symbol"/>
          <w:sz w:val="24"/>
        </w:rPr>
        <w:t></w:t>
      </w:r>
      <w:r>
        <w:rPr>
          <w:sz w:val="24"/>
        </w:rPr>
        <w:t>RIIB, Fc</w:t>
      </w:r>
      <w:r>
        <w:rPr>
          <w:rFonts w:ascii="Symbol" w:hAnsi="Symbol"/>
          <w:sz w:val="24"/>
        </w:rPr>
        <w:t></w:t>
      </w:r>
      <w:r>
        <w:rPr>
          <w:sz w:val="24"/>
        </w:rPr>
        <w:t>R entre los diferentes tipos de dentición de los pacientes con caries</w:t>
      </w:r>
      <w:r>
        <w:rPr>
          <w:spacing w:val="-28"/>
          <w:sz w:val="24"/>
        </w:rPr>
        <w:t> </w:t>
      </w:r>
      <w:r>
        <w:rPr>
          <w:sz w:val="24"/>
        </w:rPr>
        <w:t>estudiados.</w:t>
      </w:r>
    </w:p>
    <w:p>
      <w:pPr>
        <w:spacing w:after="0" w:line="357" w:lineRule="auto"/>
        <w:jc w:val="left"/>
        <w:rPr>
          <w:sz w:val="24"/>
        </w:rPr>
        <w:sectPr>
          <w:footerReference w:type="default" r:id="rId40"/>
          <w:pgSz w:w="12240" w:h="15840"/>
          <w:pgMar w:footer="1031" w:header="726"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17"/>
        </w:numPr>
        <w:tabs>
          <w:tab w:pos="4120" w:val="left" w:leader="none"/>
        </w:tabs>
        <w:spacing w:line="240" w:lineRule="auto" w:before="173" w:after="0"/>
        <w:ind w:left="4119" w:right="0" w:hanging="777"/>
        <w:jc w:val="left"/>
      </w:pPr>
      <w:bookmarkStart w:name="_TOC_250032" w:id="34"/>
      <w:bookmarkEnd w:id="34"/>
      <w:r>
        <w:rPr/>
        <w:t>HIPÓTESIS</w:t>
      </w:r>
    </w:p>
    <w:p>
      <w:pPr>
        <w:spacing w:after="0" w:line="240" w:lineRule="auto"/>
        <w:jc w:val="left"/>
        <w:sectPr>
          <w:footerReference w:type="default" r:id="rId41"/>
          <w:pgSz w:w="12240" w:h="15840"/>
          <w:pgMar w:footer="1031" w:header="726" w:top="1340" w:bottom="1220" w:left="1220" w:right="1420"/>
          <w:pgNumType w:start="61"/>
        </w:sectPr>
      </w:pPr>
    </w:p>
    <w:p>
      <w:pPr>
        <w:pStyle w:val="BodyText"/>
        <w:spacing w:before="4"/>
        <w:rPr>
          <w:b/>
          <w:sz w:val="22"/>
        </w:rPr>
      </w:pPr>
    </w:p>
    <w:p>
      <w:pPr>
        <w:pStyle w:val="Heading2"/>
      </w:pPr>
      <w:r>
        <w:rPr/>
        <w:t>Hipótesis de Trabajo:</w:t>
      </w:r>
    </w:p>
    <w:p>
      <w:pPr>
        <w:pStyle w:val="BodyText"/>
        <w:spacing w:before="1"/>
        <w:rPr>
          <w:b/>
          <w:sz w:val="30"/>
        </w:rPr>
      </w:pPr>
    </w:p>
    <w:p>
      <w:pPr>
        <w:pStyle w:val="BodyText"/>
        <w:spacing w:line="357" w:lineRule="auto" w:before="1"/>
        <w:ind w:left="196" w:right="273"/>
        <w:jc w:val="both"/>
      </w:pPr>
      <w:r>
        <w:rPr/>
        <w:t>Si existe expresión génica de Fc</w:t>
      </w:r>
      <w:r>
        <w:rPr>
          <w:rFonts w:ascii="Symbol" w:hAnsi="Symbol"/>
        </w:rPr>
        <w:t></w:t>
      </w:r>
      <w:r>
        <w:rPr/>
        <w:t>R, Fc</w:t>
      </w:r>
      <w:r>
        <w:rPr>
          <w:rFonts w:ascii="Symbol" w:hAnsi="Symbol"/>
        </w:rPr>
        <w:t></w:t>
      </w:r>
      <w:r>
        <w:rPr/>
        <w:t>RIIB, Fc</w:t>
      </w:r>
      <w:r>
        <w:rPr>
          <w:rFonts w:ascii="Symbol" w:hAnsi="Symbol"/>
        </w:rPr>
        <w:t></w:t>
      </w:r>
      <w:r>
        <w:rPr/>
        <w:t>R en la saliva de pacientes mexiquenses con dentición mixta y dentición permanente que presentan  caries; 2013.</w:t>
      </w:r>
    </w:p>
    <w:p>
      <w:pPr>
        <w:pStyle w:val="Heading2"/>
        <w:spacing w:before="202"/>
      </w:pPr>
      <w:r>
        <w:rPr/>
        <w:t>Hipótesis Nula:</w:t>
      </w:r>
    </w:p>
    <w:p>
      <w:pPr>
        <w:pStyle w:val="BodyText"/>
        <w:spacing w:before="1"/>
        <w:rPr>
          <w:b/>
          <w:sz w:val="30"/>
        </w:rPr>
      </w:pPr>
    </w:p>
    <w:p>
      <w:pPr>
        <w:pStyle w:val="BodyText"/>
        <w:spacing w:line="357" w:lineRule="auto"/>
        <w:ind w:left="196" w:right="273"/>
        <w:jc w:val="both"/>
      </w:pPr>
      <w:r>
        <w:rPr/>
        <w:t>No existe expresión génica de Fc</w:t>
      </w:r>
      <w:r>
        <w:rPr>
          <w:rFonts w:ascii="Symbol" w:hAnsi="Symbol"/>
        </w:rPr>
        <w:t></w:t>
      </w:r>
      <w:r>
        <w:rPr/>
        <w:t>R, Fc</w:t>
      </w:r>
      <w:r>
        <w:rPr>
          <w:rFonts w:ascii="Symbol" w:hAnsi="Symbol"/>
        </w:rPr>
        <w:t></w:t>
      </w:r>
      <w:r>
        <w:rPr/>
        <w:t>RIIB, Fc</w:t>
      </w:r>
      <w:r>
        <w:rPr>
          <w:rFonts w:ascii="Symbol" w:hAnsi="Symbol"/>
        </w:rPr>
        <w:t></w:t>
      </w:r>
      <w:r>
        <w:rPr/>
        <w:t>R en la saliva de pacientes mexiquenses con dentición mixta y dentición permanente que presentan  caries; 2013.</w:t>
      </w:r>
    </w:p>
    <w:p>
      <w:pPr>
        <w:spacing w:after="0" w:line="357" w:lineRule="auto"/>
        <w:jc w:val="both"/>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17"/>
        </w:numPr>
        <w:tabs>
          <w:tab w:pos="2252" w:val="left" w:leader="none"/>
        </w:tabs>
        <w:spacing w:line="240" w:lineRule="auto" w:before="173" w:after="0"/>
        <w:ind w:left="2251" w:right="0" w:hanging="922"/>
        <w:jc w:val="left"/>
      </w:pPr>
      <w:bookmarkStart w:name="_TOC_250031" w:id="35"/>
      <w:r>
        <w:rPr/>
        <w:t>MÉTODOS Y</w:t>
      </w:r>
      <w:r>
        <w:rPr>
          <w:spacing w:val="-9"/>
        </w:rPr>
        <w:t> </w:t>
      </w:r>
      <w:bookmarkEnd w:id="35"/>
      <w:r>
        <w:rPr/>
        <w:t>MATERIALES</w:t>
      </w:r>
    </w:p>
    <w:p>
      <w:pPr>
        <w:spacing w:after="0" w:line="240" w:lineRule="auto"/>
        <w:jc w:val="left"/>
        <w:sectPr>
          <w:pgSz w:w="12240" w:h="15840"/>
          <w:pgMar w:header="726" w:footer="1031" w:top="1340" w:bottom="1220" w:left="1220" w:right="1420"/>
        </w:sectPr>
      </w:pPr>
    </w:p>
    <w:p>
      <w:pPr>
        <w:pStyle w:val="BodyText"/>
        <w:spacing w:before="4"/>
        <w:rPr>
          <w:b/>
          <w:sz w:val="22"/>
        </w:rPr>
      </w:pPr>
    </w:p>
    <w:p>
      <w:pPr>
        <w:pStyle w:val="Heading2"/>
        <w:numPr>
          <w:ilvl w:val="0"/>
          <w:numId w:val="19"/>
        </w:numPr>
        <w:tabs>
          <w:tab w:pos="480" w:val="left" w:leader="none"/>
        </w:tabs>
        <w:spacing w:line="240" w:lineRule="auto" w:before="70" w:after="0"/>
        <w:ind w:left="479" w:right="0" w:hanging="360"/>
        <w:jc w:val="both"/>
      </w:pPr>
      <w:bookmarkStart w:name="_TOC_250030" w:id="36"/>
      <w:r>
        <w:rPr/>
        <w:t>DISEÑO</w:t>
      </w:r>
      <w:r>
        <w:rPr>
          <w:spacing w:val="-9"/>
        </w:rPr>
        <w:t> </w:t>
      </w:r>
      <w:bookmarkEnd w:id="36"/>
      <w:r>
        <w:rPr/>
        <w:t>METODOLÓGICO</w:t>
      </w:r>
    </w:p>
    <w:p>
      <w:pPr>
        <w:pStyle w:val="BodyText"/>
        <w:spacing w:before="10"/>
        <w:rPr>
          <w:b/>
          <w:sz w:val="29"/>
        </w:rPr>
      </w:pPr>
    </w:p>
    <w:p>
      <w:pPr>
        <w:pStyle w:val="BodyText"/>
        <w:ind w:left="196"/>
        <w:jc w:val="both"/>
      </w:pPr>
      <w:r>
        <w:rPr/>
        <w:t>El presente estudio tiene un diseño no experimental, de tipo transversal.</w:t>
      </w:r>
    </w:p>
    <w:p>
      <w:pPr>
        <w:pStyle w:val="BodyText"/>
        <w:spacing w:before="9"/>
        <w:rPr>
          <w:sz w:val="29"/>
        </w:rPr>
      </w:pPr>
    </w:p>
    <w:p>
      <w:pPr>
        <w:pStyle w:val="BodyText"/>
        <w:spacing w:line="360" w:lineRule="auto"/>
        <w:ind w:left="196" w:right="274"/>
        <w:jc w:val="both"/>
      </w:pPr>
      <w:r>
        <w:rPr/>
        <w:t>La población de estudio se conformó por pacientes mexiquenses. El tipo de muestreo fue determinístico, no probabilístico (en función de la factibilidad económica para la realización del estudio), el tamaño de la muestra se integró por dos conglomerados, cada uno de 50 pacientes; 50 pacientes con dentición mixta, y 50 pacientes con dentición permanente, para obtener una n=100.</w:t>
      </w:r>
    </w:p>
    <w:p>
      <w:pPr>
        <w:pStyle w:val="BodyText"/>
        <w:spacing w:line="360" w:lineRule="auto" w:before="209"/>
        <w:ind w:left="196" w:right="284"/>
        <w:jc w:val="both"/>
      </w:pPr>
      <w:r>
        <w:rPr/>
        <w:t>La captación de sujetos se realizó en la Facultad de Odontología de la UAEM, en el municipio de Toluca, Estado de México; y en la escuela primaria “Lic. Benito Juárez”, en el municipio de Xonacatlán, Estado de México.</w:t>
      </w:r>
    </w:p>
    <w:p>
      <w:pPr>
        <w:pStyle w:val="BodyText"/>
        <w:spacing w:line="360" w:lineRule="auto" w:before="204"/>
        <w:ind w:left="196" w:right="274"/>
        <w:jc w:val="both"/>
      </w:pPr>
      <w:r>
        <w:rPr/>
        <w:t>Los sujetos que participaron se seleccionaron en función de los criterios del presente estudio:</w:t>
      </w:r>
    </w:p>
    <w:p>
      <w:pPr>
        <w:pStyle w:val="Heading2"/>
        <w:numPr>
          <w:ilvl w:val="1"/>
          <w:numId w:val="19"/>
        </w:numPr>
        <w:tabs>
          <w:tab w:pos="600" w:val="left" w:leader="none"/>
        </w:tabs>
        <w:spacing w:line="240" w:lineRule="auto" w:before="199" w:after="0"/>
        <w:ind w:left="599" w:right="0" w:hanging="403"/>
        <w:jc w:val="both"/>
      </w:pPr>
      <w:bookmarkStart w:name="_TOC_250029" w:id="37"/>
      <w:r>
        <w:rPr/>
        <w:t>Criterios de</w:t>
      </w:r>
      <w:r>
        <w:rPr>
          <w:spacing w:val="-13"/>
        </w:rPr>
        <w:t> </w:t>
      </w:r>
      <w:bookmarkEnd w:id="37"/>
      <w:r>
        <w:rPr/>
        <w:t>Inclusión</w:t>
      </w:r>
    </w:p>
    <w:p>
      <w:pPr>
        <w:pStyle w:val="BodyText"/>
        <w:spacing w:before="3"/>
        <w:rPr>
          <w:b/>
          <w:sz w:val="30"/>
        </w:rPr>
      </w:pPr>
    </w:p>
    <w:p>
      <w:pPr>
        <w:pStyle w:val="ListParagraph"/>
        <w:numPr>
          <w:ilvl w:val="2"/>
          <w:numId w:val="19"/>
        </w:numPr>
        <w:tabs>
          <w:tab w:pos="916" w:val="left" w:leader="none"/>
          <w:tab w:pos="917" w:val="left" w:leader="none"/>
        </w:tabs>
        <w:spacing w:line="360" w:lineRule="auto" w:before="0" w:after="0"/>
        <w:ind w:left="917" w:right="286" w:hanging="361"/>
        <w:jc w:val="left"/>
        <w:rPr>
          <w:sz w:val="24"/>
        </w:rPr>
      </w:pPr>
      <w:r>
        <w:rPr>
          <w:sz w:val="24"/>
        </w:rPr>
        <w:t>Caries diagnosticada con el Sistema DIAGNOdent Pen, en base a los criterios del</w:t>
      </w:r>
      <w:r>
        <w:rPr>
          <w:spacing w:val="-4"/>
          <w:sz w:val="24"/>
        </w:rPr>
        <w:t> </w:t>
      </w:r>
      <w:r>
        <w:rPr>
          <w:sz w:val="24"/>
        </w:rPr>
        <w:t>fabricante.</w:t>
      </w:r>
    </w:p>
    <w:p>
      <w:pPr>
        <w:pStyle w:val="ListParagraph"/>
        <w:numPr>
          <w:ilvl w:val="2"/>
          <w:numId w:val="19"/>
        </w:numPr>
        <w:tabs>
          <w:tab w:pos="916" w:val="left" w:leader="none"/>
          <w:tab w:pos="917" w:val="left" w:leader="none"/>
        </w:tabs>
        <w:spacing w:line="240" w:lineRule="auto" w:before="2" w:after="0"/>
        <w:ind w:left="917" w:right="0" w:hanging="361"/>
        <w:jc w:val="left"/>
        <w:rPr>
          <w:sz w:val="24"/>
        </w:rPr>
      </w:pPr>
      <w:r>
        <w:rPr>
          <w:sz w:val="24"/>
        </w:rPr>
        <w:t>Presencia de dentición mixta o</w:t>
      </w:r>
      <w:r>
        <w:rPr>
          <w:spacing w:val="-15"/>
          <w:sz w:val="24"/>
        </w:rPr>
        <w:t> </w:t>
      </w:r>
      <w:r>
        <w:rPr>
          <w:sz w:val="24"/>
        </w:rPr>
        <w:t>permanente.</w:t>
      </w:r>
    </w:p>
    <w:p>
      <w:pPr>
        <w:pStyle w:val="ListParagraph"/>
        <w:numPr>
          <w:ilvl w:val="2"/>
          <w:numId w:val="19"/>
        </w:numPr>
        <w:tabs>
          <w:tab w:pos="916" w:val="left" w:leader="none"/>
          <w:tab w:pos="917" w:val="left" w:leader="none"/>
        </w:tabs>
        <w:spacing w:line="240" w:lineRule="auto" w:before="137" w:after="0"/>
        <w:ind w:left="917" w:right="0" w:hanging="361"/>
        <w:jc w:val="left"/>
        <w:rPr>
          <w:sz w:val="24"/>
        </w:rPr>
      </w:pPr>
      <w:r>
        <w:rPr>
          <w:sz w:val="24"/>
        </w:rPr>
        <w:t>Sin tratamiento de ortodoncia u</w:t>
      </w:r>
      <w:r>
        <w:rPr>
          <w:spacing w:val="-15"/>
          <w:sz w:val="24"/>
        </w:rPr>
        <w:t> </w:t>
      </w:r>
      <w:r>
        <w:rPr>
          <w:sz w:val="24"/>
        </w:rPr>
        <w:t>ortopedia.</w:t>
      </w:r>
    </w:p>
    <w:p>
      <w:pPr>
        <w:pStyle w:val="ListParagraph"/>
        <w:numPr>
          <w:ilvl w:val="2"/>
          <w:numId w:val="19"/>
        </w:numPr>
        <w:tabs>
          <w:tab w:pos="916" w:val="left" w:leader="none"/>
          <w:tab w:pos="917" w:val="left" w:leader="none"/>
        </w:tabs>
        <w:spacing w:line="240" w:lineRule="auto" w:before="142" w:after="0"/>
        <w:ind w:left="917" w:right="0" w:hanging="361"/>
        <w:jc w:val="left"/>
        <w:rPr>
          <w:sz w:val="24"/>
        </w:rPr>
      </w:pPr>
      <w:r>
        <w:rPr>
          <w:sz w:val="24"/>
        </w:rPr>
        <w:t>Deseo de participar en el</w:t>
      </w:r>
      <w:r>
        <w:rPr>
          <w:spacing w:val="-9"/>
          <w:sz w:val="24"/>
        </w:rPr>
        <w:t> </w:t>
      </w:r>
      <w:r>
        <w:rPr>
          <w:sz w:val="24"/>
        </w:rPr>
        <w:t>estudio.</w:t>
      </w:r>
    </w:p>
    <w:p>
      <w:pPr>
        <w:pStyle w:val="Heading2"/>
        <w:numPr>
          <w:ilvl w:val="1"/>
          <w:numId w:val="19"/>
        </w:numPr>
        <w:tabs>
          <w:tab w:pos="692" w:val="left" w:leader="none"/>
        </w:tabs>
        <w:spacing w:line="240" w:lineRule="auto" w:before="132" w:after="0"/>
        <w:ind w:left="691" w:right="0" w:hanging="428"/>
        <w:jc w:val="both"/>
      </w:pPr>
      <w:bookmarkStart w:name="_TOC_250028" w:id="38"/>
      <w:r>
        <w:rPr/>
        <w:t>Criterios de</w:t>
      </w:r>
      <w:r>
        <w:rPr>
          <w:spacing w:val="-6"/>
        </w:rPr>
        <w:t> </w:t>
      </w:r>
      <w:bookmarkEnd w:id="38"/>
      <w:r>
        <w:rPr/>
        <w:t>Exclusión</w:t>
      </w:r>
    </w:p>
    <w:p>
      <w:pPr>
        <w:pStyle w:val="ListParagraph"/>
        <w:numPr>
          <w:ilvl w:val="2"/>
          <w:numId w:val="19"/>
        </w:numPr>
        <w:tabs>
          <w:tab w:pos="916" w:val="left" w:leader="none"/>
          <w:tab w:pos="917" w:val="left" w:leader="none"/>
        </w:tabs>
        <w:spacing w:line="240" w:lineRule="auto" w:before="141" w:after="0"/>
        <w:ind w:left="917" w:right="0" w:hanging="361"/>
        <w:jc w:val="left"/>
        <w:rPr>
          <w:sz w:val="24"/>
        </w:rPr>
      </w:pPr>
      <w:r>
        <w:rPr>
          <w:sz w:val="24"/>
        </w:rPr>
        <w:t>Sin presencia de</w:t>
      </w:r>
      <w:r>
        <w:rPr>
          <w:spacing w:val="-4"/>
          <w:sz w:val="24"/>
        </w:rPr>
        <w:t> </w:t>
      </w:r>
      <w:r>
        <w:rPr>
          <w:sz w:val="24"/>
        </w:rPr>
        <w:t>caries.</w:t>
      </w:r>
    </w:p>
    <w:p>
      <w:pPr>
        <w:pStyle w:val="ListParagraph"/>
        <w:numPr>
          <w:ilvl w:val="2"/>
          <w:numId w:val="19"/>
        </w:numPr>
        <w:tabs>
          <w:tab w:pos="916" w:val="left" w:leader="none"/>
          <w:tab w:pos="917" w:val="left" w:leader="none"/>
        </w:tabs>
        <w:spacing w:line="240" w:lineRule="auto" w:before="137" w:after="0"/>
        <w:ind w:left="917" w:right="0" w:hanging="361"/>
        <w:jc w:val="left"/>
        <w:rPr>
          <w:sz w:val="24"/>
        </w:rPr>
      </w:pPr>
      <w:r>
        <w:rPr>
          <w:sz w:val="24"/>
        </w:rPr>
        <w:t>Enfermedad aguda o crónica al momento del</w:t>
      </w:r>
      <w:r>
        <w:rPr>
          <w:spacing w:val="-20"/>
          <w:sz w:val="24"/>
        </w:rPr>
        <w:t> </w:t>
      </w:r>
      <w:r>
        <w:rPr>
          <w:sz w:val="24"/>
        </w:rPr>
        <w:t>estudio.</w:t>
      </w:r>
    </w:p>
    <w:p>
      <w:pPr>
        <w:pStyle w:val="ListParagraph"/>
        <w:numPr>
          <w:ilvl w:val="2"/>
          <w:numId w:val="19"/>
        </w:numPr>
        <w:tabs>
          <w:tab w:pos="916" w:val="left" w:leader="none"/>
          <w:tab w:pos="917" w:val="left" w:leader="none"/>
        </w:tabs>
        <w:spacing w:line="240" w:lineRule="auto" w:before="137" w:after="0"/>
        <w:ind w:left="917" w:right="0" w:hanging="361"/>
        <w:jc w:val="left"/>
        <w:rPr>
          <w:sz w:val="24"/>
        </w:rPr>
      </w:pPr>
      <w:r>
        <w:rPr>
          <w:sz w:val="24"/>
        </w:rPr>
        <w:t>Sujetos que refieran estar</w:t>
      </w:r>
      <w:r>
        <w:rPr>
          <w:spacing w:val="-21"/>
          <w:sz w:val="24"/>
        </w:rPr>
        <w:t> </w:t>
      </w:r>
      <w:r>
        <w:rPr>
          <w:sz w:val="24"/>
        </w:rPr>
        <w:t>inmunocomprometidos.</w:t>
      </w:r>
    </w:p>
    <w:p>
      <w:pPr>
        <w:pStyle w:val="ListParagraph"/>
        <w:numPr>
          <w:ilvl w:val="2"/>
          <w:numId w:val="19"/>
        </w:numPr>
        <w:tabs>
          <w:tab w:pos="916" w:val="left" w:leader="none"/>
          <w:tab w:pos="917" w:val="left" w:leader="none"/>
        </w:tabs>
        <w:spacing w:line="240" w:lineRule="auto" w:before="141" w:after="0"/>
        <w:ind w:left="917" w:right="0" w:hanging="361"/>
        <w:jc w:val="left"/>
        <w:rPr>
          <w:sz w:val="24"/>
        </w:rPr>
      </w:pPr>
      <w:r>
        <w:rPr>
          <w:sz w:val="24"/>
        </w:rPr>
        <w:t>Estado de</w:t>
      </w:r>
      <w:r>
        <w:rPr>
          <w:spacing w:val="-5"/>
          <w:sz w:val="24"/>
        </w:rPr>
        <w:t> </w:t>
      </w:r>
      <w:r>
        <w:rPr>
          <w:sz w:val="24"/>
        </w:rPr>
        <w:t>gravidez.</w:t>
      </w:r>
    </w:p>
    <w:p>
      <w:pPr>
        <w:pStyle w:val="ListParagraph"/>
        <w:numPr>
          <w:ilvl w:val="2"/>
          <w:numId w:val="19"/>
        </w:numPr>
        <w:tabs>
          <w:tab w:pos="916" w:val="left" w:leader="none"/>
          <w:tab w:pos="917" w:val="left" w:leader="none"/>
        </w:tabs>
        <w:spacing w:line="240" w:lineRule="auto" w:before="137" w:after="0"/>
        <w:ind w:left="917" w:right="0" w:hanging="361"/>
        <w:jc w:val="left"/>
        <w:rPr>
          <w:sz w:val="24"/>
        </w:rPr>
      </w:pPr>
      <w:r>
        <w:rPr>
          <w:sz w:val="24"/>
        </w:rPr>
        <w:t>Tratamiento de ortodoncia u ortopedia y/o dentales</w:t>
      </w:r>
      <w:r>
        <w:rPr>
          <w:spacing w:val="-17"/>
          <w:sz w:val="24"/>
        </w:rPr>
        <w:t> </w:t>
      </w:r>
      <w:r>
        <w:rPr>
          <w:sz w:val="24"/>
        </w:rPr>
        <w:t>protésicos.</w:t>
      </w:r>
    </w:p>
    <w:p>
      <w:pPr>
        <w:pStyle w:val="ListParagraph"/>
        <w:numPr>
          <w:ilvl w:val="2"/>
          <w:numId w:val="19"/>
        </w:numPr>
        <w:tabs>
          <w:tab w:pos="916" w:val="left" w:leader="none"/>
          <w:tab w:pos="917" w:val="left" w:leader="none"/>
        </w:tabs>
        <w:spacing w:line="240" w:lineRule="auto" w:before="137" w:after="0"/>
        <w:ind w:left="917" w:right="0" w:hanging="361"/>
        <w:jc w:val="left"/>
        <w:rPr>
          <w:sz w:val="24"/>
        </w:rPr>
      </w:pPr>
      <w:r>
        <w:rPr>
          <w:sz w:val="24"/>
        </w:rPr>
        <w:t>Tratamiento</w:t>
      </w:r>
      <w:r>
        <w:rPr>
          <w:spacing w:val="-11"/>
          <w:sz w:val="24"/>
        </w:rPr>
        <w:t> </w:t>
      </w:r>
      <w:r>
        <w:rPr>
          <w:sz w:val="24"/>
        </w:rPr>
        <w:t>medicamentoso.</w:t>
      </w:r>
    </w:p>
    <w:p>
      <w:pPr>
        <w:pStyle w:val="Heading2"/>
        <w:numPr>
          <w:ilvl w:val="1"/>
          <w:numId w:val="19"/>
        </w:numPr>
        <w:tabs>
          <w:tab w:pos="692" w:val="left" w:leader="none"/>
        </w:tabs>
        <w:spacing w:line="240" w:lineRule="auto" w:before="132" w:after="0"/>
        <w:ind w:left="691" w:right="0" w:hanging="418"/>
        <w:jc w:val="both"/>
      </w:pPr>
      <w:bookmarkStart w:name="_TOC_250027" w:id="39"/>
      <w:r>
        <w:rPr/>
        <w:t>Criterios de</w:t>
      </w:r>
      <w:r>
        <w:rPr>
          <w:spacing w:val="-7"/>
        </w:rPr>
        <w:t> </w:t>
      </w:r>
      <w:bookmarkEnd w:id="39"/>
      <w:r>
        <w:rPr/>
        <w:t>Eliminación</w:t>
      </w:r>
    </w:p>
    <w:p>
      <w:pPr>
        <w:pStyle w:val="ListParagraph"/>
        <w:numPr>
          <w:ilvl w:val="2"/>
          <w:numId w:val="19"/>
        </w:numPr>
        <w:tabs>
          <w:tab w:pos="916" w:val="left" w:leader="none"/>
          <w:tab w:pos="917" w:val="left" w:leader="none"/>
        </w:tabs>
        <w:spacing w:line="240" w:lineRule="auto" w:before="146" w:after="0"/>
        <w:ind w:left="937" w:right="0" w:hanging="381"/>
        <w:jc w:val="left"/>
        <w:rPr>
          <w:sz w:val="24"/>
        </w:rPr>
      </w:pPr>
      <w:r>
        <w:rPr>
          <w:sz w:val="24"/>
        </w:rPr>
        <w:t>Sujetos que durante la realización del estudio ya no deseen participar en</w:t>
      </w:r>
      <w:r>
        <w:rPr>
          <w:spacing w:val="-22"/>
          <w:sz w:val="24"/>
        </w:rPr>
        <w:t> </w:t>
      </w:r>
      <w:r>
        <w:rPr>
          <w:sz w:val="24"/>
        </w:rPr>
        <w:t>este.</w:t>
      </w:r>
    </w:p>
    <w:p>
      <w:pPr>
        <w:spacing w:after="0" w:line="240" w:lineRule="auto"/>
        <w:jc w:val="left"/>
        <w:rPr>
          <w:sz w:val="24"/>
        </w:rPr>
        <w:sectPr>
          <w:pgSz w:w="12240" w:h="15840"/>
          <w:pgMar w:header="726" w:footer="1031" w:top="1340" w:bottom="1220" w:left="1220" w:right="1420"/>
        </w:sectPr>
      </w:pPr>
    </w:p>
    <w:p>
      <w:pPr>
        <w:pStyle w:val="BodyText"/>
        <w:spacing w:before="3"/>
        <w:rPr>
          <w:sz w:val="23"/>
        </w:rPr>
      </w:pPr>
    </w:p>
    <w:p>
      <w:pPr>
        <w:pStyle w:val="ListParagraph"/>
        <w:numPr>
          <w:ilvl w:val="2"/>
          <w:numId w:val="19"/>
        </w:numPr>
        <w:tabs>
          <w:tab w:pos="936" w:val="left" w:leader="none"/>
          <w:tab w:pos="937" w:val="left" w:leader="none"/>
        </w:tabs>
        <w:spacing w:line="360" w:lineRule="auto" w:before="69" w:after="0"/>
        <w:ind w:left="937" w:right="291" w:hanging="361"/>
        <w:jc w:val="left"/>
        <w:rPr>
          <w:sz w:val="24"/>
        </w:rPr>
      </w:pPr>
      <w:r>
        <w:rPr>
          <w:sz w:val="24"/>
        </w:rPr>
        <w:t>Contaminación o no viabilidad de alguna muestra para su adecuado procesamiento.</w:t>
      </w:r>
    </w:p>
    <w:p>
      <w:pPr>
        <w:pStyle w:val="Heading2"/>
        <w:numPr>
          <w:ilvl w:val="1"/>
          <w:numId w:val="19"/>
        </w:numPr>
        <w:tabs>
          <w:tab w:pos="620" w:val="left" w:leader="none"/>
        </w:tabs>
        <w:spacing w:line="240" w:lineRule="auto" w:before="199" w:after="0"/>
        <w:ind w:left="619" w:right="0" w:hanging="403"/>
        <w:jc w:val="left"/>
      </w:pPr>
      <w:bookmarkStart w:name="_TOC_250026" w:id="40"/>
      <w:bookmarkEnd w:id="40"/>
      <w:r>
        <w:rPr/>
        <w:t>Variables</w:t>
      </w:r>
    </w:p>
    <w:p>
      <w:pPr>
        <w:pStyle w:val="BodyText"/>
        <w:spacing w:before="10"/>
        <w:rPr>
          <w:b/>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8"/>
        <w:gridCol w:w="1983"/>
        <w:gridCol w:w="1704"/>
        <w:gridCol w:w="1272"/>
        <w:gridCol w:w="1138"/>
        <w:gridCol w:w="1575"/>
      </w:tblGrid>
      <w:tr>
        <w:trPr>
          <w:trHeight w:val="470" w:hRule="exact"/>
        </w:trPr>
        <w:tc>
          <w:tcPr>
            <w:tcW w:w="1388" w:type="dxa"/>
          </w:tcPr>
          <w:p>
            <w:pPr>
              <w:pStyle w:val="TableParagraph"/>
              <w:spacing w:line="225" w:lineRule="exact"/>
              <w:ind w:left="321"/>
              <w:rPr>
                <w:sz w:val="20"/>
              </w:rPr>
            </w:pPr>
            <w:r>
              <w:rPr>
                <w:sz w:val="20"/>
              </w:rPr>
              <w:t>Variable</w:t>
            </w:r>
          </w:p>
        </w:tc>
        <w:tc>
          <w:tcPr>
            <w:tcW w:w="1983" w:type="dxa"/>
          </w:tcPr>
          <w:p>
            <w:pPr>
              <w:pStyle w:val="TableParagraph"/>
              <w:ind w:left="504" w:right="482" w:firstLine="43"/>
              <w:rPr>
                <w:sz w:val="20"/>
              </w:rPr>
            </w:pPr>
            <w:r>
              <w:rPr>
                <w:sz w:val="20"/>
              </w:rPr>
              <w:t>Definición conceptual</w:t>
            </w:r>
          </w:p>
        </w:tc>
        <w:tc>
          <w:tcPr>
            <w:tcW w:w="1704" w:type="dxa"/>
          </w:tcPr>
          <w:p>
            <w:pPr>
              <w:pStyle w:val="TableParagraph"/>
              <w:ind w:left="331" w:right="309" w:firstLine="72"/>
              <w:rPr>
                <w:sz w:val="20"/>
              </w:rPr>
            </w:pPr>
            <w:r>
              <w:rPr>
                <w:sz w:val="20"/>
              </w:rPr>
              <w:t>Definición operacional</w:t>
            </w:r>
          </w:p>
        </w:tc>
        <w:tc>
          <w:tcPr>
            <w:tcW w:w="1272" w:type="dxa"/>
          </w:tcPr>
          <w:p>
            <w:pPr>
              <w:pStyle w:val="TableParagraph"/>
              <w:ind w:left="283" w:right="259" w:firstLine="14"/>
              <w:rPr>
                <w:sz w:val="20"/>
              </w:rPr>
            </w:pPr>
            <w:r>
              <w:rPr>
                <w:sz w:val="20"/>
              </w:rPr>
              <w:t>Tipo de variable</w:t>
            </w:r>
          </w:p>
        </w:tc>
        <w:tc>
          <w:tcPr>
            <w:tcW w:w="1138" w:type="dxa"/>
          </w:tcPr>
          <w:p>
            <w:pPr>
              <w:pStyle w:val="TableParagraph"/>
              <w:ind w:left="163" w:right="91" w:hanging="58"/>
              <w:rPr>
                <w:sz w:val="20"/>
              </w:rPr>
            </w:pPr>
            <w:r>
              <w:rPr>
                <w:sz w:val="20"/>
              </w:rPr>
              <w:t>Unidad de medición</w:t>
            </w:r>
          </w:p>
        </w:tc>
        <w:tc>
          <w:tcPr>
            <w:tcW w:w="1575" w:type="dxa"/>
          </w:tcPr>
          <w:p>
            <w:pPr>
              <w:pStyle w:val="TableParagraph"/>
              <w:ind w:left="384" w:right="321" w:hanging="39"/>
              <w:rPr>
                <w:sz w:val="20"/>
              </w:rPr>
            </w:pPr>
            <w:r>
              <w:rPr>
                <w:sz w:val="20"/>
              </w:rPr>
              <w:t>Escala de medición</w:t>
            </w:r>
          </w:p>
        </w:tc>
      </w:tr>
      <w:tr>
        <w:trPr>
          <w:trHeight w:val="1392" w:hRule="exact"/>
        </w:trPr>
        <w:tc>
          <w:tcPr>
            <w:tcW w:w="1388" w:type="dxa"/>
          </w:tcPr>
          <w:p>
            <w:pPr>
              <w:pStyle w:val="TableParagraph"/>
              <w:spacing w:line="225" w:lineRule="exact"/>
              <w:ind w:left="105"/>
              <w:rPr>
                <w:sz w:val="20"/>
              </w:rPr>
            </w:pPr>
            <w:r>
              <w:rPr>
                <w:sz w:val="20"/>
              </w:rPr>
              <w:t>Edad</w:t>
            </w:r>
          </w:p>
        </w:tc>
        <w:tc>
          <w:tcPr>
            <w:tcW w:w="1983" w:type="dxa"/>
          </w:tcPr>
          <w:p>
            <w:pPr>
              <w:pStyle w:val="TableParagraph"/>
              <w:spacing w:line="228" w:lineRule="auto" w:before="4"/>
              <w:ind w:left="105" w:right="93"/>
              <w:jc w:val="both"/>
              <w:rPr>
                <w:sz w:val="13"/>
              </w:rPr>
            </w:pPr>
            <w:r>
              <w:rPr>
                <w:sz w:val="20"/>
              </w:rPr>
              <w:t>Tiempo que ha vivido una persona o ciertos  animales o vegetales.</w:t>
            </w:r>
            <w:r>
              <w:rPr>
                <w:position w:val="10"/>
                <w:sz w:val="13"/>
              </w:rPr>
              <w:t>83</w:t>
            </w:r>
          </w:p>
        </w:tc>
        <w:tc>
          <w:tcPr>
            <w:tcW w:w="1704" w:type="dxa"/>
          </w:tcPr>
          <w:p>
            <w:pPr>
              <w:pStyle w:val="TableParagraph"/>
              <w:tabs>
                <w:tab w:pos="1329" w:val="left" w:leader="none"/>
                <w:tab w:pos="1429" w:val="left" w:leader="none"/>
              </w:tabs>
              <w:ind w:left="105" w:right="102"/>
              <w:rPr>
                <w:sz w:val="20"/>
              </w:rPr>
            </w:pPr>
            <w:r>
              <w:rPr>
                <w:sz w:val="20"/>
              </w:rPr>
              <w:t>Años de vida del paciente, cumplidos</w:t>
              <w:tab/>
              <w:tab/>
              <w:t>al momento de la realización</w:t>
              <w:tab/>
            </w:r>
            <w:r>
              <w:rPr>
                <w:spacing w:val="-3"/>
                <w:sz w:val="20"/>
              </w:rPr>
              <w:t>del </w:t>
            </w:r>
            <w:r>
              <w:rPr>
                <w:sz w:val="20"/>
              </w:rPr>
              <w:t>estudio.</w:t>
            </w:r>
          </w:p>
        </w:tc>
        <w:tc>
          <w:tcPr>
            <w:tcW w:w="1272" w:type="dxa"/>
          </w:tcPr>
          <w:p>
            <w:pPr>
              <w:pStyle w:val="TableParagraph"/>
              <w:ind w:left="254" w:right="81" w:hanging="149"/>
              <w:rPr>
                <w:sz w:val="20"/>
              </w:rPr>
            </w:pPr>
            <w:r>
              <w:rPr>
                <w:sz w:val="20"/>
              </w:rPr>
              <w:t>Cuantitativa continua</w:t>
            </w:r>
          </w:p>
        </w:tc>
        <w:tc>
          <w:tcPr>
            <w:tcW w:w="1138" w:type="dxa"/>
          </w:tcPr>
          <w:p>
            <w:pPr>
              <w:pStyle w:val="TableParagraph"/>
              <w:ind w:left="268" w:right="126" w:hanging="120"/>
              <w:rPr>
                <w:sz w:val="20"/>
              </w:rPr>
            </w:pPr>
            <w:r>
              <w:rPr>
                <w:sz w:val="20"/>
              </w:rPr>
              <w:t>Años con meses</w:t>
            </w:r>
          </w:p>
        </w:tc>
        <w:tc>
          <w:tcPr>
            <w:tcW w:w="1575" w:type="dxa"/>
          </w:tcPr>
          <w:p>
            <w:pPr>
              <w:pStyle w:val="TableParagraph"/>
              <w:spacing w:line="225" w:lineRule="exact"/>
              <w:ind w:left="105" w:right="321"/>
              <w:rPr>
                <w:sz w:val="20"/>
              </w:rPr>
            </w:pPr>
            <w:r>
              <w:rPr>
                <w:sz w:val="20"/>
              </w:rPr>
              <w:t>1) 6&gt;12</w:t>
            </w:r>
          </w:p>
          <w:p>
            <w:pPr>
              <w:pStyle w:val="TableParagraph"/>
              <w:ind w:left="105" w:right="321"/>
              <w:rPr>
                <w:sz w:val="20"/>
              </w:rPr>
            </w:pPr>
            <w:r>
              <w:rPr>
                <w:sz w:val="20"/>
              </w:rPr>
              <w:t>2) 12 o más</w:t>
            </w:r>
          </w:p>
        </w:tc>
      </w:tr>
      <w:tr>
        <w:trPr>
          <w:trHeight w:val="1157" w:hRule="exact"/>
        </w:trPr>
        <w:tc>
          <w:tcPr>
            <w:tcW w:w="1388" w:type="dxa"/>
          </w:tcPr>
          <w:p>
            <w:pPr>
              <w:pStyle w:val="TableParagraph"/>
              <w:spacing w:line="225" w:lineRule="exact"/>
              <w:ind w:left="105"/>
              <w:rPr>
                <w:sz w:val="20"/>
              </w:rPr>
            </w:pPr>
            <w:r>
              <w:rPr>
                <w:sz w:val="20"/>
              </w:rPr>
              <w:t>Sexo</w:t>
            </w:r>
          </w:p>
        </w:tc>
        <w:tc>
          <w:tcPr>
            <w:tcW w:w="1983" w:type="dxa"/>
          </w:tcPr>
          <w:p>
            <w:pPr>
              <w:pStyle w:val="TableParagraph"/>
              <w:tabs>
                <w:tab w:pos="1766" w:val="left" w:leader="none"/>
              </w:tabs>
              <w:ind w:left="105" w:right="93"/>
              <w:jc w:val="both"/>
              <w:rPr>
                <w:sz w:val="20"/>
              </w:rPr>
            </w:pPr>
            <w:r>
              <w:rPr>
                <w:sz w:val="20"/>
              </w:rPr>
              <w:t>Condición orgánica, masculina</w:t>
              <w:tab/>
              <w:t>o femenina,    de  </w:t>
            </w:r>
            <w:r>
              <w:rPr>
                <w:spacing w:val="20"/>
                <w:sz w:val="20"/>
              </w:rPr>
              <w:t> </w:t>
            </w:r>
            <w:r>
              <w:rPr>
                <w:sz w:val="20"/>
              </w:rPr>
              <w:t>los</w:t>
            </w:r>
          </w:p>
          <w:p>
            <w:pPr>
              <w:pStyle w:val="TableParagraph"/>
              <w:spacing w:line="230" w:lineRule="exact" w:before="4"/>
              <w:ind w:left="105" w:right="95"/>
              <w:jc w:val="both"/>
              <w:rPr>
                <w:sz w:val="13"/>
              </w:rPr>
            </w:pPr>
            <w:r>
              <w:rPr>
                <w:sz w:val="20"/>
              </w:rPr>
              <w:t>animales y las plantas.</w:t>
            </w:r>
            <w:r>
              <w:rPr>
                <w:position w:val="10"/>
                <w:sz w:val="13"/>
              </w:rPr>
              <w:t>83</w:t>
            </w:r>
          </w:p>
        </w:tc>
        <w:tc>
          <w:tcPr>
            <w:tcW w:w="1704" w:type="dxa"/>
          </w:tcPr>
          <w:p>
            <w:pPr>
              <w:pStyle w:val="TableParagraph"/>
              <w:ind w:left="105" w:right="97"/>
              <w:jc w:val="both"/>
              <w:rPr>
                <w:sz w:val="20"/>
              </w:rPr>
            </w:pPr>
            <w:r>
              <w:rPr>
                <w:sz w:val="20"/>
              </w:rPr>
              <w:t>Condición de que el paciente sea hombre o mujer.</w:t>
            </w:r>
          </w:p>
        </w:tc>
        <w:tc>
          <w:tcPr>
            <w:tcW w:w="1272" w:type="dxa"/>
          </w:tcPr>
          <w:p>
            <w:pPr>
              <w:pStyle w:val="TableParagraph"/>
              <w:ind w:left="283" w:right="142" w:hanging="116"/>
              <w:rPr>
                <w:sz w:val="20"/>
              </w:rPr>
            </w:pPr>
            <w:r>
              <w:rPr>
                <w:sz w:val="20"/>
              </w:rPr>
              <w:t>Cualitativa nominal</w:t>
            </w:r>
          </w:p>
        </w:tc>
        <w:tc>
          <w:tcPr>
            <w:tcW w:w="1138" w:type="dxa"/>
          </w:tcPr>
          <w:p>
            <w:pPr>
              <w:pStyle w:val="TableParagraph"/>
              <w:spacing w:line="225" w:lineRule="exact"/>
              <w:ind w:left="364" w:right="91"/>
              <w:rPr>
                <w:sz w:val="20"/>
              </w:rPr>
            </w:pPr>
            <w:r>
              <w:rPr>
                <w:sz w:val="20"/>
              </w:rPr>
              <w:t>------</w:t>
            </w:r>
          </w:p>
        </w:tc>
        <w:tc>
          <w:tcPr>
            <w:tcW w:w="1575" w:type="dxa"/>
          </w:tcPr>
          <w:p>
            <w:pPr>
              <w:pStyle w:val="TableParagraph"/>
              <w:numPr>
                <w:ilvl w:val="0"/>
                <w:numId w:val="20"/>
              </w:numPr>
              <w:tabs>
                <w:tab w:pos="341" w:val="left" w:leader="none"/>
              </w:tabs>
              <w:spacing w:line="225" w:lineRule="exact" w:before="0" w:after="0"/>
              <w:ind w:left="340" w:right="0" w:hanging="235"/>
              <w:jc w:val="left"/>
              <w:rPr>
                <w:sz w:val="20"/>
              </w:rPr>
            </w:pPr>
            <w:r>
              <w:rPr>
                <w:sz w:val="20"/>
              </w:rPr>
              <w:t>Masculino</w:t>
            </w:r>
          </w:p>
          <w:p>
            <w:pPr>
              <w:pStyle w:val="TableParagraph"/>
              <w:numPr>
                <w:ilvl w:val="0"/>
                <w:numId w:val="20"/>
              </w:numPr>
              <w:tabs>
                <w:tab w:pos="341" w:val="left" w:leader="none"/>
              </w:tabs>
              <w:spacing w:line="240" w:lineRule="auto" w:before="1" w:after="0"/>
              <w:ind w:left="340" w:right="0" w:hanging="235"/>
              <w:jc w:val="left"/>
              <w:rPr>
                <w:sz w:val="20"/>
              </w:rPr>
            </w:pPr>
            <w:r>
              <w:rPr>
                <w:sz w:val="20"/>
              </w:rPr>
              <w:t>Femenino</w:t>
            </w:r>
          </w:p>
        </w:tc>
      </w:tr>
      <w:tr>
        <w:trPr>
          <w:trHeight w:val="2569" w:hRule="exact"/>
        </w:trPr>
        <w:tc>
          <w:tcPr>
            <w:tcW w:w="1388" w:type="dxa"/>
          </w:tcPr>
          <w:p>
            <w:pPr>
              <w:pStyle w:val="TableParagraph"/>
              <w:spacing w:line="230" w:lineRule="exact"/>
              <w:ind w:left="105"/>
              <w:rPr>
                <w:sz w:val="20"/>
              </w:rPr>
            </w:pPr>
            <w:r>
              <w:rPr>
                <w:sz w:val="20"/>
              </w:rPr>
              <w:t>Estado civil</w:t>
            </w:r>
          </w:p>
        </w:tc>
        <w:tc>
          <w:tcPr>
            <w:tcW w:w="1983" w:type="dxa"/>
          </w:tcPr>
          <w:p>
            <w:pPr>
              <w:pStyle w:val="TableParagraph"/>
              <w:tabs>
                <w:tab w:pos="1165" w:val="left" w:leader="none"/>
                <w:tab w:pos="1281" w:val="left" w:leader="none"/>
                <w:tab w:pos="1536" w:val="left" w:leader="none"/>
                <w:tab w:pos="1588" w:val="left" w:leader="none"/>
                <w:tab w:pos="1772" w:val="left" w:leader="none"/>
              </w:tabs>
              <w:ind w:left="105" w:right="94"/>
              <w:rPr>
                <w:sz w:val="20"/>
              </w:rPr>
            </w:pPr>
            <w:r>
              <w:rPr>
                <w:sz w:val="20"/>
              </w:rPr>
              <w:t>Situación</w:t>
              <w:tab/>
              <w:t>de</w:t>
              <w:tab/>
              <w:tab/>
              <w:t>las</w:t>
            </w:r>
            <w:r>
              <w:rPr>
                <w:w w:val="100"/>
                <w:sz w:val="20"/>
              </w:rPr>
              <w:t> </w:t>
            </w:r>
            <w:r>
              <w:rPr>
                <w:sz w:val="20"/>
              </w:rPr>
              <w:t>personas</w:t>
              <w:tab/>
              <w:tab/>
              <w:t>físicas determinada</w:t>
              <w:tab/>
              <w:tab/>
              <w:tab/>
            </w:r>
            <w:r>
              <w:rPr>
                <w:spacing w:val="-1"/>
                <w:sz w:val="20"/>
              </w:rPr>
              <w:t>por </w:t>
            </w:r>
            <w:r>
              <w:rPr>
                <w:sz w:val="20"/>
              </w:rPr>
              <w:t>sus relaciones de familia, provenientes</w:t>
              <w:tab/>
              <w:tab/>
              <w:tab/>
              <w:t>del matrimonio</w:t>
              <w:tab/>
              <w:tab/>
              <w:t>o  </w:t>
            </w:r>
            <w:r>
              <w:rPr>
                <w:spacing w:val="35"/>
                <w:sz w:val="20"/>
              </w:rPr>
              <w:t> </w:t>
            </w:r>
            <w:r>
              <w:rPr>
                <w:spacing w:val="-3"/>
                <w:sz w:val="20"/>
              </w:rPr>
              <w:t>del</w:t>
            </w:r>
            <w:r>
              <w:rPr>
                <w:w w:val="100"/>
                <w:sz w:val="20"/>
              </w:rPr>
              <w:t> </w:t>
            </w:r>
            <w:r>
              <w:rPr>
                <w:spacing w:val="-1"/>
                <w:sz w:val="20"/>
              </w:rPr>
              <w:t>parentesco,</w:t>
              <w:tab/>
              <w:tab/>
              <w:tab/>
            </w:r>
            <w:r>
              <w:rPr>
                <w:sz w:val="20"/>
              </w:rPr>
              <w:t>que establece</w:t>
              <w:tab/>
              <w:tab/>
              <w:t>ciertos derechos</w:t>
              <w:tab/>
              <w:tab/>
              <w:tab/>
              <w:tab/>
              <w:tab/>
              <w:t>y</w:t>
            </w:r>
          </w:p>
          <w:p>
            <w:pPr>
              <w:pStyle w:val="TableParagraph"/>
              <w:spacing w:line="230" w:lineRule="exact"/>
              <w:ind w:left="105" w:right="482"/>
              <w:rPr>
                <w:sz w:val="13"/>
              </w:rPr>
            </w:pPr>
            <w:r>
              <w:rPr>
                <w:sz w:val="20"/>
              </w:rPr>
              <w:t>deberes.</w:t>
            </w:r>
            <w:r>
              <w:rPr>
                <w:position w:val="10"/>
                <w:sz w:val="13"/>
              </w:rPr>
              <w:t>84</w:t>
            </w:r>
          </w:p>
        </w:tc>
        <w:tc>
          <w:tcPr>
            <w:tcW w:w="1704" w:type="dxa"/>
          </w:tcPr>
          <w:p>
            <w:pPr>
              <w:pStyle w:val="TableParagraph"/>
              <w:tabs>
                <w:tab w:pos="1256" w:val="left" w:leader="none"/>
              </w:tabs>
              <w:spacing w:line="226" w:lineRule="exact" w:before="6"/>
              <w:ind w:left="105" w:right="102"/>
              <w:rPr>
                <w:sz w:val="20"/>
              </w:rPr>
            </w:pPr>
            <w:r>
              <w:rPr>
                <w:sz w:val="20"/>
              </w:rPr>
              <w:t>Condición particular</w:t>
              <w:tab/>
            </w:r>
            <w:r>
              <w:rPr>
                <w:spacing w:val="-1"/>
                <w:sz w:val="20"/>
              </w:rPr>
              <w:t>que</w:t>
            </w:r>
          </w:p>
          <w:p>
            <w:pPr>
              <w:pStyle w:val="TableParagraph"/>
              <w:tabs>
                <w:tab w:pos="1439" w:val="left" w:leader="none"/>
              </w:tabs>
              <w:ind w:left="105" w:right="99"/>
              <w:rPr>
                <w:sz w:val="20"/>
              </w:rPr>
            </w:pPr>
            <w:r>
              <w:rPr>
                <w:sz w:val="20"/>
              </w:rPr>
              <w:t>caracteriza</w:t>
              <w:tab/>
            </w:r>
            <w:r>
              <w:rPr>
                <w:spacing w:val="-4"/>
                <w:sz w:val="20"/>
              </w:rPr>
              <w:t>al </w:t>
            </w:r>
            <w:r>
              <w:rPr>
                <w:sz w:val="20"/>
              </w:rPr>
              <w:t>paciente en lo que hace a sus vínculos personales con sus</w:t>
            </w:r>
            <w:r>
              <w:rPr>
                <w:spacing w:val="-8"/>
                <w:sz w:val="20"/>
              </w:rPr>
              <w:t> </w:t>
            </w:r>
            <w:r>
              <w:rPr>
                <w:sz w:val="20"/>
              </w:rPr>
              <w:t>semejantes.</w:t>
            </w:r>
          </w:p>
        </w:tc>
        <w:tc>
          <w:tcPr>
            <w:tcW w:w="1272" w:type="dxa"/>
          </w:tcPr>
          <w:p>
            <w:pPr>
              <w:pStyle w:val="TableParagraph"/>
              <w:spacing w:line="226" w:lineRule="exact" w:before="6"/>
              <w:ind w:left="283" w:right="142" w:hanging="116"/>
              <w:rPr>
                <w:sz w:val="20"/>
              </w:rPr>
            </w:pPr>
            <w:r>
              <w:rPr>
                <w:sz w:val="20"/>
              </w:rPr>
              <w:t>Cualitativa nominal</w:t>
            </w:r>
          </w:p>
        </w:tc>
        <w:tc>
          <w:tcPr>
            <w:tcW w:w="1138" w:type="dxa"/>
          </w:tcPr>
          <w:p>
            <w:pPr>
              <w:pStyle w:val="TableParagraph"/>
              <w:spacing w:line="230" w:lineRule="exact"/>
              <w:ind w:left="364" w:right="91"/>
              <w:rPr>
                <w:sz w:val="20"/>
              </w:rPr>
            </w:pPr>
            <w:r>
              <w:rPr>
                <w:sz w:val="20"/>
              </w:rPr>
              <w:t>------</w:t>
            </w:r>
          </w:p>
        </w:tc>
        <w:tc>
          <w:tcPr>
            <w:tcW w:w="1575" w:type="dxa"/>
          </w:tcPr>
          <w:p>
            <w:pPr>
              <w:pStyle w:val="TableParagraph"/>
              <w:numPr>
                <w:ilvl w:val="0"/>
                <w:numId w:val="21"/>
              </w:numPr>
              <w:tabs>
                <w:tab w:pos="341" w:val="left" w:leader="none"/>
              </w:tabs>
              <w:spacing w:line="227" w:lineRule="exact" w:before="0" w:after="0"/>
              <w:ind w:left="340" w:right="0" w:hanging="235"/>
              <w:jc w:val="left"/>
              <w:rPr>
                <w:sz w:val="20"/>
              </w:rPr>
            </w:pPr>
            <w:r>
              <w:rPr>
                <w:sz w:val="20"/>
              </w:rPr>
              <w:t>Soltero</w:t>
            </w:r>
          </w:p>
          <w:p>
            <w:pPr>
              <w:pStyle w:val="TableParagraph"/>
              <w:numPr>
                <w:ilvl w:val="0"/>
                <w:numId w:val="21"/>
              </w:numPr>
              <w:tabs>
                <w:tab w:pos="341" w:val="left" w:leader="none"/>
              </w:tabs>
              <w:spacing w:line="228" w:lineRule="exact" w:before="0" w:after="0"/>
              <w:ind w:left="340" w:right="0" w:hanging="235"/>
              <w:jc w:val="left"/>
              <w:rPr>
                <w:sz w:val="20"/>
              </w:rPr>
            </w:pPr>
            <w:r>
              <w:rPr>
                <w:spacing w:val="-3"/>
                <w:sz w:val="20"/>
              </w:rPr>
              <w:t>Casado</w:t>
            </w:r>
          </w:p>
        </w:tc>
      </w:tr>
      <w:tr>
        <w:trPr>
          <w:trHeight w:val="5070" w:hRule="exact"/>
        </w:trPr>
        <w:tc>
          <w:tcPr>
            <w:tcW w:w="1388" w:type="dxa"/>
          </w:tcPr>
          <w:p>
            <w:pPr>
              <w:pStyle w:val="TableParagraph"/>
              <w:spacing w:line="225" w:lineRule="exact"/>
              <w:ind w:left="105"/>
              <w:rPr>
                <w:sz w:val="20"/>
              </w:rPr>
            </w:pPr>
            <w:r>
              <w:rPr>
                <w:sz w:val="20"/>
              </w:rPr>
              <w:t>Escolaridad</w:t>
            </w:r>
          </w:p>
        </w:tc>
        <w:tc>
          <w:tcPr>
            <w:tcW w:w="1983" w:type="dxa"/>
          </w:tcPr>
          <w:p>
            <w:pPr>
              <w:pStyle w:val="TableParagraph"/>
              <w:ind w:left="105" w:right="93"/>
              <w:jc w:val="both"/>
              <w:rPr>
                <w:sz w:val="20"/>
              </w:rPr>
            </w:pPr>
            <w:r>
              <w:rPr>
                <w:sz w:val="20"/>
              </w:rPr>
              <w:t>Grado de estudio más alto aprobado por la población  de</w:t>
            </w:r>
          </w:p>
          <w:p>
            <w:pPr>
              <w:pStyle w:val="TableParagraph"/>
              <w:tabs>
                <w:tab w:pos="547" w:val="left" w:leader="none"/>
                <w:tab w:pos="647" w:val="left" w:leader="none"/>
                <w:tab w:pos="925" w:val="left" w:leader="none"/>
                <w:tab w:pos="1223" w:val="left" w:leader="none"/>
                <w:tab w:pos="1496" w:val="left" w:leader="none"/>
                <w:tab w:pos="1665" w:val="left" w:leader="none"/>
                <w:tab w:pos="1766" w:val="left" w:leader="none"/>
              </w:tabs>
              <w:ind w:left="105" w:right="93"/>
              <w:rPr>
                <w:sz w:val="20"/>
              </w:rPr>
            </w:pPr>
            <w:r>
              <w:rPr>
                <w:sz w:val="20"/>
              </w:rPr>
              <w:t>5 y más años de edad en cualquiera de los niveles del Sistema Educativo Nacional</w:t>
              <w:tab/>
              <w:tab/>
              <w:t>o</w:t>
              <w:tab/>
              <w:tab/>
            </w:r>
            <w:r>
              <w:rPr>
                <w:spacing w:val="-3"/>
                <w:sz w:val="20"/>
              </w:rPr>
              <w:t>su </w:t>
            </w:r>
            <w:r>
              <w:rPr>
                <w:sz w:val="20"/>
              </w:rPr>
              <w:t>equivalente en el caso de  estudios en</w:t>
              <w:tab/>
              <w:t>el</w:t>
              <w:tab/>
            </w:r>
            <w:r>
              <w:rPr>
                <w:spacing w:val="-1"/>
                <w:sz w:val="20"/>
              </w:rPr>
              <w:t>extranjero. </w:t>
            </w:r>
            <w:r>
              <w:rPr>
                <w:sz w:val="20"/>
              </w:rPr>
              <w:t>Los</w:t>
              <w:tab/>
              <w:tab/>
              <w:t>niveles</w:t>
              <w:tab/>
            </w:r>
            <w:r>
              <w:rPr>
                <w:spacing w:val="-3"/>
                <w:sz w:val="20"/>
              </w:rPr>
              <w:t>son: </w:t>
            </w:r>
            <w:r>
              <w:rPr>
                <w:sz w:val="20"/>
              </w:rPr>
              <w:t>preescolar o kínder, primaria, secundaria, preparatoria</w:t>
              <w:tab/>
              <w:tab/>
              <w:tab/>
              <w:tab/>
              <w:t>o bachillerato, normal básica,</w:t>
              <w:tab/>
              <w:tab/>
            </w:r>
            <w:r>
              <w:rPr>
                <w:spacing w:val="-1"/>
                <w:sz w:val="20"/>
              </w:rPr>
              <w:t>carrera </w:t>
            </w:r>
            <w:r>
              <w:rPr>
                <w:sz w:val="20"/>
              </w:rPr>
              <w:t>técnica o comercial, profesional</w:t>
              <w:tab/>
              <w:tab/>
              <w:tab/>
              <w:tab/>
              <w:t>y</w:t>
            </w:r>
          </w:p>
          <w:p>
            <w:pPr>
              <w:pStyle w:val="TableParagraph"/>
              <w:tabs>
                <w:tab w:pos="1766" w:val="left" w:leader="none"/>
              </w:tabs>
              <w:spacing w:line="230" w:lineRule="exact" w:before="4"/>
              <w:ind w:left="105" w:right="93"/>
              <w:rPr>
                <w:sz w:val="13"/>
              </w:rPr>
            </w:pPr>
            <w:r>
              <w:rPr>
                <w:sz w:val="20"/>
              </w:rPr>
              <w:t>maestría</w:t>
              <w:tab/>
              <w:t>o doctorado.</w:t>
            </w:r>
            <w:r>
              <w:rPr>
                <w:position w:val="10"/>
                <w:sz w:val="13"/>
              </w:rPr>
              <w:t>85</w:t>
            </w:r>
          </w:p>
        </w:tc>
        <w:tc>
          <w:tcPr>
            <w:tcW w:w="1704" w:type="dxa"/>
          </w:tcPr>
          <w:p>
            <w:pPr>
              <w:pStyle w:val="TableParagraph"/>
              <w:tabs>
                <w:tab w:pos="1372" w:val="left" w:leader="none"/>
              </w:tabs>
              <w:spacing w:line="225" w:lineRule="exact"/>
              <w:ind w:left="105"/>
              <w:jc w:val="both"/>
              <w:rPr>
                <w:sz w:val="20"/>
              </w:rPr>
            </w:pPr>
            <w:r>
              <w:rPr>
                <w:sz w:val="20"/>
              </w:rPr>
              <w:t>Nivel</w:t>
              <w:tab/>
              <w:t>de</w:t>
            </w:r>
          </w:p>
          <w:p>
            <w:pPr>
              <w:pStyle w:val="TableParagraph"/>
              <w:spacing w:line="237" w:lineRule="auto" w:before="2"/>
              <w:ind w:left="105" w:right="97"/>
              <w:jc w:val="both"/>
              <w:rPr>
                <w:sz w:val="20"/>
              </w:rPr>
            </w:pPr>
            <w:r>
              <w:rPr>
                <w:sz w:val="20"/>
              </w:rPr>
              <w:t>estudios más alto alcanzado por el paciente.</w:t>
            </w:r>
          </w:p>
        </w:tc>
        <w:tc>
          <w:tcPr>
            <w:tcW w:w="1272" w:type="dxa"/>
          </w:tcPr>
          <w:p>
            <w:pPr>
              <w:pStyle w:val="TableParagraph"/>
              <w:ind w:left="283" w:right="142" w:hanging="116"/>
              <w:rPr>
                <w:sz w:val="20"/>
              </w:rPr>
            </w:pPr>
            <w:r>
              <w:rPr>
                <w:sz w:val="20"/>
              </w:rPr>
              <w:t>Cualitativa nominal</w:t>
            </w:r>
          </w:p>
        </w:tc>
        <w:tc>
          <w:tcPr>
            <w:tcW w:w="1138" w:type="dxa"/>
          </w:tcPr>
          <w:p>
            <w:pPr>
              <w:pStyle w:val="TableParagraph"/>
              <w:spacing w:before="6"/>
              <w:rPr>
                <w:b/>
                <w:sz w:val="19"/>
              </w:rPr>
            </w:pPr>
          </w:p>
          <w:p>
            <w:pPr>
              <w:pStyle w:val="TableParagraph"/>
              <w:ind w:left="331" w:right="91"/>
              <w:rPr>
                <w:sz w:val="20"/>
              </w:rPr>
            </w:pPr>
            <w:r>
              <w:rPr>
                <w:sz w:val="20"/>
              </w:rPr>
              <w:t>-------</w:t>
            </w:r>
          </w:p>
        </w:tc>
        <w:tc>
          <w:tcPr>
            <w:tcW w:w="1575" w:type="dxa"/>
          </w:tcPr>
          <w:p>
            <w:pPr>
              <w:pStyle w:val="TableParagraph"/>
              <w:numPr>
                <w:ilvl w:val="0"/>
                <w:numId w:val="22"/>
              </w:numPr>
              <w:tabs>
                <w:tab w:pos="341" w:val="left" w:leader="none"/>
              </w:tabs>
              <w:spacing w:line="225" w:lineRule="exact" w:before="0" w:after="0"/>
              <w:ind w:left="340" w:right="0" w:hanging="235"/>
              <w:jc w:val="left"/>
              <w:rPr>
                <w:sz w:val="20"/>
              </w:rPr>
            </w:pPr>
            <w:r>
              <w:rPr>
                <w:sz w:val="20"/>
              </w:rPr>
              <w:t>Analfabeta</w:t>
            </w:r>
          </w:p>
          <w:p>
            <w:pPr>
              <w:pStyle w:val="TableParagraph"/>
              <w:numPr>
                <w:ilvl w:val="0"/>
                <w:numId w:val="22"/>
              </w:numPr>
              <w:tabs>
                <w:tab w:pos="341" w:val="left" w:leader="none"/>
              </w:tabs>
              <w:spacing w:line="240" w:lineRule="auto" w:before="0" w:after="0"/>
              <w:ind w:left="340" w:right="0" w:hanging="235"/>
              <w:jc w:val="left"/>
              <w:rPr>
                <w:sz w:val="20"/>
              </w:rPr>
            </w:pPr>
            <w:r>
              <w:rPr>
                <w:sz w:val="20"/>
              </w:rPr>
              <w:t>Primaria</w:t>
            </w:r>
          </w:p>
          <w:p>
            <w:pPr>
              <w:pStyle w:val="TableParagraph"/>
              <w:numPr>
                <w:ilvl w:val="0"/>
                <w:numId w:val="22"/>
              </w:numPr>
              <w:tabs>
                <w:tab w:pos="341" w:val="left" w:leader="none"/>
              </w:tabs>
              <w:spacing w:line="228" w:lineRule="exact" w:before="0" w:after="0"/>
              <w:ind w:left="340" w:right="0" w:hanging="235"/>
              <w:jc w:val="left"/>
              <w:rPr>
                <w:sz w:val="20"/>
              </w:rPr>
            </w:pPr>
            <w:r>
              <w:rPr>
                <w:sz w:val="20"/>
              </w:rPr>
              <w:t>Secundaria</w:t>
            </w:r>
          </w:p>
          <w:p>
            <w:pPr>
              <w:pStyle w:val="TableParagraph"/>
              <w:numPr>
                <w:ilvl w:val="0"/>
                <w:numId w:val="22"/>
              </w:numPr>
              <w:tabs>
                <w:tab w:pos="341" w:val="left" w:leader="none"/>
              </w:tabs>
              <w:spacing w:line="228" w:lineRule="exact" w:before="0" w:after="0"/>
              <w:ind w:left="340" w:right="0" w:hanging="235"/>
              <w:jc w:val="left"/>
              <w:rPr>
                <w:sz w:val="20"/>
              </w:rPr>
            </w:pPr>
            <w:r>
              <w:rPr>
                <w:sz w:val="20"/>
              </w:rPr>
              <w:t>Licenciatura</w:t>
            </w:r>
          </w:p>
          <w:p>
            <w:pPr>
              <w:pStyle w:val="TableParagraph"/>
              <w:numPr>
                <w:ilvl w:val="0"/>
                <w:numId w:val="22"/>
              </w:numPr>
              <w:tabs>
                <w:tab w:pos="341" w:val="left" w:leader="none"/>
              </w:tabs>
              <w:spacing w:line="240" w:lineRule="auto" w:before="1" w:after="0"/>
              <w:ind w:left="340" w:right="0" w:hanging="235"/>
              <w:jc w:val="left"/>
              <w:rPr>
                <w:sz w:val="20"/>
              </w:rPr>
            </w:pPr>
            <w:r>
              <w:rPr>
                <w:sz w:val="20"/>
              </w:rPr>
              <w:t>Posgrado</w:t>
            </w:r>
          </w:p>
          <w:p>
            <w:pPr>
              <w:pStyle w:val="TableParagraph"/>
              <w:numPr>
                <w:ilvl w:val="0"/>
                <w:numId w:val="22"/>
              </w:numPr>
              <w:tabs>
                <w:tab w:pos="341" w:val="left" w:leader="none"/>
              </w:tabs>
              <w:spacing w:line="240" w:lineRule="auto" w:before="0" w:after="0"/>
              <w:ind w:left="340" w:right="0" w:hanging="235"/>
              <w:jc w:val="left"/>
              <w:rPr>
                <w:sz w:val="20"/>
              </w:rPr>
            </w:pPr>
            <w:r>
              <w:rPr>
                <w:sz w:val="20"/>
              </w:rPr>
              <w:t>Otro</w:t>
            </w:r>
          </w:p>
        </w:tc>
      </w:tr>
      <w:tr>
        <w:trPr>
          <w:trHeight w:val="470" w:hRule="exact"/>
        </w:trPr>
        <w:tc>
          <w:tcPr>
            <w:tcW w:w="1388" w:type="dxa"/>
          </w:tcPr>
          <w:p>
            <w:pPr>
              <w:pStyle w:val="TableParagraph"/>
              <w:spacing w:line="225" w:lineRule="exact"/>
              <w:ind w:left="105"/>
              <w:rPr>
                <w:sz w:val="20"/>
              </w:rPr>
            </w:pPr>
            <w:r>
              <w:rPr>
                <w:sz w:val="20"/>
              </w:rPr>
              <w:t>Ocupación</w:t>
            </w:r>
          </w:p>
        </w:tc>
        <w:tc>
          <w:tcPr>
            <w:tcW w:w="1983" w:type="dxa"/>
          </w:tcPr>
          <w:p>
            <w:pPr>
              <w:pStyle w:val="TableParagraph"/>
              <w:tabs>
                <w:tab w:pos="1651" w:val="left" w:leader="none"/>
              </w:tabs>
              <w:ind w:left="105" w:right="97"/>
              <w:rPr>
                <w:sz w:val="20"/>
              </w:rPr>
            </w:pPr>
            <w:r>
              <w:rPr>
                <w:sz w:val="20"/>
              </w:rPr>
              <w:t>Conjunto</w:t>
              <w:tab/>
              <w:t>de funciones,</w:t>
            </w:r>
          </w:p>
        </w:tc>
        <w:tc>
          <w:tcPr>
            <w:tcW w:w="1704" w:type="dxa"/>
          </w:tcPr>
          <w:p>
            <w:pPr>
              <w:pStyle w:val="TableParagraph"/>
              <w:tabs>
                <w:tab w:pos="1482" w:val="left" w:leader="none"/>
              </w:tabs>
              <w:ind w:left="105" w:right="97"/>
              <w:rPr>
                <w:sz w:val="20"/>
              </w:rPr>
            </w:pPr>
            <w:r>
              <w:rPr>
                <w:sz w:val="20"/>
              </w:rPr>
              <w:t>Ocupación</w:t>
              <w:tab/>
              <w:t>a aquella</w:t>
            </w:r>
          </w:p>
        </w:tc>
        <w:tc>
          <w:tcPr>
            <w:tcW w:w="1272" w:type="dxa"/>
          </w:tcPr>
          <w:p>
            <w:pPr>
              <w:pStyle w:val="TableParagraph"/>
              <w:ind w:left="283" w:right="142" w:hanging="116"/>
              <w:rPr>
                <w:sz w:val="20"/>
              </w:rPr>
            </w:pPr>
            <w:r>
              <w:rPr>
                <w:sz w:val="20"/>
              </w:rPr>
              <w:t>Cualitativa nominal</w:t>
            </w:r>
          </w:p>
        </w:tc>
        <w:tc>
          <w:tcPr>
            <w:tcW w:w="1138" w:type="dxa"/>
          </w:tcPr>
          <w:p>
            <w:pPr>
              <w:pStyle w:val="TableParagraph"/>
              <w:spacing w:before="6"/>
              <w:rPr>
                <w:b/>
                <w:sz w:val="19"/>
              </w:rPr>
            </w:pPr>
          </w:p>
          <w:p>
            <w:pPr>
              <w:pStyle w:val="TableParagraph"/>
              <w:ind w:left="331" w:right="91"/>
              <w:rPr>
                <w:sz w:val="20"/>
              </w:rPr>
            </w:pPr>
            <w:r>
              <w:rPr>
                <w:sz w:val="20"/>
              </w:rPr>
              <w:t>-------</w:t>
            </w:r>
          </w:p>
        </w:tc>
        <w:tc>
          <w:tcPr>
            <w:tcW w:w="1575" w:type="dxa"/>
          </w:tcPr>
          <w:p>
            <w:pPr>
              <w:pStyle w:val="TableParagraph"/>
              <w:numPr>
                <w:ilvl w:val="0"/>
                <w:numId w:val="23"/>
              </w:numPr>
              <w:tabs>
                <w:tab w:pos="341" w:val="left" w:leader="none"/>
              </w:tabs>
              <w:spacing w:line="225" w:lineRule="exact" w:before="0" w:after="0"/>
              <w:ind w:left="340" w:right="0" w:hanging="235"/>
              <w:jc w:val="left"/>
              <w:rPr>
                <w:sz w:val="20"/>
              </w:rPr>
            </w:pPr>
            <w:r>
              <w:rPr>
                <w:sz w:val="20"/>
              </w:rPr>
              <w:t>Obrero</w:t>
            </w:r>
          </w:p>
          <w:p>
            <w:pPr>
              <w:pStyle w:val="TableParagraph"/>
              <w:numPr>
                <w:ilvl w:val="0"/>
                <w:numId w:val="23"/>
              </w:numPr>
              <w:tabs>
                <w:tab w:pos="341" w:val="left" w:leader="none"/>
              </w:tabs>
              <w:spacing w:line="240" w:lineRule="auto" w:before="0" w:after="0"/>
              <w:ind w:left="340" w:right="0" w:hanging="235"/>
              <w:jc w:val="left"/>
              <w:rPr>
                <w:sz w:val="20"/>
              </w:rPr>
            </w:pPr>
            <w:r>
              <w:rPr>
                <w:sz w:val="20"/>
              </w:rPr>
              <w:t>Empleado</w:t>
            </w:r>
          </w:p>
        </w:tc>
      </w:tr>
    </w:tbl>
    <w:p>
      <w:pPr>
        <w:spacing w:after="0" w:line="240" w:lineRule="auto"/>
        <w:jc w:val="left"/>
        <w:rPr>
          <w:sz w:val="20"/>
        </w:rPr>
        <w:sectPr>
          <w:pgSz w:w="12240" w:h="15840"/>
          <w:pgMar w:header="726" w:footer="1031" w:top="1340" w:bottom="1220" w:left="1200" w:right="1420"/>
        </w:sectPr>
      </w:pPr>
    </w:p>
    <w:p>
      <w:pPr>
        <w:pStyle w:val="BodyText"/>
        <w:spacing w:before="7"/>
        <w:rPr>
          <w:rFonts w:ascii="Times New Roman"/>
          <w:sz w:val="29"/>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8"/>
        <w:gridCol w:w="1983"/>
        <w:gridCol w:w="1704"/>
        <w:gridCol w:w="1272"/>
        <w:gridCol w:w="1138"/>
        <w:gridCol w:w="1575"/>
      </w:tblGrid>
      <w:tr>
        <w:trPr>
          <w:trHeight w:val="3693" w:hRule="exact"/>
        </w:trPr>
        <w:tc>
          <w:tcPr>
            <w:tcW w:w="1388" w:type="dxa"/>
          </w:tcPr>
          <w:p>
            <w:pPr/>
          </w:p>
        </w:tc>
        <w:tc>
          <w:tcPr>
            <w:tcW w:w="1983" w:type="dxa"/>
          </w:tcPr>
          <w:p>
            <w:pPr>
              <w:pStyle w:val="TableParagraph"/>
              <w:tabs>
                <w:tab w:pos="1536" w:val="left" w:leader="none"/>
                <w:tab w:pos="1761" w:val="left" w:leader="none"/>
              </w:tabs>
              <w:ind w:left="105" w:right="97"/>
              <w:rPr>
                <w:sz w:val="20"/>
              </w:rPr>
            </w:pPr>
            <w:r>
              <w:rPr>
                <w:sz w:val="20"/>
              </w:rPr>
              <w:t>obligaciones, actividades</w:t>
              <w:tab/>
              <w:tab/>
              <w:t>o tareas</w:t>
              <w:tab/>
              <w:t>que</w:t>
            </w:r>
          </w:p>
          <w:p>
            <w:pPr>
              <w:pStyle w:val="TableParagraph"/>
              <w:tabs>
                <w:tab w:pos="1060" w:val="left" w:leader="none"/>
                <w:tab w:pos="1170" w:val="left" w:leader="none"/>
                <w:tab w:pos="1271" w:val="left" w:leader="none"/>
                <w:tab w:pos="1646" w:val="left" w:leader="none"/>
                <w:tab w:pos="1764" w:val="left" w:leader="none"/>
              </w:tabs>
              <w:ind w:left="105" w:right="94"/>
              <w:rPr>
                <w:sz w:val="20"/>
              </w:rPr>
            </w:pPr>
            <w:r>
              <w:rPr>
                <w:sz w:val="20"/>
              </w:rPr>
              <w:t>desempeña</w:t>
              <w:tab/>
              <w:tab/>
              <w:tab/>
              <w:t>un individuo</w:t>
              <w:tab/>
              <w:tab/>
              <w:t>en</w:t>
              <w:tab/>
            </w:r>
            <w:r>
              <w:rPr>
                <w:spacing w:val="-3"/>
                <w:sz w:val="20"/>
              </w:rPr>
              <w:t>su </w:t>
            </w:r>
            <w:r>
              <w:rPr>
                <w:sz w:val="20"/>
              </w:rPr>
              <w:t>empleo,</w:t>
              <w:tab/>
              <w:t>oficio</w:t>
              <w:tab/>
              <w:tab/>
              <w:t>o puesto, independientemen- te de la actividad económica que </w:t>
            </w:r>
            <w:r>
              <w:rPr>
                <w:spacing w:val="-3"/>
                <w:sz w:val="20"/>
              </w:rPr>
              <w:t>se </w:t>
            </w:r>
            <w:r>
              <w:rPr>
                <w:sz w:val="20"/>
              </w:rPr>
              <w:t>realice en </w:t>
            </w:r>
            <w:r>
              <w:rPr>
                <w:spacing w:val="-4"/>
                <w:sz w:val="20"/>
              </w:rPr>
              <w:t>el </w:t>
            </w:r>
            <w:r>
              <w:rPr>
                <w:sz w:val="20"/>
              </w:rPr>
              <w:t>lugar donde éste  trabaje y de las relaciones que establezca con los</w:t>
              <w:tab/>
              <w:tab/>
              <w:tab/>
              <w:t>demás</w:t>
            </w:r>
          </w:p>
          <w:p>
            <w:pPr>
              <w:pStyle w:val="TableParagraph"/>
              <w:spacing w:line="231" w:lineRule="exact"/>
              <w:ind w:left="105" w:right="482"/>
              <w:rPr>
                <w:sz w:val="13"/>
              </w:rPr>
            </w:pPr>
            <w:r>
              <w:rPr>
                <w:sz w:val="20"/>
              </w:rPr>
              <w:t>ocupados.</w:t>
            </w:r>
            <w:r>
              <w:rPr>
                <w:position w:val="10"/>
                <w:sz w:val="13"/>
              </w:rPr>
              <w:t>86</w:t>
            </w:r>
          </w:p>
        </w:tc>
        <w:tc>
          <w:tcPr>
            <w:tcW w:w="1704" w:type="dxa"/>
          </w:tcPr>
          <w:p>
            <w:pPr>
              <w:pStyle w:val="TableParagraph"/>
              <w:tabs>
                <w:tab w:pos="978" w:val="left" w:leader="none"/>
                <w:tab w:pos="1271" w:val="left" w:leader="none"/>
                <w:tab w:pos="1430" w:val="left" w:leader="none"/>
              </w:tabs>
              <w:ind w:left="105" w:right="97"/>
              <w:rPr>
                <w:sz w:val="20"/>
              </w:rPr>
            </w:pPr>
            <w:r>
              <w:rPr>
                <w:sz w:val="20"/>
              </w:rPr>
              <w:t>actividad</w:t>
              <w:tab/>
              <w:tab/>
              <w:t>con sentido</w:t>
              <w:tab/>
              <w:t>en</w:t>
              <w:tab/>
              <w:tab/>
              <w:t>la que la persona participa cotidianamente y que puede </w:t>
            </w:r>
            <w:r>
              <w:rPr>
                <w:spacing w:val="-3"/>
                <w:sz w:val="20"/>
              </w:rPr>
              <w:t>ser </w:t>
            </w:r>
            <w:r>
              <w:rPr>
                <w:sz w:val="20"/>
              </w:rPr>
              <w:t>nombrada por la cultura.</w:t>
            </w:r>
          </w:p>
        </w:tc>
        <w:tc>
          <w:tcPr>
            <w:tcW w:w="1272" w:type="dxa"/>
          </w:tcPr>
          <w:p>
            <w:pPr/>
          </w:p>
        </w:tc>
        <w:tc>
          <w:tcPr>
            <w:tcW w:w="1138" w:type="dxa"/>
          </w:tcPr>
          <w:p>
            <w:pPr/>
          </w:p>
        </w:tc>
        <w:tc>
          <w:tcPr>
            <w:tcW w:w="1575" w:type="dxa"/>
          </w:tcPr>
          <w:p>
            <w:pPr>
              <w:pStyle w:val="TableParagraph"/>
              <w:ind w:left="105" w:right="517"/>
              <w:rPr>
                <w:sz w:val="20"/>
              </w:rPr>
            </w:pPr>
            <w:r>
              <w:rPr>
                <w:sz w:val="20"/>
              </w:rPr>
              <w:t>3) Ama de casa</w:t>
            </w:r>
          </w:p>
          <w:p>
            <w:pPr>
              <w:pStyle w:val="TableParagraph"/>
              <w:spacing w:before="1"/>
              <w:ind w:left="105" w:right="321"/>
              <w:rPr>
                <w:sz w:val="20"/>
              </w:rPr>
            </w:pPr>
            <w:r>
              <w:rPr>
                <w:sz w:val="20"/>
              </w:rPr>
              <w:t>4)</w:t>
            </w:r>
          </w:p>
          <w:p>
            <w:pPr>
              <w:pStyle w:val="TableParagraph"/>
              <w:ind w:left="105"/>
              <w:rPr>
                <w:sz w:val="20"/>
              </w:rPr>
            </w:pPr>
            <w:r>
              <w:rPr>
                <w:sz w:val="20"/>
              </w:rPr>
              <w:t>Comerciante</w:t>
            </w:r>
          </w:p>
          <w:p>
            <w:pPr>
              <w:pStyle w:val="TableParagraph"/>
              <w:numPr>
                <w:ilvl w:val="0"/>
                <w:numId w:val="24"/>
              </w:numPr>
              <w:tabs>
                <w:tab w:pos="341" w:val="left" w:leader="none"/>
              </w:tabs>
              <w:spacing w:line="240" w:lineRule="auto" w:before="0" w:after="0"/>
              <w:ind w:left="340" w:right="0" w:hanging="235"/>
              <w:jc w:val="left"/>
              <w:rPr>
                <w:sz w:val="20"/>
              </w:rPr>
            </w:pPr>
            <w:r>
              <w:rPr>
                <w:sz w:val="20"/>
              </w:rPr>
              <w:t>Estudiante</w:t>
            </w:r>
          </w:p>
          <w:p>
            <w:pPr>
              <w:pStyle w:val="TableParagraph"/>
              <w:numPr>
                <w:ilvl w:val="0"/>
                <w:numId w:val="24"/>
              </w:numPr>
              <w:tabs>
                <w:tab w:pos="341" w:val="left" w:leader="none"/>
              </w:tabs>
              <w:spacing w:line="240" w:lineRule="auto" w:before="0" w:after="0"/>
              <w:ind w:left="340" w:right="0" w:hanging="235"/>
              <w:jc w:val="left"/>
              <w:rPr>
                <w:sz w:val="20"/>
              </w:rPr>
            </w:pPr>
            <w:r>
              <w:rPr>
                <w:sz w:val="20"/>
              </w:rPr>
              <w:t>Campesino</w:t>
            </w:r>
          </w:p>
          <w:p>
            <w:pPr>
              <w:pStyle w:val="TableParagraph"/>
              <w:numPr>
                <w:ilvl w:val="0"/>
                <w:numId w:val="24"/>
              </w:numPr>
              <w:tabs>
                <w:tab w:pos="341" w:val="left" w:leader="none"/>
              </w:tabs>
              <w:spacing w:line="240" w:lineRule="auto" w:before="0" w:after="0"/>
              <w:ind w:left="340" w:right="0" w:hanging="235"/>
              <w:jc w:val="left"/>
              <w:rPr>
                <w:sz w:val="20"/>
              </w:rPr>
            </w:pPr>
            <w:r>
              <w:rPr>
                <w:sz w:val="20"/>
              </w:rPr>
              <w:t>Agricultor</w:t>
            </w:r>
          </w:p>
          <w:p>
            <w:pPr>
              <w:pStyle w:val="TableParagraph"/>
              <w:numPr>
                <w:ilvl w:val="0"/>
                <w:numId w:val="24"/>
              </w:numPr>
              <w:tabs>
                <w:tab w:pos="341" w:val="left" w:leader="none"/>
              </w:tabs>
              <w:spacing w:line="240" w:lineRule="auto" w:before="0" w:after="0"/>
              <w:ind w:left="340" w:right="0" w:hanging="235"/>
              <w:jc w:val="left"/>
              <w:rPr>
                <w:sz w:val="20"/>
              </w:rPr>
            </w:pPr>
            <w:r>
              <w:rPr>
                <w:sz w:val="20"/>
              </w:rPr>
              <w:t>Otro</w:t>
            </w:r>
          </w:p>
        </w:tc>
      </w:tr>
      <w:tr>
        <w:trPr>
          <w:trHeight w:val="2540" w:hRule="exact"/>
        </w:trPr>
        <w:tc>
          <w:tcPr>
            <w:tcW w:w="1388" w:type="dxa"/>
          </w:tcPr>
          <w:p>
            <w:pPr>
              <w:pStyle w:val="TableParagraph"/>
              <w:ind w:left="105" w:right="363"/>
              <w:rPr>
                <w:sz w:val="20"/>
              </w:rPr>
            </w:pPr>
            <w:r>
              <w:rPr>
                <w:sz w:val="20"/>
              </w:rPr>
              <w:t>Hábitos higiénicos</w:t>
            </w:r>
          </w:p>
        </w:tc>
        <w:tc>
          <w:tcPr>
            <w:tcW w:w="1983" w:type="dxa"/>
          </w:tcPr>
          <w:p>
            <w:pPr>
              <w:pStyle w:val="TableParagraph"/>
              <w:tabs>
                <w:tab w:pos="1651" w:val="left" w:leader="none"/>
              </w:tabs>
              <w:spacing w:line="225" w:lineRule="exact"/>
              <w:ind w:left="105"/>
              <w:jc w:val="both"/>
              <w:rPr>
                <w:sz w:val="20"/>
              </w:rPr>
            </w:pPr>
            <w:r>
              <w:rPr>
                <w:sz w:val="20"/>
              </w:rPr>
              <w:t>Conjunto</w:t>
              <w:tab/>
              <w:t>de</w:t>
            </w:r>
          </w:p>
          <w:p>
            <w:pPr>
              <w:pStyle w:val="TableParagraph"/>
              <w:tabs>
                <w:tab w:pos="1540" w:val="left" w:leader="none"/>
              </w:tabs>
              <w:ind w:left="105" w:right="97"/>
              <w:jc w:val="both"/>
              <w:rPr>
                <w:sz w:val="20"/>
              </w:rPr>
            </w:pPr>
            <w:r>
              <w:rPr>
                <w:sz w:val="20"/>
              </w:rPr>
              <w:t>conocimientos y técnicas</w:t>
              <w:tab/>
            </w:r>
            <w:r>
              <w:rPr>
                <w:spacing w:val="-1"/>
                <w:sz w:val="20"/>
              </w:rPr>
              <w:t>que</w:t>
            </w:r>
          </w:p>
          <w:p>
            <w:pPr>
              <w:pStyle w:val="TableParagraph"/>
              <w:tabs>
                <w:tab w:pos="1540" w:val="left" w:leader="none"/>
                <w:tab w:pos="1617" w:val="left" w:leader="none"/>
              </w:tabs>
              <w:ind w:left="105" w:right="94"/>
              <w:jc w:val="both"/>
              <w:rPr>
                <w:sz w:val="20"/>
              </w:rPr>
            </w:pPr>
            <w:r>
              <w:rPr>
                <w:sz w:val="20"/>
              </w:rPr>
              <w:t>aplican</w:t>
              <w:tab/>
              <w:tab/>
              <w:t>los individuos para el control de los factores</w:t>
              <w:tab/>
              <w:t>que ejercen o pueden ejercer efectos nocivos   sobre  </w:t>
            </w:r>
            <w:r>
              <w:rPr>
                <w:spacing w:val="40"/>
                <w:sz w:val="20"/>
              </w:rPr>
              <w:t> </w:t>
            </w:r>
            <w:r>
              <w:rPr>
                <w:sz w:val="20"/>
              </w:rPr>
              <w:t>su</w:t>
            </w:r>
          </w:p>
          <w:p>
            <w:pPr>
              <w:pStyle w:val="TableParagraph"/>
              <w:spacing w:line="230" w:lineRule="exact"/>
              <w:ind w:left="105"/>
              <w:jc w:val="both"/>
              <w:rPr>
                <w:sz w:val="13"/>
              </w:rPr>
            </w:pPr>
            <w:r>
              <w:rPr>
                <w:sz w:val="20"/>
              </w:rPr>
              <w:t>salud.</w:t>
            </w:r>
            <w:r>
              <w:rPr>
                <w:position w:val="10"/>
                <w:sz w:val="13"/>
              </w:rPr>
              <w:t>87</w:t>
            </w:r>
          </w:p>
        </w:tc>
        <w:tc>
          <w:tcPr>
            <w:tcW w:w="1704" w:type="dxa"/>
          </w:tcPr>
          <w:p>
            <w:pPr>
              <w:pStyle w:val="TableParagraph"/>
              <w:tabs>
                <w:tab w:pos="1324" w:val="left" w:leader="none"/>
                <w:tab w:pos="1367" w:val="left" w:leader="none"/>
              </w:tabs>
              <w:ind w:left="105" w:right="99"/>
              <w:rPr>
                <w:sz w:val="20"/>
              </w:rPr>
            </w:pPr>
            <w:r>
              <w:rPr>
                <w:sz w:val="20"/>
              </w:rPr>
              <w:t>Práctica de del conjunto</w:t>
              <w:tab/>
              <w:tab/>
              <w:t>de conocimientos relacionados con la higiene bucal</w:t>
              <w:tab/>
              <w:t>del paciente.</w:t>
            </w:r>
          </w:p>
        </w:tc>
        <w:tc>
          <w:tcPr>
            <w:tcW w:w="1272" w:type="dxa"/>
          </w:tcPr>
          <w:p>
            <w:pPr>
              <w:pStyle w:val="TableParagraph"/>
              <w:ind w:left="283" w:right="142" w:hanging="116"/>
              <w:rPr>
                <w:sz w:val="20"/>
              </w:rPr>
            </w:pPr>
            <w:r>
              <w:rPr>
                <w:sz w:val="20"/>
              </w:rPr>
              <w:t>Cualitativa nominal</w:t>
            </w:r>
          </w:p>
        </w:tc>
        <w:tc>
          <w:tcPr>
            <w:tcW w:w="1138" w:type="dxa"/>
          </w:tcPr>
          <w:p>
            <w:pPr>
              <w:pStyle w:val="TableParagraph"/>
              <w:spacing w:before="6"/>
              <w:rPr>
                <w:rFonts w:ascii="Times New Roman"/>
                <w:sz w:val="19"/>
              </w:rPr>
            </w:pPr>
          </w:p>
          <w:p>
            <w:pPr>
              <w:pStyle w:val="TableParagraph"/>
              <w:ind w:left="313" w:right="309"/>
              <w:jc w:val="center"/>
              <w:rPr>
                <w:sz w:val="20"/>
              </w:rPr>
            </w:pPr>
            <w:r>
              <w:rPr>
                <w:sz w:val="20"/>
              </w:rPr>
              <w:t>-------</w:t>
            </w:r>
          </w:p>
        </w:tc>
        <w:tc>
          <w:tcPr>
            <w:tcW w:w="1575" w:type="dxa"/>
          </w:tcPr>
          <w:p>
            <w:pPr>
              <w:pStyle w:val="TableParagraph"/>
              <w:numPr>
                <w:ilvl w:val="0"/>
                <w:numId w:val="25"/>
              </w:numPr>
              <w:tabs>
                <w:tab w:pos="629" w:val="left" w:leader="none"/>
                <w:tab w:pos="630" w:val="left" w:leader="none"/>
              </w:tabs>
              <w:spacing w:line="240" w:lineRule="auto" w:before="0" w:after="0"/>
              <w:ind w:left="105" w:right="92" w:firstLine="0"/>
              <w:jc w:val="left"/>
              <w:rPr>
                <w:sz w:val="20"/>
              </w:rPr>
            </w:pPr>
            <w:r>
              <w:rPr>
                <w:sz w:val="20"/>
              </w:rPr>
              <w:t>Cepillado dental</w:t>
            </w:r>
          </w:p>
          <w:p>
            <w:pPr>
              <w:pStyle w:val="TableParagraph"/>
              <w:numPr>
                <w:ilvl w:val="0"/>
                <w:numId w:val="25"/>
              </w:numPr>
              <w:tabs>
                <w:tab w:pos="476" w:val="left" w:leader="none"/>
              </w:tabs>
              <w:spacing w:line="240" w:lineRule="auto" w:before="0" w:after="0"/>
              <w:ind w:left="105" w:right="92" w:firstLine="0"/>
              <w:jc w:val="left"/>
              <w:rPr>
                <w:sz w:val="20"/>
              </w:rPr>
            </w:pPr>
            <w:r>
              <w:rPr>
                <w:spacing w:val="-1"/>
                <w:sz w:val="20"/>
              </w:rPr>
              <w:t>Frecuencia </w:t>
            </w:r>
            <w:r>
              <w:rPr>
                <w:sz w:val="20"/>
              </w:rPr>
              <w:t>del</w:t>
            </w:r>
            <w:r>
              <w:rPr>
                <w:spacing w:val="-1"/>
                <w:sz w:val="20"/>
              </w:rPr>
              <w:t> </w:t>
            </w:r>
            <w:r>
              <w:rPr>
                <w:sz w:val="20"/>
              </w:rPr>
              <w:t>cepillado</w:t>
            </w:r>
          </w:p>
          <w:p>
            <w:pPr>
              <w:pStyle w:val="TableParagraph"/>
              <w:numPr>
                <w:ilvl w:val="0"/>
                <w:numId w:val="25"/>
              </w:numPr>
              <w:tabs>
                <w:tab w:pos="595" w:val="left" w:leader="none"/>
                <w:tab w:pos="596" w:val="left" w:leader="none"/>
              </w:tabs>
              <w:spacing w:line="240" w:lineRule="auto" w:before="0" w:after="0"/>
              <w:ind w:left="105" w:right="96" w:firstLine="0"/>
              <w:jc w:val="left"/>
              <w:rPr>
                <w:sz w:val="20"/>
              </w:rPr>
            </w:pPr>
            <w:r>
              <w:rPr>
                <w:spacing w:val="-1"/>
                <w:sz w:val="20"/>
              </w:rPr>
              <w:t>Auxiliares </w:t>
            </w:r>
            <w:r>
              <w:rPr>
                <w:sz w:val="20"/>
              </w:rPr>
              <w:t>de</w:t>
            </w:r>
            <w:r>
              <w:rPr>
                <w:spacing w:val="2"/>
                <w:sz w:val="20"/>
              </w:rPr>
              <w:t> </w:t>
            </w:r>
            <w:r>
              <w:rPr>
                <w:sz w:val="20"/>
              </w:rPr>
              <w:t>higiene</w:t>
            </w:r>
          </w:p>
          <w:p>
            <w:pPr>
              <w:pStyle w:val="TableParagraph"/>
              <w:numPr>
                <w:ilvl w:val="0"/>
                <w:numId w:val="25"/>
              </w:numPr>
              <w:tabs>
                <w:tab w:pos="566" w:val="left" w:leader="none"/>
                <w:tab w:pos="567" w:val="left" w:leader="none"/>
                <w:tab w:pos="1242" w:val="left" w:leader="none"/>
              </w:tabs>
              <w:spacing w:line="240" w:lineRule="auto" w:before="1" w:after="0"/>
              <w:ind w:left="105" w:right="98" w:firstLine="0"/>
              <w:jc w:val="left"/>
              <w:rPr>
                <w:sz w:val="20"/>
              </w:rPr>
            </w:pPr>
            <w:r>
              <w:rPr>
                <w:sz w:val="20"/>
              </w:rPr>
              <w:t>Tipo</w:t>
              <w:tab/>
              <w:t>de auxiliar</w:t>
            </w:r>
          </w:p>
          <w:p>
            <w:pPr>
              <w:pStyle w:val="TableParagraph"/>
              <w:numPr>
                <w:ilvl w:val="0"/>
                <w:numId w:val="25"/>
              </w:numPr>
              <w:tabs>
                <w:tab w:pos="341" w:val="left" w:leader="none"/>
              </w:tabs>
              <w:spacing w:line="240" w:lineRule="auto" w:before="0" w:after="0"/>
              <w:ind w:left="105" w:right="227" w:firstLine="0"/>
              <w:jc w:val="both"/>
              <w:rPr>
                <w:sz w:val="20"/>
              </w:rPr>
            </w:pPr>
            <w:r>
              <w:rPr>
                <w:spacing w:val="-1"/>
                <w:sz w:val="20"/>
              </w:rPr>
              <w:t>Frecuencia </w:t>
            </w:r>
            <w:r>
              <w:rPr>
                <w:sz w:val="20"/>
              </w:rPr>
              <w:t>de cambio de cepillo</w:t>
            </w:r>
            <w:r>
              <w:rPr>
                <w:spacing w:val="8"/>
                <w:sz w:val="20"/>
              </w:rPr>
              <w:t> </w:t>
            </w:r>
            <w:r>
              <w:rPr>
                <w:spacing w:val="-2"/>
                <w:sz w:val="20"/>
              </w:rPr>
              <w:t>dental</w:t>
            </w:r>
          </w:p>
        </w:tc>
      </w:tr>
      <w:tr>
        <w:trPr>
          <w:trHeight w:val="1162" w:hRule="exact"/>
        </w:trPr>
        <w:tc>
          <w:tcPr>
            <w:tcW w:w="1388" w:type="dxa"/>
          </w:tcPr>
          <w:p>
            <w:pPr>
              <w:pStyle w:val="TableParagraph"/>
              <w:ind w:left="105" w:right="408"/>
              <w:rPr>
                <w:sz w:val="20"/>
              </w:rPr>
            </w:pPr>
            <w:r>
              <w:rPr>
                <w:sz w:val="20"/>
              </w:rPr>
              <w:t>Hábitos dietéticos</w:t>
            </w:r>
          </w:p>
        </w:tc>
        <w:tc>
          <w:tcPr>
            <w:tcW w:w="1983" w:type="dxa"/>
          </w:tcPr>
          <w:p>
            <w:pPr>
              <w:pStyle w:val="TableParagraph"/>
              <w:tabs>
                <w:tab w:pos="1651" w:val="left" w:leader="none"/>
              </w:tabs>
              <w:spacing w:line="225" w:lineRule="exact"/>
              <w:ind w:left="105"/>
              <w:jc w:val="both"/>
              <w:rPr>
                <w:sz w:val="20"/>
              </w:rPr>
            </w:pPr>
            <w:r>
              <w:rPr>
                <w:sz w:val="20"/>
              </w:rPr>
              <w:t>Conjunto</w:t>
              <w:tab/>
              <w:t>de</w:t>
            </w:r>
          </w:p>
          <w:p>
            <w:pPr>
              <w:pStyle w:val="TableParagraph"/>
              <w:ind w:left="105"/>
              <w:jc w:val="both"/>
              <w:rPr>
                <w:sz w:val="20"/>
              </w:rPr>
            </w:pPr>
            <w:r>
              <w:rPr>
                <w:sz w:val="20"/>
              </w:rPr>
              <w:t>sustancias        que</w:t>
            </w:r>
          </w:p>
          <w:p>
            <w:pPr>
              <w:pStyle w:val="TableParagraph"/>
              <w:spacing w:line="230" w:lineRule="exact" w:before="4"/>
              <w:ind w:left="105" w:right="93"/>
              <w:jc w:val="both"/>
              <w:rPr>
                <w:sz w:val="13"/>
              </w:rPr>
            </w:pPr>
            <w:r>
              <w:rPr>
                <w:sz w:val="20"/>
              </w:rPr>
              <w:t>regularmente se ingieren como alimento.</w:t>
            </w:r>
            <w:r>
              <w:rPr>
                <w:position w:val="10"/>
                <w:sz w:val="13"/>
              </w:rPr>
              <w:t>87</w:t>
            </w:r>
          </w:p>
        </w:tc>
        <w:tc>
          <w:tcPr>
            <w:tcW w:w="1704" w:type="dxa"/>
          </w:tcPr>
          <w:p>
            <w:pPr>
              <w:pStyle w:val="TableParagraph"/>
              <w:ind w:left="105" w:right="102"/>
              <w:jc w:val="both"/>
              <w:rPr>
                <w:sz w:val="20"/>
              </w:rPr>
            </w:pPr>
            <w:r>
              <w:rPr>
                <w:sz w:val="20"/>
              </w:rPr>
              <w:t>Manera habitual del consumo de alimentos del paciente.</w:t>
            </w:r>
          </w:p>
        </w:tc>
        <w:tc>
          <w:tcPr>
            <w:tcW w:w="1272" w:type="dxa"/>
          </w:tcPr>
          <w:p>
            <w:pPr>
              <w:pStyle w:val="TableParagraph"/>
              <w:ind w:left="283" w:right="142" w:hanging="116"/>
              <w:rPr>
                <w:sz w:val="20"/>
              </w:rPr>
            </w:pPr>
            <w:r>
              <w:rPr>
                <w:sz w:val="20"/>
              </w:rPr>
              <w:t>Cualitativa nominal</w:t>
            </w:r>
          </w:p>
        </w:tc>
        <w:tc>
          <w:tcPr>
            <w:tcW w:w="1138" w:type="dxa"/>
          </w:tcPr>
          <w:p>
            <w:pPr>
              <w:pStyle w:val="TableParagraph"/>
              <w:spacing w:before="6"/>
              <w:rPr>
                <w:rFonts w:ascii="Times New Roman"/>
                <w:sz w:val="19"/>
              </w:rPr>
            </w:pPr>
          </w:p>
          <w:p>
            <w:pPr>
              <w:pStyle w:val="TableParagraph"/>
              <w:ind w:left="313" w:right="309"/>
              <w:jc w:val="center"/>
              <w:rPr>
                <w:sz w:val="20"/>
              </w:rPr>
            </w:pPr>
            <w:r>
              <w:rPr>
                <w:sz w:val="20"/>
              </w:rPr>
              <w:t>-------</w:t>
            </w:r>
          </w:p>
        </w:tc>
        <w:tc>
          <w:tcPr>
            <w:tcW w:w="1575" w:type="dxa"/>
          </w:tcPr>
          <w:p>
            <w:pPr>
              <w:pStyle w:val="TableParagraph"/>
              <w:numPr>
                <w:ilvl w:val="0"/>
                <w:numId w:val="26"/>
              </w:numPr>
              <w:tabs>
                <w:tab w:pos="998" w:val="left" w:leader="none"/>
                <w:tab w:pos="999" w:val="left" w:leader="none"/>
              </w:tabs>
              <w:spacing w:line="225" w:lineRule="exact" w:before="0" w:after="0"/>
              <w:ind w:left="105" w:right="0" w:firstLine="0"/>
              <w:jc w:val="left"/>
              <w:rPr>
                <w:sz w:val="20"/>
              </w:rPr>
            </w:pPr>
            <w:r>
              <w:rPr>
                <w:sz w:val="20"/>
              </w:rPr>
              <w:t>Dieta</w:t>
            </w:r>
          </w:p>
          <w:p>
            <w:pPr>
              <w:pStyle w:val="TableParagraph"/>
              <w:ind w:left="105" w:right="321"/>
              <w:rPr>
                <w:sz w:val="20"/>
              </w:rPr>
            </w:pPr>
            <w:r>
              <w:rPr>
                <w:sz w:val="20"/>
              </w:rPr>
              <w:t>cariogénica</w:t>
            </w:r>
          </w:p>
          <w:p>
            <w:pPr>
              <w:pStyle w:val="TableParagraph"/>
              <w:numPr>
                <w:ilvl w:val="0"/>
                <w:numId w:val="26"/>
              </w:numPr>
              <w:tabs>
                <w:tab w:pos="341" w:val="left" w:leader="none"/>
              </w:tabs>
              <w:spacing w:line="240" w:lineRule="auto" w:before="1" w:after="0"/>
              <w:ind w:left="105" w:right="428" w:firstLine="0"/>
              <w:jc w:val="left"/>
              <w:rPr>
                <w:sz w:val="20"/>
              </w:rPr>
            </w:pPr>
            <w:r>
              <w:rPr>
                <w:sz w:val="20"/>
              </w:rPr>
              <w:t>Dieta no </w:t>
            </w:r>
            <w:r>
              <w:rPr>
                <w:spacing w:val="-1"/>
                <w:sz w:val="20"/>
              </w:rPr>
              <w:t>cariogénica</w:t>
            </w:r>
          </w:p>
        </w:tc>
      </w:tr>
      <w:tr>
        <w:trPr>
          <w:trHeight w:val="5070" w:hRule="exact"/>
        </w:trPr>
        <w:tc>
          <w:tcPr>
            <w:tcW w:w="1388" w:type="dxa"/>
          </w:tcPr>
          <w:p>
            <w:pPr>
              <w:pStyle w:val="TableParagraph"/>
              <w:spacing w:line="225" w:lineRule="exact"/>
              <w:ind w:left="105"/>
              <w:rPr>
                <w:sz w:val="20"/>
              </w:rPr>
            </w:pPr>
            <w:r>
              <w:rPr>
                <w:sz w:val="20"/>
              </w:rPr>
              <w:t>Caries</w:t>
            </w:r>
          </w:p>
        </w:tc>
        <w:tc>
          <w:tcPr>
            <w:tcW w:w="1983" w:type="dxa"/>
          </w:tcPr>
          <w:p>
            <w:pPr>
              <w:pStyle w:val="TableParagraph"/>
              <w:ind w:left="105" w:right="241"/>
              <w:rPr>
                <w:sz w:val="20"/>
              </w:rPr>
            </w:pPr>
            <w:r>
              <w:rPr>
                <w:sz w:val="20"/>
              </w:rPr>
              <w:t>Enfermedad infecto-contagiosa</w:t>
            </w:r>
          </w:p>
          <w:p>
            <w:pPr>
              <w:pStyle w:val="TableParagraph"/>
              <w:tabs>
                <w:tab w:pos="575" w:val="left" w:leader="none"/>
                <w:tab w:pos="695" w:val="left" w:leader="none"/>
                <w:tab w:pos="892" w:val="left" w:leader="none"/>
                <w:tab w:pos="1223" w:val="left" w:leader="none"/>
                <w:tab w:pos="1602" w:val="left" w:leader="none"/>
              </w:tabs>
              <w:ind w:left="105" w:right="93"/>
              <w:rPr>
                <w:sz w:val="20"/>
              </w:rPr>
            </w:pPr>
            <w:r>
              <w:rPr>
                <w:sz w:val="20"/>
              </w:rPr>
              <w:t>y multifactorial, que </w:t>
            </w:r>
            <w:r>
              <w:rPr>
                <w:spacing w:val="-3"/>
                <w:sz w:val="20"/>
              </w:rPr>
              <w:t>se </w:t>
            </w:r>
            <w:r>
              <w:rPr>
                <w:sz w:val="20"/>
              </w:rPr>
              <w:t>caracteriza  por la</w:t>
              <w:tab/>
            </w:r>
            <w:r>
              <w:rPr>
                <w:spacing w:val="-1"/>
                <w:sz w:val="20"/>
              </w:rPr>
              <w:t>desintegración </w:t>
            </w:r>
            <w:r>
              <w:rPr>
                <w:sz w:val="20"/>
              </w:rPr>
              <w:t>progresiva de los tejidos</w:t>
              <w:tab/>
              <w:tab/>
              <w:t>duros</w:t>
              <w:tab/>
              <w:t>del diente, debido a la desmineralización de</w:t>
              <w:tab/>
              <w:tab/>
              <w:t>la</w:t>
              <w:tab/>
              <w:tab/>
            </w:r>
            <w:r>
              <w:rPr>
                <w:spacing w:val="-1"/>
                <w:sz w:val="20"/>
              </w:rPr>
              <w:t>porción</w:t>
            </w:r>
          </w:p>
          <w:p>
            <w:pPr>
              <w:pStyle w:val="TableParagraph"/>
              <w:tabs>
                <w:tab w:pos="892" w:val="left" w:leader="none"/>
                <w:tab w:pos="1051" w:val="left" w:leader="none"/>
                <w:tab w:pos="1194" w:val="left" w:leader="none"/>
                <w:tab w:pos="1588" w:val="left" w:leader="none"/>
                <w:tab w:pos="1717" w:val="left" w:leader="none"/>
              </w:tabs>
              <w:spacing w:before="1"/>
              <w:ind w:left="105" w:right="93"/>
              <w:rPr>
                <w:sz w:val="20"/>
              </w:rPr>
            </w:pPr>
            <w:r>
              <w:rPr>
                <w:sz w:val="20"/>
              </w:rPr>
              <w:t>mineral</w:t>
              <w:tab/>
              <w:tab/>
              <w:tab/>
              <w:t>y</w:t>
              <w:tab/>
              <w:tab/>
              <w:t>la subsecuente disgregación de la parte</w:t>
              <w:tab/>
              <w:tab/>
            </w:r>
            <w:r>
              <w:rPr>
                <w:spacing w:val="-1"/>
                <w:sz w:val="20"/>
              </w:rPr>
              <w:t>orgánica, provocada</w:t>
              <w:tab/>
              <w:tab/>
              <w:tab/>
              <w:t>por </w:t>
            </w:r>
            <w:r>
              <w:rPr>
                <w:sz w:val="20"/>
              </w:rPr>
              <w:t>ácidos</w:t>
              <w:tab/>
              <w:t>producidos por la fermentación de</w:t>
              <w:tab/>
              <w:tab/>
              <w:tab/>
              <w:tab/>
              <w:t>los</w:t>
            </w:r>
          </w:p>
          <w:p>
            <w:pPr>
              <w:pStyle w:val="TableParagraph"/>
              <w:tabs>
                <w:tab w:pos="1583" w:val="left" w:leader="none"/>
              </w:tabs>
              <w:spacing w:line="230" w:lineRule="exact" w:before="4"/>
              <w:ind w:left="105" w:right="101"/>
              <w:rPr>
                <w:sz w:val="13"/>
              </w:rPr>
            </w:pPr>
            <w:r>
              <w:rPr>
                <w:sz w:val="20"/>
              </w:rPr>
              <w:t>carbohidratos</w:t>
              <w:tab/>
            </w:r>
            <w:r>
              <w:rPr>
                <w:spacing w:val="-1"/>
                <w:sz w:val="20"/>
              </w:rPr>
              <w:t>por </w:t>
            </w:r>
            <w:r>
              <w:rPr>
                <w:sz w:val="20"/>
              </w:rPr>
              <w:t>los microorganismos bucales.</w:t>
            </w:r>
            <w:r>
              <w:rPr>
                <w:position w:val="10"/>
                <w:sz w:val="13"/>
              </w:rPr>
              <w:t>1, 2</w:t>
            </w:r>
          </w:p>
        </w:tc>
        <w:tc>
          <w:tcPr>
            <w:tcW w:w="1704" w:type="dxa"/>
          </w:tcPr>
          <w:p>
            <w:pPr>
              <w:pStyle w:val="TableParagraph"/>
              <w:tabs>
                <w:tab w:pos="902" w:val="left" w:leader="none"/>
                <w:tab w:pos="1323" w:val="left" w:leader="none"/>
                <w:tab w:pos="1372" w:val="left" w:leader="none"/>
              </w:tabs>
              <w:ind w:left="105" w:right="97"/>
              <w:rPr>
                <w:sz w:val="20"/>
              </w:rPr>
            </w:pPr>
            <w:r>
              <w:rPr>
                <w:sz w:val="20"/>
              </w:rPr>
              <w:t>Incremento</w:t>
              <w:tab/>
              <w:tab/>
              <w:t>de la fluorescencia del tejido dental mediante de la excitación</w:t>
              <w:tab/>
              <w:t>del mismo, a través del</w:t>
              <w:tab/>
            </w:r>
            <w:r>
              <w:rPr>
                <w:spacing w:val="-1"/>
                <w:sz w:val="20"/>
              </w:rPr>
              <w:t>sistema </w:t>
            </w:r>
            <w:r>
              <w:rPr>
                <w:sz w:val="20"/>
              </w:rPr>
              <w:t>DiagnoDent Pen.</w:t>
            </w:r>
          </w:p>
        </w:tc>
        <w:tc>
          <w:tcPr>
            <w:tcW w:w="1272" w:type="dxa"/>
          </w:tcPr>
          <w:p>
            <w:pPr>
              <w:pStyle w:val="TableParagraph"/>
              <w:ind w:left="283" w:right="81" w:hanging="178"/>
              <w:rPr>
                <w:sz w:val="20"/>
              </w:rPr>
            </w:pPr>
            <w:r>
              <w:rPr>
                <w:sz w:val="20"/>
              </w:rPr>
              <w:t>Cuantitativa discreta</w:t>
            </w:r>
          </w:p>
        </w:tc>
        <w:tc>
          <w:tcPr>
            <w:tcW w:w="1138" w:type="dxa"/>
          </w:tcPr>
          <w:p>
            <w:pPr>
              <w:pStyle w:val="TableParagraph"/>
              <w:spacing w:before="6"/>
              <w:rPr>
                <w:rFonts w:ascii="Times New Roman"/>
                <w:sz w:val="19"/>
              </w:rPr>
            </w:pPr>
          </w:p>
          <w:p>
            <w:pPr>
              <w:pStyle w:val="TableParagraph"/>
              <w:ind w:left="313" w:right="309"/>
              <w:jc w:val="center"/>
              <w:rPr>
                <w:sz w:val="20"/>
              </w:rPr>
            </w:pPr>
            <w:r>
              <w:rPr>
                <w:sz w:val="20"/>
              </w:rPr>
              <w:t>-------</w:t>
            </w:r>
          </w:p>
        </w:tc>
        <w:tc>
          <w:tcPr>
            <w:tcW w:w="1575" w:type="dxa"/>
          </w:tcPr>
          <w:p>
            <w:pPr>
              <w:pStyle w:val="TableParagraph"/>
              <w:numPr>
                <w:ilvl w:val="0"/>
                <w:numId w:val="27"/>
              </w:numPr>
              <w:tabs>
                <w:tab w:pos="413" w:val="left" w:leader="none"/>
              </w:tabs>
              <w:spacing w:line="240" w:lineRule="auto" w:before="0" w:after="0"/>
              <w:ind w:left="105" w:right="93" w:firstLine="0"/>
              <w:jc w:val="both"/>
              <w:rPr>
                <w:sz w:val="20"/>
              </w:rPr>
            </w:pPr>
            <w:r>
              <w:rPr>
                <w:sz w:val="20"/>
              </w:rPr>
              <w:t>Valor 0-13: No existe caries o está limitada a la mitad externa del grosor del esmalte.</w:t>
            </w:r>
          </w:p>
          <w:p>
            <w:pPr>
              <w:pStyle w:val="TableParagraph"/>
              <w:numPr>
                <w:ilvl w:val="0"/>
                <w:numId w:val="27"/>
              </w:numPr>
              <w:tabs>
                <w:tab w:pos="355" w:val="left" w:leader="none"/>
              </w:tabs>
              <w:spacing w:line="240" w:lineRule="auto" w:before="0" w:after="0"/>
              <w:ind w:left="105" w:right="93" w:firstLine="0"/>
              <w:jc w:val="both"/>
              <w:rPr>
                <w:sz w:val="20"/>
              </w:rPr>
            </w:pPr>
            <w:r>
              <w:rPr>
                <w:sz w:val="20"/>
              </w:rPr>
              <w:t>Valor 14-20: Caries en esmalte pero más allá de la mitad externa del grosor del esmalte.</w:t>
            </w:r>
          </w:p>
          <w:p>
            <w:pPr>
              <w:pStyle w:val="TableParagraph"/>
              <w:numPr>
                <w:ilvl w:val="0"/>
                <w:numId w:val="27"/>
              </w:numPr>
              <w:tabs>
                <w:tab w:pos="351" w:val="left" w:leader="none"/>
              </w:tabs>
              <w:spacing w:line="240" w:lineRule="auto" w:before="0" w:after="0"/>
              <w:ind w:left="105" w:right="100" w:firstLine="0"/>
              <w:jc w:val="both"/>
              <w:rPr>
                <w:sz w:val="20"/>
              </w:rPr>
            </w:pPr>
            <w:r>
              <w:rPr>
                <w:sz w:val="20"/>
              </w:rPr>
              <w:t>Valor 21-30: Caries de dentina.</w:t>
            </w:r>
          </w:p>
          <w:p>
            <w:pPr>
              <w:pStyle w:val="TableParagraph"/>
              <w:numPr>
                <w:ilvl w:val="0"/>
                <w:numId w:val="27"/>
              </w:numPr>
              <w:tabs>
                <w:tab w:pos="408" w:val="left" w:leader="none"/>
              </w:tabs>
              <w:spacing w:line="240" w:lineRule="auto" w:before="0" w:after="0"/>
              <w:ind w:left="105" w:right="93" w:firstLine="0"/>
              <w:jc w:val="left"/>
              <w:rPr>
                <w:sz w:val="20"/>
              </w:rPr>
            </w:pPr>
            <w:r>
              <w:rPr>
                <w:sz w:val="20"/>
              </w:rPr>
              <w:t>A partir de 30: Caries de dentina profunda.</w:t>
            </w:r>
          </w:p>
        </w:tc>
      </w:tr>
      <w:tr>
        <w:trPr>
          <w:trHeight w:val="240" w:hRule="exact"/>
        </w:trPr>
        <w:tc>
          <w:tcPr>
            <w:tcW w:w="1388" w:type="dxa"/>
          </w:tcPr>
          <w:p>
            <w:pPr>
              <w:pStyle w:val="TableParagraph"/>
              <w:tabs>
                <w:tab w:pos="1055" w:val="left" w:leader="none"/>
              </w:tabs>
              <w:spacing w:line="225" w:lineRule="exact"/>
              <w:ind w:left="105"/>
              <w:rPr>
                <w:sz w:val="20"/>
              </w:rPr>
            </w:pPr>
            <w:r>
              <w:rPr>
                <w:sz w:val="20"/>
              </w:rPr>
              <w:t>Tipo</w:t>
              <w:tab/>
              <w:t>de</w:t>
            </w:r>
          </w:p>
        </w:tc>
        <w:tc>
          <w:tcPr>
            <w:tcW w:w="1983" w:type="dxa"/>
          </w:tcPr>
          <w:p>
            <w:pPr>
              <w:pStyle w:val="TableParagraph"/>
              <w:spacing w:line="225" w:lineRule="exact"/>
              <w:ind w:left="105"/>
              <w:rPr>
                <w:sz w:val="20"/>
              </w:rPr>
            </w:pPr>
            <w:r>
              <w:rPr>
                <w:sz w:val="20"/>
              </w:rPr>
              <w:t>Tipo  de  dentadura</w:t>
            </w:r>
          </w:p>
        </w:tc>
        <w:tc>
          <w:tcPr>
            <w:tcW w:w="1704" w:type="dxa"/>
          </w:tcPr>
          <w:p>
            <w:pPr>
              <w:pStyle w:val="TableParagraph"/>
              <w:spacing w:line="225" w:lineRule="exact"/>
              <w:ind w:left="105"/>
              <w:rPr>
                <w:sz w:val="20"/>
              </w:rPr>
            </w:pPr>
            <w:r>
              <w:rPr>
                <w:sz w:val="20"/>
              </w:rPr>
              <w:t>Dentición   mixta</w:t>
            </w:r>
          </w:p>
        </w:tc>
        <w:tc>
          <w:tcPr>
            <w:tcW w:w="1272" w:type="dxa"/>
          </w:tcPr>
          <w:p>
            <w:pPr>
              <w:pStyle w:val="TableParagraph"/>
              <w:spacing w:line="225" w:lineRule="exact"/>
              <w:ind w:left="167" w:right="81"/>
              <w:rPr>
                <w:sz w:val="20"/>
              </w:rPr>
            </w:pPr>
            <w:r>
              <w:rPr>
                <w:sz w:val="20"/>
              </w:rPr>
              <w:t>Cualitativa</w:t>
            </w:r>
          </w:p>
        </w:tc>
        <w:tc>
          <w:tcPr>
            <w:tcW w:w="1138" w:type="dxa"/>
          </w:tcPr>
          <w:p>
            <w:pPr>
              <w:pStyle w:val="TableParagraph"/>
              <w:spacing w:line="225" w:lineRule="exact"/>
              <w:ind w:left="313" w:right="309"/>
              <w:jc w:val="center"/>
              <w:rPr>
                <w:sz w:val="20"/>
              </w:rPr>
            </w:pPr>
            <w:r>
              <w:rPr>
                <w:sz w:val="20"/>
              </w:rPr>
              <w:t>-------</w:t>
            </w:r>
          </w:p>
        </w:tc>
        <w:tc>
          <w:tcPr>
            <w:tcW w:w="1575" w:type="dxa"/>
          </w:tcPr>
          <w:p>
            <w:pPr>
              <w:pStyle w:val="TableParagraph"/>
              <w:tabs>
                <w:tab w:pos="629" w:val="left" w:leader="none"/>
              </w:tabs>
              <w:spacing w:line="225" w:lineRule="exact"/>
              <w:ind w:left="105"/>
              <w:rPr>
                <w:sz w:val="20"/>
              </w:rPr>
            </w:pPr>
            <w:r>
              <w:rPr>
                <w:sz w:val="20"/>
              </w:rPr>
              <w:t>1)</w:t>
              <w:tab/>
              <w:t>Dentición</w:t>
            </w:r>
          </w:p>
        </w:tc>
      </w:tr>
    </w:tbl>
    <w:p>
      <w:pPr>
        <w:spacing w:after="0" w:line="225" w:lineRule="exact"/>
        <w:rPr>
          <w:sz w:val="20"/>
        </w:rPr>
        <w:sectPr>
          <w:pgSz w:w="12240" w:h="15840"/>
          <w:pgMar w:header="726" w:footer="1031" w:top="1340" w:bottom="1220" w:left="1200" w:right="1420"/>
        </w:sectPr>
      </w:pPr>
    </w:p>
    <w:p>
      <w:pPr>
        <w:pStyle w:val="BodyText"/>
        <w:spacing w:before="7"/>
        <w:rPr>
          <w:rFonts w:ascii="Times New Roman"/>
          <w:sz w:val="29"/>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8"/>
        <w:gridCol w:w="1983"/>
        <w:gridCol w:w="1704"/>
        <w:gridCol w:w="1272"/>
        <w:gridCol w:w="1138"/>
        <w:gridCol w:w="1575"/>
      </w:tblGrid>
      <w:tr>
        <w:trPr>
          <w:trHeight w:val="932" w:hRule="exact"/>
        </w:trPr>
        <w:tc>
          <w:tcPr>
            <w:tcW w:w="1388" w:type="dxa"/>
          </w:tcPr>
          <w:p>
            <w:pPr>
              <w:pStyle w:val="TableParagraph"/>
              <w:spacing w:line="225" w:lineRule="exact"/>
              <w:ind w:left="105"/>
              <w:rPr>
                <w:sz w:val="20"/>
              </w:rPr>
            </w:pPr>
            <w:r>
              <w:rPr>
                <w:sz w:val="20"/>
              </w:rPr>
              <w:t>dentición</w:t>
            </w:r>
          </w:p>
        </w:tc>
        <w:tc>
          <w:tcPr>
            <w:tcW w:w="1983" w:type="dxa"/>
          </w:tcPr>
          <w:p>
            <w:pPr>
              <w:pStyle w:val="TableParagraph"/>
              <w:spacing w:line="225" w:lineRule="exact"/>
              <w:ind w:left="105"/>
              <w:jc w:val="both"/>
              <w:rPr>
                <w:sz w:val="20"/>
              </w:rPr>
            </w:pPr>
            <w:r>
              <w:rPr>
                <w:sz w:val="20"/>
              </w:rPr>
              <w:t>y       número      de</w:t>
            </w:r>
          </w:p>
          <w:p>
            <w:pPr>
              <w:pStyle w:val="TableParagraph"/>
              <w:tabs>
                <w:tab w:pos="1540" w:val="left" w:leader="none"/>
              </w:tabs>
              <w:spacing w:line="223" w:lineRule="auto" w:before="13"/>
              <w:ind w:left="105" w:right="93"/>
              <w:jc w:val="both"/>
              <w:rPr>
                <w:sz w:val="13"/>
              </w:rPr>
            </w:pPr>
            <w:r>
              <w:rPr>
                <w:sz w:val="20"/>
              </w:rPr>
              <w:t>dientes</w:t>
              <w:tab/>
              <w:t>que caracterizan a un mamífero.</w:t>
            </w:r>
            <w:r>
              <w:rPr>
                <w:position w:val="10"/>
                <w:sz w:val="13"/>
              </w:rPr>
              <w:t>88</w:t>
            </w:r>
          </w:p>
        </w:tc>
        <w:tc>
          <w:tcPr>
            <w:tcW w:w="1704" w:type="dxa"/>
          </w:tcPr>
          <w:p>
            <w:pPr>
              <w:pStyle w:val="TableParagraph"/>
              <w:ind w:left="105" w:right="97"/>
              <w:jc w:val="both"/>
              <w:rPr>
                <w:sz w:val="20"/>
              </w:rPr>
            </w:pPr>
            <w:r>
              <w:rPr>
                <w:sz w:val="20"/>
              </w:rPr>
              <w:t>o permanente presente en ambas arcadas del paciente.</w:t>
            </w:r>
          </w:p>
        </w:tc>
        <w:tc>
          <w:tcPr>
            <w:tcW w:w="1272" w:type="dxa"/>
          </w:tcPr>
          <w:p>
            <w:pPr>
              <w:pStyle w:val="TableParagraph"/>
              <w:spacing w:line="225" w:lineRule="exact"/>
              <w:ind w:left="83" w:right="78"/>
              <w:jc w:val="center"/>
              <w:rPr>
                <w:sz w:val="20"/>
              </w:rPr>
            </w:pPr>
            <w:r>
              <w:rPr>
                <w:sz w:val="20"/>
              </w:rPr>
              <w:t>nominal</w:t>
            </w:r>
          </w:p>
        </w:tc>
        <w:tc>
          <w:tcPr>
            <w:tcW w:w="1138" w:type="dxa"/>
          </w:tcPr>
          <w:p>
            <w:pPr/>
          </w:p>
        </w:tc>
        <w:tc>
          <w:tcPr>
            <w:tcW w:w="1575" w:type="dxa"/>
          </w:tcPr>
          <w:p>
            <w:pPr>
              <w:pStyle w:val="TableParagraph"/>
              <w:spacing w:line="225" w:lineRule="exact"/>
              <w:ind w:left="105" w:right="321"/>
              <w:rPr>
                <w:sz w:val="20"/>
              </w:rPr>
            </w:pPr>
            <w:r>
              <w:rPr>
                <w:sz w:val="20"/>
              </w:rPr>
              <w:t>mixta</w:t>
            </w:r>
          </w:p>
          <w:p>
            <w:pPr>
              <w:pStyle w:val="TableParagraph"/>
              <w:tabs>
                <w:tab w:pos="629" w:val="left" w:leader="none"/>
              </w:tabs>
              <w:ind w:left="105" w:right="92"/>
              <w:rPr>
                <w:sz w:val="20"/>
              </w:rPr>
            </w:pPr>
            <w:r>
              <w:rPr>
                <w:sz w:val="20"/>
              </w:rPr>
              <w:t>2)</w:t>
              <w:tab/>
              <w:t>Dentición permanente</w:t>
            </w:r>
          </w:p>
        </w:tc>
      </w:tr>
      <w:tr>
        <w:trPr>
          <w:trHeight w:val="249" w:hRule="exact"/>
        </w:trPr>
        <w:tc>
          <w:tcPr>
            <w:tcW w:w="1388" w:type="dxa"/>
            <w:tcBorders>
              <w:bottom w:val="nil"/>
            </w:tcBorders>
          </w:tcPr>
          <w:p>
            <w:pPr>
              <w:pStyle w:val="TableParagraph"/>
              <w:spacing w:line="225" w:lineRule="exact"/>
              <w:ind w:left="105"/>
              <w:rPr>
                <w:sz w:val="20"/>
              </w:rPr>
            </w:pPr>
            <w:r>
              <w:rPr>
                <w:sz w:val="20"/>
              </w:rPr>
              <w:t>Expresión</w:t>
            </w:r>
          </w:p>
        </w:tc>
        <w:tc>
          <w:tcPr>
            <w:tcW w:w="1983" w:type="dxa"/>
            <w:tcBorders>
              <w:bottom w:val="nil"/>
            </w:tcBorders>
          </w:tcPr>
          <w:p>
            <w:pPr>
              <w:pStyle w:val="TableParagraph"/>
              <w:tabs>
                <w:tab w:pos="950" w:val="left" w:leader="none"/>
              </w:tabs>
              <w:spacing w:line="225" w:lineRule="exact"/>
              <w:ind w:left="10"/>
              <w:jc w:val="center"/>
              <w:rPr>
                <w:sz w:val="20"/>
              </w:rPr>
            </w:pPr>
            <w:r>
              <w:rPr>
                <w:sz w:val="20"/>
              </w:rPr>
              <w:t>Proceso</w:t>
              <w:tab/>
              <w:t>mediante</w:t>
            </w:r>
          </w:p>
        </w:tc>
        <w:tc>
          <w:tcPr>
            <w:tcW w:w="1704" w:type="dxa"/>
            <w:tcBorders>
              <w:bottom w:val="nil"/>
            </w:tcBorders>
          </w:tcPr>
          <w:p>
            <w:pPr>
              <w:pStyle w:val="TableParagraph"/>
              <w:ind w:left="105"/>
              <w:rPr>
                <w:sz w:val="20"/>
              </w:rPr>
            </w:pPr>
            <w:r>
              <w:rPr>
                <w:sz w:val="20"/>
              </w:rPr>
              <w:t>Fc</w:t>
            </w:r>
            <w:r>
              <w:rPr>
                <w:rFonts w:ascii="Symbol" w:hAnsi="Symbol"/>
                <w:sz w:val="20"/>
              </w:rPr>
              <w:t></w:t>
            </w:r>
            <w:r>
              <w:rPr>
                <w:sz w:val="20"/>
              </w:rPr>
              <w:t>R es gen</w:t>
            </w:r>
            <w:r>
              <w:rPr>
                <w:spacing w:val="53"/>
                <w:sz w:val="20"/>
              </w:rPr>
              <w:t> </w:t>
            </w:r>
            <w:r>
              <w:rPr>
                <w:sz w:val="20"/>
              </w:rPr>
              <w:t>un</w:t>
            </w:r>
          </w:p>
        </w:tc>
        <w:tc>
          <w:tcPr>
            <w:tcW w:w="1272" w:type="dxa"/>
            <w:tcBorders>
              <w:bottom w:val="nil"/>
            </w:tcBorders>
          </w:tcPr>
          <w:p>
            <w:pPr>
              <w:pStyle w:val="TableParagraph"/>
              <w:spacing w:line="225" w:lineRule="exact"/>
              <w:ind w:left="88" w:right="78"/>
              <w:jc w:val="center"/>
              <w:rPr>
                <w:sz w:val="20"/>
              </w:rPr>
            </w:pPr>
            <w:r>
              <w:rPr>
                <w:sz w:val="20"/>
              </w:rPr>
              <w:t>Cuantitativa</w:t>
            </w:r>
          </w:p>
        </w:tc>
        <w:tc>
          <w:tcPr>
            <w:tcW w:w="1138" w:type="dxa"/>
            <w:tcBorders>
              <w:bottom w:val="nil"/>
            </w:tcBorders>
          </w:tcPr>
          <w:p>
            <w:pPr/>
          </w:p>
        </w:tc>
        <w:tc>
          <w:tcPr>
            <w:tcW w:w="1575" w:type="dxa"/>
            <w:tcBorders>
              <w:bottom w:val="nil"/>
            </w:tcBorders>
          </w:tcPr>
          <w:p>
            <w:pPr>
              <w:pStyle w:val="TableParagraph"/>
              <w:spacing w:line="225" w:lineRule="exact"/>
              <w:ind w:left="105" w:right="321"/>
              <w:rPr>
                <w:sz w:val="20"/>
              </w:rPr>
            </w:pPr>
            <w:r>
              <w:rPr>
                <w:sz w:val="20"/>
              </w:rPr>
              <w:t>Unidades</w:t>
            </w:r>
          </w:p>
        </w:tc>
      </w:tr>
      <w:tr>
        <w:trPr>
          <w:trHeight w:val="228" w:hRule="exact"/>
        </w:trPr>
        <w:tc>
          <w:tcPr>
            <w:tcW w:w="1388" w:type="dxa"/>
            <w:tcBorders>
              <w:top w:val="nil"/>
              <w:bottom w:val="nil"/>
            </w:tcBorders>
          </w:tcPr>
          <w:p>
            <w:pPr>
              <w:pStyle w:val="TableParagraph"/>
              <w:tabs>
                <w:tab w:pos="1051" w:val="left" w:leader="none"/>
              </w:tabs>
              <w:spacing w:line="211" w:lineRule="exact"/>
              <w:ind w:left="105"/>
              <w:rPr>
                <w:sz w:val="20"/>
              </w:rPr>
            </w:pPr>
            <w:r>
              <w:rPr>
                <w:sz w:val="20"/>
              </w:rPr>
              <w:t>génica</w:t>
              <w:tab/>
              <w:t>de</w:t>
            </w:r>
          </w:p>
        </w:tc>
        <w:tc>
          <w:tcPr>
            <w:tcW w:w="1983" w:type="dxa"/>
            <w:tcBorders>
              <w:top w:val="nil"/>
              <w:bottom w:val="nil"/>
            </w:tcBorders>
          </w:tcPr>
          <w:p>
            <w:pPr>
              <w:pStyle w:val="TableParagraph"/>
              <w:spacing w:line="211" w:lineRule="exact"/>
              <w:ind w:left="9"/>
              <w:jc w:val="center"/>
              <w:rPr>
                <w:sz w:val="20"/>
              </w:rPr>
            </w:pPr>
            <w:r>
              <w:rPr>
                <w:sz w:val="20"/>
              </w:rPr>
              <w:t>el   cual   la    célula</w:t>
            </w:r>
          </w:p>
        </w:tc>
        <w:tc>
          <w:tcPr>
            <w:tcW w:w="1704" w:type="dxa"/>
            <w:tcBorders>
              <w:top w:val="nil"/>
              <w:bottom w:val="nil"/>
            </w:tcBorders>
          </w:tcPr>
          <w:p>
            <w:pPr>
              <w:pStyle w:val="TableParagraph"/>
              <w:spacing w:line="225" w:lineRule="exact"/>
              <w:ind w:left="105"/>
              <w:rPr>
                <w:sz w:val="20"/>
              </w:rPr>
            </w:pPr>
            <w:r>
              <w:rPr>
                <w:sz w:val="20"/>
              </w:rPr>
              <w:t>miembro   de </w:t>
            </w:r>
            <w:r>
              <w:rPr>
                <w:spacing w:val="51"/>
                <w:sz w:val="20"/>
              </w:rPr>
              <w:t> </w:t>
            </w:r>
            <w:r>
              <w:rPr>
                <w:sz w:val="20"/>
              </w:rPr>
              <w:t>la</w:t>
            </w:r>
          </w:p>
        </w:tc>
        <w:tc>
          <w:tcPr>
            <w:tcW w:w="1272" w:type="dxa"/>
            <w:tcBorders>
              <w:top w:val="nil"/>
              <w:bottom w:val="nil"/>
            </w:tcBorders>
          </w:tcPr>
          <w:p>
            <w:pPr>
              <w:pStyle w:val="TableParagraph"/>
              <w:spacing w:line="211" w:lineRule="exact"/>
              <w:ind w:left="84" w:right="78"/>
              <w:jc w:val="center"/>
              <w:rPr>
                <w:sz w:val="20"/>
              </w:rPr>
            </w:pPr>
            <w:r>
              <w:rPr>
                <w:sz w:val="20"/>
              </w:rPr>
              <w:t>continua</w:t>
            </w:r>
          </w:p>
        </w:tc>
        <w:tc>
          <w:tcPr>
            <w:tcW w:w="1138" w:type="dxa"/>
            <w:tcBorders>
              <w:top w:val="nil"/>
              <w:bottom w:val="nil"/>
            </w:tcBorders>
          </w:tcPr>
          <w:p>
            <w:pPr>
              <w:pStyle w:val="TableParagraph"/>
              <w:spacing w:line="211" w:lineRule="exact"/>
              <w:ind w:left="331" w:right="91"/>
              <w:rPr>
                <w:sz w:val="20"/>
              </w:rPr>
            </w:pPr>
            <w:r>
              <w:rPr>
                <w:sz w:val="20"/>
              </w:rPr>
              <w:t>-------</w:t>
            </w:r>
          </w:p>
        </w:tc>
        <w:tc>
          <w:tcPr>
            <w:tcW w:w="1575" w:type="dxa"/>
            <w:tcBorders>
              <w:top w:val="nil"/>
              <w:bottom w:val="nil"/>
            </w:tcBorders>
          </w:tcPr>
          <w:p>
            <w:pPr>
              <w:pStyle w:val="TableParagraph"/>
              <w:tabs>
                <w:tab w:pos="1242" w:val="left" w:leader="none"/>
              </w:tabs>
              <w:spacing w:line="211" w:lineRule="exact"/>
              <w:ind w:left="105"/>
              <w:rPr>
                <w:sz w:val="20"/>
              </w:rPr>
            </w:pPr>
            <w:r>
              <w:rPr>
                <w:sz w:val="20"/>
              </w:rPr>
              <w:t>relativas</w:t>
              <w:tab/>
              <w:t>de</w:t>
            </w:r>
          </w:p>
        </w:tc>
      </w:tr>
      <w:tr>
        <w:trPr>
          <w:trHeight w:val="233" w:hRule="exact"/>
        </w:trPr>
        <w:tc>
          <w:tcPr>
            <w:tcW w:w="1388" w:type="dxa"/>
            <w:tcBorders>
              <w:top w:val="nil"/>
              <w:bottom w:val="nil"/>
            </w:tcBorders>
          </w:tcPr>
          <w:p>
            <w:pPr>
              <w:pStyle w:val="TableParagraph"/>
              <w:spacing w:line="234" w:lineRule="exact"/>
              <w:ind w:left="105"/>
              <w:rPr>
                <w:sz w:val="20"/>
              </w:rPr>
            </w:pPr>
            <w:r>
              <w:rPr>
                <w:sz w:val="20"/>
              </w:rPr>
              <w:t>Fc</w:t>
            </w:r>
            <w:r>
              <w:rPr>
                <w:rFonts w:ascii="Symbol" w:hAnsi="Symbol"/>
                <w:sz w:val="20"/>
              </w:rPr>
              <w:t></w:t>
            </w:r>
            <w:r>
              <w:rPr>
                <w:sz w:val="20"/>
              </w:rPr>
              <w:t>R,</w:t>
            </w:r>
          </w:p>
        </w:tc>
        <w:tc>
          <w:tcPr>
            <w:tcW w:w="1983" w:type="dxa"/>
            <w:tcBorders>
              <w:top w:val="nil"/>
              <w:bottom w:val="nil"/>
            </w:tcBorders>
          </w:tcPr>
          <w:p>
            <w:pPr>
              <w:pStyle w:val="TableParagraph"/>
              <w:tabs>
                <w:tab w:pos="1621" w:val="left" w:leader="none"/>
              </w:tabs>
              <w:spacing w:line="213" w:lineRule="exact"/>
              <w:ind w:left="9"/>
              <w:jc w:val="center"/>
              <w:rPr>
                <w:sz w:val="20"/>
              </w:rPr>
            </w:pPr>
            <w:r>
              <w:rPr>
                <w:sz w:val="20"/>
              </w:rPr>
              <w:t>descodifica</w:t>
              <w:tab/>
              <w:t>la</w:t>
            </w:r>
          </w:p>
        </w:tc>
        <w:tc>
          <w:tcPr>
            <w:tcW w:w="1704" w:type="dxa"/>
            <w:tcBorders>
              <w:top w:val="nil"/>
              <w:bottom w:val="nil"/>
            </w:tcBorders>
          </w:tcPr>
          <w:p>
            <w:pPr>
              <w:pStyle w:val="TableParagraph"/>
              <w:spacing w:line="227" w:lineRule="exact"/>
              <w:ind w:left="105"/>
              <w:rPr>
                <w:sz w:val="20"/>
              </w:rPr>
            </w:pPr>
            <w:r>
              <w:rPr>
                <w:sz w:val="20"/>
              </w:rPr>
              <w:t>superfamilia   de</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Style w:val="TableParagraph"/>
              <w:spacing w:line="213" w:lineRule="exact"/>
              <w:ind w:left="105" w:right="321"/>
              <w:rPr>
                <w:sz w:val="20"/>
              </w:rPr>
            </w:pPr>
            <w:r>
              <w:rPr>
                <w:sz w:val="20"/>
              </w:rPr>
              <w:t>expresión</w:t>
            </w:r>
          </w:p>
        </w:tc>
      </w:tr>
      <w:tr>
        <w:trPr>
          <w:trHeight w:val="689" w:hRule="exact"/>
        </w:trPr>
        <w:tc>
          <w:tcPr>
            <w:tcW w:w="1388" w:type="dxa"/>
            <w:tcBorders>
              <w:top w:val="nil"/>
              <w:bottom w:val="nil"/>
            </w:tcBorders>
          </w:tcPr>
          <w:p>
            <w:pPr>
              <w:pStyle w:val="TableParagraph"/>
              <w:spacing w:line="245" w:lineRule="exact"/>
              <w:ind w:left="105"/>
              <w:rPr>
                <w:sz w:val="20"/>
              </w:rPr>
            </w:pPr>
            <w:r>
              <w:rPr>
                <w:sz w:val="20"/>
              </w:rPr>
              <w:t>Fc</w:t>
            </w:r>
            <w:r>
              <w:rPr>
                <w:rFonts w:ascii="Symbol" w:hAnsi="Symbol"/>
                <w:sz w:val="20"/>
              </w:rPr>
              <w:t></w:t>
            </w:r>
            <w:r>
              <w:rPr>
                <w:sz w:val="20"/>
              </w:rPr>
              <w:t>RIIB,</w:t>
            </w:r>
          </w:p>
          <w:p>
            <w:pPr>
              <w:pStyle w:val="TableParagraph"/>
              <w:ind w:left="105"/>
              <w:rPr>
                <w:sz w:val="20"/>
              </w:rPr>
            </w:pPr>
            <w:r>
              <w:rPr>
                <w:sz w:val="20"/>
              </w:rPr>
              <w:t>Fc</w:t>
            </w:r>
            <w:r>
              <w:rPr>
                <w:rFonts w:ascii="Symbol" w:hAnsi="Symbol"/>
                <w:sz w:val="20"/>
              </w:rPr>
              <w:t></w:t>
            </w:r>
            <w:r>
              <w:rPr>
                <w:sz w:val="20"/>
              </w:rPr>
              <w:t>R</w:t>
            </w:r>
          </w:p>
        </w:tc>
        <w:tc>
          <w:tcPr>
            <w:tcW w:w="1983" w:type="dxa"/>
            <w:tcBorders>
              <w:top w:val="nil"/>
              <w:bottom w:val="nil"/>
            </w:tcBorders>
          </w:tcPr>
          <w:p>
            <w:pPr>
              <w:pStyle w:val="TableParagraph"/>
              <w:spacing w:line="211" w:lineRule="exact"/>
              <w:ind w:left="105" w:right="482"/>
              <w:rPr>
                <w:sz w:val="20"/>
              </w:rPr>
            </w:pPr>
            <w:r>
              <w:rPr>
                <w:sz w:val="20"/>
              </w:rPr>
              <w:t>información</w:t>
            </w:r>
          </w:p>
          <w:p>
            <w:pPr>
              <w:pStyle w:val="TableParagraph"/>
              <w:tabs>
                <w:tab w:pos="1238" w:val="left" w:leader="none"/>
                <w:tab w:pos="1651" w:val="left" w:leader="none"/>
                <w:tab w:pos="1718" w:val="left" w:leader="none"/>
              </w:tabs>
              <w:ind w:left="105" w:right="93"/>
              <w:rPr>
                <w:sz w:val="20"/>
              </w:rPr>
            </w:pPr>
            <w:r>
              <w:rPr>
                <w:sz w:val="20"/>
              </w:rPr>
              <w:t>contenida</w:t>
              <w:tab/>
              <w:t>en</w:t>
              <w:tab/>
              <w:tab/>
              <w:t>la secuencia</w:t>
              <w:tab/>
              <w:tab/>
              <w:t>de</w:t>
            </w:r>
          </w:p>
        </w:tc>
        <w:tc>
          <w:tcPr>
            <w:tcW w:w="1704" w:type="dxa"/>
            <w:tcBorders>
              <w:top w:val="nil"/>
              <w:bottom w:val="nil"/>
            </w:tcBorders>
          </w:tcPr>
          <w:p>
            <w:pPr>
              <w:pStyle w:val="TableParagraph"/>
              <w:ind w:left="105" w:right="99"/>
              <w:jc w:val="both"/>
              <w:rPr>
                <w:sz w:val="20"/>
              </w:rPr>
            </w:pPr>
            <w:r>
              <w:rPr>
                <w:sz w:val="20"/>
              </w:rPr>
              <w:t>genes de  las Ig´s y  codifica un receptor para</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Style w:val="TableParagraph"/>
              <w:spacing w:line="211" w:lineRule="exact"/>
              <w:ind w:left="105" w:right="321"/>
              <w:rPr>
                <w:sz w:val="20"/>
              </w:rPr>
            </w:pPr>
            <w:r>
              <w:rPr>
                <w:sz w:val="20"/>
              </w:rPr>
              <w:t>(Modelo</w:t>
            </w:r>
          </w:p>
          <w:p>
            <w:pPr>
              <w:pStyle w:val="TableParagraph"/>
              <w:ind w:left="105"/>
              <w:rPr>
                <w:sz w:val="20"/>
              </w:rPr>
            </w:pPr>
            <w:r>
              <w:rPr>
                <w:sz w:val="20"/>
              </w:rPr>
              <w:t>matemático de Pfaffl)</w:t>
            </w:r>
          </w:p>
        </w:tc>
      </w:tr>
      <w:tr>
        <w:trPr>
          <w:trHeight w:val="230" w:hRule="exact"/>
        </w:trPr>
        <w:tc>
          <w:tcPr>
            <w:tcW w:w="1388" w:type="dxa"/>
            <w:tcBorders>
              <w:top w:val="nil"/>
              <w:bottom w:val="nil"/>
            </w:tcBorders>
          </w:tcPr>
          <w:p>
            <w:pPr/>
          </w:p>
        </w:tc>
        <w:tc>
          <w:tcPr>
            <w:tcW w:w="1983" w:type="dxa"/>
            <w:tcBorders>
              <w:top w:val="nil"/>
              <w:bottom w:val="nil"/>
            </w:tcBorders>
          </w:tcPr>
          <w:p>
            <w:pPr>
              <w:pStyle w:val="TableParagraph"/>
              <w:spacing w:line="213" w:lineRule="exact"/>
              <w:ind w:left="10"/>
              <w:jc w:val="center"/>
              <w:rPr>
                <w:sz w:val="20"/>
              </w:rPr>
            </w:pPr>
            <w:r>
              <w:rPr>
                <w:sz w:val="20"/>
              </w:rPr>
              <w:t>nucleótidos   de  un</w:t>
            </w:r>
          </w:p>
        </w:tc>
        <w:tc>
          <w:tcPr>
            <w:tcW w:w="1704" w:type="dxa"/>
            <w:tcBorders>
              <w:top w:val="nil"/>
              <w:bottom w:val="nil"/>
            </w:tcBorders>
          </w:tcPr>
          <w:p>
            <w:pPr>
              <w:pStyle w:val="TableParagraph"/>
              <w:spacing w:line="227" w:lineRule="exact"/>
              <w:ind w:left="105"/>
              <w:rPr>
                <w:sz w:val="20"/>
              </w:rPr>
            </w:pPr>
            <w:r>
              <w:rPr>
                <w:sz w:val="20"/>
              </w:rPr>
              <w:t>la  región  Fc</w:t>
            </w:r>
            <w:r>
              <w:rPr>
                <w:spacing w:val="51"/>
                <w:sz w:val="20"/>
              </w:rPr>
              <w:t> </w:t>
            </w:r>
            <w:r>
              <w:rPr>
                <w:sz w:val="20"/>
              </w:rPr>
              <w:t>de</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28" w:hRule="exact"/>
        </w:trPr>
        <w:tc>
          <w:tcPr>
            <w:tcW w:w="1388" w:type="dxa"/>
            <w:tcBorders>
              <w:top w:val="nil"/>
              <w:bottom w:val="nil"/>
            </w:tcBorders>
          </w:tcPr>
          <w:p>
            <w:pPr/>
          </w:p>
        </w:tc>
        <w:tc>
          <w:tcPr>
            <w:tcW w:w="1983" w:type="dxa"/>
            <w:tcBorders>
              <w:top w:val="nil"/>
              <w:bottom w:val="nil"/>
            </w:tcBorders>
          </w:tcPr>
          <w:p>
            <w:pPr>
              <w:pStyle w:val="TableParagraph"/>
              <w:spacing w:line="213" w:lineRule="exact"/>
              <w:ind w:left="9"/>
              <w:jc w:val="center"/>
              <w:rPr>
                <w:sz w:val="20"/>
              </w:rPr>
            </w:pPr>
            <w:r>
              <w:rPr>
                <w:sz w:val="20"/>
              </w:rPr>
              <w:t>gen por medio de la</w:t>
            </w:r>
          </w:p>
        </w:tc>
        <w:tc>
          <w:tcPr>
            <w:tcW w:w="1704" w:type="dxa"/>
            <w:tcBorders>
              <w:top w:val="nil"/>
              <w:bottom w:val="nil"/>
            </w:tcBorders>
          </w:tcPr>
          <w:p>
            <w:pPr>
              <w:pStyle w:val="TableParagraph"/>
              <w:spacing w:line="227" w:lineRule="exact"/>
              <w:ind w:left="105" w:right="309"/>
              <w:rPr>
                <w:sz w:val="20"/>
              </w:rPr>
            </w:pPr>
            <w:r>
              <w:rPr>
                <w:sz w:val="20"/>
              </w:rPr>
              <w:t>la IgA.</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941" w:hRule="exact"/>
        </w:trPr>
        <w:tc>
          <w:tcPr>
            <w:tcW w:w="1388" w:type="dxa"/>
            <w:tcBorders>
              <w:top w:val="nil"/>
              <w:bottom w:val="nil"/>
            </w:tcBorders>
          </w:tcPr>
          <w:p>
            <w:pPr/>
          </w:p>
        </w:tc>
        <w:tc>
          <w:tcPr>
            <w:tcW w:w="1983" w:type="dxa"/>
            <w:tcBorders>
              <w:top w:val="nil"/>
              <w:bottom w:val="nil"/>
            </w:tcBorders>
          </w:tcPr>
          <w:p>
            <w:pPr>
              <w:pStyle w:val="TableParagraph"/>
              <w:tabs>
                <w:tab w:pos="1775" w:val="left" w:leader="none"/>
              </w:tabs>
              <w:spacing w:line="211" w:lineRule="exact"/>
              <w:ind w:left="105"/>
              <w:jc w:val="both"/>
              <w:rPr>
                <w:sz w:val="20"/>
              </w:rPr>
            </w:pPr>
            <w:r>
              <w:rPr>
                <w:sz w:val="20"/>
              </w:rPr>
              <w:t>trascripción</w:t>
              <w:tab/>
              <w:t>y</w:t>
            </w:r>
          </w:p>
          <w:p>
            <w:pPr>
              <w:pStyle w:val="TableParagraph"/>
              <w:spacing w:line="223" w:lineRule="auto" w:before="13"/>
              <w:ind w:left="105" w:right="93"/>
              <w:jc w:val="both"/>
              <w:rPr>
                <w:sz w:val="13"/>
              </w:rPr>
            </w:pPr>
            <w:r>
              <w:rPr>
                <w:sz w:val="20"/>
              </w:rPr>
              <w:t>traducción con  el fin de generar una proteína.</w:t>
            </w:r>
            <w:r>
              <w:rPr>
                <w:position w:val="10"/>
                <w:sz w:val="13"/>
              </w:rPr>
              <w:t>73,89</w:t>
            </w:r>
          </w:p>
        </w:tc>
        <w:tc>
          <w:tcPr>
            <w:tcW w:w="1704" w:type="dxa"/>
            <w:tcBorders>
              <w:top w:val="nil"/>
              <w:bottom w:val="nil"/>
            </w:tcBorders>
          </w:tcPr>
          <w:p>
            <w:pPr>
              <w:pStyle w:val="TableParagraph"/>
              <w:spacing w:line="237" w:lineRule="auto" w:before="7"/>
              <w:ind w:left="105" w:right="97"/>
              <w:jc w:val="both"/>
              <w:rPr>
                <w:sz w:val="20"/>
              </w:rPr>
            </w:pPr>
            <w:r>
              <w:rPr>
                <w:sz w:val="20"/>
              </w:rPr>
              <w:t>Fc</w:t>
            </w:r>
            <w:r>
              <w:rPr>
                <w:rFonts w:ascii="Symbol" w:hAnsi="Symbol"/>
                <w:sz w:val="20"/>
              </w:rPr>
              <w:t></w:t>
            </w:r>
            <w:r>
              <w:rPr>
                <w:sz w:val="20"/>
              </w:rPr>
              <w:t>RIIB es un gen que codifica el receptor de baja       afinidad</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0"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spacing w:line="220" w:lineRule="exact"/>
              <w:ind w:left="105" w:right="102"/>
              <w:rPr>
                <w:sz w:val="20"/>
              </w:rPr>
            </w:pPr>
            <w:r>
              <w:rPr>
                <w:sz w:val="20"/>
              </w:rPr>
              <w:t>para   la   región</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0"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tabs>
                <w:tab w:pos="724" w:val="left" w:leader="none"/>
                <w:tab w:pos="1333" w:val="left" w:leader="none"/>
              </w:tabs>
              <w:spacing w:line="220" w:lineRule="exact"/>
              <w:ind w:left="105"/>
              <w:rPr>
                <w:sz w:val="20"/>
              </w:rPr>
            </w:pPr>
            <w:r>
              <w:rPr>
                <w:sz w:val="20"/>
              </w:rPr>
              <w:t>Fc</w:t>
              <w:tab/>
              <w:t>de</w:t>
              <w:tab/>
              <w:t>los</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0"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tabs>
                <w:tab w:pos="1367" w:val="left" w:leader="none"/>
              </w:tabs>
              <w:spacing w:line="220" w:lineRule="exact"/>
              <w:ind w:left="105"/>
              <w:rPr>
                <w:sz w:val="20"/>
              </w:rPr>
            </w:pPr>
            <w:r>
              <w:rPr>
                <w:sz w:val="20"/>
              </w:rPr>
              <w:t>complejos</w:t>
              <w:tab/>
              <w:t>de</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9"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spacing w:line="220" w:lineRule="exact"/>
              <w:ind w:left="105" w:right="309"/>
              <w:rPr>
                <w:sz w:val="20"/>
              </w:rPr>
            </w:pPr>
            <w:r>
              <w:rPr>
                <w:sz w:val="20"/>
              </w:rPr>
              <w:t>IgG.</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9"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tabs>
                <w:tab w:pos="936" w:val="left" w:leader="none"/>
                <w:tab w:pos="1363" w:val="left" w:leader="none"/>
              </w:tabs>
              <w:spacing w:line="232" w:lineRule="exact"/>
              <w:ind w:left="105"/>
              <w:rPr>
                <w:sz w:val="20"/>
              </w:rPr>
            </w:pPr>
            <w:r>
              <w:rPr>
                <w:sz w:val="20"/>
              </w:rPr>
              <w:t>Fc</w:t>
            </w:r>
            <w:r>
              <w:rPr>
                <w:rFonts w:ascii="Symbol" w:hAnsi="Symbol"/>
                <w:sz w:val="20"/>
              </w:rPr>
              <w:t></w:t>
            </w:r>
            <w:r>
              <w:rPr>
                <w:sz w:val="20"/>
              </w:rPr>
              <w:t>R</w:t>
              <w:tab/>
              <w:t>es</w:t>
              <w:tab/>
              <w:t>un</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28"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spacing w:line="218" w:lineRule="exact"/>
              <w:ind w:left="105"/>
              <w:rPr>
                <w:sz w:val="20"/>
              </w:rPr>
            </w:pPr>
            <w:r>
              <w:rPr>
                <w:sz w:val="20"/>
              </w:rPr>
              <w:t>gen que codifica</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1"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spacing w:line="220" w:lineRule="exact"/>
              <w:ind w:left="105" w:right="102"/>
              <w:rPr>
                <w:sz w:val="20"/>
              </w:rPr>
            </w:pPr>
            <w:r>
              <w:rPr>
                <w:sz w:val="20"/>
              </w:rPr>
              <w:t>el   receptor   de</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0"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tabs>
                <w:tab w:pos="892" w:val="left" w:leader="none"/>
              </w:tabs>
              <w:spacing w:line="220" w:lineRule="exact"/>
              <w:ind w:left="105"/>
              <w:rPr>
                <w:sz w:val="20"/>
              </w:rPr>
            </w:pPr>
            <w:r>
              <w:rPr>
                <w:sz w:val="20"/>
              </w:rPr>
              <w:t>alta</w:t>
              <w:tab/>
              <w:t>afinidad</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0"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spacing w:line="220" w:lineRule="exact"/>
              <w:ind w:left="105" w:right="102"/>
              <w:rPr>
                <w:sz w:val="20"/>
              </w:rPr>
            </w:pPr>
            <w:r>
              <w:rPr>
                <w:sz w:val="20"/>
              </w:rPr>
              <w:t>para   la   región</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0"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tabs>
                <w:tab w:pos="724" w:val="left" w:leader="none"/>
                <w:tab w:pos="1334" w:val="left" w:leader="none"/>
              </w:tabs>
              <w:spacing w:line="220" w:lineRule="exact"/>
              <w:ind w:left="105"/>
              <w:rPr>
                <w:sz w:val="20"/>
              </w:rPr>
            </w:pPr>
            <w:r>
              <w:rPr>
                <w:sz w:val="20"/>
              </w:rPr>
              <w:t>Fc</w:t>
              <w:tab/>
              <w:t>de</w:t>
              <w:tab/>
              <w:t>los</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0" w:hRule="exact"/>
        </w:trPr>
        <w:tc>
          <w:tcPr>
            <w:tcW w:w="1388" w:type="dxa"/>
            <w:tcBorders>
              <w:top w:val="nil"/>
              <w:bottom w:val="nil"/>
            </w:tcBorders>
          </w:tcPr>
          <w:p>
            <w:pPr/>
          </w:p>
        </w:tc>
        <w:tc>
          <w:tcPr>
            <w:tcW w:w="1983" w:type="dxa"/>
            <w:tcBorders>
              <w:top w:val="nil"/>
              <w:bottom w:val="nil"/>
            </w:tcBorders>
          </w:tcPr>
          <w:p>
            <w:pPr/>
          </w:p>
        </w:tc>
        <w:tc>
          <w:tcPr>
            <w:tcW w:w="1704" w:type="dxa"/>
            <w:tcBorders>
              <w:top w:val="nil"/>
              <w:bottom w:val="nil"/>
            </w:tcBorders>
          </w:tcPr>
          <w:p>
            <w:pPr>
              <w:pStyle w:val="TableParagraph"/>
              <w:tabs>
                <w:tab w:pos="1367" w:val="left" w:leader="none"/>
              </w:tabs>
              <w:spacing w:line="220" w:lineRule="exact"/>
              <w:ind w:left="105"/>
              <w:rPr>
                <w:sz w:val="20"/>
              </w:rPr>
            </w:pPr>
            <w:r>
              <w:rPr>
                <w:sz w:val="20"/>
              </w:rPr>
              <w:t>complejos</w:t>
              <w:tab/>
              <w:t>de</w:t>
            </w:r>
          </w:p>
        </w:tc>
        <w:tc>
          <w:tcPr>
            <w:tcW w:w="1272" w:type="dxa"/>
            <w:tcBorders>
              <w:top w:val="nil"/>
              <w:bottom w:val="nil"/>
            </w:tcBorders>
          </w:tcPr>
          <w:p>
            <w:pPr/>
          </w:p>
        </w:tc>
        <w:tc>
          <w:tcPr>
            <w:tcW w:w="1138" w:type="dxa"/>
            <w:tcBorders>
              <w:top w:val="nil"/>
              <w:bottom w:val="nil"/>
            </w:tcBorders>
          </w:tcPr>
          <w:p>
            <w:pPr/>
          </w:p>
        </w:tc>
        <w:tc>
          <w:tcPr>
            <w:tcW w:w="1575" w:type="dxa"/>
            <w:tcBorders>
              <w:top w:val="nil"/>
              <w:bottom w:val="nil"/>
            </w:tcBorders>
          </w:tcPr>
          <w:p>
            <w:pPr/>
          </w:p>
        </w:tc>
      </w:tr>
      <w:tr>
        <w:trPr>
          <w:trHeight w:val="231" w:hRule="exact"/>
        </w:trPr>
        <w:tc>
          <w:tcPr>
            <w:tcW w:w="1388" w:type="dxa"/>
            <w:tcBorders>
              <w:top w:val="nil"/>
            </w:tcBorders>
          </w:tcPr>
          <w:p>
            <w:pPr/>
          </w:p>
        </w:tc>
        <w:tc>
          <w:tcPr>
            <w:tcW w:w="1983" w:type="dxa"/>
            <w:tcBorders>
              <w:top w:val="nil"/>
            </w:tcBorders>
          </w:tcPr>
          <w:p>
            <w:pPr/>
          </w:p>
        </w:tc>
        <w:tc>
          <w:tcPr>
            <w:tcW w:w="1704" w:type="dxa"/>
            <w:tcBorders>
              <w:top w:val="nil"/>
            </w:tcBorders>
          </w:tcPr>
          <w:p>
            <w:pPr>
              <w:pStyle w:val="TableParagraph"/>
              <w:spacing w:line="220" w:lineRule="exact"/>
              <w:ind w:left="105" w:right="309"/>
              <w:rPr>
                <w:sz w:val="20"/>
              </w:rPr>
            </w:pPr>
            <w:r>
              <w:rPr>
                <w:sz w:val="20"/>
              </w:rPr>
              <w:t>IgA e IgM.</w:t>
            </w:r>
          </w:p>
        </w:tc>
        <w:tc>
          <w:tcPr>
            <w:tcW w:w="1272" w:type="dxa"/>
            <w:tcBorders>
              <w:top w:val="nil"/>
            </w:tcBorders>
          </w:tcPr>
          <w:p>
            <w:pPr/>
          </w:p>
        </w:tc>
        <w:tc>
          <w:tcPr>
            <w:tcW w:w="1138" w:type="dxa"/>
            <w:tcBorders>
              <w:top w:val="nil"/>
            </w:tcBorders>
          </w:tcPr>
          <w:p>
            <w:pPr/>
          </w:p>
        </w:tc>
        <w:tc>
          <w:tcPr>
            <w:tcW w:w="1575" w:type="dxa"/>
            <w:tcBorders>
              <w:top w:val="nil"/>
            </w:tcBorders>
          </w:tcPr>
          <w:p>
            <w:pPr/>
          </w:p>
        </w:tc>
      </w:tr>
    </w:tbl>
    <w:p>
      <w:pPr>
        <w:pStyle w:val="BodyText"/>
        <w:rPr>
          <w:rFonts w:ascii="Times New Roman"/>
          <w:sz w:val="20"/>
        </w:rPr>
      </w:pPr>
    </w:p>
    <w:p>
      <w:pPr>
        <w:pStyle w:val="BodyText"/>
        <w:spacing w:before="5"/>
        <w:rPr>
          <w:rFonts w:ascii="Times New Roman"/>
          <w:sz w:val="17"/>
        </w:rPr>
      </w:pPr>
    </w:p>
    <w:p>
      <w:pPr>
        <w:pStyle w:val="Heading2"/>
        <w:numPr>
          <w:ilvl w:val="0"/>
          <w:numId w:val="19"/>
        </w:numPr>
        <w:tabs>
          <w:tab w:pos="486" w:val="left" w:leader="none"/>
        </w:tabs>
        <w:spacing w:line="240" w:lineRule="auto" w:before="69" w:after="0"/>
        <w:ind w:left="485" w:right="0" w:hanging="269"/>
        <w:jc w:val="left"/>
      </w:pPr>
      <w:bookmarkStart w:name="_TOC_250025" w:id="41"/>
      <w:bookmarkEnd w:id="41"/>
      <w:r>
        <w:rPr/>
        <w:t>MATERIALES</w:t>
      </w:r>
    </w:p>
    <w:p>
      <w:pPr>
        <w:pStyle w:val="BodyText"/>
        <w:spacing w:before="10"/>
        <w:rPr>
          <w:b/>
          <w:sz w:val="21"/>
        </w:rPr>
      </w:pPr>
    </w:p>
    <w:p>
      <w:pPr>
        <w:pStyle w:val="BodyText"/>
        <w:ind w:left="216" w:right="1246"/>
      </w:pPr>
      <w:r>
        <w:rPr/>
        <w:t>1 DIAGNOdent Pen, marca Kavo Dental.</w:t>
      </w:r>
    </w:p>
    <w:p>
      <w:pPr>
        <w:pStyle w:val="BodyText"/>
        <w:spacing w:line="364" w:lineRule="auto" w:before="137"/>
        <w:ind w:left="216" w:right="1246"/>
      </w:pPr>
      <w:r>
        <w:rPr/>
        <w:t>150 Vasos cónicos de plástico, blancos, No. 104-B, marca Envases Cuevas. 20 Espátulas Beale 1654, marca Arain.</w:t>
      </w:r>
    </w:p>
    <w:p>
      <w:pPr>
        <w:pStyle w:val="BodyText"/>
        <w:spacing w:line="360" w:lineRule="auto"/>
        <w:ind w:left="216" w:right="2086"/>
      </w:pPr>
      <w:r>
        <w:rPr/>
        <w:t>150 cepillos para estudio citológico, desechable, marca Lanceta HG. 1 Hielera de UniCel mediana.</w:t>
      </w:r>
    </w:p>
    <w:p>
      <w:pPr>
        <w:pStyle w:val="ListParagraph"/>
        <w:numPr>
          <w:ilvl w:val="0"/>
          <w:numId w:val="28"/>
        </w:numPr>
        <w:tabs>
          <w:tab w:pos="418" w:val="left" w:leader="none"/>
        </w:tabs>
        <w:spacing w:line="362" w:lineRule="auto" w:before="3" w:after="0"/>
        <w:ind w:left="216" w:right="6625" w:firstLine="0"/>
        <w:jc w:val="left"/>
        <w:rPr>
          <w:sz w:val="24"/>
        </w:rPr>
      </w:pPr>
      <w:r>
        <w:rPr>
          <w:sz w:val="24"/>
        </w:rPr>
        <w:t>Hielera de UniCel chica. Hielo.</w:t>
      </w:r>
    </w:p>
    <w:p>
      <w:pPr>
        <w:pStyle w:val="BodyText"/>
        <w:ind w:left="216" w:right="1246"/>
      </w:pPr>
      <w:r>
        <w:rPr/>
        <w:t>Etanol 70°.</w:t>
      </w:r>
    </w:p>
    <w:p>
      <w:pPr>
        <w:pStyle w:val="BodyText"/>
        <w:spacing w:before="137"/>
        <w:ind w:left="216" w:right="1246"/>
      </w:pPr>
      <w:r>
        <w:rPr/>
        <w:t>Toallas de papel desechables.</w:t>
      </w:r>
    </w:p>
    <w:p>
      <w:pPr>
        <w:pStyle w:val="BodyText"/>
        <w:spacing w:line="362" w:lineRule="auto" w:before="137"/>
        <w:ind w:left="216" w:right="2153"/>
      </w:pPr>
      <w:r>
        <w:rPr/>
        <w:t>Agua molecular estéril y libre de RNasa o DNasa o agua inyectable. 1 Rollo de papel aluminio.</w:t>
      </w:r>
    </w:p>
    <w:p>
      <w:pPr>
        <w:pStyle w:val="ListParagraph"/>
        <w:numPr>
          <w:ilvl w:val="0"/>
          <w:numId w:val="28"/>
        </w:numPr>
        <w:tabs>
          <w:tab w:pos="418" w:val="left" w:leader="none"/>
        </w:tabs>
        <w:spacing w:line="240" w:lineRule="auto" w:before="0" w:after="0"/>
        <w:ind w:left="417" w:right="0" w:hanging="201"/>
        <w:jc w:val="left"/>
        <w:rPr>
          <w:sz w:val="24"/>
        </w:rPr>
      </w:pPr>
      <w:r>
        <w:rPr>
          <w:sz w:val="24"/>
        </w:rPr>
        <w:t>Gabinetes de bioseguridad LabGard ES UN-425 Clase II Tipo</w:t>
      </w:r>
      <w:r>
        <w:rPr>
          <w:spacing w:val="-28"/>
          <w:sz w:val="24"/>
        </w:rPr>
        <w:t> </w:t>
      </w:r>
      <w:r>
        <w:rPr>
          <w:sz w:val="24"/>
        </w:rPr>
        <w:t>A2.</w:t>
      </w:r>
    </w:p>
    <w:p>
      <w:pPr>
        <w:spacing w:after="0" w:line="240" w:lineRule="auto"/>
        <w:jc w:val="left"/>
        <w:rPr>
          <w:sz w:val="24"/>
        </w:rPr>
        <w:sectPr>
          <w:pgSz w:w="12240" w:h="15840"/>
          <w:pgMar w:header="726" w:footer="1031" w:top="1340" w:bottom="1220" w:left="1200" w:right="1420"/>
        </w:sectPr>
      </w:pPr>
    </w:p>
    <w:p>
      <w:pPr>
        <w:pStyle w:val="BodyText"/>
        <w:spacing w:before="3"/>
        <w:rPr>
          <w:sz w:val="23"/>
        </w:rPr>
      </w:pPr>
    </w:p>
    <w:p>
      <w:pPr>
        <w:pStyle w:val="BodyText"/>
        <w:spacing w:before="69"/>
        <w:ind w:left="196"/>
        <w:jc w:val="both"/>
      </w:pPr>
      <w:r>
        <w:rPr/>
        <w:t>1 MagNa Pure LC 2.0, marca Roche.</w:t>
      </w:r>
    </w:p>
    <w:p>
      <w:pPr>
        <w:pStyle w:val="BodyText"/>
        <w:spacing w:before="142"/>
        <w:ind w:left="196"/>
        <w:jc w:val="both"/>
      </w:pPr>
      <w:r>
        <w:rPr/>
        <w:t>1 Kit III MagNA Pure Lc RNA Isolation (Tissue), marca Roche.</w:t>
      </w:r>
    </w:p>
    <w:p>
      <w:pPr>
        <w:pStyle w:val="BodyText"/>
        <w:spacing w:line="360" w:lineRule="auto" w:before="137"/>
        <w:ind w:left="196" w:right="276"/>
        <w:jc w:val="both"/>
      </w:pPr>
      <w:r>
        <w:rPr/>
        <w:t>1 Bolsa de contenedores de reactivo grandes MagNa Pure LC, estéril y libre de RNasa o DNasa, color natural, marca Roche.</w:t>
      </w:r>
    </w:p>
    <w:p>
      <w:pPr>
        <w:pStyle w:val="BodyText"/>
        <w:spacing w:line="362" w:lineRule="auto" w:before="2"/>
        <w:ind w:left="196" w:right="279"/>
        <w:jc w:val="both"/>
      </w:pPr>
      <w:r>
        <w:rPr/>
        <w:t>1 Bolsa de contenedores de reactivo medianos MagNa Pure LC de 20 mL, estéril y libre de RNasa o DNasa, color natural, marca Roche.</w:t>
      </w:r>
    </w:p>
    <w:p>
      <w:pPr>
        <w:pStyle w:val="BodyText"/>
        <w:spacing w:line="360" w:lineRule="auto"/>
        <w:ind w:left="196" w:right="275"/>
        <w:jc w:val="both"/>
      </w:pPr>
      <w:r>
        <w:rPr/>
        <w:t>1 Bolsa de cartuchos de muestra MagNa Pure LC, estéril y libre de RNasa o DNasa, libre de ATP y de inhibidores de amplificación (RT-PCR, PCR), color natural, marca Roche.</w:t>
      </w:r>
    </w:p>
    <w:p>
      <w:pPr>
        <w:pStyle w:val="BodyText"/>
        <w:spacing w:line="360" w:lineRule="auto" w:before="8"/>
        <w:ind w:left="196" w:right="279"/>
        <w:jc w:val="both"/>
      </w:pPr>
      <w:r>
        <w:rPr/>
        <w:t>1 Bolsa de cartuchos de procesamiento MagNa Pure LC, estéril y libre de RNasa o DNasa, libre de inhibidores de amplificación (RT-PCR, PCR), color natural, marca Roche.</w:t>
      </w:r>
    </w:p>
    <w:p>
      <w:pPr>
        <w:pStyle w:val="BodyText"/>
        <w:spacing w:line="362" w:lineRule="auto" w:before="3"/>
        <w:ind w:left="196" w:right="277"/>
        <w:jc w:val="both"/>
      </w:pPr>
      <w:r>
        <w:rPr/>
        <w:t>1 Caja de sellos de cartucho MagNa Pure LC, estéril y libre de RNasa o DNasa, libre de inhibidores de amplificación (RT-PCR, PCR), color natural, marca Roche.</w:t>
      </w:r>
    </w:p>
    <w:p>
      <w:pPr>
        <w:pStyle w:val="BodyText"/>
        <w:spacing w:line="360" w:lineRule="auto"/>
        <w:ind w:left="196" w:right="274"/>
        <w:jc w:val="both"/>
      </w:pPr>
      <w:r>
        <w:rPr/>
        <w:t>1 Caja de bandejas de puntas grandes de reacción MagNa Pure LC, estériles y libres de RNasa o DNasa, libres de inhibidores de amplificación (RT-PCR, PCR), con filtro, color natural, marca Roche.</w:t>
      </w:r>
    </w:p>
    <w:p>
      <w:pPr>
        <w:pStyle w:val="ListParagraph"/>
        <w:numPr>
          <w:ilvl w:val="0"/>
          <w:numId w:val="29"/>
        </w:numPr>
        <w:tabs>
          <w:tab w:pos="436" w:val="left" w:leader="none"/>
        </w:tabs>
        <w:spacing w:line="360" w:lineRule="auto" w:before="7" w:after="0"/>
        <w:ind w:left="196" w:right="274" w:firstLine="0"/>
        <w:jc w:val="both"/>
        <w:rPr>
          <w:sz w:val="24"/>
        </w:rPr>
      </w:pPr>
      <w:r>
        <w:rPr>
          <w:sz w:val="24"/>
        </w:rPr>
        <w:t>Caja de bandejas de puntas pequeñas de reacción MagNa Pure LC, estériles y libres de RNasa o DNasa, libres de inhibidores de amplificación (RT-PCR, PCR), con filtro, color natural, marca</w:t>
      </w:r>
      <w:r>
        <w:rPr>
          <w:spacing w:val="-13"/>
          <w:sz w:val="24"/>
        </w:rPr>
        <w:t> </w:t>
      </w:r>
      <w:r>
        <w:rPr>
          <w:sz w:val="24"/>
        </w:rPr>
        <w:t>Roche.</w:t>
      </w:r>
    </w:p>
    <w:p>
      <w:pPr>
        <w:pStyle w:val="ListParagraph"/>
        <w:numPr>
          <w:ilvl w:val="0"/>
          <w:numId w:val="29"/>
        </w:numPr>
        <w:tabs>
          <w:tab w:pos="446" w:val="left" w:leader="none"/>
        </w:tabs>
        <w:spacing w:line="360" w:lineRule="auto" w:before="3" w:after="0"/>
        <w:ind w:left="196" w:right="281" w:firstLine="0"/>
        <w:jc w:val="both"/>
        <w:rPr>
          <w:sz w:val="24"/>
        </w:rPr>
      </w:pPr>
      <w:r>
        <w:rPr>
          <w:sz w:val="24"/>
        </w:rPr>
        <w:t>Cajas de tubos Gold PCR de 0.2 </w:t>
      </w:r>
      <w:r>
        <w:rPr>
          <w:spacing w:val="-3"/>
          <w:sz w:val="24"/>
        </w:rPr>
        <w:t>mL, </w:t>
      </w:r>
      <w:r>
        <w:rPr>
          <w:sz w:val="24"/>
        </w:rPr>
        <w:t>estéril y libre de RNasa o DNasa, color natural, de polipropileno, marca</w:t>
      </w:r>
      <w:r>
        <w:rPr>
          <w:spacing w:val="-17"/>
          <w:sz w:val="24"/>
        </w:rPr>
        <w:t> </w:t>
      </w:r>
      <w:r>
        <w:rPr>
          <w:sz w:val="24"/>
        </w:rPr>
        <w:t>Corning.</w:t>
      </w:r>
    </w:p>
    <w:p>
      <w:pPr>
        <w:pStyle w:val="BodyText"/>
        <w:spacing w:before="7"/>
        <w:ind w:left="196"/>
        <w:jc w:val="both"/>
      </w:pPr>
      <w:r>
        <w:rPr/>
        <w:t>1 NanoPhotometer Version 2.0, marca Implen.</w:t>
      </w:r>
    </w:p>
    <w:p>
      <w:pPr>
        <w:pStyle w:val="BodyText"/>
        <w:spacing w:line="360" w:lineRule="auto" w:before="137"/>
        <w:ind w:left="196" w:right="2774"/>
      </w:pPr>
      <w:r>
        <w:rPr/>
        <w:t>1 Block de papel para lente, marca VWR Scientific Products. 4 Kit High Capacity RNA-to-cDNA, marca Applied</w:t>
      </w:r>
      <w:r>
        <w:rPr>
          <w:spacing w:val="-20"/>
        </w:rPr>
        <w:t> </w:t>
      </w:r>
      <w:r>
        <w:rPr/>
        <w:t>Biosystems.</w:t>
      </w:r>
    </w:p>
    <w:p>
      <w:pPr>
        <w:pStyle w:val="BodyText"/>
        <w:spacing w:before="2"/>
        <w:ind w:left="196"/>
        <w:jc w:val="both"/>
      </w:pPr>
      <w:r>
        <w:rPr/>
        <w:t>1 TaqMan® Universal Master Mix II, marca Appied Biosystems.</w:t>
      </w:r>
    </w:p>
    <w:p>
      <w:pPr>
        <w:pStyle w:val="BodyText"/>
        <w:spacing w:line="362" w:lineRule="auto" w:before="140"/>
        <w:ind w:left="196" w:right="285"/>
        <w:jc w:val="both"/>
      </w:pPr>
      <w:r>
        <w:rPr/>
        <w:t>1 Ensayo Fc</w:t>
      </w:r>
      <w:r>
        <w:rPr>
          <w:rFonts w:ascii="Symbol" w:hAnsi="Symbol"/>
        </w:rPr>
        <w:t></w:t>
      </w:r>
      <w:r>
        <w:rPr/>
        <w:t>R (Hs00370197_m1) de 250 reacciones, colorante FAM, marca Applied Biosystems.</w:t>
      </w:r>
    </w:p>
    <w:p>
      <w:pPr>
        <w:pStyle w:val="BodyText"/>
        <w:spacing w:line="362" w:lineRule="auto"/>
        <w:ind w:left="196" w:right="279"/>
        <w:jc w:val="both"/>
      </w:pPr>
      <w:r>
        <w:rPr/>
        <w:t>1 Ensayo Fc</w:t>
      </w:r>
      <w:r>
        <w:rPr>
          <w:rFonts w:ascii="Symbol" w:hAnsi="Symbol"/>
        </w:rPr>
        <w:t></w:t>
      </w:r>
      <w:r>
        <w:rPr/>
        <w:t>R (Hs01049679_m1) de 250 reacciones, colorante FAM, marca Applied Biosystems.</w:t>
      </w:r>
    </w:p>
    <w:p>
      <w:pPr>
        <w:spacing w:after="0" w:line="362" w:lineRule="auto"/>
        <w:jc w:val="both"/>
        <w:sectPr>
          <w:pgSz w:w="12240" w:h="15840"/>
          <w:pgMar w:header="726" w:footer="1031" w:top="1340" w:bottom="1220" w:left="1220" w:right="1420"/>
        </w:sectPr>
      </w:pPr>
    </w:p>
    <w:p>
      <w:pPr>
        <w:pStyle w:val="BodyText"/>
        <w:spacing w:before="3"/>
      </w:pPr>
    </w:p>
    <w:p>
      <w:pPr>
        <w:pStyle w:val="BodyText"/>
        <w:spacing w:line="362" w:lineRule="auto" w:before="56"/>
        <w:ind w:left="196" w:right="538"/>
      </w:pPr>
      <w:r>
        <w:rPr/>
        <w:t>1 Ensayo Fc</w:t>
      </w:r>
      <w:r>
        <w:rPr>
          <w:rFonts w:ascii="Symbol" w:hAnsi="Symbol"/>
        </w:rPr>
        <w:t></w:t>
      </w:r>
      <w:r>
        <w:rPr/>
        <w:t>RIIB (Hs00269610_m1) de 250 reacciones, colorante FAM, marca Applied Biosystems.</w:t>
      </w:r>
    </w:p>
    <w:p>
      <w:pPr>
        <w:pStyle w:val="BodyText"/>
        <w:spacing w:line="360" w:lineRule="auto" w:before="5"/>
        <w:ind w:left="196"/>
      </w:pPr>
      <w:r>
        <w:rPr/>
        <w:t>1 Ensayo 18s (Hs99999901_s1) de 250 reacciones, colorante FAM, marca Applied Biosystems.</w:t>
      </w:r>
    </w:p>
    <w:p>
      <w:pPr>
        <w:pStyle w:val="BodyText"/>
        <w:spacing w:line="360" w:lineRule="auto" w:before="2"/>
        <w:ind w:left="196" w:right="3221"/>
      </w:pPr>
      <w:r>
        <w:rPr/>
        <w:t>cDNA Raji de varón humano, marca Applied Biosystems. 1 Microcentrífuga Minispin, marca Eppendorf.</w:t>
      </w:r>
    </w:p>
    <w:p>
      <w:pPr>
        <w:pStyle w:val="BodyText"/>
        <w:spacing w:before="2"/>
        <w:ind w:left="196"/>
        <w:jc w:val="both"/>
      </w:pPr>
      <w:r>
        <w:rPr/>
        <w:t>1 Termociclador Life Express, marca Bioer.</w:t>
      </w:r>
    </w:p>
    <w:p>
      <w:pPr>
        <w:pStyle w:val="BodyText"/>
        <w:spacing w:line="360" w:lineRule="auto" w:before="141"/>
        <w:ind w:left="196" w:right="538"/>
      </w:pPr>
      <w:r>
        <w:rPr/>
        <w:t>4 Cajas de 20 placas de reacción con 96 pocillos MicroAmp® Fast, de 0.1mL, con código de barras, marca Applied Biosystems.</w:t>
      </w:r>
    </w:p>
    <w:p>
      <w:pPr>
        <w:pStyle w:val="BodyText"/>
        <w:spacing w:line="360" w:lineRule="auto" w:before="3"/>
        <w:ind w:left="196"/>
      </w:pPr>
      <w:r>
        <w:rPr/>
        <w:t>1 Caja de cubiertas adhesivas ópticas para placa de reacción, transparente, marca Applied Biosystems.</w:t>
      </w:r>
    </w:p>
    <w:p>
      <w:pPr>
        <w:pStyle w:val="BodyText"/>
        <w:spacing w:line="357" w:lineRule="auto" w:before="7"/>
        <w:ind w:left="196" w:right="2434"/>
      </w:pPr>
      <w:r>
        <w:rPr/>
        <w:t>1 Sistema 7500 PCR en tiempo real, marca Applied Biosystems. 1 Pipeta de 1-10 </w:t>
      </w:r>
      <w:r>
        <w:rPr>
          <w:rFonts w:ascii="Symbol" w:hAnsi="Symbol"/>
        </w:rPr>
        <w:t></w:t>
      </w:r>
      <w:r>
        <w:rPr/>
        <w:t>L, marca Rainin.</w:t>
      </w:r>
    </w:p>
    <w:p>
      <w:pPr>
        <w:pStyle w:val="BodyText"/>
        <w:spacing w:before="3"/>
        <w:ind w:left="196"/>
        <w:jc w:val="both"/>
      </w:pPr>
      <w:r>
        <w:rPr/>
        <w:t>1 Pipeta de 2-20 </w:t>
      </w:r>
      <w:r>
        <w:rPr>
          <w:rFonts w:ascii="Symbol" w:hAnsi="Symbol"/>
        </w:rPr>
        <w:t></w:t>
      </w:r>
      <w:r>
        <w:rPr/>
        <w:t>L, marca Rainin.</w:t>
      </w:r>
    </w:p>
    <w:p>
      <w:pPr>
        <w:pStyle w:val="BodyText"/>
        <w:spacing w:before="147"/>
        <w:ind w:left="196"/>
        <w:jc w:val="both"/>
      </w:pPr>
      <w:r>
        <w:rPr/>
        <w:t>1 Pipeta de 20-200 </w:t>
      </w:r>
      <w:r>
        <w:rPr>
          <w:rFonts w:ascii="Symbol" w:hAnsi="Symbol"/>
        </w:rPr>
        <w:t></w:t>
      </w:r>
      <w:r>
        <w:rPr/>
        <w:t>L, marca Rainin.</w:t>
      </w:r>
    </w:p>
    <w:p>
      <w:pPr>
        <w:pStyle w:val="ListParagraph"/>
        <w:numPr>
          <w:ilvl w:val="0"/>
          <w:numId w:val="30"/>
        </w:numPr>
        <w:tabs>
          <w:tab w:pos="398" w:val="left" w:leader="none"/>
        </w:tabs>
        <w:spacing w:line="357" w:lineRule="auto" w:before="147" w:after="0"/>
        <w:ind w:left="196" w:right="5149" w:firstLine="0"/>
        <w:jc w:val="both"/>
        <w:rPr>
          <w:sz w:val="24"/>
        </w:rPr>
      </w:pPr>
      <w:r>
        <w:rPr>
          <w:sz w:val="24"/>
        </w:rPr>
        <w:t>Pipeta de 500-5000 </w:t>
      </w:r>
      <w:r>
        <w:rPr>
          <w:rFonts w:ascii="Symbol" w:hAnsi="Symbol"/>
          <w:sz w:val="24"/>
        </w:rPr>
        <w:t></w:t>
      </w:r>
      <w:r>
        <w:rPr>
          <w:sz w:val="24"/>
        </w:rPr>
        <w:t>L, marca Rainin. 1 Pipeta de 1000 </w:t>
      </w:r>
      <w:r>
        <w:rPr>
          <w:rFonts w:ascii="Symbol" w:hAnsi="Symbol"/>
          <w:sz w:val="24"/>
        </w:rPr>
        <w:t></w:t>
      </w:r>
      <w:r>
        <w:rPr>
          <w:sz w:val="24"/>
        </w:rPr>
        <w:t>L, marca Eppendorf. 1 Pipeta de 100-1000 </w:t>
      </w:r>
      <w:r>
        <w:rPr>
          <w:rFonts w:ascii="Symbol" w:hAnsi="Symbol"/>
          <w:sz w:val="24"/>
        </w:rPr>
        <w:t></w:t>
      </w:r>
      <w:r>
        <w:rPr>
          <w:sz w:val="24"/>
        </w:rPr>
        <w:t>L, marca</w:t>
      </w:r>
      <w:r>
        <w:rPr>
          <w:spacing w:val="-11"/>
          <w:sz w:val="24"/>
        </w:rPr>
        <w:t> </w:t>
      </w:r>
      <w:r>
        <w:rPr>
          <w:sz w:val="24"/>
        </w:rPr>
        <w:t>Rainin.</w:t>
      </w:r>
    </w:p>
    <w:p>
      <w:pPr>
        <w:pStyle w:val="ListParagraph"/>
        <w:numPr>
          <w:ilvl w:val="0"/>
          <w:numId w:val="30"/>
        </w:numPr>
        <w:tabs>
          <w:tab w:pos="427" w:val="left" w:leader="none"/>
        </w:tabs>
        <w:spacing w:line="360" w:lineRule="auto" w:before="5" w:after="0"/>
        <w:ind w:left="196" w:right="285" w:firstLine="0"/>
        <w:jc w:val="left"/>
        <w:rPr>
          <w:sz w:val="24"/>
        </w:rPr>
      </w:pPr>
      <w:r>
        <w:rPr>
          <w:sz w:val="24"/>
        </w:rPr>
        <w:t>Cajas de tubos de microcentrífuga de 1.7 </w:t>
      </w:r>
      <w:r>
        <w:rPr>
          <w:spacing w:val="-3"/>
          <w:sz w:val="24"/>
        </w:rPr>
        <w:t>mL, </w:t>
      </w:r>
      <w:r>
        <w:rPr>
          <w:sz w:val="24"/>
        </w:rPr>
        <w:t>estéril y libre de RNasa y DNasa, color natural, marca</w:t>
      </w:r>
      <w:r>
        <w:rPr>
          <w:spacing w:val="-7"/>
          <w:sz w:val="24"/>
        </w:rPr>
        <w:t> </w:t>
      </w:r>
      <w:r>
        <w:rPr>
          <w:sz w:val="24"/>
        </w:rPr>
        <w:t>Costar.</w:t>
      </w:r>
    </w:p>
    <w:p>
      <w:pPr>
        <w:pStyle w:val="BodyText"/>
        <w:spacing w:line="362" w:lineRule="auto" w:before="5"/>
        <w:ind w:left="196" w:right="272"/>
      </w:pPr>
      <w:r>
        <w:rPr/>
        <w:t>2 Cajas de puntas de pipeta de microvolumen de 0.1-10 </w:t>
      </w:r>
      <w:r>
        <w:rPr>
          <w:rFonts w:ascii="Symbol" w:hAnsi="Symbol"/>
        </w:rPr>
        <w:t></w:t>
      </w:r>
      <w:r>
        <w:rPr/>
        <w:t>L, no pirogénico, estéril y libre de RNasa o DNasa, color natural, de polipropileno, marca Corning.</w:t>
      </w:r>
    </w:p>
    <w:p>
      <w:pPr>
        <w:pStyle w:val="BodyText"/>
        <w:spacing w:line="362" w:lineRule="auto"/>
        <w:ind w:left="196" w:right="538"/>
      </w:pPr>
      <w:r>
        <w:rPr/>
        <w:t>2 Cajas de puntas de pipeta de 100-1000 </w:t>
      </w:r>
      <w:r>
        <w:rPr>
          <w:rFonts w:ascii="Symbol" w:hAnsi="Symbol"/>
        </w:rPr>
        <w:t></w:t>
      </w:r>
      <w:r>
        <w:rPr/>
        <w:t>L ajustable universal con filtro, estéril y libre de RNasa o DNasa, color azul, de polipropileno, marca Corning.</w:t>
      </w:r>
    </w:p>
    <w:p>
      <w:pPr>
        <w:pStyle w:val="BodyText"/>
        <w:spacing w:line="362" w:lineRule="auto"/>
        <w:ind w:left="196" w:right="272"/>
      </w:pPr>
      <w:r>
        <w:rPr/>
        <w:t>2 Cajas de puntas de pipeta de 1-200 </w:t>
      </w:r>
      <w:r>
        <w:rPr>
          <w:rFonts w:ascii="Symbol" w:hAnsi="Symbol"/>
        </w:rPr>
        <w:t></w:t>
      </w:r>
      <w:r>
        <w:rPr/>
        <w:t>L ajustable universal, con filtro, estéril y libre de RNasa o DNasa, color natural, de polipropileno, marca Corning.</w:t>
      </w:r>
    </w:p>
    <w:p>
      <w:pPr>
        <w:pStyle w:val="BodyText"/>
        <w:spacing w:line="362" w:lineRule="auto"/>
        <w:ind w:left="196"/>
      </w:pPr>
      <w:r>
        <w:rPr/>
        <w:t>2 Caja de puntas de pipeta con filtro de 1000-5000 </w:t>
      </w:r>
      <w:r>
        <w:rPr>
          <w:rFonts w:ascii="Symbol" w:hAnsi="Symbol"/>
        </w:rPr>
        <w:t></w:t>
      </w:r>
      <w:r>
        <w:rPr/>
        <w:t>L estéril, pirógena, color natural, marca Eppendorf.</w:t>
      </w:r>
    </w:p>
    <w:p>
      <w:pPr>
        <w:pStyle w:val="BodyText"/>
        <w:ind w:left="196"/>
        <w:jc w:val="both"/>
      </w:pPr>
      <w:r>
        <w:rPr/>
        <w:t>1 Refrigerador WT6007D, marca Whirpool.</w:t>
      </w:r>
    </w:p>
    <w:p>
      <w:pPr>
        <w:pStyle w:val="BodyText"/>
        <w:spacing w:before="136"/>
        <w:ind w:left="196"/>
        <w:jc w:val="both"/>
      </w:pPr>
      <w:r>
        <w:rPr/>
        <w:t>1 Refrigerador VRD18 / VRD14, marca Torrey.</w:t>
      </w:r>
    </w:p>
    <w:p>
      <w:pPr>
        <w:spacing w:after="0"/>
        <w:jc w:val="both"/>
        <w:sectPr>
          <w:pgSz w:w="12240" w:h="15840"/>
          <w:pgMar w:header="726" w:footer="1031" w:top="1340" w:bottom="1220" w:left="1220" w:right="1420"/>
        </w:sectPr>
      </w:pPr>
    </w:p>
    <w:p>
      <w:pPr>
        <w:pStyle w:val="BodyText"/>
        <w:spacing w:before="3"/>
        <w:rPr>
          <w:sz w:val="23"/>
        </w:rPr>
      </w:pPr>
    </w:p>
    <w:p>
      <w:pPr>
        <w:pStyle w:val="ListParagraph"/>
        <w:numPr>
          <w:ilvl w:val="0"/>
          <w:numId w:val="31"/>
        </w:numPr>
        <w:tabs>
          <w:tab w:pos="468" w:val="left" w:leader="none"/>
        </w:tabs>
        <w:spacing w:line="364" w:lineRule="auto" w:before="69" w:after="0"/>
        <w:ind w:left="256" w:right="2890" w:firstLine="0"/>
        <w:jc w:val="left"/>
        <w:rPr>
          <w:sz w:val="24"/>
        </w:rPr>
      </w:pPr>
      <w:r>
        <w:rPr>
          <w:sz w:val="24"/>
        </w:rPr>
        <w:t>Congelador vertical Revco PLUS, marca Thermo Scientiﬁc. 1 SBS100 Select Vortexer, marca Select</w:t>
      </w:r>
      <w:r>
        <w:rPr>
          <w:spacing w:val="-20"/>
          <w:sz w:val="24"/>
        </w:rPr>
        <w:t> </w:t>
      </w:r>
      <w:r>
        <w:rPr>
          <w:sz w:val="24"/>
        </w:rPr>
        <w:t>BioProduct.</w:t>
      </w:r>
    </w:p>
    <w:p>
      <w:pPr>
        <w:pStyle w:val="ListParagraph"/>
        <w:numPr>
          <w:ilvl w:val="0"/>
          <w:numId w:val="31"/>
        </w:numPr>
        <w:tabs>
          <w:tab w:pos="459" w:val="left" w:leader="none"/>
        </w:tabs>
        <w:spacing w:line="360" w:lineRule="auto" w:before="0" w:after="0"/>
        <w:ind w:left="256" w:right="1854" w:firstLine="0"/>
        <w:jc w:val="left"/>
        <w:rPr>
          <w:sz w:val="24"/>
        </w:rPr>
      </w:pPr>
      <w:r>
        <w:rPr>
          <w:sz w:val="24"/>
        </w:rPr>
        <w:t>Paquetes de bolsas plásticas para desechos plásticos de</w:t>
      </w:r>
      <w:r>
        <w:rPr>
          <w:spacing w:val="-27"/>
          <w:sz w:val="24"/>
        </w:rPr>
        <w:t> </w:t>
      </w:r>
      <w:r>
        <w:rPr>
          <w:sz w:val="24"/>
        </w:rPr>
        <w:t>laboratorio. 1 Paquete de bolsas</w:t>
      </w:r>
      <w:r>
        <w:rPr>
          <w:spacing w:val="-8"/>
          <w:sz w:val="24"/>
        </w:rPr>
        <w:t> </w:t>
      </w:r>
      <w:r>
        <w:rPr>
          <w:sz w:val="24"/>
        </w:rPr>
        <w:t>RPBI.</w:t>
      </w:r>
    </w:p>
    <w:p>
      <w:pPr>
        <w:pStyle w:val="BodyText"/>
        <w:spacing w:before="8"/>
        <w:rPr>
          <w:sz w:val="35"/>
        </w:rPr>
      </w:pPr>
    </w:p>
    <w:p>
      <w:pPr>
        <w:pStyle w:val="Heading2"/>
        <w:numPr>
          <w:ilvl w:val="0"/>
          <w:numId w:val="19"/>
        </w:numPr>
        <w:tabs>
          <w:tab w:pos="526" w:val="left" w:leader="none"/>
        </w:tabs>
        <w:spacing w:line="240" w:lineRule="auto" w:before="0" w:after="0"/>
        <w:ind w:left="525" w:right="0" w:hanging="269"/>
        <w:jc w:val="both"/>
      </w:pPr>
      <w:bookmarkStart w:name="_TOC_250024" w:id="42"/>
      <w:bookmarkEnd w:id="42"/>
      <w:r>
        <w:rPr/>
        <w:t>MÉTODO</w:t>
      </w:r>
    </w:p>
    <w:p>
      <w:pPr>
        <w:pStyle w:val="BodyText"/>
        <w:spacing w:before="7"/>
        <w:rPr>
          <w:b/>
          <w:sz w:val="20"/>
        </w:rPr>
      </w:pPr>
    </w:p>
    <w:p>
      <w:pPr>
        <w:pStyle w:val="Heading2"/>
        <w:numPr>
          <w:ilvl w:val="1"/>
          <w:numId w:val="19"/>
        </w:numPr>
        <w:tabs>
          <w:tab w:pos="660" w:val="left" w:leader="none"/>
        </w:tabs>
        <w:spacing w:line="240" w:lineRule="auto" w:before="0" w:after="0"/>
        <w:ind w:left="659" w:right="0" w:hanging="403"/>
        <w:jc w:val="both"/>
      </w:pPr>
      <w:bookmarkStart w:name="_TOC_250023" w:id="43"/>
      <w:r>
        <w:rPr/>
        <w:t>Procedimiento de Recolección de</w:t>
      </w:r>
      <w:r>
        <w:rPr>
          <w:spacing w:val="-22"/>
        </w:rPr>
        <w:t> </w:t>
      </w:r>
      <w:bookmarkEnd w:id="43"/>
      <w:r>
        <w:rPr/>
        <w:t>Datos</w:t>
      </w:r>
    </w:p>
    <w:p>
      <w:pPr>
        <w:pStyle w:val="BodyText"/>
        <w:spacing w:before="3"/>
        <w:rPr>
          <w:b/>
          <w:sz w:val="30"/>
        </w:rPr>
      </w:pPr>
    </w:p>
    <w:p>
      <w:pPr>
        <w:pStyle w:val="BodyText"/>
        <w:spacing w:line="360" w:lineRule="auto"/>
        <w:ind w:left="256" w:right="275"/>
        <w:jc w:val="both"/>
      </w:pPr>
      <w:r>
        <w:rPr/>
        <w:t>Después de explicar a los pacientes en qué consistiría el estudio, se le otorgó un consentimiento informado (Anexo 1) para aprobar </w:t>
      </w:r>
      <w:r>
        <w:rPr>
          <w:spacing w:val="-3"/>
        </w:rPr>
        <w:t>su </w:t>
      </w:r>
      <w:r>
        <w:rPr/>
        <w:t>participación en este; en caso de los menores de edad también se requirió el consentimiento del padre o tutor responsable (Figura 1). Ante la aceptación del paciente, </w:t>
      </w:r>
      <w:r>
        <w:rPr>
          <w:spacing w:val="-3"/>
        </w:rPr>
        <w:t>se </w:t>
      </w:r>
      <w:r>
        <w:rPr/>
        <w:t>procedió a llenar el instrumento de recolección de datos diseñado para tal fin (Anexo 2). En primer término se aplicó una ficha de identificación, se llenó el apartado de características sociodemográficas, hábitos higiénicos y dietéticos (Figura</w:t>
      </w:r>
      <w:r>
        <w:rPr>
          <w:spacing w:val="-21"/>
        </w:rPr>
        <w:t> </w:t>
      </w:r>
      <w:r>
        <w:rPr/>
        <w:t>2).</w:t>
      </w:r>
    </w:p>
    <w:p>
      <w:pPr>
        <w:pStyle w:val="BodyText"/>
        <w:spacing w:before="2"/>
        <w:rPr>
          <w:sz w:val="16"/>
        </w:rPr>
      </w:pPr>
      <w:r>
        <w:rPr/>
        <w:drawing>
          <wp:anchor distT="0" distB="0" distL="0" distR="0" allowOverlap="1" layoutInCell="1" locked="0" behindDoc="0" simplePos="0" relativeHeight="1408">
            <wp:simplePos x="0" y="0"/>
            <wp:positionH relativeFrom="page">
              <wp:posOffset>804672</wp:posOffset>
            </wp:positionH>
            <wp:positionV relativeFrom="paragraph">
              <wp:posOffset>143178</wp:posOffset>
            </wp:positionV>
            <wp:extent cx="2868167" cy="1965960"/>
            <wp:effectExtent l="0" t="0" r="0" b="0"/>
            <wp:wrapTopAndBottom/>
            <wp:docPr id="29" name="image22.png" descr=""/>
            <wp:cNvGraphicFramePr>
              <a:graphicFrameLocks noChangeAspect="1"/>
            </wp:cNvGraphicFramePr>
            <a:graphic>
              <a:graphicData uri="http://schemas.openxmlformats.org/drawingml/2006/picture">
                <pic:pic>
                  <pic:nvPicPr>
                    <pic:cNvPr id="30" name="image22.png"/>
                    <pic:cNvPicPr/>
                  </pic:nvPicPr>
                  <pic:blipFill>
                    <a:blip r:embed="rId43" cstate="print"/>
                    <a:stretch>
                      <a:fillRect/>
                    </a:stretch>
                  </pic:blipFill>
                  <pic:spPr>
                    <a:xfrm>
                      <a:off x="0" y="0"/>
                      <a:ext cx="2868167" cy="1965960"/>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3837432</wp:posOffset>
            </wp:positionH>
            <wp:positionV relativeFrom="paragraph">
              <wp:posOffset>143178</wp:posOffset>
            </wp:positionV>
            <wp:extent cx="2868167" cy="1965960"/>
            <wp:effectExtent l="0" t="0" r="0" b="0"/>
            <wp:wrapTopAndBottom/>
            <wp:docPr id="31" name="image23.png" descr=""/>
            <wp:cNvGraphicFramePr>
              <a:graphicFrameLocks noChangeAspect="1"/>
            </wp:cNvGraphicFramePr>
            <a:graphic>
              <a:graphicData uri="http://schemas.openxmlformats.org/drawingml/2006/picture">
                <pic:pic>
                  <pic:nvPicPr>
                    <pic:cNvPr id="32" name="image23.png"/>
                    <pic:cNvPicPr/>
                  </pic:nvPicPr>
                  <pic:blipFill>
                    <a:blip r:embed="rId44" cstate="print"/>
                    <a:stretch>
                      <a:fillRect/>
                    </a:stretch>
                  </pic:blipFill>
                  <pic:spPr>
                    <a:xfrm>
                      <a:off x="0" y="0"/>
                      <a:ext cx="2868167" cy="1965960"/>
                    </a:xfrm>
                    <a:prstGeom prst="rect">
                      <a:avLst/>
                    </a:prstGeom>
                  </pic:spPr>
                </pic:pic>
              </a:graphicData>
            </a:graphic>
          </wp:anchor>
        </w:drawing>
      </w:r>
    </w:p>
    <w:p>
      <w:pPr>
        <w:pStyle w:val="BodyText"/>
        <w:spacing w:before="8"/>
        <w:rPr>
          <w:sz w:val="3"/>
        </w:rPr>
      </w:pPr>
    </w:p>
    <w:p>
      <w:pPr>
        <w:tabs>
          <w:tab w:pos="5060" w:val="left" w:leader="none"/>
        </w:tabs>
        <w:spacing w:line="240" w:lineRule="auto"/>
        <w:ind w:left="284" w:right="0" w:firstLine="0"/>
        <w:rPr>
          <w:sz w:val="20"/>
        </w:rPr>
      </w:pPr>
      <w:r>
        <w:rPr>
          <w:position w:val="2"/>
          <w:sz w:val="20"/>
        </w:rPr>
        <w:pict>
          <v:group style="width:211.2pt;height:23.05pt;mso-position-horizontal-relative:char;mso-position-vertical-relative:line" coordorigin="0,0" coordsize="4224,461">
            <v:shape style="position:absolute;left:0;top:0;width:4224;height:461" type="#_x0000_t75" stroked="false">
              <v:imagedata r:id="rId45" o:title=""/>
            </v:shape>
            <v:shape style="position:absolute;left:0;top:0;width:4224;height:461" type="#_x0000_t202" filled="false" stroked="false">
              <v:textbox inset="0,0,0,0">
                <w:txbxContent>
                  <w:p>
                    <w:pPr>
                      <w:spacing w:line="223" w:lineRule="exact" w:before="0"/>
                      <w:ind w:left="446" w:right="447" w:firstLine="0"/>
                      <w:jc w:val="center"/>
                      <w:rPr>
                        <w:i/>
                        <w:sz w:val="20"/>
                      </w:rPr>
                    </w:pPr>
                    <w:r>
                      <w:rPr>
                        <w:b/>
                        <w:sz w:val="20"/>
                      </w:rPr>
                      <w:t>Figura 1. </w:t>
                    </w:r>
                    <w:r>
                      <w:rPr>
                        <w:i/>
                        <w:sz w:val="20"/>
                      </w:rPr>
                      <w:t>Consentimiento Informado.</w:t>
                    </w:r>
                  </w:p>
                  <w:p>
                    <w:pPr>
                      <w:spacing w:before="5"/>
                      <w:ind w:left="446" w:right="436" w:firstLine="0"/>
                      <w:jc w:val="center"/>
                      <w:rPr>
                        <w:sz w:val="20"/>
                      </w:rPr>
                    </w:pPr>
                    <w:r>
                      <w:rPr>
                        <w:sz w:val="20"/>
                      </w:rPr>
                      <w:t>Fuente directa</w:t>
                    </w:r>
                  </w:p>
                </w:txbxContent>
              </v:textbox>
              <w10:wrap type="none"/>
            </v:shape>
          </v:group>
        </w:pict>
      </w:r>
      <w:r>
        <w:rPr>
          <w:position w:val="2"/>
          <w:sz w:val="20"/>
        </w:rPr>
      </w:r>
      <w:r>
        <w:rPr>
          <w:position w:val="2"/>
          <w:sz w:val="20"/>
        </w:rPr>
        <w:tab/>
      </w:r>
      <w:r>
        <w:rPr>
          <w:sz w:val="20"/>
        </w:rPr>
        <w:pict>
          <v:group style="width:211pt;height:23.05pt;mso-position-horizontal-relative:char;mso-position-vertical-relative:line" coordorigin="0,0" coordsize="4220,461">
            <v:shape style="position:absolute;left:0;top:0;width:4219;height:461" type="#_x0000_t75" stroked="false">
              <v:imagedata r:id="rId45" o:title=""/>
            </v:shape>
            <v:shape style="position:absolute;left:0;top:0;width:4220;height:461" type="#_x0000_t202" filled="false" stroked="false">
              <v:textbox inset="0,0,0,0">
                <w:txbxContent>
                  <w:p>
                    <w:pPr>
                      <w:spacing w:line="224" w:lineRule="exact" w:before="0"/>
                      <w:ind w:left="632" w:right="624" w:firstLine="0"/>
                      <w:jc w:val="center"/>
                      <w:rPr>
                        <w:i/>
                        <w:sz w:val="20"/>
                      </w:rPr>
                    </w:pPr>
                    <w:r>
                      <w:rPr>
                        <w:b/>
                        <w:sz w:val="20"/>
                      </w:rPr>
                      <w:t>Figura 2. </w:t>
                    </w:r>
                    <w:r>
                      <w:rPr>
                        <w:i/>
                        <w:sz w:val="20"/>
                      </w:rPr>
                      <w:t>Ficha de identificación.</w:t>
                    </w:r>
                  </w:p>
                  <w:p>
                    <w:pPr>
                      <w:spacing w:before="5"/>
                      <w:ind w:left="632" w:right="616" w:firstLine="0"/>
                      <w:jc w:val="center"/>
                      <w:rPr>
                        <w:sz w:val="20"/>
                      </w:rPr>
                    </w:pPr>
                    <w:r>
                      <w:rPr>
                        <w:sz w:val="20"/>
                      </w:rPr>
                      <w:t>Fuente directa</w:t>
                    </w:r>
                  </w:p>
                </w:txbxContent>
              </v:textbox>
              <w10:wrap type="none"/>
            </v:shape>
          </v:group>
        </w:pict>
      </w:r>
      <w:r>
        <w:rPr>
          <w:sz w:val="20"/>
        </w:rPr>
      </w:r>
    </w:p>
    <w:p>
      <w:pPr>
        <w:pStyle w:val="BodyText"/>
      </w:pPr>
    </w:p>
    <w:p>
      <w:pPr>
        <w:pStyle w:val="BodyText"/>
      </w:pPr>
    </w:p>
    <w:p>
      <w:pPr>
        <w:pStyle w:val="Heading2"/>
        <w:numPr>
          <w:ilvl w:val="1"/>
          <w:numId w:val="19"/>
        </w:numPr>
        <w:tabs>
          <w:tab w:pos="659" w:val="left" w:leader="none"/>
        </w:tabs>
        <w:spacing w:line="240" w:lineRule="auto" w:before="167" w:after="0"/>
        <w:ind w:left="658" w:right="0" w:hanging="402"/>
        <w:jc w:val="both"/>
      </w:pPr>
      <w:bookmarkStart w:name="_TOC_250022" w:id="44"/>
      <w:r>
        <w:rPr/>
        <w:t>Diagnóstico de</w:t>
      </w:r>
      <w:r>
        <w:rPr>
          <w:spacing w:val="-9"/>
        </w:rPr>
        <w:t> </w:t>
      </w:r>
      <w:bookmarkEnd w:id="44"/>
      <w:r>
        <w:rPr/>
        <w:t>Caries</w:t>
      </w:r>
    </w:p>
    <w:p>
      <w:pPr>
        <w:pStyle w:val="BodyText"/>
        <w:spacing w:before="3"/>
        <w:rPr>
          <w:b/>
          <w:sz w:val="30"/>
        </w:rPr>
      </w:pPr>
    </w:p>
    <w:p>
      <w:pPr>
        <w:pStyle w:val="BodyText"/>
        <w:spacing w:line="360" w:lineRule="auto"/>
        <w:ind w:left="256" w:right="274"/>
        <w:jc w:val="both"/>
      </w:pPr>
      <w:r>
        <w:rPr/>
        <w:t>El diagnóstico de caries se realizó con el DIAGNOdent Pen (KaVo, Biberach, Alemania), de acuerdo con los valores del fabricante (Figura 3); el aparato se calibró al inicio del muestreo y entre cada paciente. Con la punta B del aparato se realizó   la</w:t>
      </w:r>
    </w:p>
    <w:p>
      <w:pPr>
        <w:spacing w:after="0" w:line="360" w:lineRule="auto"/>
        <w:jc w:val="both"/>
        <w:sectPr>
          <w:footerReference w:type="default" r:id="rId42"/>
          <w:pgSz w:w="12240" w:h="15840"/>
          <w:pgMar w:footer="1031" w:header="726" w:top="1340" w:bottom="1220" w:left="1160" w:right="1420"/>
        </w:sectPr>
      </w:pPr>
    </w:p>
    <w:p>
      <w:pPr>
        <w:pStyle w:val="BodyText"/>
        <w:spacing w:before="3"/>
        <w:rPr>
          <w:sz w:val="23"/>
        </w:rPr>
      </w:pPr>
    </w:p>
    <w:p>
      <w:pPr>
        <w:pStyle w:val="BodyText"/>
        <w:spacing w:line="362" w:lineRule="auto" w:before="69"/>
        <w:ind w:left="196" w:right="274"/>
        <w:jc w:val="both"/>
      </w:pPr>
      <w:r>
        <w:rPr/>
        <w:t>lectura de las superficies bucal, lingual y oclusal de todos los dientes (Figura 4), y se reportó en el instrumento de recolección de datos (Anexo 2), posteriormente se realizó un promedio de cada diente.</w:t>
      </w:r>
    </w:p>
    <w:p>
      <w:pPr>
        <w:pStyle w:val="BodyText"/>
      </w:pPr>
      <w:r>
        <w:rPr/>
        <w:drawing>
          <wp:anchor distT="0" distB="0" distL="0" distR="0" allowOverlap="1" layoutInCell="1" locked="0" behindDoc="0" simplePos="0" relativeHeight="1552">
            <wp:simplePos x="0" y="0"/>
            <wp:positionH relativeFrom="page">
              <wp:posOffset>880872</wp:posOffset>
            </wp:positionH>
            <wp:positionV relativeFrom="paragraph">
              <wp:posOffset>200276</wp:posOffset>
            </wp:positionV>
            <wp:extent cx="2859024" cy="1965960"/>
            <wp:effectExtent l="0" t="0" r="0" b="0"/>
            <wp:wrapTopAndBottom/>
            <wp:docPr id="33" name="image25.png" descr=""/>
            <wp:cNvGraphicFramePr>
              <a:graphicFrameLocks noChangeAspect="1"/>
            </wp:cNvGraphicFramePr>
            <a:graphic>
              <a:graphicData uri="http://schemas.openxmlformats.org/drawingml/2006/picture">
                <pic:pic>
                  <pic:nvPicPr>
                    <pic:cNvPr id="34" name="image25.png"/>
                    <pic:cNvPicPr/>
                  </pic:nvPicPr>
                  <pic:blipFill>
                    <a:blip r:embed="rId47" cstate="print"/>
                    <a:stretch>
                      <a:fillRect/>
                    </a:stretch>
                  </pic:blipFill>
                  <pic:spPr>
                    <a:xfrm>
                      <a:off x="0" y="0"/>
                      <a:ext cx="2859024" cy="1965960"/>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3806952</wp:posOffset>
            </wp:positionH>
            <wp:positionV relativeFrom="paragraph">
              <wp:posOffset>203324</wp:posOffset>
            </wp:positionV>
            <wp:extent cx="2818531" cy="1970531"/>
            <wp:effectExtent l="0" t="0" r="0" b="0"/>
            <wp:wrapTopAndBottom/>
            <wp:docPr id="35" name="image26.png" descr=""/>
            <wp:cNvGraphicFramePr>
              <a:graphicFrameLocks noChangeAspect="1"/>
            </wp:cNvGraphicFramePr>
            <a:graphic>
              <a:graphicData uri="http://schemas.openxmlformats.org/drawingml/2006/picture">
                <pic:pic>
                  <pic:nvPicPr>
                    <pic:cNvPr id="36" name="image26.png"/>
                    <pic:cNvPicPr/>
                  </pic:nvPicPr>
                  <pic:blipFill>
                    <a:blip r:embed="rId48" cstate="print"/>
                    <a:stretch>
                      <a:fillRect/>
                    </a:stretch>
                  </pic:blipFill>
                  <pic:spPr>
                    <a:xfrm>
                      <a:off x="0" y="0"/>
                      <a:ext cx="2818531" cy="1970531"/>
                    </a:xfrm>
                    <a:prstGeom prst="rect">
                      <a:avLst/>
                    </a:prstGeom>
                  </pic:spPr>
                </pic:pic>
              </a:graphicData>
            </a:graphic>
          </wp:anchor>
        </w:drawing>
      </w:r>
      <w:r>
        <w:rPr/>
        <w:pict>
          <v:group style="position:absolute;margin-left:70.800003pt;margin-top:184.249832pt;width:215.55pt;height:22.45pt;mso-position-horizontal-relative:page;mso-position-vertical-relative:paragraph;z-index:1624;mso-wrap-distance-left:0;mso-wrap-distance-right:0" coordorigin="1416,3685" coordsize="4311,449">
            <v:shape style="position:absolute;left:1416;top:3685;width:4310;height:442" type="#_x0000_t75" stroked="false">
              <v:imagedata r:id="rId49" o:title=""/>
            </v:shape>
            <v:shape style="position:absolute;left:1416;top:3685;width:4311;height:449" type="#_x0000_t202" filled="false" stroked="false">
              <v:textbox inset="0,0,0,0">
                <w:txbxContent>
                  <w:p>
                    <w:pPr>
                      <w:spacing w:line="222" w:lineRule="exact" w:before="0"/>
                      <w:ind w:left="867" w:right="868" w:firstLine="0"/>
                      <w:jc w:val="center"/>
                      <w:rPr>
                        <w:sz w:val="20"/>
                      </w:rPr>
                    </w:pPr>
                    <w:r>
                      <w:rPr>
                        <w:b/>
                        <w:sz w:val="20"/>
                      </w:rPr>
                      <w:t>Figura 3</w:t>
                    </w:r>
                    <w:r>
                      <w:rPr>
                        <w:sz w:val="20"/>
                      </w:rPr>
                      <w:t>. </w:t>
                    </w:r>
                    <w:r>
                      <w:rPr>
                        <w:i/>
                        <w:sz w:val="20"/>
                      </w:rPr>
                      <w:t>DIAGNOdent Pen</w:t>
                    </w:r>
                    <w:r>
                      <w:rPr>
                        <w:sz w:val="20"/>
                      </w:rPr>
                      <w:t>.</w:t>
                    </w:r>
                  </w:p>
                  <w:p>
                    <w:pPr>
                      <w:spacing w:line="226" w:lineRule="exact" w:before="1"/>
                      <w:ind w:left="867" w:right="868" w:firstLine="0"/>
                      <w:jc w:val="center"/>
                      <w:rPr>
                        <w:sz w:val="20"/>
                      </w:rPr>
                    </w:pPr>
                    <w:r>
                      <w:rPr>
                        <w:sz w:val="20"/>
                      </w:rPr>
                      <w:t>Fuente directa</w:t>
                    </w:r>
                  </w:p>
                </w:txbxContent>
              </v:textbox>
              <w10:wrap type="none"/>
            </v:shape>
            <w10:wrap type="topAndBottom"/>
          </v:group>
        </w:pict>
      </w:r>
      <w:r>
        <w:rPr/>
        <w:pict>
          <v:group style="position:absolute;margin-left:325.920013pt;margin-top:183.049835pt;width:189.85pt;height:22.45pt;mso-position-horizontal-relative:page;mso-position-vertical-relative:paragraph;z-index:1672;mso-wrap-distance-left:0;mso-wrap-distance-right:0" coordorigin="6518,3661" coordsize="3797,449">
            <v:shape style="position:absolute;left:6518;top:3661;width:3797;height:442" type="#_x0000_t75" stroked="false">
              <v:imagedata r:id="rId50" o:title=""/>
            </v:shape>
            <v:shape style="position:absolute;left:6518;top:3661;width:3797;height:449" type="#_x0000_t202" filled="false" stroked="false">
              <v:textbox inset="0,0,0,0">
                <w:txbxContent>
                  <w:p>
                    <w:pPr>
                      <w:spacing w:line="222" w:lineRule="exact" w:before="0"/>
                      <w:ind w:left="449" w:right="450" w:firstLine="0"/>
                      <w:jc w:val="center"/>
                      <w:rPr>
                        <w:i/>
                        <w:sz w:val="20"/>
                      </w:rPr>
                    </w:pPr>
                    <w:r>
                      <w:rPr>
                        <w:b/>
                        <w:sz w:val="20"/>
                      </w:rPr>
                      <w:t>Figura 4. </w:t>
                    </w:r>
                    <w:r>
                      <w:rPr>
                        <w:i/>
                        <w:sz w:val="20"/>
                      </w:rPr>
                      <w:t>Diagnóstico de caries.</w:t>
                    </w:r>
                  </w:p>
                  <w:p>
                    <w:pPr>
                      <w:spacing w:line="226" w:lineRule="exact" w:before="1"/>
                      <w:ind w:left="449" w:right="443" w:firstLine="0"/>
                      <w:jc w:val="center"/>
                      <w:rPr>
                        <w:sz w:val="20"/>
                      </w:rPr>
                    </w:pPr>
                    <w:r>
                      <w:rPr>
                        <w:sz w:val="20"/>
                      </w:rPr>
                      <w:t>Fuente directa</w:t>
                    </w:r>
                  </w:p>
                </w:txbxContent>
              </v:textbox>
              <w10:wrap type="none"/>
            </v:shape>
            <w10:wrap type="topAndBottom"/>
          </v:group>
        </w:pict>
      </w:r>
    </w:p>
    <w:p>
      <w:pPr>
        <w:pStyle w:val="BodyText"/>
        <w:spacing w:before="8"/>
        <w:rPr>
          <w:sz w:val="14"/>
        </w:rPr>
      </w:pPr>
    </w:p>
    <w:p>
      <w:pPr>
        <w:pStyle w:val="BodyText"/>
      </w:pPr>
    </w:p>
    <w:p>
      <w:pPr>
        <w:pStyle w:val="BodyText"/>
        <w:spacing w:before="3"/>
        <w:rPr>
          <w:sz w:val="20"/>
        </w:rPr>
      </w:pPr>
    </w:p>
    <w:p>
      <w:pPr>
        <w:pStyle w:val="Heading2"/>
        <w:numPr>
          <w:ilvl w:val="1"/>
          <w:numId w:val="19"/>
        </w:numPr>
        <w:tabs>
          <w:tab w:pos="547" w:val="left" w:leader="none"/>
        </w:tabs>
        <w:spacing w:line="240" w:lineRule="auto" w:before="0" w:after="0"/>
        <w:ind w:left="546" w:right="0" w:hanging="427"/>
        <w:jc w:val="both"/>
      </w:pPr>
      <w:bookmarkStart w:name="_TOC_250021" w:id="45"/>
      <w:r>
        <w:rPr/>
        <w:t>Obtención de la Muestra</w:t>
      </w:r>
      <w:r>
        <w:rPr>
          <w:spacing w:val="-15"/>
        </w:rPr>
        <w:t> </w:t>
      </w:r>
      <w:bookmarkEnd w:id="45"/>
      <w:r>
        <w:rPr/>
        <w:t>Salival</w:t>
      </w:r>
    </w:p>
    <w:p>
      <w:pPr>
        <w:pStyle w:val="BodyText"/>
        <w:spacing w:before="3"/>
        <w:rPr>
          <w:b/>
          <w:sz w:val="30"/>
        </w:rPr>
      </w:pPr>
    </w:p>
    <w:p>
      <w:pPr>
        <w:pStyle w:val="BodyText"/>
        <w:spacing w:line="357" w:lineRule="auto"/>
        <w:ind w:left="196" w:right="279"/>
        <w:jc w:val="both"/>
      </w:pPr>
      <w:r>
        <w:rPr/>
        <w:t>Las muestras de saliva se recolectaron de 9 a.m. a 11 a.m., se les pidió a los sujetos que se abstuvieran de comer, beber, fumar, o realizar procedimientos de higiene oral durante al menos una hora antes de la recolección de saliva.</w:t>
      </w:r>
    </w:p>
    <w:p>
      <w:pPr>
        <w:pStyle w:val="BodyText"/>
        <w:spacing w:line="360" w:lineRule="auto" w:before="212"/>
        <w:ind w:left="196" w:right="274"/>
        <w:jc w:val="both"/>
      </w:pPr>
      <w:r>
        <w:rPr/>
        <w:t>En cada sujeto, mediante el uso de un cepillo estéril de citología, se frotó  suavemente la mucosa bucal de ambos carrillos, aproximadamente cinco veces (Figura 5); posteriormente se le indicó que expectorara saliva total en un vaso cónico de plástico, sin punta y desinfectado previamente con luz UV durante 1 hora (Figura 6); después, la saliva se colocó en un tubo de microcentrífuga de 1.7 </w:t>
      </w:r>
      <w:r>
        <w:rPr>
          <w:spacing w:val="-4"/>
        </w:rPr>
        <w:t>mL </w:t>
      </w:r>
      <w:r>
        <w:rPr/>
        <w:t>(Costar, California, USA) con apoyo de una espátula Beale 1654 (Arain, Sialkot, Pakistán), previamente</w:t>
      </w:r>
      <w:r>
        <w:rPr>
          <w:spacing w:val="-7"/>
        </w:rPr>
        <w:t> </w:t>
      </w:r>
      <w:r>
        <w:rPr/>
        <w:t>esterilizada.</w:t>
      </w:r>
    </w:p>
    <w:p>
      <w:pPr>
        <w:pStyle w:val="BodyText"/>
        <w:spacing w:line="362" w:lineRule="auto" w:before="209"/>
        <w:ind w:left="196" w:right="275"/>
        <w:jc w:val="both"/>
      </w:pPr>
      <w:r>
        <w:rPr/>
        <w:t>La muestra de saliva se colocó en hielo (4-8°C) para su transportación. Cuando concluyó el muestreo de saliva, las muestras se colocaron a -70°C, durante 3 días.</w:t>
      </w:r>
    </w:p>
    <w:p>
      <w:pPr>
        <w:spacing w:after="0" w:line="362" w:lineRule="auto"/>
        <w:jc w:val="both"/>
        <w:sectPr>
          <w:footerReference w:type="default" r:id="rId46"/>
          <w:pgSz w:w="12240" w:h="15840"/>
          <w:pgMar w:footer="1031" w:header="726" w:top="1340" w:bottom="1220" w:left="1220" w:right="1420"/>
          <w:pgNumType w:start="71"/>
        </w:sectPr>
      </w:pPr>
    </w:p>
    <w:p>
      <w:pPr>
        <w:pStyle w:val="BodyText"/>
        <w:rPr>
          <w:sz w:val="20"/>
        </w:rPr>
      </w:pPr>
    </w:p>
    <w:p>
      <w:pPr>
        <w:tabs>
          <w:tab w:pos="4952" w:val="left" w:leader="none"/>
        </w:tabs>
        <w:spacing w:line="240" w:lineRule="auto"/>
        <w:ind w:left="114" w:right="0" w:firstLine="0"/>
        <w:rPr>
          <w:sz w:val="20"/>
        </w:rPr>
      </w:pPr>
      <w:r>
        <w:rPr>
          <w:position w:val="1"/>
          <w:sz w:val="20"/>
        </w:rPr>
        <w:drawing>
          <wp:inline distT="0" distB="0" distL="0" distR="0">
            <wp:extent cx="2870387" cy="1970531"/>
            <wp:effectExtent l="0" t="0" r="0" b="0"/>
            <wp:docPr id="37" name="image29.png" descr=""/>
            <wp:cNvGraphicFramePr>
              <a:graphicFrameLocks noChangeAspect="1"/>
            </wp:cNvGraphicFramePr>
            <a:graphic>
              <a:graphicData uri="http://schemas.openxmlformats.org/drawingml/2006/picture">
                <pic:pic>
                  <pic:nvPicPr>
                    <pic:cNvPr id="38" name="image29.png"/>
                    <pic:cNvPicPr/>
                  </pic:nvPicPr>
                  <pic:blipFill>
                    <a:blip r:embed="rId51" cstate="print"/>
                    <a:stretch>
                      <a:fillRect/>
                    </a:stretch>
                  </pic:blipFill>
                  <pic:spPr>
                    <a:xfrm>
                      <a:off x="0" y="0"/>
                      <a:ext cx="2870387" cy="1970531"/>
                    </a:xfrm>
                    <a:prstGeom prst="rect">
                      <a:avLst/>
                    </a:prstGeom>
                  </pic:spPr>
                </pic:pic>
              </a:graphicData>
            </a:graphic>
          </wp:inline>
        </w:drawing>
      </w:r>
      <w:r>
        <w:rPr>
          <w:position w:val="1"/>
          <w:sz w:val="20"/>
        </w:rPr>
      </w:r>
      <w:r>
        <w:rPr>
          <w:position w:val="1"/>
          <w:sz w:val="20"/>
        </w:rPr>
        <w:tab/>
      </w:r>
      <w:r>
        <w:rPr>
          <w:sz w:val="20"/>
        </w:rPr>
        <w:drawing>
          <wp:inline distT="0" distB="0" distL="0" distR="0">
            <wp:extent cx="2870387" cy="1970531"/>
            <wp:effectExtent l="0" t="0" r="0" b="0"/>
            <wp:docPr id="39" name="image30.png" descr=""/>
            <wp:cNvGraphicFramePr>
              <a:graphicFrameLocks noChangeAspect="1"/>
            </wp:cNvGraphicFramePr>
            <a:graphic>
              <a:graphicData uri="http://schemas.openxmlformats.org/drawingml/2006/picture">
                <pic:pic>
                  <pic:nvPicPr>
                    <pic:cNvPr id="40" name="image30.png"/>
                    <pic:cNvPicPr/>
                  </pic:nvPicPr>
                  <pic:blipFill>
                    <a:blip r:embed="rId52" cstate="print"/>
                    <a:stretch>
                      <a:fillRect/>
                    </a:stretch>
                  </pic:blipFill>
                  <pic:spPr>
                    <a:xfrm>
                      <a:off x="0" y="0"/>
                      <a:ext cx="2870387" cy="1970531"/>
                    </a:xfrm>
                    <a:prstGeom prst="rect">
                      <a:avLst/>
                    </a:prstGeom>
                  </pic:spPr>
                </pic:pic>
              </a:graphicData>
            </a:graphic>
          </wp:inline>
        </w:drawing>
      </w:r>
      <w:r>
        <w:rPr>
          <w:sz w:val="20"/>
        </w:rPr>
      </w:r>
    </w:p>
    <w:p>
      <w:pPr>
        <w:pStyle w:val="BodyText"/>
        <w:spacing w:before="6"/>
        <w:rPr>
          <w:sz w:val="20"/>
        </w:rPr>
      </w:pPr>
      <w:r>
        <w:rPr/>
        <w:pict>
          <v:group style="position:absolute;margin-left:78.720001pt;margin-top:14.99pt;width:203.05pt;height:28.1pt;mso-position-horizontal-relative:page;mso-position-vertical-relative:paragraph;z-index:1720;mso-wrap-distance-left:0;mso-wrap-distance-right:0" coordorigin="1574,300" coordsize="4061,562">
            <v:shape style="position:absolute;left:1574;top:300;width:4061;height:562" type="#_x0000_t75" stroked="false">
              <v:imagedata r:id="rId53" o:title=""/>
            </v:shape>
            <v:shape style="position:absolute;left:1574;top:300;width:4061;height:562" type="#_x0000_t202" filled="false" stroked="false">
              <v:textbox inset="0,0,0,0">
                <w:txbxContent>
                  <w:p>
                    <w:pPr>
                      <w:spacing w:line="221" w:lineRule="exact" w:before="0"/>
                      <w:ind w:left="448" w:right="448" w:firstLine="0"/>
                      <w:jc w:val="center"/>
                      <w:rPr>
                        <w:i/>
                        <w:sz w:val="20"/>
                      </w:rPr>
                    </w:pPr>
                    <w:r>
                      <w:rPr>
                        <w:b/>
                        <w:sz w:val="20"/>
                      </w:rPr>
                      <w:t>Figura 5. </w:t>
                    </w:r>
                    <w:r>
                      <w:rPr>
                        <w:i/>
                        <w:sz w:val="20"/>
                      </w:rPr>
                      <w:t>Obtención de la muestra.</w:t>
                    </w:r>
                  </w:p>
                  <w:p>
                    <w:pPr>
                      <w:spacing w:before="6"/>
                      <w:ind w:left="448" w:right="441" w:firstLine="0"/>
                      <w:jc w:val="center"/>
                      <w:rPr>
                        <w:sz w:val="20"/>
                      </w:rPr>
                    </w:pPr>
                    <w:r>
                      <w:rPr>
                        <w:sz w:val="20"/>
                      </w:rPr>
                      <w:t>Fuente directa</w:t>
                    </w:r>
                  </w:p>
                </w:txbxContent>
              </v:textbox>
              <w10:wrap type="none"/>
            </v:shape>
            <w10:wrap type="topAndBottom"/>
          </v:group>
        </w:pict>
      </w:r>
      <w:r>
        <w:rPr/>
        <w:pict>
          <v:group style="position:absolute;margin-left:312.720001pt;margin-top:13.79pt;width:210.5pt;height:22.7pt;mso-position-horizontal-relative:page;mso-position-vertical-relative:paragraph;z-index:1768;mso-wrap-distance-left:0;mso-wrap-distance-right:0" coordorigin="6254,276" coordsize="4210,454">
            <v:shape style="position:absolute;left:6254;top:276;width:4210;height:394" type="#_x0000_t75" stroked="false">
              <v:imagedata r:id="rId54" o:title=""/>
            </v:shape>
            <v:shape style="position:absolute;left:6254;top:276;width:4210;height:454" type="#_x0000_t202" filled="false" stroked="false">
              <v:textbox inset="0,0,0,0">
                <w:txbxContent>
                  <w:p>
                    <w:pPr>
                      <w:spacing w:line="221" w:lineRule="exact" w:before="0"/>
                      <w:ind w:left="527" w:right="518" w:firstLine="0"/>
                      <w:jc w:val="center"/>
                      <w:rPr>
                        <w:sz w:val="20"/>
                      </w:rPr>
                    </w:pPr>
                    <w:r>
                      <w:rPr>
                        <w:b/>
                        <w:sz w:val="20"/>
                      </w:rPr>
                      <w:t>Figura 6. </w:t>
                    </w:r>
                    <w:r>
                      <w:rPr>
                        <w:i/>
                        <w:sz w:val="20"/>
                      </w:rPr>
                      <w:t>Obtención de la muestra</w:t>
                    </w:r>
                    <w:r>
                      <w:rPr>
                        <w:sz w:val="20"/>
                      </w:rPr>
                      <w:t>.</w:t>
                    </w:r>
                  </w:p>
                  <w:p>
                    <w:pPr>
                      <w:spacing w:line="226" w:lineRule="exact" w:before="6"/>
                      <w:ind w:left="524" w:right="518" w:firstLine="0"/>
                      <w:jc w:val="center"/>
                      <w:rPr>
                        <w:sz w:val="20"/>
                      </w:rPr>
                    </w:pPr>
                    <w:r>
                      <w:rPr>
                        <w:sz w:val="20"/>
                      </w:rPr>
                      <w:t>Fuente directa</w:t>
                    </w:r>
                  </w:p>
                </w:txbxContent>
              </v:textbox>
              <w10:wrap type="none"/>
            </v:shape>
            <w10:wrap type="topAndBottom"/>
          </v:group>
        </w:pict>
      </w:r>
    </w:p>
    <w:p>
      <w:pPr>
        <w:pStyle w:val="BodyText"/>
        <w:rPr>
          <w:sz w:val="20"/>
        </w:rPr>
      </w:pPr>
    </w:p>
    <w:p>
      <w:pPr>
        <w:pStyle w:val="Heading2"/>
        <w:numPr>
          <w:ilvl w:val="1"/>
          <w:numId w:val="19"/>
        </w:numPr>
        <w:tabs>
          <w:tab w:pos="720" w:val="left" w:leader="none"/>
        </w:tabs>
        <w:spacing w:line="240" w:lineRule="auto" w:before="204" w:after="0"/>
        <w:ind w:left="719" w:right="0" w:hanging="403"/>
        <w:jc w:val="left"/>
      </w:pPr>
      <w:bookmarkStart w:name="_TOC_250020" w:id="46"/>
      <w:r>
        <w:rPr/>
        <w:t>Proceso de</w:t>
      </w:r>
      <w:r>
        <w:rPr>
          <w:spacing w:val="-12"/>
        </w:rPr>
        <w:t> </w:t>
      </w:r>
      <w:bookmarkEnd w:id="46"/>
      <w:r>
        <w:rPr/>
        <w:t>Laboratorio</w:t>
      </w:r>
    </w:p>
    <w:p>
      <w:pPr>
        <w:pStyle w:val="BodyText"/>
        <w:spacing w:before="7"/>
        <w:rPr>
          <w:b/>
          <w:sz w:val="27"/>
        </w:rPr>
      </w:pPr>
    </w:p>
    <w:p>
      <w:pPr>
        <w:pStyle w:val="BodyText"/>
        <w:spacing w:line="360" w:lineRule="auto" w:before="69"/>
        <w:ind w:left="316" w:right="279"/>
        <w:jc w:val="both"/>
      </w:pPr>
      <w:r>
        <w:rPr/>
        <w:t>El proceso de las muestras de saliva se realizó en el Laboratorio de Biología Molecular del Centro de Investigación en Ciencias Médicas (CICMED) de la Universidad Autónoma del Estado de México.</w:t>
      </w:r>
    </w:p>
    <w:p>
      <w:pPr>
        <w:pStyle w:val="BodyText"/>
        <w:spacing w:before="3"/>
        <w:rPr>
          <w:sz w:val="20"/>
        </w:rPr>
      </w:pPr>
    </w:p>
    <w:p>
      <w:pPr>
        <w:pStyle w:val="Heading2"/>
        <w:numPr>
          <w:ilvl w:val="2"/>
          <w:numId w:val="32"/>
        </w:numPr>
        <w:tabs>
          <w:tab w:pos="922" w:val="left" w:leader="none"/>
        </w:tabs>
        <w:spacing w:line="240" w:lineRule="auto" w:before="0" w:after="0"/>
        <w:ind w:left="921" w:right="0" w:hanging="605"/>
        <w:jc w:val="both"/>
      </w:pPr>
      <w:bookmarkStart w:name="_TOC_250019" w:id="47"/>
      <w:r>
        <w:rPr/>
        <w:t>Limpieza de las áreas de trabajo y</w:t>
      </w:r>
      <w:r>
        <w:rPr>
          <w:spacing w:val="-27"/>
        </w:rPr>
        <w:t> </w:t>
      </w:r>
      <w:bookmarkEnd w:id="47"/>
      <w:r>
        <w:rPr/>
        <w:t>equipo</w:t>
      </w:r>
    </w:p>
    <w:p>
      <w:pPr>
        <w:pStyle w:val="BodyText"/>
        <w:spacing w:before="3"/>
        <w:rPr>
          <w:b/>
          <w:sz w:val="30"/>
        </w:rPr>
      </w:pPr>
    </w:p>
    <w:p>
      <w:pPr>
        <w:pStyle w:val="BodyText"/>
        <w:spacing w:line="360" w:lineRule="auto"/>
        <w:ind w:left="316" w:right="276"/>
        <w:jc w:val="both"/>
      </w:pPr>
      <w:r>
        <w:rPr/>
        <w:t>Primeramente se asearon las superficies metálicas de las áreas de trabajo, así como la superficie interna de los gabinetes de bioseguridad, con etanol 70° y toallas de papel desechables; y el piso se aseó con agua y trapeador de algodón. Posteriormente, se desinfectó con luz UV las áreas de trabajo y los gabinetes de bioseguridad, durante una hora. Al finalizar se encendieron los extractores para absorber el ozono. El equipo MagNa Pure LC 2.0 (Roche Diagnostics GmbH, Nederland, BV) se descontaminó con luz UV durante una hora.</w:t>
      </w:r>
    </w:p>
    <w:p>
      <w:pPr>
        <w:pStyle w:val="BodyText"/>
        <w:spacing w:before="3"/>
        <w:rPr>
          <w:sz w:val="20"/>
        </w:rPr>
      </w:pPr>
    </w:p>
    <w:p>
      <w:pPr>
        <w:pStyle w:val="Heading2"/>
        <w:numPr>
          <w:ilvl w:val="2"/>
          <w:numId w:val="32"/>
        </w:numPr>
        <w:tabs>
          <w:tab w:pos="922" w:val="left" w:leader="none"/>
        </w:tabs>
        <w:spacing w:line="240" w:lineRule="auto" w:before="0" w:after="0"/>
        <w:ind w:left="921" w:right="0" w:hanging="605"/>
        <w:jc w:val="both"/>
      </w:pPr>
      <w:bookmarkStart w:name="_TOC_250018" w:id="48"/>
      <w:r>
        <w:rPr/>
        <w:t>Extracción de</w:t>
      </w:r>
      <w:r>
        <w:rPr>
          <w:spacing w:val="-13"/>
        </w:rPr>
        <w:t> </w:t>
      </w:r>
      <w:bookmarkEnd w:id="48"/>
      <w:r>
        <w:rPr/>
        <w:t>mRNA</w:t>
      </w:r>
    </w:p>
    <w:p>
      <w:pPr>
        <w:pStyle w:val="BodyText"/>
        <w:spacing w:before="3"/>
        <w:rPr>
          <w:b/>
          <w:sz w:val="30"/>
        </w:rPr>
      </w:pPr>
    </w:p>
    <w:p>
      <w:pPr>
        <w:pStyle w:val="BodyText"/>
        <w:spacing w:line="360" w:lineRule="auto"/>
        <w:ind w:left="316" w:right="278"/>
        <w:jc w:val="both"/>
      </w:pPr>
      <w:r>
        <w:rPr/>
        <w:t>Se realizó el </w:t>
      </w:r>
      <w:r>
        <w:rPr>
          <w:i/>
        </w:rPr>
        <w:t>Protocolo de Purificación de RNA III </w:t>
      </w:r>
      <w:r>
        <w:rPr/>
        <w:t>del equipo MagNa Pure LC 2.0, indicando el número de muestras que se procesaron (Figura 7); se siguieron las indicaciones del equipo respecto a la colocación de recipientes y líquidos del Kit III</w:t>
      </w:r>
    </w:p>
    <w:p>
      <w:pPr>
        <w:spacing w:after="0" w:line="360" w:lineRule="auto"/>
        <w:jc w:val="both"/>
        <w:sectPr>
          <w:pgSz w:w="12240" w:h="15840"/>
          <w:pgMar w:header="726" w:footer="1031" w:top="1340" w:bottom="1220" w:left="1100" w:right="1420"/>
        </w:sectPr>
      </w:pPr>
    </w:p>
    <w:p>
      <w:pPr>
        <w:pStyle w:val="BodyText"/>
        <w:spacing w:before="3"/>
        <w:rPr>
          <w:sz w:val="23"/>
        </w:rPr>
      </w:pPr>
    </w:p>
    <w:p>
      <w:pPr>
        <w:pStyle w:val="BodyText"/>
        <w:spacing w:line="364" w:lineRule="auto" w:before="69"/>
        <w:ind w:left="216" w:right="288"/>
        <w:jc w:val="both"/>
      </w:pPr>
      <w:r>
        <w:rPr/>
        <w:t>MagNA Pure Lc RNA Isolation (Tissue) (Roche Applied Science, Mannheim, Alemania) (Figura 8), y se fue señalando en la pantalla del equipo.</w:t>
      </w:r>
    </w:p>
    <w:p>
      <w:pPr>
        <w:pStyle w:val="BodyText"/>
        <w:spacing w:before="7"/>
        <w:rPr>
          <w:sz w:val="14"/>
        </w:rPr>
      </w:pPr>
      <w:r>
        <w:rPr/>
        <w:drawing>
          <wp:anchor distT="0" distB="0" distL="0" distR="0" allowOverlap="1" layoutInCell="1" locked="0" behindDoc="0" simplePos="0" relativeHeight="1792">
            <wp:simplePos x="0" y="0"/>
            <wp:positionH relativeFrom="page">
              <wp:posOffset>829055</wp:posOffset>
            </wp:positionH>
            <wp:positionV relativeFrom="paragraph">
              <wp:posOffset>146758</wp:posOffset>
            </wp:positionV>
            <wp:extent cx="2807207" cy="1965960"/>
            <wp:effectExtent l="0" t="0" r="0" b="0"/>
            <wp:wrapTopAndBottom/>
            <wp:docPr id="41" name="image33.png" descr=""/>
            <wp:cNvGraphicFramePr>
              <a:graphicFrameLocks noChangeAspect="1"/>
            </wp:cNvGraphicFramePr>
            <a:graphic>
              <a:graphicData uri="http://schemas.openxmlformats.org/drawingml/2006/picture">
                <pic:pic>
                  <pic:nvPicPr>
                    <pic:cNvPr id="42" name="image33.png"/>
                    <pic:cNvPicPr/>
                  </pic:nvPicPr>
                  <pic:blipFill>
                    <a:blip r:embed="rId55" cstate="print"/>
                    <a:stretch>
                      <a:fillRect/>
                    </a:stretch>
                  </pic:blipFill>
                  <pic:spPr>
                    <a:xfrm>
                      <a:off x="0" y="0"/>
                      <a:ext cx="2807207" cy="1965960"/>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3788664</wp:posOffset>
            </wp:positionH>
            <wp:positionV relativeFrom="paragraph">
              <wp:posOffset>131518</wp:posOffset>
            </wp:positionV>
            <wp:extent cx="2767583" cy="1965960"/>
            <wp:effectExtent l="0" t="0" r="0" b="0"/>
            <wp:wrapTopAndBottom/>
            <wp:docPr id="43" name="image34.png" descr=""/>
            <wp:cNvGraphicFramePr>
              <a:graphicFrameLocks noChangeAspect="1"/>
            </wp:cNvGraphicFramePr>
            <a:graphic>
              <a:graphicData uri="http://schemas.openxmlformats.org/drawingml/2006/picture">
                <pic:pic>
                  <pic:nvPicPr>
                    <pic:cNvPr id="44" name="image34.png"/>
                    <pic:cNvPicPr/>
                  </pic:nvPicPr>
                  <pic:blipFill>
                    <a:blip r:embed="rId56" cstate="print"/>
                    <a:stretch>
                      <a:fillRect/>
                    </a:stretch>
                  </pic:blipFill>
                  <pic:spPr>
                    <a:xfrm>
                      <a:off x="0" y="0"/>
                      <a:ext cx="2767583" cy="1965960"/>
                    </a:xfrm>
                    <a:prstGeom prst="rect">
                      <a:avLst/>
                    </a:prstGeom>
                  </pic:spPr>
                </pic:pic>
              </a:graphicData>
            </a:graphic>
          </wp:anchor>
        </w:drawing>
      </w:r>
      <w:r>
        <w:rPr/>
        <w:pict>
          <v:group style="position:absolute;margin-left:74.160004pt;margin-top:180.275787pt;width:204pt;height:26.65pt;mso-position-horizontal-relative:page;mso-position-vertical-relative:paragraph;z-index:1864;mso-wrap-distance-left:0;mso-wrap-distance-right:0" coordorigin="1483,3606" coordsize="4080,533">
            <v:shape style="position:absolute;left:1483;top:3606;width:4080;height:533" type="#_x0000_t75" stroked="false">
              <v:imagedata r:id="rId57" o:title=""/>
            </v:shape>
            <v:shape style="position:absolute;left:1483;top:3606;width:4080;height:533" type="#_x0000_t202" filled="false" stroked="false">
              <v:textbox inset="0,0,0,0">
                <w:txbxContent>
                  <w:p>
                    <w:pPr>
                      <w:spacing w:line="222" w:lineRule="exact" w:before="0"/>
                      <w:ind w:left="666" w:right="661" w:firstLine="0"/>
                      <w:jc w:val="center"/>
                      <w:rPr>
                        <w:i/>
                        <w:sz w:val="20"/>
                      </w:rPr>
                    </w:pPr>
                    <w:r>
                      <w:rPr>
                        <w:b/>
                        <w:sz w:val="20"/>
                      </w:rPr>
                      <w:t>Figura 7. </w:t>
                    </w:r>
                    <w:r>
                      <w:rPr>
                        <w:i/>
                        <w:sz w:val="20"/>
                      </w:rPr>
                      <w:t>MagNa Pure LC 2.0.</w:t>
                    </w:r>
                  </w:p>
                  <w:p>
                    <w:pPr>
                      <w:spacing w:before="0"/>
                      <w:ind w:left="666" w:right="659" w:firstLine="0"/>
                      <w:jc w:val="center"/>
                      <w:rPr>
                        <w:sz w:val="20"/>
                      </w:rPr>
                    </w:pPr>
                    <w:r>
                      <w:rPr>
                        <w:sz w:val="20"/>
                      </w:rPr>
                      <w:t>Fuente directa</w:t>
                    </w:r>
                  </w:p>
                </w:txbxContent>
              </v:textbox>
              <w10:wrap type="none"/>
            </v:shape>
            <w10:wrap type="topAndBottom"/>
          </v:group>
        </w:pict>
      </w:r>
      <w:r>
        <w:rPr/>
        <w:pict>
          <v:group style="position:absolute;margin-left:299.519989pt;margin-top:177.155792pt;width:211.7pt;height:37pt;mso-position-horizontal-relative:page;mso-position-vertical-relative:paragraph;z-index:1912;mso-wrap-distance-left:0;mso-wrap-distance-right:0" coordorigin="5990,3543" coordsize="4234,740">
            <v:shape style="position:absolute;left:5990;top:3543;width:4234;height:739" type="#_x0000_t75" stroked="false">
              <v:imagedata r:id="rId58" o:title=""/>
            </v:shape>
            <v:shape style="position:absolute;left:5990;top:3543;width:4234;height:740" type="#_x0000_t202" filled="false" stroked="false">
              <v:textbox inset="0,0,0,0">
                <w:txbxContent>
                  <w:p>
                    <w:pPr>
                      <w:spacing w:line="240" w:lineRule="auto" w:before="0"/>
                      <w:ind w:left="468" w:right="471" w:firstLine="0"/>
                      <w:jc w:val="center"/>
                      <w:rPr>
                        <w:i/>
                        <w:sz w:val="20"/>
                      </w:rPr>
                    </w:pPr>
                    <w:r>
                      <w:rPr>
                        <w:b/>
                        <w:sz w:val="20"/>
                      </w:rPr>
                      <w:t>Figura 8. </w:t>
                    </w:r>
                    <w:r>
                      <w:rPr>
                        <w:i/>
                        <w:sz w:val="20"/>
                      </w:rPr>
                      <w:t>Kit III MagNA Pure Lc RNA </w:t>
                    </w:r>
                    <w:r>
                      <w:rPr>
                        <w:i/>
                        <w:sz w:val="20"/>
                      </w:rPr>
                      <w:t>Isolation (Tissue).</w:t>
                    </w:r>
                  </w:p>
                  <w:p>
                    <w:pPr>
                      <w:spacing w:before="5"/>
                      <w:ind w:left="468" w:right="467" w:firstLine="0"/>
                      <w:jc w:val="center"/>
                      <w:rPr>
                        <w:sz w:val="20"/>
                      </w:rPr>
                    </w:pPr>
                    <w:r>
                      <w:rPr>
                        <w:sz w:val="20"/>
                      </w:rPr>
                      <w:t>Fuente directa</w:t>
                    </w:r>
                  </w:p>
                </w:txbxContent>
              </v:textbox>
              <w10:wrap type="none"/>
            </v:shape>
            <w10:wrap type="topAndBottom"/>
          </v:group>
        </w:pict>
      </w:r>
    </w:p>
    <w:p>
      <w:pPr>
        <w:pStyle w:val="BodyText"/>
        <w:spacing w:before="10"/>
        <w:rPr>
          <w:sz w:val="12"/>
        </w:rPr>
      </w:pPr>
    </w:p>
    <w:p>
      <w:pPr>
        <w:pStyle w:val="BodyText"/>
      </w:pPr>
    </w:p>
    <w:p>
      <w:pPr>
        <w:pStyle w:val="BodyText"/>
      </w:pPr>
    </w:p>
    <w:p>
      <w:pPr>
        <w:pStyle w:val="BodyText"/>
        <w:spacing w:before="8"/>
        <w:rPr>
          <w:sz w:val="22"/>
        </w:rPr>
      </w:pPr>
    </w:p>
    <w:p>
      <w:pPr>
        <w:pStyle w:val="BodyText"/>
        <w:spacing w:before="1"/>
        <w:ind w:left="216"/>
        <w:jc w:val="both"/>
      </w:pPr>
      <w:r>
        <w:rPr/>
        <w:t>Las muestra de saliva se descongelaron de manera gradual, de -70°C se colocaron a</w:t>
      </w:r>
    </w:p>
    <w:p>
      <w:pPr>
        <w:pStyle w:val="BodyText"/>
        <w:spacing w:line="357" w:lineRule="auto" w:before="137"/>
        <w:ind w:left="216" w:right="273"/>
        <w:jc w:val="both"/>
      </w:pPr>
      <w:r>
        <w:rPr/>
        <w:t>-20°C durante 20 minutos, posteriormente, se colocaron a 2°C durante 20 minutos, por último, se colocaron a temperatura ambiente en baño maría frio, hasta que las muestras salivales se descongelaron por completo.</w:t>
      </w:r>
    </w:p>
    <w:p>
      <w:pPr>
        <w:pStyle w:val="BodyText"/>
        <w:spacing w:line="360" w:lineRule="auto" w:before="210"/>
        <w:ind w:left="216" w:right="274"/>
        <w:jc w:val="both"/>
      </w:pPr>
      <w:r>
        <w:rPr/>
        <w:t>La muestra de saliva se homogeneizó con micropipeta de 100-1000 </w:t>
      </w:r>
      <w:r>
        <w:rPr>
          <w:rFonts w:ascii="Symbol" w:hAnsi="Symbol"/>
        </w:rPr>
        <w:t></w:t>
      </w:r>
      <w:r>
        <w:rPr/>
        <w:t>L, se tomaron 200 </w:t>
      </w:r>
      <w:r>
        <w:rPr>
          <w:rFonts w:ascii="Symbol" w:hAnsi="Symbol"/>
        </w:rPr>
        <w:t></w:t>
      </w:r>
      <w:r>
        <w:rPr/>
        <w:t>L de muestra y se colocaron en un tubo microcentrífuga de 1.7 mL (Costar, California, USA), después se tomaron 200 </w:t>
      </w:r>
      <w:r>
        <w:rPr>
          <w:rFonts w:ascii="Symbol" w:hAnsi="Symbol"/>
        </w:rPr>
        <w:t></w:t>
      </w:r>
      <w:r>
        <w:rPr/>
        <w:t>L de Buffer de lisis tisular del Kit III MagNA Pure Lc RNA Isolation (Tissue) y se añadieron a la muestra de saliva; se homogeneizó el compuesto (Buffer de lisis tisular/muestra) en un  vórtex  durante cinco segundos, y se dejó incubar en el interior del gabinete de bioseguridad durante 30 minutos.</w:t>
      </w:r>
    </w:p>
    <w:p>
      <w:pPr>
        <w:pStyle w:val="BodyText"/>
        <w:spacing w:line="357" w:lineRule="auto" w:before="207"/>
        <w:ind w:left="216" w:right="276"/>
        <w:jc w:val="both"/>
      </w:pPr>
      <w:r>
        <w:rPr/>
        <w:t>Posteriormente, se colocaron los 400 </w:t>
      </w:r>
      <w:r>
        <w:rPr>
          <w:rFonts w:ascii="Symbol" w:hAnsi="Symbol"/>
        </w:rPr>
        <w:t></w:t>
      </w:r>
      <w:r>
        <w:rPr/>
        <w:t>L del compuesto (Buffer de lisis tisular/muestra) en un cartucho de muestra MagNa Pure LC (Roche Diagnostics GmbH, Nederland, BV). Adicionalmente, se colocó un control de agua inyectable.</w:t>
      </w:r>
    </w:p>
    <w:p>
      <w:pPr>
        <w:spacing w:after="0" w:line="357" w:lineRule="auto"/>
        <w:jc w:val="both"/>
        <w:sectPr>
          <w:pgSz w:w="12240" w:h="15840"/>
          <w:pgMar w:header="726" w:footer="1031" w:top="1340" w:bottom="1220" w:left="1200" w:right="1420"/>
        </w:sectPr>
      </w:pPr>
    </w:p>
    <w:p>
      <w:pPr>
        <w:pStyle w:val="BodyText"/>
        <w:spacing w:before="3"/>
        <w:rPr>
          <w:sz w:val="23"/>
        </w:rPr>
      </w:pPr>
    </w:p>
    <w:p>
      <w:pPr>
        <w:pStyle w:val="BodyText"/>
        <w:spacing w:before="69"/>
        <w:ind w:left="256"/>
        <w:jc w:val="both"/>
      </w:pPr>
      <w:r>
        <w:rPr/>
        <w:t>El diagrama de distribución de las muestras es el siguiente:</w:t>
      </w:r>
    </w:p>
    <w:p>
      <w:pPr>
        <w:pStyle w:val="BodyText"/>
        <w:rPr>
          <w:sz w:val="20"/>
        </w:rPr>
      </w:pPr>
    </w:p>
    <w:p>
      <w:pPr>
        <w:pStyle w:val="BodyText"/>
        <w:spacing w:before="1"/>
        <w:rPr>
          <w:sz w:val="16"/>
        </w:rPr>
      </w:pPr>
    </w:p>
    <w:tbl>
      <w:tblPr>
        <w:tblW w:w="0" w:type="auto"/>
        <w:jc w:val="left"/>
        <w:tblInd w:w="2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0"/>
        <w:gridCol w:w="553"/>
        <w:gridCol w:w="552"/>
        <w:gridCol w:w="548"/>
        <w:gridCol w:w="552"/>
        <w:gridCol w:w="547"/>
        <w:gridCol w:w="552"/>
        <w:gridCol w:w="552"/>
        <w:gridCol w:w="548"/>
      </w:tblGrid>
      <w:tr>
        <w:trPr>
          <w:trHeight w:val="422" w:hRule="exact"/>
        </w:trPr>
        <w:tc>
          <w:tcPr>
            <w:tcW w:w="350" w:type="dxa"/>
          </w:tcPr>
          <w:p>
            <w:pPr/>
          </w:p>
        </w:tc>
        <w:tc>
          <w:tcPr>
            <w:tcW w:w="553" w:type="dxa"/>
          </w:tcPr>
          <w:p>
            <w:pPr>
              <w:pStyle w:val="TableParagraph"/>
              <w:spacing w:before="63"/>
              <w:ind w:left="105"/>
              <w:rPr>
                <w:sz w:val="24"/>
              </w:rPr>
            </w:pPr>
            <w:r>
              <w:rPr>
                <w:w w:val="99"/>
                <w:sz w:val="24"/>
              </w:rPr>
              <w:t>H</w:t>
            </w:r>
          </w:p>
        </w:tc>
        <w:tc>
          <w:tcPr>
            <w:tcW w:w="552" w:type="dxa"/>
          </w:tcPr>
          <w:p>
            <w:pPr>
              <w:pStyle w:val="TableParagraph"/>
              <w:spacing w:before="63"/>
              <w:ind w:left="105"/>
              <w:rPr>
                <w:sz w:val="24"/>
              </w:rPr>
            </w:pPr>
            <w:r>
              <w:rPr>
                <w:w w:val="100"/>
                <w:sz w:val="24"/>
              </w:rPr>
              <w:t>G</w:t>
            </w:r>
          </w:p>
        </w:tc>
        <w:tc>
          <w:tcPr>
            <w:tcW w:w="548" w:type="dxa"/>
          </w:tcPr>
          <w:p>
            <w:pPr>
              <w:pStyle w:val="TableParagraph"/>
              <w:spacing w:before="63"/>
              <w:ind w:left="100"/>
              <w:rPr>
                <w:sz w:val="24"/>
              </w:rPr>
            </w:pPr>
            <w:r>
              <w:rPr>
                <w:w w:val="100"/>
                <w:sz w:val="24"/>
              </w:rPr>
              <w:t>F</w:t>
            </w:r>
          </w:p>
        </w:tc>
        <w:tc>
          <w:tcPr>
            <w:tcW w:w="552" w:type="dxa"/>
          </w:tcPr>
          <w:p>
            <w:pPr>
              <w:pStyle w:val="TableParagraph"/>
              <w:spacing w:before="63"/>
              <w:ind w:left="105"/>
              <w:rPr>
                <w:sz w:val="24"/>
              </w:rPr>
            </w:pPr>
            <w:r>
              <w:rPr>
                <w:w w:val="100"/>
                <w:sz w:val="24"/>
              </w:rPr>
              <w:t>E</w:t>
            </w:r>
          </w:p>
        </w:tc>
        <w:tc>
          <w:tcPr>
            <w:tcW w:w="547" w:type="dxa"/>
          </w:tcPr>
          <w:p>
            <w:pPr>
              <w:pStyle w:val="TableParagraph"/>
              <w:spacing w:before="63"/>
              <w:ind w:left="100"/>
              <w:rPr>
                <w:sz w:val="24"/>
              </w:rPr>
            </w:pPr>
            <w:r>
              <w:rPr>
                <w:w w:val="99"/>
                <w:sz w:val="24"/>
              </w:rPr>
              <w:t>D</w:t>
            </w:r>
          </w:p>
        </w:tc>
        <w:tc>
          <w:tcPr>
            <w:tcW w:w="552" w:type="dxa"/>
          </w:tcPr>
          <w:p>
            <w:pPr>
              <w:pStyle w:val="TableParagraph"/>
              <w:spacing w:before="63"/>
              <w:ind w:left="105"/>
              <w:rPr>
                <w:sz w:val="24"/>
              </w:rPr>
            </w:pPr>
            <w:r>
              <w:rPr>
                <w:w w:val="99"/>
                <w:sz w:val="24"/>
              </w:rPr>
              <w:t>C</w:t>
            </w:r>
          </w:p>
        </w:tc>
        <w:tc>
          <w:tcPr>
            <w:tcW w:w="552" w:type="dxa"/>
          </w:tcPr>
          <w:p>
            <w:pPr>
              <w:pStyle w:val="TableParagraph"/>
              <w:spacing w:before="63"/>
              <w:ind w:left="105"/>
              <w:rPr>
                <w:sz w:val="24"/>
              </w:rPr>
            </w:pPr>
            <w:r>
              <w:rPr>
                <w:w w:val="100"/>
                <w:sz w:val="24"/>
              </w:rPr>
              <w:t>B</w:t>
            </w:r>
          </w:p>
        </w:tc>
        <w:tc>
          <w:tcPr>
            <w:tcW w:w="548" w:type="dxa"/>
          </w:tcPr>
          <w:p>
            <w:pPr>
              <w:pStyle w:val="TableParagraph"/>
              <w:spacing w:before="63"/>
              <w:ind w:left="100"/>
              <w:rPr>
                <w:sz w:val="24"/>
              </w:rPr>
            </w:pPr>
            <w:r>
              <w:rPr>
                <w:w w:val="100"/>
                <w:sz w:val="24"/>
              </w:rPr>
              <w:t>A</w:t>
            </w:r>
          </w:p>
        </w:tc>
      </w:tr>
      <w:tr>
        <w:trPr>
          <w:trHeight w:val="326" w:hRule="exact"/>
        </w:trPr>
        <w:tc>
          <w:tcPr>
            <w:tcW w:w="350" w:type="dxa"/>
          </w:tcPr>
          <w:p>
            <w:pPr>
              <w:pStyle w:val="TableParagraph"/>
              <w:spacing w:line="272" w:lineRule="exact"/>
              <w:ind w:left="3"/>
              <w:jc w:val="center"/>
              <w:rPr>
                <w:sz w:val="24"/>
              </w:rPr>
            </w:pPr>
            <w:r>
              <w:rPr>
                <w:w w:val="99"/>
                <w:sz w:val="24"/>
              </w:rPr>
              <w:t>1</w:t>
            </w:r>
          </w:p>
        </w:tc>
        <w:tc>
          <w:tcPr>
            <w:tcW w:w="553" w:type="dxa"/>
          </w:tcPr>
          <w:p>
            <w:pPr>
              <w:pStyle w:val="TableParagraph"/>
              <w:spacing w:line="272" w:lineRule="exact"/>
              <w:ind w:left="105"/>
              <w:rPr>
                <w:sz w:val="24"/>
              </w:rPr>
            </w:pPr>
            <w:r>
              <w:rPr>
                <w:sz w:val="24"/>
              </w:rPr>
              <w:t>M8</w:t>
            </w:r>
          </w:p>
        </w:tc>
        <w:tc>
          <w:tcPr>
            <w:tcW w:w="552" w:type="dxa"/>
          </w:tcPr>
          <w:p>
            <w:pPr>
              <w:pStyle w:val="TableParagraph"/>
              <w:spacing w:line="272" w:lineRule="exact"/>
              <w:ind w:left="105"/>
              <w:rPr>
                <w:sz w:val="24"/>
              </w:rPr>
            </w:pPr>
            <w:r>
              <w:rPr>
                <w:sz w:val="24"/>
              </w:rPr>
              <w:t>M7</w:t>
            </w:r>
          </w:p>
        </w:tc>
        <w:tc>
          <w:tcPr>
            <w:tcW w:w="548" w:type="dxa"/>
          </w:tcPr>
          <w:p>
            <w:pPr>
              <w:pStyle w:val="TableParagraph"/>
              <w:spacing w:line="272" w:lineRule="exact"/>
              <w:ind w:left="100"/>
              <w:rPr>
                <w:sz w:val="24"/>
              </w:rPr>
            </w:pPr>
            <w:r>
              <w:rPr>
                <w:sz w:val="24"/>
              </w:rPr>
              <w:t>M6</w:t>
            </w:r>
          </w:p>
        </w:tc>
        <w:tc>
          <w:tcPr>
            <w:tcW w:w="552" w:type="dxa"/>
          </w:tcPr>
          <w:p>
            <w:pPr>
              <w:pStyle w:val="TableParagraph"/>
              <w:spacing w:line="272" w:lineRule="exact"/>
              <w:ind w:left="105"/>
              <w:rPr>
                <w:sz w:val="24"/>
              </w:rPr>
            </w:pPr>
            <w:r>
              <w:rPr>
                <w:sz w:val="24"/>
              </w:rPr>
              <w:t>M5</w:t>
            </w:r>
          </w:p>
        </w:tc>
        <w:tc>
          <w:tcPr>
            <w:tcW w:w="547" w:type="dxa"/>
          </w:tcPr>
          <w:p>
            <w:pPr>
              <w:pStyle w:val="TableParagraph"/>
              <w:spacing w:line="272" w:lineRule="exact"/>
              <w:ind w:left="100"/>
              <w:rPr>
                <w:sz w:val="24"/>
              </w:rPr>
            </w:pPr>
            <w:r>
              <w:rPr>
                <w:sz w:val="24"/>
              </w:rPr>
              <w:t>M4</w:t>
            </w:r>
          </w:p>
        </w:tc>
        <w:tc>
          <w:tcPr>
            <w:tcW w:w="552" w:type="dxa"/>
          </w:tcPr>
          <w:p>
            <w:pPr>
              <w:pStyle w:val="TableParagraph"/>
              <w:spacing w:line="272" w:lineRule="exact"/>
              <w:ind w:left="105"/>
              <w:rPr>
                <w:sz w:val="24"/>
              </w:rPr>
            </w:pPr>
            <w:r>
              <w:rPr>
                <w:sz w:val="24"/>
              </w:rPr>
              <w:t>M3</w:t>
            </w:r>
          </w:p>
        </w:tc>
        <w:tc>
          <w:tcPr>
            <w:tcW w:w="552" w:type="dxa"/>
          </w:tcPr>
          <w:p>
            <w:pPr>
              <w:pStyle w:val="TableParagraph"/>
              <w:spacing w:line="272" w:lineRule="exact"/>
              <w:ind w:left="105"/>
              <w:rPr>
                <w:sz w:val="24"/>
              </w:rPr>
            </w:pPr>
            <w:r>
              <w:rPr>
                <w:sz w:val="24"/>
              </w:rPr>
              <w:t>M2</w:t>
            </w:r>
          </w:p>
        </w:tc>
        <w:tc>
          <w:tcPr>
            <w:tcW w:w="548" w:type="dxa"/>
          </w:tcPr>
          <w:p>
            <w:pPr>
              <w:pStyle w:val="TableParagraph"/>
              <w:spacing w:line="272" w:lineRule="exact"/>
              <w:ind w:left="100"/>
              <w:rPr>
                <w:sz w:val="24"/>
              </w:rPr>
            </w:pPr>
            <w:r>
              <w:rPr>
                <w:sz w:val="24"/>
              </w:rPr>
              <w:t>M1</w:t>
            </w:r>
          </w:p>
        </w:tc>
      </w:tr>
      <w:tr>
        <w:trPr>
          <w:trHeight w:val="326" w:hRule="exact"/>
        </w:trPr>
        <w:tc>
          <w:tcPr>
            <w:tcW w:w="350" w:type="dxa"/>
          </w:tcPr>
          <w:p>
            <w:pPr>
              <w:pStyle w:val="TableParagraph"/>
              <w:spacing w:line="272" w:lineRule="exact"/>
              <w:ind w:left="3"/>
              <w:jc w:val="center"/>
              <w:rPr>
                <w:sz w:val="24"/>
              </w:rPr>
            </w:pPr>
            <w:r>
              <w:rPr>
                <w:w w:val="99"/>
                <w:sz w:val="24"/>
              </w:rPr>
              <w:t>2</w:t>
            </w:r>
          </w:p>
        </w:tc>
        <w:tc>
          <w:tcPr>
            <w:tcW w:w="553" w:type="dxa"/>
          </w:tcPr>
          <w:p>
            <w:pPr/>
          </w:p>
        </w:tc>
        <w:tc>
          <w:tcPr>
            <w:tcW w:w="552" w:type="dxa"/>
          </w:tcPr>
          <w:p>
            <w:pPr/>
          </w:p>
        </w:tc>
        <w:tc>
          <w:tcPr>
            <w:tcW w:w="548" w:type="dxa"/>
          </w:tcPr>
          <w:p>
            <w:pPr/>
          </w:p>
        </w:tc>
        <w:tc>
          <w:tcPr>
            <w:tcW w:w="552" w:type="dxa"/>
          </w:tcPr>
          <w:p>
            <w:pPr/>
          </w:p>
        </w:tc>
        <w:tc>
          <w:tcPr>
            <w:tcW w:w="547" w:type="dxa"/>
          </w:tcPr>
          <w:p>
            <w:pPr/>
          </w:p>
        </w:tc>
        <w:tc>
          <w:tcPr>
            <w:tcW w:w="552" w:type="dxa"/>
          </w:tcPr>
          <w:p>
            <w:pPr/>
          </w:p>
        </w:tc>
        <w:tc>
          <w:tcPr>
            <w:tcW w:w="552" w:type="dxa"/>
          </w:tcPr>
          <w:p>
            <w:pPr/>
          </w:p>
        </w:tc>
        <w:tc>
          <w:tcPr>
            <w:tcW w:w="548" w:type="dxa"/>
          </w:tcPr>
          <w:p>
            <w:pPr/>
          </w:p>
        </w:tc>
      </w:tr>
      <w:tr>
        <w:trPr>
          <w:trHeight w:val="326" w:hRule="exact"/>
        </w:trPr>
        <w:tc>
          <w:tcPr>
            <w:tcW w:w="350" w:type="dxa"/>
          </w:tcPr>
          <w:p>
            <w:pPr>
              <w:pStyle w:val="TableParagraph"/>
              <w:spacing w:line="272" w:lineRule="exact"/>
              <w:ind w:left="3"/>
              <w:jc w:val="center"/>
              <w:rPr>
                <w:sz w:val="24"/>
              </w:rPr>
            </w:pPr>
            <w:r>
              <w:rPr>
                <w:w w:val="99"/>
                <w:sz w:val="24"/>
              </w:rPr>
              <w:t>3</w:t>
            </w:r>
          </w:p>
        </w:tc>
        <w:tc>
          <w:tcPr>
            <w:tcW w:w="553" w:type="dxa"/>
          </w:tcPr>
          <w:p>
            <w:pPr/>
          </w:p>
        </w:tc>
        <w:tc>
          <w:tcPr>
            <w:tcW w:w="552" w:type="dxa"/>
          </w:tcPr>
          <w:p>
            <w:pPr/>
          </w:p>
        </w:tc>
        <w:tc>
          <w:tcPr>
            <w:tcW w:w="548" w:type="dxa"/>
          </w:tcPr>
          <w:p>
            <w:pPr/>
          </w:p>
        </w:tc>
        <w:tc>
          <w:tcPr>
            <w:tcW w:w="552" w:type="dxa"/>
          </w:tcPr>
          <w:p>
            <w:pPr/>
          </w:p>
        </w:tc>
        <w:tc>
          <w:tcPr>
            <w:tcW w:w="547" w:type="dxa"/>
          </w:tcPr>
          <w:p>
            <w:pPr/>
          </w:p>
        </w:tc>
        <w:tc>
          <w:tcPr>
            <w:tcW w:w="552" w:type="dxa"/>
          </w:tcPr>
          <w:p>
            <w:pPr/>
          </w:p>
        </w:tc>
        <w:tc>
          <w:tcPr>
            <w:tcW w:w="552" w:type="dxa"/>
          </w:tcPr>
          <w:p>
            <w:pPr/>
          </w:p>
        </w:tc>
        <w:tc>
          <w:tcPr>
            <w:tcW w:w="548" w:type="dxa"/>
          </w:tcPr>
          <w:p>
            <w:pPr/>
          </w:p>
        </w:tc>
      </w:tr>
      <w:tr>
        <w:trPr>
          <w:trHeight w:val="327" w:hRule="exact"/>
        </w:trPr>
        <w:tc>
          <w:tcPr>
            <w:tcW w:w="350" w:type="dxa"/>
          </w:tcPr>
          <w:p>
            <w:pPr>
              <w:pStyle w:val="TableParagraph"/>
              <w:spacing w:line="272" w:lineRule="exact"/>
              <w:ind w:left="3"/>
              <w:jc w:val="center"/>
              <w:rPr>
                <w:sz w:val="24"/>
              </w:rPr>
            </w:pPr>
            <w:r>
              <w:rPr>
                <w:w w:val="99"/>
                <w:sz w:val="24"/>
              </w:rPr>
              <w:t>4</w:t>
            </w:r>
          </w:p>
        </w:tc>
        <w:tc>
          <w:tcPr>
            <w:tcW w:w="553" w:type="dxa"/>
          </w:tcPr>
          <w:p>
            <w:pPr/>
          </w:p>
        </w:tc>
        <w:tc>
          <w:tcPr>
            <w:tcW w:w="552" w:type="dxa"/>
          </w:tcPr>
          <w:p>
            <w:pPr/>
          </w:p>
        </w:tc>
        <w:tc>
          <w:tcPr>
            <w:tcW w:w="548" w:type="dxa"/>
          </w:tcPr>
          <w:p>
            <w:pPr/>
          </w:p>
        </w:tc>
        <w:tc>
          <w:tcPr>
            <w:tcW w:w="552" w:type="dxa"/>
          </w:tcPr>
          <w:p>
            <w:pPr/>
          </w:p>
        </w:tc>
        <w:tc>
          <w:tcPr>
            <w:tcW w:w="547" w:type="dxa"/>
          </w:tcPr>
          <w:p>
            <w:pPr/>
          </w:p>
        </w:tc>
        <w:tc>
          <w:tcPr>
            <w:tcW w:w="552" w:type="dxa"/>
          </w:tcPr>
          <w:p>
            <w:pPr/>
          </w:p>
        </w:tc>
        <w:tc>
          <w:tcPr>
            <w:tcW w:w="552" w:type="dxa"/>
          </w:tcPr>
          <w:p>
            <w:pPr/>
          </w:p>
        </w:tc>
        <w:tc>
          <w:tcPr>
            <w:tcW w:w="548" w:type="dxa"/>
          </w:tcPr>
          <w:p>
            <w:pPr/>
          </w:p>
        </w:tc>
      </w:tr>
    </w:tbl>
    <w:p>
      <w:pPr>
        <w:pStyle w:val="BodyText"/>
        <w:spacing w:before="67"/>
        <w:ind w:left="4159" w:right="4207"/>
        <w:jc w:val="center"/>
      </w:pPr>
      <w:r>
        <w:rPr/>
        <w:pict>
          <v:group style="position:absolute;margin-left:254.020004pt;margin-top:-47.644135pt;width:117.5pt;height:17.75pt;mso-position-horizontal-relative:page;mso-position-vertical-relative:paragraph;z-index:-175072" coordorigin="5080,-953" coordsize="2350,355">
            <v:shape style="position:absolute;left:5100;top:-933;width:2310;height:315" coordorigin="5100,-933" coordsize="2310,315" path="m5258,-933l5100,-775,5258,-618,5258,-697,7410,-697,7410,-854,5258,-854,5258,-933xe" filled="true" fillcolor="#4f81bc" stroked="false">
              <v:path arrowok="t"/>
              <v:fill type="solid"/>
            </v:shape>
            <v:shape style="position:absolute;left:5100;top:-933;width:2310;height:315" coordorigin="5100,-933" coordsize="2310,315" path="m5100,-775l5258,-933,5258,-854,7410,-854,7410,-697,5258,-697,5258,-618,5100,-775xe" filled="false" stroked="true" strokeweight="2pt" strokecolor="#385d89">
              <v:path arrowok="t"/>
            </v:shape>
            <w10:wrap type="none"/>
          </v:group>
        </w:pict>
      </w:r>
      <w:r>
        <w:rPr/>
        <w:t>M= Muestra</w:t>
      </w:r>
    </w:p>
    <w:p>
      <w:pPr>
        <w:pStyle w:val="BodyText"/>
        <w:rPr>
          <w:sz w:val="21"/>
        </w:rPr>
      </w:pPr>
    </w:p>
    <w:p>
      <w:pPr>
        <w:pStyle w:val="BodyText"/>
        <w:spacing w:line="360" w:lineRule="auto" w:before="1"/>
        <w:ind w:left="256" w:right="303"/>
        <w:jc w:val="both"/>
      </w:pPr>
      <w:r>
        <w:rPr/>
        <w:t>Se verificó la colocación de todos los recipientes y puntas requeridos por el equipo MagNa Pure LC 2.0 Roche, por último, se colocó el cartucho de muestra MagNa Pure LC que contenía el compuesto (Buffer de lisis tisular/muestra) y se procedió al aislamiento </w:t>
      </w:r>
      <w:r>
        <w:rPr>
          <w:spacing w:val="-3"/>
        </w:rPr>
        <w:t>del</w:t>
      </w:r>
      <w:r>
        <w:rPr>
          <w:spacing w:val="1"/>
        </w:rPr>
        <w:t> </w:t>
      </w:r>
      <w:r>
        <w:rPr/>
        <w:t>RNA.</w:t>
      </w:r>
    </w:p>
    <w:p>
      <w:pPr>
        <w:pStyle w:val="BodyText"/>
        <w:spacing w:line="352" w:lineRule="auto" w:before="212"/>
        <w:ind w:left="256" w:right="296"/>
        <w:jc w:val="both"/>
      </w:pPr>
      <w:r>
        <w:rPr/>
        <w:t>Se obtuvieron alícuotas de 50 </w:t>
      </w:r>
      <w:r>
        <w:rPr>
          <w:rFonts w:ascii="Symbol" w:hAnsi="Symbol"/>
        </w:rPr>
        <w:t></w:t>
      </w:r>
      <w:r>
        <w:rPr/>
        <w:t>L de RNA, las cuales se colocaron en tubos Gold PCR de 0.2 </w:t>
      </w:r>
      <w:r>
        <w:rPr>
          <w:spacing w:val="-4"/>
        </w:rPr>
        <w:t>mL </w:t>
      </w:r>
      <w:r>
        <w:rPr/>
        <w:t>(Corning, Nuevo León, México), inmediatamente se realizaron las lecturas de cuantificación de RNA de las muestras con apoyo del NanoPhotometer Version 2.0 (Implen GmbH, Schatzbogen, Alemania), la Celda Microliter LabelGuard</w:t>
      </w:r>
      <w:r>
        <w:rPr>
          <w:position w:val="11"/>
          <w:sz w:val="16"/>
        </w:rPr>
        <w:t>TM </w:t>
      </w:r>
      <w:r>
        <w:rPr/>
        <w:t>y la tapa de 1mm </w:t>
      </w:r>
      <w:r>
        <w:rPr>
          <w:i/>
        </w:rPr>
        <w:t>Factor 10 </w:t>
      </w:r>
      <w:r>
        <w:rPr/>
        <w:t>(Figura</w:t>
      </w:r>
      <w:r>
        <w:rPr>
          <w:spacing w:val="-18"/>
        </w:rPr>
        <w:t> </w:t>
      </w:r>
      <w:r>
        <w:rPr/>
        <w:t>9).</w:t>
      </w:r>
    </w:p>
    <w:p>
      <w:pPr>
        <w:pStyle w:val="BodyText"/>
        <w:spacing w:line="348" w:lineRule="auto" w:before="204"/>
        <w:ind w:left="256" w:right="308"/>
        <w:jc w:val="both"/>
      </w:pPr>
      <w:r>
        <w:rPr/>
        <w:t>Para la lectura de referencia se utilizó el Buffer de elusión del Kit III MagNA Pure Lc RNA Isolation (Tissue) (Figura 10); y para el aseo de la Celda Microliter  LabelGuard</w:t>
      </w:r>
      <w:r>
        <w:rPr>
          <w:position w:val="11"/>
          <w:sz w:val="16"/>
        </w:rPr>
        <w:t>TM </w:t>
      </w:r>
      <w:r>
        <w:rPr/>
        <w:t>y la tapa de Factor 10 entre la lectura de cada muestra de RNA se utilizó agua inyectable y papel para</w:t>
      </w:r>
      <w:r>
        <w:rPr>
          <w:spacing w:val="-15"/>
        </w:rPr>
        <w:t> </w:t>
      </w:r>
      <w:r>
        <w:rPr/>
        <w:t>lente.</w:t>
      </w:r>
    </w:p>
    <w:p>
      <w:pPr>
        <w:pStyle w:val="BodyText"/>
        <w:spacing w:before="7"/>
        <w:rPr>
          <w:sz w:val="20"/>
        </w:rPr>
      </w:pPr>
      <w:r>
        <w:rPr/>
        <w:pict>
          <v:group style="position:absolute;margin-left:63.84pt;margin-top:13.814223pt;width:473.05pt;height:197.8pt;mso-position-horizontal-relative:page;mso-position-vertical-relative:paragraph;z-index:1984;mso-wrap-distance-left:0;mso-wrap-distance-right:0" coordorigin="1277,276" coordsize="9461,3956">
            <v:line style="position:absolute" from="1388,4188" to="10569,4188" stroked="true" strokeweight=".48004pt" strokecolor="#4f81bc"/>
            <v:shape style="position:absolute;left:1334;top:4030;width:9370;height:202" type="#_x0000_t75" stroked="false">
              <v:imagedata r:id="rId60" o:title=""/>
            </v:shape>
            <v:line style="position:absolute" from="1379,4172" to="10577,4172" stroked="true" strokeweight="1.5pt" strokecolor="#585858"/>
            <v:shape style="position:absolute;left:1277;top:276;width:4478;height:3101" type="#_x0000_t75" stroked="false">
              <v:imagedata r:id="rId61" o:title=""/>
            </v:shape>
            <v:shape style="position:absolute;left:1440;top:3393;width:4207;height:669" type="#_x0000_t75" stroked="false">
              <v:imagedata r:id="rId62" o:title=""/>
            </v:shape>
            <v:shape style="position:absolute;left:6278;top:315;width:4459;height:3086" type="#_x0000_t75" stroked="false">
              <v:imagedata r:id="rId63" o:title=""/>
            </v:shape>
            <v:shape style="position:absolute;left:6496;top:3409;width:4170;height:652" type="#_x0000_t75" stroked="false">
              <v:imagedata r:id="rId64" o:title=""/>
            </v:shape>
            <v:shape style="position:absolute;left:1776;top:3492;width:3528;height:442" type="#_x0000_t202" filled="false" stroked="false">
              <v:textbox inset="0,0,0,0">
                <w:txbxContent>
                  <w:p>
                    <w:pPr>
                      <w:spacing w:line="206" w:lineRule="exact" w:before="0"/>
                      <w:ind w:left="0" w:right="0" w:firstLine="0"/>
                      <w:jc w:val="center"/>
                      <w:rPr>
                        <w:sz w:val="20"/>
                      </w:rPr>
                    </w:pPr>
                    <w:r>
                      <w:rPr>
                        <w:b/>
                        <w:sz w:val="20"/>
                      </w:rPr>
                      <w:t>Figura 9. </w:t>
                    </w:r>
                    <w:r>
                      <w:rPr>
                        <w:i/>
                        <w:sz w:val="20"/>
                      </w:rPr>
                      <w:t>NanoPhotometer Version 2.0</w:t>
                    </w:r>
                    <w:r>
                      <w:rPr>
                        <w:sz w:val="20"/>
                      </w:rPr>
                      <w:t>.</w:t>
                    </w:r>
                  </w:p>
                  <w:p>
                    <w:pPr>
                      <w:spacing w:line="226" w:lineRule="exact" w:before="10"/>
                      <w:ind w:left="8" w:right="0" w:firstLine="0"/>
                      <w:jc w:val="center"/>
                      <w:rPr>
                        <w:sz w:val="20"/>
                      </w:rPr>
                    </w:pPr>
                    <w:r>
                      <w:rPr>
                        <w:sz w:val="20"/>
                      </w:rPr>
                      <w:t>Fuente directa.</w:t>
                    </w:r>
                  </w:p>
                </w:txbxContent>
              </v:textbox>
              <w10:wrap type="none"/>
            </v:shape>
            <v:shape style="position:absolute;left:7112;top:3506;width:2947;height:437" type="#_x0000_t202" filled="false" stroked="false">
              <v:textbox inset="0,0,0,0">
                <w:txbxContent>
                  <w:p>
                    <w:pPr>
                      <w:spacing w:line="206" w:lineRule="exact" w:before="0"/>
                      <w:ind w:left="0" w:right="0" w:firstLine="0"/>
                      <w:jc w:val="center"/>
                      <w:rPr>
                        <w:i/>
                        <w:sz w:val="20"/>
                      </w:rPr>
                    </w:pPr>
                    <w:r>
                      <w:rPr>
                        <w:b/>
                        <w:sz w:val="20"/>
                      </w:rPr>
                      <w:t>Figura 10. </w:t>
                    </w:r>
                    <w:r>
                      <w:rPr>
                        <w:i/>
                        <w:sz w:val="20"/>
                      </w:rPr>
                      <w:t>Lectura de referencia.</w:t>
                    </w:r>
                  </w:p>
                  <w:p>
                    <w:pPr>
                      <w:spacing w:line="226" w:lineRule="exact" w:before="5"/>
                      <w:ind w:left="56" w:right="0" w:firstLine="0"/>
                      <w:jc w:val="center"/>
                      <w:rPr>
                        <w:sz w:val="20"/>
                      </w:rPr>
                    </w:pPr>
                    <w:r>
                      <w:rPr>
                        <w:sz w:val="20"/>
                      </w:rPr>
                      <w:t>Fuente directa.</w:t>
                    </w:r>
                  </w:p>
                </w:txbxContent>
              </v:textbox>
              <w10:wrap type="none"/>
            </v:shape>
            <w10:wrap type="topAndBottom"/>
          </v:group>
        </w:pict>
      </w:r>
    </w:p>
    <w:p>
      <w:pPr>
        <w:spacing w:after="0"/>
        <w:rPr>
          <w:sz w:val="20"/>
        </w:rPr>
        <w:sectPr>
          <w:footerReference w:type="default" r:id="rId59"/>
          <w:pgSz w:w="12240" w:h="15840"/>
          <w:pgMar w:footer="830" w:header="726" w:top="1340" w:bottom="1020" w:left="1160" w:right="1400"/>
          <w:pgNumType w:start="74"/>
        </w:sectPr>
      </w:pPr>
    </w:p>
    <w:p>
      <w:pPr>
        <w:pStyle w:val="BodyText"/>
        <w:spacing w:before="4"/>
        <w:rPr>
          <w:sz w:val="22"/>
        </w:rPr>
      </w:pPr>
    </w:p>
    <w:p>
      <w:pPr>
        <w:pStyle w:val="Heading2"/>
        <w:numPr>
          <w:ilvl w:val="2"/>
          <w:numId w:val="32"/>
        </w:numPr>
        <w:tabs>
          <w:tab w:pos="764" w:val="left" w:leader="none"/>
        </w:tabs>
        <w:spacing w:line="240" w:lineRule="auto" w:before="70" w:after="0"/>
        <w:ind w:left="763" w:right="0" w:hanging="567"/>
        <w:jc w:val="both"/>
      </w:pPr>
      <w:bookmarkStart w:name="_TOC_250017" w:id="49"/>
      <w:r>
        <w:rPr/>
        <w:t>Transcripción inversa (RNA a</w:t>
      </w:r>
      <w:r>
        <w:rPr>
          <w:spacing w:val="-26"/>
        </w:rPr>
        <w:t> </w:t>
      </w:r>
      <w:bookmarkEnd w:id="49"/>
      <w:r>
        <w:rPr/>
        <w:t>cDNA)</w:t>
      </w:r>
    </w:p>
    <w:p>
      <w:pPr>
        <w:pStyle w:val="BodyText"/>
        <w:spacing w:before="3"/>
        <w:rPr>
          <w:b/>
          <w:sz w:val="30"/>
        </w:rPr>
      </w:pPr>
    </w:p>
    <w:p>
      <w:pPr>
        <w:pStyle w:val="BodyText"/>
        <w:spacing w:line="360" w:lineRule="auto"/>
        <w:ind w:left="196" w:right="275"/>
        <w:jc w:val="both"/>
      </w:pPr>
      <w:r>
        <w:rPr/>
        <w:t>La transcripción inversa del mRNA total a cDNA se realizó mediante el Kit High Capacity RNA-to-cDNA (Applied Biosystems, Foster City, USA) y el termociclador  Life Express (Bioer, Hangzhou,</w:t>
      </w:r>
      <w:r>
        <w:rPr>
          <w:spacing w:val="-15"/>
        </w:rPr>
        <w:t> </w:t>
      </w:r>
      <w:r>
        <w:rPr/>
        <w:t>China).</w:t>
      </w:r>
    </w:p>
    <w:p>
      <w:pPr>
        <w:pStyle w:val="BodyText"/>
        <w:spacing w:line="355" w:lineRule="auto" w:before="2"/>
        <w:ind w:left="196" w:right="275"/>
        <w:jc w:val="both"/>
      </w:pPr>
      <w:r>
        <w:rPr/>
        <w:t>Para la unificación de la concentración de las muestras, y en base a las lecturas de cuantificación de RNA, se realizaron los siguientes cálculos:</w:t>
      </w:r>
    </w:p>
    <w:p>
      <w:pPr>
        <w:pStyle w:val="BodyText"/>
        <w:rPr>
          <w:sz w:val="20"/>
        </w:rPr>
      </w:pPr>
    </w:p>
    <w:p>
      <w:pPr>
        <w:pStyle w:val="BodyText"/>
        <w:spacing w:before="4"/>
        <w:rPr>
          <w:sz w:val="19"/>
        </w:rPr>
      </w:pPr>
      <w:r>
        <w:rPr/>
        <w:pict>
          <v:line style="position:absolute;mso-position-horizontal-relative:page;mso-position-vertical-relative:paragraph;z-index:2032;mso-wrap-distance-left:0;mso-wrap-distance-right:0" from="254.979996pt,13.483032pt" to="519.319996pt,13.483032pt" stroked="true" strokeweight=".72pt" strokecolor="#000000">
            <w10:wrap type="topAndBottom"/>
          </v:line>
        </w:pict>
      </w:r>
    </w:p>
    <w:p>
      <w:pPr>
        <w:pStyle w:val="BodyText"/>
        <w:rPr>
          <w:sz w:val="20"/>
        </w:rPr>
      </w:pPr>
    </w:p>
    <w:p>
      <w:pPr>
        <w:pStyle w:val="BodyText"/>
        <w:spacing w:before="6"/>
        <w:rPr>
          <w:sz w:val="21"/>
        </w:rPr>
      </w:pPr>
    </w:p>
    <w:p>
      <w:pPr>
        <w:spacing w:line="362" w:lineRule="auto" w:before="70"/>
        <w:ind w:left="196" w:right="538" w:firstLine="0"/>
        <w:jc w:val="left"/>
        <w:rPr>
          <w:sz w:val="24"/>
        </w:rPr>
      </w:pPr>
      <w:r>
        <w:rPr>
          <w:sz w:val="24"/>
        </w:rPr>
        <w:t>dónde la </w:t>
      </w:r>
      <w:r>
        <w:rPr>
          <w:i/>
          <w:sz w:val="24"/>
        </w:rPr>
        <w:t>Concentración de la muestra</w:t>
      </w:r>
      <w:r>
        <w:rPr>
          <w:sz w:val="24"/>
        </w:rPr>
        <w:t>= concentración en ng más baja de las muestras RNA, el </w:t>
      </w:r>
      <w:r>
        <w:rPr>
          <w:i/>
          <w:sz w:val="24"/>
        </w:rPr>
        <w:t>Volumen de muestra</w:t>
      </w:r>
      <w:r>
        <w:rPr>
          <w:sz w:val="24"/>
        </w:rPr>
        <w:t>= 9 </w:t>
      </w:r>
      <w:r>
        <w:rPr>
          <w:rFonts w:ascii="Symbol" w:hAnsi="Symbol"/>
          <w:sz w:val="24"/>
        </w:rPr>
        <w:t></w:t>
      </w:r>
      <w:r>
        <w:rPr>
          <w:sz w:val="24"/>
        </w:rPr>
        <w:t>L, y el </w:t>
      </w:r>
      <w:r>
        <w:rPr>
          <w:i/>
          <w:sz w:val="24"/>
        </w:rPr>
        <w:t>Volumen total</w:t>
      </w:r>
      <w:r>
        <w:rPr>
          <w:sz w:val="24"/>
        </w:rPr>
        <w:t>= 20 </w:t>
      </w:r>
      <w:r>
        <w:rPr>
          <w:rFonts w:ascii="Symbol" w:hAnsi="Symbol"/>
          <w:sz w:val="24"/>
        </w:rPr>
        <w:t></w:t>
      </w:r>
      <w:r>
        <w:rPr>
          <w:sz w:val="24"/>
        </w:rPr>
        <w:t>L totales.</w:t>
      </w:r>
    </w:p>
    <w:p>
      <w:pPr>
        <w:pStyle w:val="BodyText"/>
        <w:spacing w:line="360" w:lineRule="auto" w:before="201"/>
        <w:ind w:left="196"/>
      </w:pPr>
      <w:r>
        <w:rPr/>
        <w:t>Para obtener el volumen necesario de cada muestra, se realizaron los cálculos correspondientes:</w:t>
      </w:r>
    </w:p>
    <w:p>
      <w:pPr>
        <w:pStyle w:val="BodyText"/>
        <w:spacing w:before="11"/>
        <w:rPr>
          <w:sz w:val="20"/>
        </w:rPr>
      </w:pPr>
      <w:r>
        <w:rPr/>
        <w:pict>
          <v:line style="position:absolute;mso-position-horizontal-relative:page;mso-position-vertical-relative:paragraph;z-index:2056;mso-wrap-distance-left:0;mso-wrap-distance-right:0" from="236.259995pt,14.393895pt" to="487.159995pt,14.393895pt" stroked="true" strokeweight=".72pt" strokecolor="#000000">
            <w10:wrap type="topAndBottom"/>
          </v:line>
        </w:pict>
      </w:r>
    </w:p>
    <w:p>
      <w:pPr>
        <w:pStyle w:val="BodyText"/>
        <w:rPr>
          <w:sz w:val="20"/>
        </w:rPr>
      </w:pPr>
    </w:p>
    <w:p>
      <w:pPr>
        <w:pStyle w:val="BodyText"/>
        <w:spacing w:before="6"/>
        <w:rPr>
          <w:sz w:val="21"/>
        </w:rPr>
      </w:pPr>
    </w:p>
    <w:p>
      <w:pPr>
        <w:spacing w:before="70"/>
        <w:ind w:left="196" w:right="0" w:firstLine="0"/>
        <w:jc w:val="left"/>
        <w:rPr>
          <w:sz w:val="24"/>
        </w:rPr>
      </w:pPr>
      <w:r>
        <w:rPr>
          <w:sz w:val="24"/>
        </w:rPr>
        <w:t>dónde la </w:t>
      </w:r>
      <w:r>
        <w:rPr>
          <w:i/>
          <w:sz w:val="24"/>
        </w:rPr>
        <w:t>Concentración de la muestra x</w:t>
      </w:r>
      <w:r>
        <w:rPr>
          <w:sz w:val="24"/>
        </w:rPr>
        <w:t>= concentración en ng de cada muestra.</w:t>
      </w:r>
    </w:p>
    <w:p>
      <w:pPr>
        <w:pStyle w:val="BodyText"/>
        <w:spacing w:before="9"/>
        <w:rPr>
          <w:sz w:val="29"/>
        </w:rPr>
      </w:pPr>
    </w:p>
    <w:p>
      <w:pPr>
        <w:pStyle w:val="BodyText"/>
        <w:spacing w:line="360" w:lineRule="auto"/>
        <w:ind w:left="196" w:right="272"/>
      </w:pPr>
      <w:r>
        <w:rPr/>
        <w:t>Al obtener el </w:t>
      </w:r>
      <w:r>
        <w:rPr>
          <w:i/>
        </w:rPr>
        <w:t>Volumen de muestra x </w:t>
      </w:r>
      <w:r>
        <w:rPr/>
        <w:t>se calculó un volumen de agua inyectable (que fue complementario), de acuerdo con los cálculos correspondientes:</w:t>
      </w: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360" w:lineRule="auto" w:before="55"/>
        <w:ind w:left="196" w:right="274"/>
        <w:jc w:val="both"/>
      </w:pPr>
      <w:r>
        <w:rPr/>
        <w:t>Para cada muestra de RNA, en un tubo Gold PCR de 0.2 mL se colocaron 10 </w:t>
      </w:r>
      <w:r>
        <w:rPr>
          <w:rFonts w:ascii="Symbol" w:hAnsi="Symbol"/>
        </w:rPr>
        <w:t></w:t>
      </w:r>
      <w:r>
        <w:rPr/>
        <w:t>L de Buffer RT, 1 </w:t>
      </w:r>
      <w:r>
        <w:rPr>
          <w:rFonts w:ascii="Symbol" w:hAnsi="Symbol"/>
        </w:rPr>
        <w:t></w:t>
      </w:r>
      <w:r>
        <w:rPr/>
        <w:t>L de Enzima RT del Kit High Capacity RNA-to-cDNA (Applied Biosystems, Foster City, USA) que conformaron la Master Mix, y 9 </w:t>
      </w:r>
      <w:r>
        <w:rPr>
          <w:rFonts w:ascii="Symbol" w:hAnsi="Symbol"/>
        </w:rPr>
        <w:t></w:t>
      </w:r>
      <w:r>
        <w:rPr/>
        <w:t>L de RNA/agua de acuerdo con los cálculos mencionados anteriormente; el compuesto (Master Mix/RNA/agua) se homogeneizó en una microcentrífuga hasta alcanzar 8000 rpm.</w:t>
      </w:r>
    </w:p>
    <w:p>
      <w:pPr>
        <w:pStyle w:val="BodyText"/>
        <w:spacing w:line="357" w:lineRule="auto" w:before="209"/>
        <w:ind w:left="196" w:right="290"/>
        <w:jc w:val="both"/>
      </w:pPr>
      <w:r>
        <w:rPr/>
        <w:t>Posteriormente se colocaron todos los tubos Gold PCR, con el compuesto ya preparado, en el termociclador Life Express, el cual se programó con tres ciclos: 1) sesenta minutos a 37°C, 2) cinco minutos a 95°C, y 3) diez minutos a 4°C.</w:t>
      </w:r>
    </w:p>
    <w:p>
      <w:pPr>
        <w:spacing w:after="0" w:line="357" w:lineRule="auto"/>
        <w:jc w:val="both"/>
        <w:sectPr>
          <w:footerReference w:type="default" r:id="rId65"/>
          <w:pgSz w:w="12240" w:h="15840"/>
          <w:pgMar w:footer="1031" w:header="726" w:top="1340" w:bottom="1220" w:left="1220" w:right="1420"/>
          <w:pgNumType w:start="75"/>
        </w:sectPr>
      </w:pPr>
    </w:p>
    <w:p>
      <w:pPr>
        <w:pStyle w:val="BodyText"/>
        <w:spacing w:before="4"/>
        <w:rPr>
          <w:sz w:val="22"/>
        </w:rPr>
      </w:pPr>
    </w:p>
    <w:p>
      <w:pPr>
        <w:pStyle w:val="Heading2"/>
        <w:numPr>
          <w:ilvl w:val="2"/>
          <w:numId w:val="32"/>
        </w:numPr>
        <w:tabs>
          <w:tab w:pos="917" w:val="left" w:leader="none"/>
        </w:tabs>
        <w:spacing w:line="240" w:lineRule="auto" w:before="70" w:after="0"/>
        <w:ind w:left="917" w:right="0" w:hanging="721"/>
        <w:jc w:val="both"/>
      </w:pPr>
      <w:bookmarkStart w:name="_TOC_250016" w:id="50"/>
      <w:r>
        <w:rPr/>
        <w:t>Reacción en cadena de la polimerasa</w:t>
      </w:r>
      <w:r>
        <w:rPr>
          <w:spacing w:val="-21"/>
        </w:rPr>
        <w:t> </w:t>
      </w:r>
      <w:bookmarkEnd w:id="50"/>
      <w:r>
        <w:rPr/>
        <w:t>(RT-qPCR)</w:t>
      </w:r>
    </w:p>
    <w:p>
      <w:pPr>
        <w:pStyle w:val="BodyText"/>
        <w:spacing w:before="3"/>
        <w:rPr>
          <w:b/>
          <w:sz w:val="30"/>
        </w:rPr>
      </w:pPr>
    </w:p>
    <w:p>
      <w:pPr>
        <w:pStyle w:val="BodyText"/>
        <w:spacing w:line="357" w:lineRule="auto"/>
        <w:ind w:left="196" w:right="275"/>
        <w:jc w:val="both"/>
      </w:pPr>
      <w:r>
        <w:rPr/>
        <w:t>La RT-qPCR se realizó utilizando la TaqMan® Universal Master Mix II, No UNG (Applied Biosystems, California, USA), un ensayo Fc</w:t>
      </w:r>
      <w:r>
        <w:rPr>
          <w:rFonts w:ascii="Symbol" w:hAnsi="Symbol"/>
        </w:rPr>
        <w:t></w:t>
      </w:r>
      <w:r>
        <w:rPr/>
        <w:t>R (Hs00370197_m1), un ensayo Fc</w:t>
      </w:r>
      <w:r>
        <w:rPr>
          <w:rFonts w:ascii="Symbol" w:hAnsi="Symbol"/>
        </w:rPr>
        <w:t></w:t>
      </w:r>
      <w:r>
        <w:rPr/>
        <w:t>R (Hs01049679_m1), un ensayo Fc</w:t>
      </w:r>
      <w:r>
        <w:rPr>
          <w:rFonts w:ascii="Symbol" w:hAnsi="Symbol"/>
        </w:rPr>
        <w:t></w:t>
      </w:r>
      <w:r>
        <w:rPr/>
        <w:t>RIIB (Hs00269610_m1), y un gen constitutivo 18s (Hs99999901_s1) (Applied Biosystems, California, USA) (Figura 11).</w:t>
      </w:r>
    </w:p>
    <w:p>
      <w:pPr>
        <w:pStyle w:val="BodyText"/>
        <w:spacing w:before="5"/>
        <w:rPr>
          <w:sz w:val="19"/>
        </w:rPr>
      </w:pPr>
      <w:r>
        <w:rPr/>
        <w:drawing>
          <wp:anchor distT="0" distB="0" distL="0" distR="0" allowOverlap="1" layoutInCell="1" locked="0" behindDoc="0" simplePos="0" relativeHeight="2080">
            <wp:simplePos x="0" y="0"/>
            <wp:positionH relativeFrom="page">
              <wp:posOffset>2465832</wp:posOffset>
            </wp:positionH>
            <wp:positionV relativeFrom="paragraph">
              <wp:posOffset>166852</wp:posOffset>
            </wp:positionV>
            <wp:extent cx="2868167" cy="1965960"/>
            <wp:effectExtent l="0" t="0" r="0" b="0"/>
            <wp:wrapTopAndBottom/>
            <wp:docPr id="45" name="image41.png" descr=""/>
            <wp:cNvGraphicFramePr>
              <a:graphicFrameLocks noChangeAspect="1"/>
            </wp:cNvGraphicFramePr>
            <a:graphic>
              <a:graphicData uri="http://schemas.openxmlformats.org/drawingml/2006/picture">
                <pic:pic>
                  <pic:nvPicPr>
                    <pic:cNvPr id="46" name="image41.png"/>
                    <pic:cNvPicPr/>
                  </pic:nvPicPr>
                  <pic:blipFill>
                    <a:blip r:embed="rId66" cstate="print"/>
                    <a:stretch>
                      <a:fillRect/>
                    </a:stretch>
                  </pic:blipFill>
                  <pic:spPr>
                    <a:xfrm>
                      <a:off x="0" y="0"/>
                      <a:ext cx="2868167" cy="1965960"/>
                    </a:xfrm>
                    <a:prstGeom prst="rect">
                      <a:avLst/>
                    </a:prstGeom>
                  </pic:spPr>
                </pic:pic>
              </a:graphicData>
            </a:graphic>
          </wp:anchor>
        </w:drawing>
      </w:r>
      <w:r>
        <w:rPr/>
        <w:pict>
          <v:group style="position:absolute;margin-left:211.440002pt;margin-top:176.817993pt;width:203.8pt;height:38.8pt;mso-position-horizontal-relative:page;mso-position-vertical-relative:paragraph;z-index:2128;mso-wrap-distance-left:0;mso-wrap-distance-right:0" coordorigin="4229,3536" coordsize="4076,776">
            <v:shape style="position:absolute;left:4229;top:3536;width:4075;height:758" type="#_x0000_t75" stroked="false">
              <v:imagedata r:id="rId67" o:title=""/>
            </v:shape>
            <v:shape style="position:absolute;left:4229;top:3536;width:4076;height:776" type="#_x0000_t202" filled="false" stroked="false">
              <v:textbox inset="0,0,0,0">
                <w:txbxContent>
                  <w:p>
                    <w:pPr>
                      <w:spacing w:line="259" w:lineRule="auto" w:before="0"/>
                      <w:ind w:left="266" w:right="256" w:hanging="4"/>
                      <w:jc w:val="center"/>
                      <w:rPr>
                        <w:sz w:val="20"/>
                      </w:rPr>
                    </w:pPr>
                    <w:r>
                      <w:rPr>
                        <w:b/>
                        <w:sz w:val="20"/>
                      </w:rPr>
                      <w:t>Figura 11. </w:t>
                    </w:r>
                    <w:r>
                      <w:rPr>
                        <w:i/>
                        <w:sz w:val="20"/>
                      </w:rPr>
                      <w:t>TaqMan® Universal Master </w:t>
                    </w:r>
                    <w:r>
                      <w:rPr>
                        <w:i/>
                        <w:sz w:val="20"/>
                      </w:rPr>
                      <w:t>Mix </w:t>
                    </w:r>
                    <w:r>
                      <w:rPr>
                        <w:i/>
                        <w:spacing w:val="-3"/>
                        <w:sz w:val="20"/>
                      </w:rPr>
                      <w:t>II</w:t>
                    </w:r>
                    <w:r>
                      <w:rPr>
                        <w:i/>
                        <w:spacing w:val="-3"/>
                        <w:sz w:val="20"/>
                        <w:shd w:fill="FFFFFF" w:color="auto" w:val="clear"/>
                      </w:rPr>
                      <w:t>, </w:t>
                    </w:r>
                    <w:r>
                      <w:rPr>
                        <w:i/>
                        <w:sz w:val="20"/>
                        <w:shd w:fill="FFFFFF" w:color="auto" w:val="clear"/>
                      </w:rPr>
                      <w:t>No UNG; Ensayos </w:t>
                    </w:r>
                    <w:r>
                      <w:rPr>
                        <w:i/>
                        <w:sz w:val="20"/>
                      </w:rPr>
                      <w:t>Fc</w:t>
                    </w:r>
                    <w:r>
                      <w:rPr>
                        <w:rFonts w:ascii="Symbol" w:hAnsi="Symbol"/>
                        <w:i/>
                        <w:sz w:val="21"/>
                      </w:rPr>
                      <w:t></w:t>
                    </w:r>
                    <w:r>
                      <w:rPr>
                        <w:i/>
                        <w:sz w:val="20"/>
                      </w:rPr>
                      <w:t>R, Fc</w:t>
                    </w:r>
                    <w:r>
                      <w:rPr>
                        <w:rFonts w:ascii="Symbol" w:hAnsi="Symbol"/>
                        <w:i/>
                        <w:sz w:val="21"/>
                      </w:rPr>
                      <w:t></w:t>
                    </w:r>
                    <w:r>
                      <w:rPr>
                        <w:i/>
                        <w:sz w:val="20"/>
                      </w:rPr>
                      <w:t>R, </w:t>
                    </w:r>
                    <w:r>
                      <w:rPr>
                        <w:i/>
                        <w:sz w:val="20"/>
                      </w:rPr>
                      <w:t>Fc</w:t>
                    </w:r>
                    <w:r>
                      <w:rPr>
                        <w:rFonts w:ascii="Symbol" w:hAnsi="Symbol"/>
                        <w:i/>
                        <w:sz w:val="21"/>
                      </w:rPr>
                      <w:t></w:t>
                    </w:r>
                    <w:r>
                      <w:rPr>
                        <w:i/>
                        <w:sz w:val="20"/>
                      </w:rPr>
                      <w:t>RIIB, y 18s. </w:t>
                    </w:r>
                    <w:r>
                      <w:rPr>
                        <w:sz w:val="20"/>
                      </w:rPr>
                      <w:t>Fuente directa.</w:t>
                    </w:r>
                  </w:p>
                </w:txbxContent>
              </v:textbox>
              <w10:wrap type="none"/>
            </v:shape>
            <w10:wrap type="topAndBottom"/>
          </v:group>
        </w:pict>
      </w:r>
    </w:p>
    <w:p>
      <w:pPr>
        <w:pStyle w:val="BodyText"/>
        <w:spacing w:before="6"/>
        <w:rPr>
          <w:sz w:val="9"/>
        </w:rPr>
      </w:pPr>
    </w:p>
    <w:p>
      <w:pPr>
        <w:pStyle w:val="BodyText"/>
      </w:pPr>
    </w:p>
    <w:p>
      <w:pPr>
        <w:pStyle w:val="BodyText"/>
        <w:spacing w:before="2"/>
        <w:rPr>
          <w:sz w:val="27"/>
        </w:rPr>
      </w:pPr>
    </w:p>
    <w:p>
      <w:pPr>
        <w:pStyle w:val="BodyText"/>
        <w:spacing w:line="360" w:lineRule="auto" w:before="1"/>
        <w:ind w:left="196" w:right="274"/>
        <w:jc w:val="both"/>
      </w:pPr>
      <w:r>
        <w:rPr/>
        <w:t>Para la elaboración de la Master Mix de cada ensayo, se colocaron 10 </w:t>
      </w:r>
      <w:r>
        <w:rPr>
          <w:rFonts w:ascii="Symbol" w:hAnsi="Symbol"/>
        </w:rPr>
        <w:t></w:t>
      </w:r>
      <w:r>
        <w:rPr/>
        <w:t>L de TaqMan® Universal Master Mix II y 1 </w:t>
      </w:r>
      <w:r>
        <w:rPr>
          <w:rFonts w:ascii="Symbol" w:hAnsi="Symbol"/>
        </w:rPr>
        <w:t></w:t>
      </w:r>
      <w:r>
        <w:rPr/>
        <w:t>L de TaqMan Assay (Fc</w:t>
      </w:r>
      <w:r>
        <w:rPr>
          <w:rFonts w:ascii="Symbol" w:hAnsi="Symbol"/>
        </w:rPr>
        <w:t></w:t>
      </w:r>
      <w:r>
        <w:rPr/>
        <w:t>R, Fc</w:t>
      </w:r>
      <w:r>
        <w:rPr>
          <w:rFonts w:ascii="Symbol" w:hAnsi="Symbol"/>
        </w:rPr>
        <w:t></w:t>
      </w:r>
      <w:r>
        <w:rPr/>
        <w:t>R, Fc</w:t>
      </w:r>
      <w:r>
        <w:rPr>
          <w:rFonts w:ascii="Symbol" w:hAnsi="Symbol"/>
        </w:rPr>
        <w:t></w:t>
      </w:r>
      <w:r>
        <w:rPr/>
        <w:t>RIIB o 18s) en un tubo Gold PCR de 0.2 mL, por cada muestra de cDNA, y se homogeneizó el compuesto en la microcentrífuga hasta alcanzar 3000 rpm.</w:t>
      </w:r>
    </w:p>
    <w:p>
      <w:pPr>
        <w:pStyle w:val="BodyText"/>
        <w:spacing w:line="360" w:lineRule="auto" w:before="209"/>
        <w:ind w:left="196" w:right="278"/>
        <w:jc w:val="both"/>
      </w:pPr>
      <w:r>
        <w:rPr/>
        <w:t>Posteriormente, en una placa de reacción MicroAmp® Fast (Applied Biosystems, Foster City, USA) se colocaron las Master Mix anteriormente preparadas, las muestras de cDNA y un volumen de agua. El </w:t>
      </w:r>
      <w:r>
        <w:rPr>
          <w:i/>
        </w:rPr>
        <w:t>volumen de concentración </w:t>
      </w:r>
      <w:r>
        <w:rPr/>
        <w:t>de cDNA a utilizar se basó en la concentración de mRNA en el procedimiento de transcripción inversa, de esta manera se unificó la concentración de cDNA de todas las muestras; la </w:t>
      </w:r>
      <w:r>
        <w:rPr>
          <w:i/>
        </w:rPr>
        <w:t>concentración de agua </w:t>
      </w:r>
      <w:r>
        <w:rPr/>
        <w:t>complementaria a la concentración de cDNA se obtuvo de igual manera.</w:t>
      </w:r>
    </w:p>
    <w:p>
      <w:pPr>
        <w:spacing w:after="0" w:line="360" w:lineRule="auto"/>
        <w:jc w:val="both"/>
        <w:sectPr>
          <w:pgSz w:w="12240" w:h="15840"/>
          <w:pgMar w:header="726" w:footer="1031" w:top="1340" w:bottom="1220" w:left="1220" w:right="1420"/>
        </w:sectPr>
      </w:pPr>
    </w:p>
    <w:p>
      <w:pPr>
        <w:pStyle w:val="BodyText"/>
        <w:spacing w:before="3"/>
      </w:pPr>
    </w:p>
    <w:p>
      <w:pPr>
        <w:pStyle w:val="BodyText"/>
        <w:spacing w:line="360" w:lineRule="auto" w:before="56"/>
        <w:ind w:left="216" w:right="276"/>
        <w:jc w:val="both"/>
      </w:pPr>
      <w:r>
        <w:rPr/>
        <w:pict>
          <v:group style="position:absolute;margin-left:139.850006pt;margin-top:144.504456pt;width:16.25pt;height:50.6pt;mso-position-horizontal-relative:page;mso-position-vertical-relative:paragraph;z-index:-174880" coordorigin="2797,2890" coordsize="325,1012">
            <v:shape style="position:absolute;left:2817;top:2910;width:285;height:972" coordorigin="2817,2910" coordsize="285,972" path="m3102,3740l2817,3740,2959,3882,3102,3740xm3031,2910l2888,2910,2888,3740,3031,3740,3031,2910xe" filled="true" fillcolor="#4f81bc" stroked="false">
              <v:path arrowok="t"/>
              <v:fill type="solid"/>
            </v:shape>
            <v:shape style="position:absolute;left:2817;top:2910;width:285;height:972" coordorigin="2817,2910" coordsize="285,972" path="m2817,3740l2888,3740,2888,2910,3031,2910,3031,3740,3102,3740,2959,3882,2817,3740xe" filled="false" stroked="true" strokeweight="2pt" strokecolor="#385d89">
              <v:path arrowok="t"/>
            </v:shape>
            <w10:wrap type="none"/>
          </v:group>
        </w:pict>
      </w:r>
      <w:r>
        <w:rPr/>
        <w:t>En un pocillo de la placa de reacción MicroAmp® Fast, se colocaron 11 </w:t>
      </w:r>
      <w:r>
        <w:rPr>
          <w:rFonts w:ascii="Symbol" w:hAnsi="Symbol"/>
        </w:rPr>
        <w:t></w:t>
      </w:r>
      <w:r>
        <w:rPr/>
        <w:t>L de una Master Mix y se añadió 9 </w:t>
      </w:r>
      <w:r>
        <w:rPr>
          <w:rFonts w:ascii="Symbol" w:hAnsi="Symbol"/>
        </w:rPr>
        <w:t></w:t>
      </w:r>
      <w:r>
        <w:rPr/>
        <w:t>L del compuesto cDNA/agua. El diagrama de distribución es el siguiente:</w:t>
      </w:r>
    </w:p>
    <w:p>
      <w:pPr>
        <w:pStyle w:val="BodyText"/>
        <w:spacing w:before="5"/>
        <w:rPr>
          <w:sz w:val="20"/>
        </w:rPr>
      </w:pPr>
      <w:r>
        <w:rPr/>
        <w:pict>
          <v:group style="position:absolute;margin-left:131.759995pt;margin-top:13.733935pt;width:144.65pt;height:18.75pt;mso-position-horizontal-relative:page;mso-position-vertical-relative:paragraph;z-index:2176;mso-wrap-distance-left:0;mso-wrap-distance-right:0" coordorigin="2635,275" coordsize="2893,375">
            <v:shape style="position:absolute;left:2635;top:299;width:1939;height:350" type="#_x0000_t75" stroked="false">
              <v:imagedata r:id="rId68" o:title=""/>
            </v:shape>
            <v:shape style="position:absolute;left:4100;top:295;width:1408;height:316" coordorigin="4100,295" coordsize="1408,316" path="m5350,295l5350,374,4100,374,4100,532,5350,532,5350,611,5508,453,5350,295xe" filled="true" fillcolor="#4f81bc" stroked="false">
              <v:path arrowok="t"/>
              <v:fill type="solid"/>
            </v:shape>
            <v:shape style="position:absolute;left:4100;top:295;width:1408;height:316" coordorigin="4100,295" coordsize="1408,316" path="m4100,374l5350,374,5350,295,5508,453,5350,611,5350,532,4100,532,4100,374xe" filled="false" stroked="true" strokeweight="2pt" strokecolor="#385d89">
              <v:path arrowok="t"/>
            </v:shape>
            <v:shape style="position:absolute;left:2635;top:275;width:2893;height:375" type="#_x0000_t202" filled="false" stroked="false">
              <v:textbox inset="0,0,0,0">
                <w:txbxContent>
                  <w:p>
                    <w:pPr>
                      <w:spacing w:before="16"/>
                      <w:ind w:left="145" w:right="0" w:firstLine="0"/>
                      <w:jc w:val="left"/>
                      <w:rPr>
                        <w:sz w:val="24"/>
                      </w:rPr>
                    </w:pPr>
                    <w:r>
                      <w:rPr>
                        <w:sz w:val="24"/>
                      </w:rPr>
                      <w:t>Master Mix</w:t>
                    </w:r>
                  </w:p>
                </w:txbxContent>
              </v:textbox>
              <w10:wrap type="none"/>
            </v:shape>
            <w10:wrap type="topAndBottom"/>
          </v:group>
        </w:pict>
      </w:r>
    </w:p>
    <w:p>
      <w:pPr>
        <w:pStyle w:val="BodyText"/>
        <w:spacing w:before="7"/>
        <w:rPr>
          <w:sz w:val="4"/>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0"/>
        <w:gridCol w:w="658"/>
        <w:gridCol w:w="845"/>
        <w:gridCol w:w="763"/>
        <w:gridCol w:w="505"/>
        <w:gridCol w:w="662"/>
        <w:gridCol w:w="840"/>
        <w:gridCol w:w="763"/>
        <w:gridCol w:w="509"/>
        <w:gridCol w:w="658"/>
        <w:gridCol w:w="845"/>
        <w:gridCol w:w="764"/>
        <w:gridCol w:w="504"/>
      </w:tblGrid>
      <w:tr>
        <w:trPr>
          <w:trHeight w:val="653" w:hRule="exact"/>
        </w:trPr>
        <w:tc>
          <w:tcPr>
            <w:tcW w:w="360" w:type="dxa"/>
          </w:tcPr>
          <w:p>
            <w:pPr/>
          </w:p>
        </w:tc>
        <w:tc>
          <w:tcPr>
            <w:tcW w:w="658" w:type="dxa"/>
          </w:tcPr>
          <w:p>
            <w:pPr>
              <w:pStyle w:val="TableParagraph"/>
              <w:spacing w:line="197" w:lineRule="exact"/>
              <w:ind w:left="105"/>
              <w:rPr>
                <w:sz w:val="18"/>
              </w:rPr>
            </w:pPr>
            <w:r>
              <w:rPr>
                <w:w w:val="101"/>
                <w:sz w:val="18"/>
              </w:rPr>
              <w:t>1</w:t>
            </w:r>
          </w:p>
          <w:p>
            <w:pPr>
              <w:pStyle w:val="TableParagraph"/>
              <w:spacing w:before="107"/>
              <w:ind w:left="105"/>
              <w:rPr>
                <w:sz w:val="18"/>
              </w:rPr>
            </w:pPr>
            <w:r>
              <w:rPr>
                <w:sz w:val="18"/>
              </w:rPr>
              <w:t>Fc</w:t>
            </w:r>
            <w:r>
              <w:rPr>
                <w:rFonts w:ascii="Symbol" w:hAnsi="Symbol"/>
                <w:sz w:val="18"/>
              </w:rPr>
              <w:t></w:t>
            </w:r>
            <w:r>
              <w:rPr>
                <w:sz w:val="18"/>
              </w:rPr>
              <w:t>R</w:t>
            </w:r>
          </w:p>
        </w:tc>
        <w:tc>
          <w:tcPr>
            <w:tcW w:w="845" w:type="dxa"/>
          </w:tcPr>
          <w:p>
            <w:pPr>
              <w:pStyle w:val="TableParagraph"/>
              <w:spacing w:line="197" w:lineRule="exact"/>
              <w:ind w:left="105"/>
              <w:rPr>
                <w:sz w:val="18"/>
              </w:rPr>
            </w:pPr>
            <w:r>
              <w:rPr>
                <w:w w:val="101"/>
                <w:sz w:val="18"/>
              </w:rPr>
              <w:t>2</w:t>
            </w:r>
          </w:p>
          <w:p>
            <w:pPr>
              <w:pStyle w:val="TableParagraph"/>
              <w:spacing w:before="107"/>
              <w:ind w:left="105"/>
              <w:rPr>
                <w:sz w:val="18"/>
              </w:rPr>
            </w:pPr>
            <w:r>
              <w:rPr>
                <w:sz w:val="18"/>
              </w:rPr>
              <w:t>Fc</w:t>
            </w:r>
            <w:r>
              <w:rPr>
                <w:rFonts w:ascii="Symbol" w:hAnsi="Symbol"/>
                <w:sz w:val="18"/>
              </w:rPr>
              <w:t></w:t>
            </w:r>
            <w:r>
              <w:rPr>
                <w:sz w:val="18"/>
              </w:rPr>
              <w:t>RIIB</w:t>
            </w:r>
          </w:p>
        </w:tc>
        <w:tc>
          <w:tcPr>
            <w:tcW w:w="763" w:type="dxa"/>
          </w:tcPr>
          <w:p>
            <w:pPr>
              <w:pStyle w:val="TableParagraph"/>
              <w:spacing w:line="197" w:lineRule="exact"/>
              <w:ind w:left="100"/>
              <w:rPr>
                <w:sz w:val="18"/>
              </w:rPr>
            </w:pPr>
            <w:r>
              <w:rPr>
                <w:w w:val="101"/>
                <w:sz w:val="18"/>
              </w:rPr>
              <w:t>3</w:t>
            </w:r>
          </w:p>
          <w:p>
            <w:pPr>
              <w:pStyle w:val="TableParagraph"/>
              <w:spacing w:before="107"/>
              <w:ind w:left="100"/>
              <w:rPr>
                <w:sz w:val="18"/>
              </w:rPr>
            </w:pPr>
            <w:r>
              <w:rPr>
                <w:sz w:val="18"/>
              </w:rPr>
              <w:t>Fc</w:t>
            </w:r>
            <w:r>
              <w:rPr>
                <w:rFonts w:ascii="Symbol" w:hAnsi="Symbol"/>
                <w:sz w:val="18"/>
              </w:rPr>
              <w:t></w:t>
            </w:r>
            <w:r>
              <w:rPr>
                <w:sz w:val="18"/>
              </w:rPr>
              <w:t>R</w:t>
            </w:r>
          </w:p>
        </w:tc>
        <w:tc>
          <w:tcPr>
            <w:tcW w:w="505" w:type="dxa"/>
          </w:tcPr>
          <w:p>
            <w:pPr>
              <w:pStyle w:val="TableParagraph"/>
              <w:spacing w:line="197" w:lineRule="exact"/>
              <w:ind w:left="105"/>
              <w:rPr>
                <w:sz w:val="18"/>
              </w:rPr>
            </w:pPr>
            <w:r>
              <w:rPr>
                <w:w w:val="101"/>
                <w:sz w:val="18"/>
              </w:rPr>
              <w:t>4</w:t>
            </w:r>
          </w:p>
          <w:p>
            <w:pPr>
              <w:pStyle w:val="TableParagraph"/>
              <w:spacing w:before="105"/>
              <w:ind w:left="105"/>
              <w:rPr>
                <w:sz w:val="18"/>
              </w:rPr>
            </w:pPr>
            <w:r>
              <w:rPr>
                <w:sz w:val="18"/>
              </w:rPr>
              <w:t>18s</w:t>
            </w:r>
          </w:p>
        </w:tc>
        <w:tc>
          <w:tcPr>
            <w:tcW w:w="662" w:type="dxa"/>
          </w:tcPr>
          <w:p>
            <w:pPr>
              <w:pStyle w:val="TableParagraph"/>
              <w:spacing w:line="197" w:lineRule="exact"/>
              <w:ind w:left="105"/>
              <w:rPr>
                <w:sz w:val="18"/>
              </w:rPr>
            </w:pPr>
            <w:r>
              <w:rPr>
                <w:w w:val="101"/>
                <w:sz w:val="18"/>
              </w:rPr>
              <w:t>5</w:t>
            </w:r>
          </w:p>
          <w:p>
            <w:pPr>
              <w:pStyle w:val="TableParagraph"/>
              <w:spacing w:before="107"/>
              <w:ind w:left="105"/>
              <w:rPr>
                <w:sz w:val="18"/>
              </w:rPr>
            </w:pPr>
            <w:r>
              <w:rPr>
                <w:sz w:val="18"/>
              </w:rPr>
              <w:t>Fc</w:t>
            </w:r>
            <w:r>
              <w:rPr>
                <w:rFonts w:ascii="Symbol" w:hAnsi="Symbol"/>
                <w:sz w:val="18"/>
              </w:rPr>
              <w:t></w:t>
            </w:r>
            <w:r>
              <w:rPr>
                <w:sz w:val="18"/>
              </w:rPr>
              <w:t>R</w:t>
            </w:r>
          </w:p>
        </w:tc>
        <w:tc>
          <w:tcPr>
            <w:tcW w:w="840" w:type="dxa"/>
          </w:tcPr>
          <w:p>
            <w:pPr>
              <w:pStyle w:val="TableParagraph"/>
              <w:spacing w:line="197" w:lineRule="exact"/>
              <w:ind w:left="105"/>
              <w:rPr>
                <w:sz w:val="18"/>
              </w:rPr>
            </w:pPr>
            <w:r>
              <w:rPr>
                <w:w w:val="101"/>
                <w:sz w:val="18"/>
              </w:rPr>
              <w:t>6</w:t>
            </w:r>
          </w:p>
          <w:p>
            <w:pPr>
              <w:pStyle w:val="TableParagraph"/>
              <w:spacing w:before="107"/>
              <w:ind w:left="105"/>
              <w:rPr>
                <w:sz w:val="18"/>
              </w:rPr>
            </w:pPr>
            <w:r>
              <w:rPr>
                <w:sz w:val="18"/>
              </w:rPr>
              <w:t>Fc</w:t>
            </w:r>
            <w:r>
              <w:rPr>
                <w:rFonts w:ascii="Symbol" w:hAnsi="Symbol"/>
                <w:sz w:val="18"/>
              </w:rPr>
              <w:t></w:t>
            </w:r>
            <w:r>
              <w:rPr>
                <w:sz w:val="18"/>
              </w:rPr>
              <w:t>RIIB</w:t>
            </w:r>
          </w:p>
        </w:tc>
        <w:tc>
          <w:tcPr>
            <w:tcW w:w="763" w:type="dxa"/>
          </w:tcPr>
          <w:p>
            <w:pPr>
              <w:pStyle w:val="TableParagraph"/>
              <w:spacing w:line="197" w:lineRule="exact"/>
              <w:ind w:left="105"/>
              <w:rPr>
                <w:sz w:val="18"/>
              </w:rPr>
            </w:pPr>
            <w:r>
              <w:rPr>
                <w:w w:val="101"/>
                <w:sz w:val="18"/>
              </w:rPr>
              <w:t>7</w:t>
            </w:r>
          </w:p>
          <w:p>
            <w:pPr>
              <w:pStyle w:val="TableParagraph"/>
              <w:spacing w:before="107"/>
              <w:ind w:left="105"/>
              <w:rPr>
                <w:sz w:val="18"/>
              </w:rPr>
            </w:pPr>
            <w:r>
              <w:rPr>
                <w:sz w:val="18"/>
              </w:rPr>
              <w:t>Fc</w:t>
            </w:r>
            <w:r>
              <w:rPr>
                <w:rFonts w:ascii="Symbol" w:hAnsi="Symbol"/>
                <w:sz w:val="18"/>
              </w:rPr>
              <w:t></w:t>
            </w:r>
            <w:r>
              <w:rPr>
                <w:sz w:val="18"/>
              </w:rPr>
              <w:t>R</w:t>
            </w:r>
          </w:p>
        </w:tc>
        <w:tc>
          <w:tcPr>
            <w:tcW w:w="509" w:type="dxa"/>
          </w:tcPr>
          <w:p>
            <w:pPr>
              <w:pStyle w:val="TableParagraph"/>
              <w:spacing w:line="197" w:lineRule="exact"/>
              <w:ind w:left="105"/>
              <w:rPr>
                <w:sz w:val="18"/>
              </w:rPr>
            </w:pPr>
            <w:r>
              <w:rPr>
                <w:w w:val="101"/>
                <w:sz w:val="18"/>
              </w:rPr>
              <w:t>8</w:t>
            </w:r>
          </w:p>
          <w:p>
            <w:pPr>
              <w:pStyle w:val="TableParagraph"/>
              <w:spacing w:before="105"/>
              <w:ind w:left="105"/>
              <w:rPr>
                <w:sz w:val="18"/>
              </w:rPr>
            </w:pPr>
            <w:r>
              <w:rPr>
                <w:sz w:val="18"/>
              </w:rPr>
              <w:t>18s</w:t>
            </w:r>
          </w:p>
        </w:tc>
        <w:tc>
          <w:tcPr>
            <w:tcW w:w="658" w:type="dxa"/>
          </w:tcPr>
          <w:p>
            <w:pPr>
              <w:pStyle w:val="TableParagraph"/>
              <w:spacing w:line="197" w:lineRule="exact"/>
              <w:ind w:left="105"/>
              <w:rPr>
                <w:sz w:val="18"/>
              </w:rPr>
            </w:pPr>
            <w:r>
              <w:rPr>
                <w:w w:val="101"/>
                <w:sz w:val="18"/>
              </w:rPr>
              <w:t>9</w:t>
            </w:r>
          </w:p>
          <w:p>
            <w:pPr>
              <w:pStyle w:val="TableParagraph"/>
              <w:spacing w:before="107"/>
              <w:ind w:left="105"/>
              <w:rPr>
                <w:sz w:val="18"/>
              </w:rPr>
            </w:pPr>
            <w:r>
              <w:rPr>
                <w:sz w:val="18"/>
              </w:rPr>
              <w:t>Fc</w:t>
            </w:r>
            <w:r>
              <w:rPr>
                <w:rFonts w:ascii="Symbol" w:hAnsi="Symbol"/>
                <w:sz w:val="18"/>
              </w:rPr>
              <w:t></w:t>
            </w:r>
            <w:r>
              <w:rPr>
                <w:sz w:val="18"/>
              </w:rPr>
              <w:t>R</w:t>
            </w:r>
          </w:p>
        </w:tc>
        <w:tc>
          <w:tcPr>
            <w:tcW w:w="845" w:type="dxa"/>
          </w:tcPr>
          <w:p>
            <w:pPr>
              <w:pStyle w:val="TableParagraph"/>
              <w:spacing w:line="197" w:lineRule="exact"/>
              <w:ind w:left="105"/>
              <w:rPr>
                <w:sz w:val="18"/>
              </w:rPr>
            </w:pPr>
            <w:r>
              <w:rPr>
                <w:sz w:val="18"/>
              </w:rPr>
              <w:t>10</w:t>
            </w:r>
          </w:p>
          <w:p>
            <w:pPr>
              <w:pStyle w:val="TableParagraph"/>
              <w:spacing w:before="107"/>
              <w:ind w:left="105"/>
              <w:rPr>
                <w:sz w:val="18"/>
              </w:rPr>
            </w:pPr>
            <w:r>
              <w:rPr>
                <w:sz w:val="18"/>
              </w:rPr>
              <w:t>Fc</w:t>
            </w:r>
            <w:r>
              <w:rPr>
                <w:rFonts w:ascii="Symbol" w:hAnsi="Symbol"/>
                <w:sz w:val="18"/>
              </w:rPr>
              <w:t></w:t>
            </w:r>
            <w:r>
              <w:rPr>
                <w:sz w:val="18"/>
              </w:rPr>
              <w:t>RIIB</w:t>
            </w:r>
          </w:p>
        </w:tc>
        <w:tc>
          <w:tcPr>
            <w:tcW w:w="764" w:type="dxa"/>
          </w:tcPr>
          <w:p>
            <w:pPr>
              <w:pStyle w:val="TableParagraph"/>
              <w:spacing w:line="197" w:lineRule="exact"/>
              <w:ind w:left="100"/>
              <w:rPr>
                <w:sz w:val="18"/>
              </w:rPr>
            </w:pPr>
            <w:r>
              <w:rPr>
                <w:sz w:val="18"/>
              </w:rPr>
              <w:t>11</w:t>
            </w:r>
          </w:p>
          <w:p>
            <w:pPr>
              <w:pStyle w:val="TableParagraph"/>
              <w:spacing w:before="107"/>
              <w:ind w:left="100"/>
              <w:rPr>
                <w:sz w:val="18"/>
              </w:rPr>
            </w:pPr>
            <w:r>
              <w:rPr>
                <w:sz w:val="18"/>
              </w:rPr>
              <w:t>Fc</w:t>
            </w:r>
            <w:r>
              <w:rPr>
                <w:rFonts w:ascii="Symbol" w:hAnsi="Symbol"/>
                <w:sz w:val="18"/>
              </w:rPr>
              <w:t></w:t>
            </w:r>
            <w:r>
              <w:rPr>
                <w:sz w:val="18"/>
              </w:rPr>
              <w:t>R</w:t>
            </w:r>
          </w:p>
        </w:tc>
        <w:tc>
          <w:tcPr>
            <w:tcW w:w="504" w:type="dxa"/>
          </w:tcPr>
          <w:p>
            <w:pPr>
              <w:pStyle w:val="TableParagraph"/>
              <w:spacing w:line="197" w:lineRule="exact"/>
              <w:ind w:left="105"/>
              <w:rPr>
                <w:sz w:val="18"/>
              </w:rPr>
            </w:pPr>
            <w:r>
              <w:rPr>
                <w:sz w:val="18"/>
              </w:rPr>
              <w:t>12</w:t>
            </w:r>
          </w:p>
          <w:p>
            <w:pPr>
              <w:pStyle w:val="TableParagraph"/>
              <w:spacing w:before="105"/>
              <w:ind w:left="105"/>
              <w:rPr>
                <w:sz w:val="18"/>
              </w:rPr>
            </w:pPr>
            <w:r>
              <w:rPr>
                <w:sz w:val="18"/>
              </w:rPr>
              <w:t>18s</w:t>
            </w:r>
          </w:p>
        </w:tc>
      </w:tr>
      <w:tr>
        <w:trPr>
          <w:trHeight w:val="317" w:hRule="exact"/>
        </w:trPr>
        <w:tc>
          <w:tcPr>
            <w:tcW w:w="360" w:type="dxa"/>
          </w:tcPr>
          <w:p>
            <w:pPr>
              <w:pStyle w:val="TableParagraph"/>
              <w:spacing w:line="197" w:lineRule="exact"/>
              <w:ind w:right="15"/>
              <w:jc w:val="center"/>
              <w:rPr>
                <w:sz w:val="18"/>
              </w:rPr>
            </w:pPr>
            <w:r>
              <w:rPr>
                <w:w w:val="101"/>
                <w:sz w:val="18"/>
              </w:rPr>
              <w:t>A</w:t>
            </w:r>
          </w:p>
        </w:tc>
        <w:tc>
          <w:tcPr>
            <w:tcW w:w="658" w:type="dxa"/>
          </w:tcPr>
          <w:p>
            <w:pPr>
              <w:pStyle w:val="TableParagraph"/>
              <w:spacing w:line="197" w:lineRule="exact"/>
              <w:ind w:left="105"/>
              <w:rPr>
                <w:sz w:val="18"/>
              </w:rPr>
            </w:pPr>
            <w:r>
              <w:rPr>
                <w:sz w:val="18"/>
              </w:rPr>
              <w:t>M1</w:t>
            </w:r>
          </w:p>
        </w:tc>
        <w:tc>
          <w:tcPr>
            <w:tcW w:w="845" w:type="dxa"/>
          </w:tcPr>
          <w:p>
            <w:pPr>
              <w:pStyle w:val="TableParagraph"/>
              <w:spacing w:line="197" w:lineRule="exact"/>
              <w:ind w:left="105"/>
              <w:rPr>
                <w:sz w:val="18"/>
              </w:rPr>
            </w:pPr>
            <w:r>
              <w:rPr>
                <w:sz w:val="18"/>
              </w:rPr>
              <w:t>M1</w:t>
            </w:r>
          </w:p>
        </w:tc>
        <w:tc>
          <w:tcPr>
            <w:tcW w:w="763" w:type="dxa"/>
          </w:tcPr>
          <w:p>
            <w:pPr>
              <w:pStyle w:val="TableParagraph"/>
              <w:spacing w:line="197" w:lineRule="exact"/>
              <w:ind w:left="100"/>
              <w:rPr>
                <w:sz w:val="18"/>
              </w:rPr>
            </w:pPr>
            <w:r>
              <w:rPr>
                <w:sz w:val="18"/>
              </w:rPr>
              <w:t>M1</w:t>
            </w:r>
          </w:p>
        </w:tc>
        <w:tc>
          <w:tcPr>
            <w:tcW w:w="505" w:type="dxa"/>
          </w:tcPr>
          <w:p>
            <w:pPr>
              <w:pStyle w:val="TableParagraph"/>
              <w:spacing w:line="197" w:lineRule="exact"/>
              <w:ind w:right="140"/>
              <w:jc w:val="right"/>
              <w:rPr>
                <w:sz w:val="18"/>
              </w:rPr>
            </w:pPr>
            <w:r>
              <w:rPr>
                <w:sz w:val="18"/>
              </w:rPr>
              <w:t>M1</w:t>
            </w:r>
          </w:p>
        </w:tc>
        <w:tc>
          <w:tcPr>
            <w:tcW w:w="662" w:type="dxa"/>
          </w:tcPr>
          <w:p>
            <w:pPr/>
          </w:p>
        </w:tc>
        <w:tc>
          <w:tcPr>
            <w:tcW w:w="840" w:type="dxa"/>
          </w:tcPr>
          <w:p>
            <w:pPr/>
          </w:p>
        </w:tc>
        <w:tc>
          <w:tcPr>
            <w:tcW w:w="763" w:type="dxa"/>
          </w:tcPr>
          <w:p>
            <w:pPr/>
          </w:p>
        </w:tc>
        <w:tc>
          <w:tcPr>
            <w:tcW w:w="509" w:type="dxa"/>
          </w:tcPr>
          <w:p>
            <w:pPr/>
          </w:p>
        </w:tc>
        <w:tc>
          <w:tcPr>
            <w:tcW w:w="658" w:type="dxa"/>
          </w:tcPr>
          <w:p>
            <w:pPr/>
          </w:p>
        </w:tc>
        <w:tc>
          <w:tcPr>
            <w:tcW w:w="845" w:type="dxa"/>
          </w:tcPr>
          <w:p>
            <w:pPr/>
          </w:p>
        </w:tc>
        <w:tc>
          <w:tcPr>
            <w:tcW w:w="764" w:type="dxa"/>
          </w:tcPr>
          <w:p>
            <w:pPr/>
          </w:p>
        </w:tc>
        <w:tc>
          <w:tcPr>
            <w:tcW w:w="504" w:type="dxa"/>
          </w:tcPr>
          <w:p>
            <w:pPr/>
          </w:p>
        </w:tc>
      </w:tr>
      <w:tr>
        <w:trPr>
          <w:trHeight w:val="322" w:hRule="exact"/>
        </w:trPr>
        <w:tc>
          <w:tcPr>
            <w:tcW w:w="360" w:type="dxa"/>
          </w:tcPr>
          <w:p>
            <w:pPr>
              <w:pStyle w:val="TableParagraph"/>
              <w:spacing w:line="197" w:lineRule="exact"/>
              <w:ind w:right="15"/>
              <w:jc w:val="center"/>
              <w:rPr>
                <w:sz w:val="18"/>
              </w:rPr>
            </w:pPr>
            <w:r>
              <w:rPr>
                <w:w w:val="101"/>
                <w:sz w:val="18"/>
              </w:rPr>
              <w:t>B</w:t>
            </w:r>
          </w:p>
        </w:tc>
        <w:tc>
          <w:tcPr>
            <w:tcW w:w="658" w:type="dxa"/>
          </w:tcPr>
          <w:p>
            <w:pPr>
              <w:pStyle w:val="TableParagraph"/>
              <w:spacing w:line="197" w:lineRule="exact"/>
              <w:ind w:left="105"/>
              <w:rPr>
                <w:sz w:val="18"/>
              </w:rPr>
            </w:pPr>
            <w:r>
              <w:rPr>
                <w:sz w:val="18"/>
              </w:rPr>
              <w:t>M2</w:t>
            </w:r>
          </w:p>
        </w:tc>
        <w:tc>
          <w:tcPr>
            <w:tcW w:w="845" w:type="dxa"/>
          </w:tcPr>
          <w:p>
            <w:pPr>
              <w:pStyle w:val="TableParagraph"/>
              <w:spacing w:line="197" w:lineRule="exact"/>
              <w:ind w:left="105"/>
              <w:rPr>
                <w:sz w:val="18"/>
              </w:rPr>
            </w:pPr>
            <w:r>
              <w:rPr>
                <w:sz w:val="18"/>
              </w:rPr>
              <w:t>M2</w:t>
            </w:r>
          </w:p>
        </w:tc>
        <w:tc>
          <w:tcPr>
            <w:tcW w:w="763" w:type="dxa"/>
          </w:tcPr>
          <w:p>
            <w:pPr>
              <w:pStyle w:val="TableParagraph"/>
              <w:spacing w:line="197" w:lineRule="exact"/>
              <w:ind w:left="100"/>
              <w:rPr>
                <w:sz w:val="18"/>
              </w:rPr>
            </w:pPr>
            <w:r>
              <w:rPr>
                <w:sz w:val="18"/>
              </w:rPr>
              <w:t>M2</w:t>
            </w:r>
          </w:p>
        </w:tc>
        <w:tc>
          <w:tcPr>
            <w:tcW w:w="505" w:type="dxa"/>
          </w:tcPr>
          <w:p>
            <w:pPr>
              <w:pStyle w:val="TableParagraph"/>
              <w:spacing w:line="197" w:lineRule="exact"/>
              <w:ind w:right="140"/>
              <w:jc w:val="right"/>
              <w:rPr>
                <w:sz w:val="18"/>
              </w:rPr>
            </w:pPr>
            <w:r>
              <w:rPr>
                <w:sz w:val="18"/>
              </w:rPr>
              <w:t>M2</w:t>
            </w:r>
          </w:p>
        </w:tc>
        <w:tc>
          <w:tcPr>
            <w:tcW w:w="662" w:type="dxa"/>
          </w:tcPr>
          <w:p>
            <w:pPr/>
          </w:p>
        </w:tc>
        <w:tc>
          <w:tcPr>
            <w:tcW w:w="840" w:type="dxa"/>
          </w:tcPr>
          <w:p>
            <w:pPr/>
          </w:p>
        </w:tc>
        <w:tc>
          <w:tcPr>
            <w:tcW w:w="763" w:type="dxa"/>
          </w:tcPr>
          <w:p>
            <w:pPr/>
          </w:p>
        </w:tc>
        <w:tc>
          <w:tcPr>
            <w:tcW w:w="509" w:type="dxa"/>
          </w:tcPr>
          <w:p>
            <w:pPr/>
          </w:p>
        </w:tc>
        <w:tc>
          <w:tcPr>
            <w:tcW w:w="658" w:type="dxa"/>
          </w:tcPr>
          <w:p>
            <w:pPr/>
          </w:p>
        </w:tc>
        <w:tc>
          <w:tcPr>
            <w:tcW w:w="845" w:type="dxa"/>
          </w:tcPr>
          <w:p>
            <w:pPr/>
          </w:p>
        </w:tc>
        <w:tc>
          <w:tcPr>
            <w:tcW w:w="764" w:type="dxa"/>
          </w:tcPr>
          <w:p>
            <w:pPr/>
          </w:p>
        </w:tc>
        <w:tc>
          <w:tcPr>
            <w:tcW w:w="504" w:type="dxa"/>
          </w:tcPr>
          <w:p>
            <w:pPr/>
          </w:p>
        </w:tc>
      </w:tr>
      <w:tr>
        <w:trPr>
          <w:trHeight w:val="322" w:hRule="exact"/>
        </w:trPr>
        <w:tc>
          <w:tcPr>
            <w:tcW w:w="360" w:type="dxa"/>
            <w:tcBorders>
              <w:bottom w:val="single" w:sz="4" w:space="0" w:color="000000"/>
            </w:tcBorders>
          </w:tcPr>
          <w:p>
            <w:pPr>
              <w:pStyle w:val="TableParagraph"/>
              <w:spacing w:line="197" w:lineRule="exact"/>
              <w:ind w:right="5"/>
              <w:jc w:val="center"/>
              <w:rPr>
                <w:sz w:val="18"/>
              </w:rPr>
            </w:pPr>
            <w:r>
              <w:rPr>
                <w:w w:val="101"/>
                <w:sz w:val="18"/>
              </w:rPr>
              <w:t>C</w:t>
            </w:r>
          </w:p>
        </w:tc>
        <w:tc>
          <w:tcPr>
            <w:tcW w:w="658" w:type="dxa"/>
            <w:tcBorders>
              <w:bottom w:val="single" w:sz="4" w:space="0" w:color="000000"/>
            </w:tcBorders>
          </w:tcPr>
          <w:p>
            <w:pPr>
              <w:pStyle w:val="TableParagraph"/>
              <w:spacing w:line="197" w:lineRule="exact"/>
              <w:ind w:left="105"/>
              <w:rPr>
                <w:sz w:val="18"/>
              </w:rPr>
            </w:pPr>
            <w:r>
              <w:rPr>
                <w:sz w:val="18"/>
              </w:rPr>
              <w:t>M3</w:t>
            </w:r>
          </w:p>
        </w:tc>
        <w:tc>
          <w:tcPr>
            <w:tcW w:w="845" w:type="dxa"/>
            <w:tcBorders>
              <w:bottom w:val="single" w:sz="4" w:space="0" w:color="000000"/>
            </w:tcBorders>
          </w:tcPr>
          <w:p>
            <w:pPr>
              <w:pStyle w:val="TableParagraph"/>
              <w:spacing w:line="197" w:lineRule="exact"/>
              <w:ind w:left="105"/>
              <w:rPr>
                <w:sz w:val="18"/>
              </w:rPr>
            </w:pPr>
            <w:r>
              <w:rPr>
                <w:sz w:val="18"/>
              </w:rPr>
              <w:t>M3</w:t>
            </w:r>
          </w:p>
        </w:tc>
        <w:tc>
          <w:tcPr>
            <w:tcW w:w="763" w:type="dxa"/>
            <w:tcBorders>
              <w:bottom w:val="single" w:sz="4" w:space="0" w:color="000000"/>
            </w:tcBorders>
          </w:tcPr>
          <w:p>
            <w:pPr>
              <w:pStyle w:val="TableParagraph"/>
              <w:spacing w:line="197" w:lineRule="exact"/>
              <w:ind w:left="100"/>
              <w:rPr>
                <w:sz w:val="18"/>
              </w:rPr>
            </w:pPr>
            <w:r>
              <w:rPr>
                <w:sz w:val="18"/>
              </w:rPr>
              <w:t>M3</w:t>
            </w:r>
          </w:p>
        </w:tc>
        <w:tc>
          <w:tcPr>
            <w:tcW w:w="505" w:type="dxa"/>
            <w:tcBorders>
              <w:bottom w:val="single" w:sz="4" w:space="0" w:color="000000"/>
            </w:tcBorders>
          </w:tcPr>
          <w:p>
            <w:pPr>
              <w:pStyle w:val="TableParagraph"/>
              <w:spacing w:line="197" w:lineRule="exact"/>
              <w:ind w:right="140"/>
              <w:jc w:val="right"/>
              <w:rPr>
                <w:sz w:val="18"/>
              </w:rPr>
            </w:pPr>
            <w:r>
              <w:rPr>
                <w:sz w:val="18"/>
              </w:rPr>
              <w:t>M3</w:t>
            </w:r>
          </w:p>
        </w:tc>
        <w:tc>
          <w:tcPr>
            <w:tcW w:w="662" w:type="dxa"/>
            <w:tcBorders>
              <w:bottom w:val="single" w:sz="4" w:space="0" w:color="000000"/>
            </w:tcBorders>
          </w:tcPr>
          <w:p>
            <w:pPr/>
          </w:p>
        </w:tc>
        <w:tc>
          <w:tcPr>
            <w:tcW w:w="840" w:type="dxa"/>
            <w:tcBorders>
              <w:bottom w:val="single" w:sz="4" w:space="0" w:color="000000"/>
            </w:tcBorders>
          </w:tcPr>
          <w:p>
            <w:pPr/>
          </w:p>
        </w:tc>
        <w:tc>
          <w:tcPr>
            <w:tcW w:w="763" w:type="dxa"/>
            <w:tcBorders>
              <w:bottom w:val="single" w:sz="4" w:space="0" w:color="000000"/>
            </w:tcBorders>
          </w:tcPr>
          <w:p>
            <w:pPr/>
          </w:p>
        </w:tc>
        <w:tc>
          <w:tcPr>
            <w:tcW w:w="509" w:type="dxa"/>
            <w:tcBorders>
              <w:bottom w:val="single" w:sz="4" w:space="0" w:color="000000"/>
            </w:tcBorders>
          </w:tcPr>
          <w:p>
            <w:pPr/>
          </w:p>
        </w:tc>
        <w:tc>
          <w:tcPr>
            <w:tcW w:w="658" w:type="dxa"/>
            <w:tcBorders>
              <w:bottom w:val="single" w:sz="4" w:space="0" w:color="000000"/>
            </w:tcBorders>
          </w:tcPr>
          <w:p>
            <w:pPr/>
          </w:p>
        </w:tc>
        <w:tc>
          <w:tcPr>
            <w:tcW w:w="845" w:type="dxa"/>
            <w:tcBorders>
              <w:bottom w:val="single" w:sz="4" w:space="0" w:color="000000"/>
            </w:tcBorders>
          </w:tcPr>
          <w:p>
            <w:pPr/>
          </w:p>
        </w:tc>
        <w:tc>
          <w:tcPr>
            <w:tcW w:w="764" w:type="dxa"/>
            <w:tcBorders>
              <w:bottom w:val="single" w:sz="4" w:space="0" w:color="000000"/>
            </w:tcBorders>
          </w:tcPr>
          <w:p>
            <w:pPr/>
          </w:p>
        </w:tc>
        <w:tc>
          <w:tcPr>
            <w:tcW w:w="504" w:type="dxa"/>
            <w:tcBorders>
              <w:bottom w:val="single" w:sz="4" w:space="0" w:color="000000"/>
            </w:tcBorders>
          </w:tcPr>
          <w:p>
            <w:pPr/>
          </w:p>
        </w:tc>
      </w:tr>
      <w:tr>
        <w:trPr>
          <w:trHeight w:val="322" w:hRule="exact"/>
        </w:trPr>
        <w:tc>
          <w:tcPr>
            <w:tcW w:w="360" w:type="dxa"/>
            <w:tcBorders>
              <w:top w:val="single" w:sz="4" w:space="0" w:color="000000"/>
            </w:tcBorders>
          </w:tcPr>
          <w:p>
            <w:pPr>
              <w:pStyle w:val="TableParagraph"/>
              <w:spacing w:line="197" w:lineRule="exact"/>
              <w:ind w:right="5"/>
              <w:jc w:val="center"/>
              <w:rPr>
                <w:sz w:val="18"/>
              </w:rPr>
            </w:pPr>
            <w:r>
              <w:rPr>
                <w:w w:val="101"/>
                <w:sz w:val="18"/>
              </w:rPr>
              <w:t>D</w:t>
            </w:r>
          </w:p>
        </w:tc>
        <w:tc>
          <w:tcPr>
            <w:tcW w:w="658" w:type="dxa"/>
            <w:tcBorders>
              <w:top w:val="single" w:sz="4" w:space="0" w:color="000000"/>
            </w:tcBorders>
          </w:tcPr>
          <w:p>
            <w:pPr>
              <w:pStyle w:val="TableParagraph"/>
              <w:spacing w:line="197" w:lineRule="exact"/>
              <w:ind w:left="105"/>
              <w:rPr>
                <w:sz w:val="18"/>
              </w:rPr>
            </w:pPr>
            <w:r>
              <w:rPr>
                <w:sz w:val="18"/>
              </w:rPr>
              <w:t>M4</w:t>
            </w:r>
          </w:p>
        </w:tc>
        <w:tc>
          <w:tcPr>
            <w:tcW w:w="845" w:type="dxa"/>
            <w:tcBorders>
              <w:top w:val="single" w:sz="4" w:space="0" w:color="000000"/>
            </w:tcBorders>
          </w:tcPr>
          <w:p>
            <w:pPr>
              <w:pStyle w:val="TableParagraph"/>
              <w:spacing w:line="197" w:lineRule="exact"/>
              <w:ind w:left="105"/>
              <w:rPr>
                <w:sz w:val="18"/>
              </w:rPr>
            </w:pPr>
            <w:r>
              <w:rPr>
                <w:sz w:val="18"/>
              </w:rPr>
              <w:t>M4</w:t>
            </w:r>
          </w:p>
        </w:tc>
        <w:tc>
          <w:tcPr>
            <w:tcW w:w="763" w:type="dxa"/>
            <w:tcBorders>
              <w:top w:val="single" w:sz="4" w:space="0" w:color="000000"/>
            </w:tcBorders>
          </w:tcPr>
          <w:p>
            <w:pPr>
              <w:pStyle w:val="TableParagraph"/>
              <w:spacing w:line="197" w:lineRule="exact"/>
              <w:ind w:left="100"/>
              <w:rPr>
                <w:sz w:val="18"/>
              </w:rPr>
            </w:pPr>
            <w:r>
              <w:rPr>
                <w:sz w:val="18"/>
              </w:rPr>
              <w:t>M4</w:t>
            </w:r>
          </w:p>
        </w:tc>
        <w:tc>
          <w:tcPr>
            <w:tcW w:w="505" w:type="dxa"/>
            <w:tcBorders>
              <w:top w:val="single" w:sz="4" w:space="0" w:color="000000"/>
            </w:tcBorders>
          </w:tcPr>
          <w:p>
            <w:pPr>
              <w:pStyle w:val="TableParagraph"/>
              <w:spacing w:line="197" w:lineRule="exact"/>
              <w:ind w:right="140"/>
              <w:jc w:val="right"/>
              <w:rPr>
                <w:sz w:val="18"/>
              </w:rPr>
            </w:pPr>
            <w:r>
              <w:rPr>
                <w:sz w:val="18"/>
              </w:rPr>
              <w:t>M4</w:t>
            </w:r>
          </w:p>
        </w:tc>
        <w:tc>
          <w:tcPr>
            <w:tcW w:w="662" w:type="dxa"/>
            <w:tcBorders>
              <w:top w:val="single" w:sz="4" w:space="0" w:color="000000"/>
            </w:tcBorders>
          </w:tcPr>
          <w:p>
            <w:pPr/>
          </w:p>
        </w:tc>
        <w:tc>
          <w:tcPr>
            <w:tcW w:w="840" w:type="dxa"/>
            <w:tcBorders>
              <w:top w:val="single" w:sz="4" w:space="0" w:color="000000"/>
            </w:tcBorders>
          </w:tcPr>
          <w:p>
            <w:pPr/>
          </w:p>
        </w:tc>
        <w:tc>
          <w:tcPr>
            <w:tcW w:w="763" w:type="dxa"/>
            <w:tcBorders>
              <w:top w:val="single" w:sz="4" w:space="0" w:color="000000"/>
            </w:tcBorders>
          </w:tcPr>
          <w:p>
            <w:pPr/>
          </w:p>
        </w:tc>
        <w:tc>
          <w:tcPr>
            <w:tcW w:w="509" w:type="dxa"/>
            <w:tcBorders>
              <w:top w:val="single" w:sz="4" w:space="0" w:color="000000"/>
            </w:tcBorders>
          </w:tcPr>
          <w:p>
            <w:pPr/>
          </w:p>
        </w:tc>
        <w:tc>
          <w:tcPr>
            <w:tcW w:w="658" w:type="dxa"/>
            <w:tcBorders>
              <w:top w:val="single" w:sz="4" w:space="0" w:color="000000"/>
            </w:tcBorders>
          </w:tcPr>
          <w:p>
            <w:pPr/>
          </w:p>
        </w:tc>
        <w:tc>
          <w:tcPr>
            <w:tcW w:w="845" w:type="dxa"/>
            <w:tcBorders>
              <w:top w:val="single" w:sz="4" w:space="0" w:color="000000"/>
            </w:tcBorders>
          </w:tcPr>
          <w:p>
            <w:pPr/>
          </w:p>
        </w:tc>
        <w:tc>
          <w:tcPr>
            <w:tcW w:w="764" w:type="dxa"/>
            <w:tcBorders>
              <w:top w:val="single" w:sz="4" w:space="0" w:color="000000"/>
            </w:tcBorders>
          </w:tcPr>
          <w:p>
            <w:pPr/>
          </w:p>
        </w:tc>
        <w:tc>
          <w:tcPr>
            <w:tcW w:w="504" w:type="dxa"/>
            <w:tcBorders>
              <w:top w:val="single" w:sz="4" w:space="0" w:color="000000"/>
            </w:tcBorders>
          </w:tcPr>
          <w:p>
            <w:pPr/>
          </w:p>
        </w:tc>
      </w:tr>
      <w:tr>
        <w:trPr>
          <w:trHeight w:val="317" w:hRule="exact"/>
        </w:trPr>
        <w:tc>
          <w:tcPr>
            <w:tcW w:w="360" w:type="dxa"/>
          </w:tcPr>
          <w:p>
            <w:pPr>
              <w:pStyle w:val="TableParagraph"/>
              <w:spacing w:line="197" w:lineRule="exact"/>
              <w:ind w:right="15"/>
              <w:jc w:val="center"/>
              <w:rPr>
                <w:sz w:val="18"/>
              </w:rPr>
            </w:pPr>
            <w:r>
              <w:rPr>
                <w:w w:val="101"/>
                <w:sz w:val="18"/>
              </w:rPr>
              <w:t>E</w:t>
            </w:r>
          </w:p>
        </w:tc>
        <w:tc>
          <w:tcPr>
            <w:tcW w:w="658" w:type="dxa"/>
          </w:tcPr>
          <w:p>
            <w:pPr>
              <w:pStyle w:val="TableParagraph"/>
              <w:spacing w:line="197" w:lineRule="exact"/>
              <w:ind w:left="105"/>
              <w:rPr>
                <w:sz w:val="18"/>
              </w:rPr>
            </w:pPr>
            <w:r>
              <w:rPr>
                <w:sz w:val="18"/>
              </w:rPr>
              <w:t>M5</w:t>
            </w:r>
          </w:p>
        </w:tc>
        <w:tc>
          <w:tcPr>
            <w:tcW w:w="845" w:type="dxa"/>
          </w:tcPr>
          <w:p>
            <w:pPr>
              <w:pStyle w:val="TableParagraph"/>
              <w:spacing w:line="197" w:lineRule="exact"/>
              <w:ind w:left="105"/>
              <w:rPr>
                <w:sz w:val="18"/>
              </w:rPr>
            </w:pPr>
            <w:r>
              <w:rPr>
                <w:sz w:val="18"/>
              </w:rPr>
              <w:t>M5</w:t>
            </w:r>
          </w:p>
        </w:tc>
        <w:tc>
          <w:tcPr>
            <w:tcW w:w="763" w:type="dxa"/>
          </w:tcPr>
          <w:p>
            <w:pPr>
              <w:pStyle w:val="TableParagraph"/>
              <w:spacing w:line="197" w:lineRule="exact"/>
              <w:ind w:left="100"/>
              <w:rPr>
                <w:sz w:val="18"/>
              </w:rPr>
            </w:pPr>
            <w:r>
              <w:rPr>
                <w:sz w:val="18"/>
              </w:rPr>
              <w:t>M5</w:t>
            </w:r>
          </w:p>
        </w:tc>
        <w:tc>
          <w:tcPr>
            <w:tcW w:w="505" w:type="dxa"/>
          </w:tcPr>
          <w:p>
            <w:pPr>
              <w:pStyle w:val="TableParagraph"/>
              <w:spacing w:line="197" w:lineRule="exact"/>
              <w:ind w:right="140"/>
              <w:jc w:val="right"/>
              <w:rPr>
                <w:sz w:val="18"/>
              </w:rPr>
            </w:pPr>
            <w:r>
              <w:rPr>
                <w:sz w:val="18"/>
              </w:rPr>
              <w:t>M5</w:t>
            </w:r>
          </w:p>
        </w:tc>
        <w:tc>
          <w:tcPr>
            <w:tcW w:w="662" w:type="dxa"/>
          </w:tcPr>
          <w:p>
            <w:pPr/>
          </w:p>
        </w:tc>
        <w:tc>
          <w:tcPr>
            <w:tcW w:w="840" w:type="dxa"/>
          </w:tcPr>
          <w:p>
            <w:pPr/>
          </w:p>
        </w:tc>
        <w:tc>
          <w:tcPr>
            <w:tcW w:w="763" w:type="dxa"/>
          </w:tcPr>
          <w:p>
            <w:pPr/>
          </w:p>
        </w:tc>
        <w:tc>
          <w:tcPr>
            <w:tcW w:w="509" w:type="dxa"/>
          </w:tcPr>
          <w:p>
            <w:pPr/>
          </w:p>
        </w:tc>
        <w:tc>
          <w:tcPr>
            <w:tcW w:w="658" w:type="dxa"/>
          </w:tcPr>
          <w:p>
            <w:pPr/>
          </w:p>
        </w:tc>
        <w:tc>
          <w:tcPr>
            <w:tcW w:w="845" w:type="dxa"/>
          </w:tcPr>
          <w:p>
            <w:pPr/>
          </w:p>
        </w:tc>
        <w:tc>
          <w:tcPr>
            <w:tcW w:w="764" w:type="dxa"/>
          </w:tcPr>
          <w:p>
            <w:pPr/>
          </w:p>
        </w:tc>
        <w:tc>
          <w:tcPr>
            <w:tcW w:w="504" w:type="dxa"/>
          </w:tcPr>
          <w:p>
            <w:pPr/>
          </w:p>
        </w:tc>
      </w:tr>
      <w:tr>
        <w:trPr>
          <w:trHeight w:val="322" w:hRule="exact"/>
        </w:trPr>
        <w:tc>
          <w:tcPr>
            <w:tcW w:w="360" w:type="dxa"/>
          </w:tcPr>
          <w:p>
            <w:pPr>
              <w:pStyle w:val="TableParagraph"/>
              <w:spacing w:line="197" w:lineRule="exact"/>
              <w:ind w:right="25"/>
              <w:jc w:val="center"/>
              <w:rPr>
                <w:sz w:val="18"/>
              </w:rPr>
            </w:pPr>
            <w:r>
              <w:rPr>
                <w:w w:val="101"/>
                <w:sz w:val="18"/>
              </w:rPr>
              <w:t>F</w:t>
            </w:r>
          </w:p>
        </w:tc>
        <w:tc>
          <w:tcPr>
            <w:tcW w:w="658" w:type="dxa"/>
          </w:tcPr>
          <w:p>
            <w:pPr>
              <w:pStyle w:val="TableParagraph"/>
              <w:spacing w:line="197" w:lineRule="exact"/>
              <w:ind w:left="105"/>
              <w:rPr>
                <w:sz w:val="18"/>
              </w:rPr>
            </w:pPr>
            <w:r>
              <w:rPr>
                <w:sz w:val="18"/>
              </w:rPr>
              <w:t>M6</w:t>
            </w:r>
          </w:p>
        </w:tc>
        <w:tc>
          <w:tcPr>
            <w:tcW w:w="845" w:type="dxa"/>
          </w:tcPr>
          <w:p>
            <w:pPr>
              <w:pStyle w:val="TableParagraph"/>
              <w:spacing w:line="197" w:lineRule="exact"/>
              <w:ind w:left="105"/>
              <w:rPr>
                <w:sz w:val="18"/>
              </w:rPr>
            </w:pPr>
            <w:r>
              <w:rPr>
                <w:sz w:val="18"/>
              </w:rPr>
              <w:t>M6</w:t>
            </w:r>
          </w:p>
        </w:tc>
        <w:tc>
          <w:tcPr>
            <w:tcW w:w="763" w:type="dxa"/>
          </w:tcPr>
          <w:p>
            <w:pPr>
              <w:pStyle w:val="TableParagraph"/>
              <w:spacing w:line="197" w:lineRule="exact"/>
              <w:ind w:left="100"/>
              <w:rPr>
                <w:sz w:val="18"/>
              </w:rPr>
            </w:pPr>
            <w:r>
              <w:rPr>
                <w:sz w:val="18"/>
              </w:rPr>
              <w:t>M6</w:t>
            </w:r>
          </w:p>
        </w:tc>
        <w:tc>
          <w:tcPr>
            <w:tcW w:w="505" w:type="dxa"/>
          </w:tcPr>
          <w:p>
            <w:pPr>
              <w:pStyle w:val="TableParagraph"/>
              <w:spacing w:line="197" w:lineRule="exact"/>
              <w:ind w:right="140"/>
              <w:jc w:val="right"/>
              <w:rPr>
                <w:sz w:val="18"/>
              </w:rPr>
            </w:pPr>
            <w:r>
              <w:rPr>
                <w:sz w:val="18"/>
              </w:rPr>
              <w:t>M6</w:t>
            </w:r>
          </w:p>
        </w:tc>
        <w:tc>
          <w:tcPr>
            <w:tcW w:w="662" w:type="dxa"/>
          </w:tcPr>
          <w:p>
            <w:pPr/>
          </w:p>
        </w:tc>
        <w:tc>
          <w:tcPr>
            <w:tcW w:w="840" w:type="dxa"/>
          </w:tcPr>
          <w:p>
            <w:pPr/>
          </w:p>
        </w:tc>
        <w:tc>
          <w:tcPr>
            <w:tcW w:w="763" w:type="dxa"/>
          </w:tcPr>
          <w:p>
            <w:pPr/>
          </w:p>
        </w:tc>
        <w:tc>
          <w:tcPr>
            <w:tcW w:w="509" w:type="dxa"/>
          </w:tcPr>
          <w:p>
            <w:pPr/>
          </w:p>
        </w:tc>
        <w:tc>
          <w:tcPr>
            <w:tcW w:w="658" w:type="dxa"/>
          </w:tcPr>
          <w:p>
            <w:pPr/>
          </w:p>
        </w:tc>
        <w:tc>
          <w:tcPr>
            <w:tcW w:w="845" w:type="dxa"/>
          </w:tcPr>
          <w:p>
            <w:pPr/>
          </w:p>
        </w:tc>
        <w:tc>
          <w:tcPr>
            <w:tcW w:w="764" w:type="dxa"/>
          </w:tcPr>
          <w:p>
            <w:pPr/>
          </w:p>
        </w:tc>
        <w:tc>
          <w:tcPr>
            <w:tcW w:w="504" w:type="dxa"/>
          </w:tcPr>
          <w:p>
            <w:pPr/>
          </w:p>
        </w:tc>
      </w:tr>
      <w:tr>
        <w:trPr>
          <w:trHeight w:val="322" w:hRule="exact"/>
        </w:trPr>
        <w:tc>
          <w:tcPr>
            <w:tcW w:w="360" w:type="dxa"/>
          </w:tcPr>
          <w:p>
            <w:pPr>
              <w:pStyle w:val="TableParagraph"/>
              <w:spacing w:line="197" w:lineRule="exact"/>
              <w:ind w:left="2"/>
              <w:jc w:val="center"/>
              <w:rPr>
                <w:sz w:val="18"/>
              </w:rPr>
            </w:pPr>
            <w:r>
              <w:rPr>
                <w:w w:val="101"/>
                <w:sz w:val="18"/>
              </w:rPr>
              <w:t>G</w:t>
            </w:r>
          </w:p>
        </w:tc>
        <w:tc>
          <w:tcPr>
            <w:tcW w:w="658" w:type="dxa"/>
          </w:tcPr>
          <w:p>
            <w:pPr>
              <w:pStyle w:val="TableParagraph"/>
              <w:spacing w:line="197" w:lineRule="exact"/>
              <w:ind w:left="105"/>
              <w:rPr>
                <w:sz w:val="18"/>
              </w:rPr>
            </w:pPr>
            <w:r>
              <w:rPr>
                <w:sz w:val="18"/>
              </w:rPr>
              <w:t>M7</w:t>
            </w:r>
          </w:p>
        </w:tc>
        <w:tc>
          <w:tcPr>
            <w:tcW w:w="845" w:type="dxa"/>
          </w:tcPr>
          <w:p>
            <w:pPr>
              <w:pStyle w:val="TableParagraph"/>
              <w:spacing w:line="197" w:lineRule="exact"/>
              <w:ind w:left="105"/>
              <w:rPr>
                <w:sz w:val="18"/>
              </w:rPr>
            </w:pPr>
            <w:r>
              <w:rPr>
                <w:sz w:val="18"/>
              </w:rPr>
              <w:t>M7</w:t>
            </w:r>
          </w:p>
        </w:tc>
        <w:tc>
          <w:tcPr>
            <w:tcW w:w="763" w:type="dxa"/>
          </w:tcPr>
          <w:p>
            <w:pPr>
              <w:pStyle w:val="TableParagraph"/>
              <w:spacing w:line="197" w:lineRule="exact"/>
              <w:ind w:left="100"/>
              <w:rPr>
                <w:sz w:val="18"/>
              </w:rPr>
            </w:pPr>
            <w:r>
              <w:rPr>
                <w:sz w:val="18"/>
              </w:rPr>
              <w:t>M7</w:t>
            </w:r>
          </w:p>
        </w:tc>
        <w:tc>
          <w:tcPr>
            <w:tcW w:w="505" w:type="dxa"/>
          </w:tcPr>
          <w:p>
            <w:pPr>
              <w:pStyle w:val="TableParagraph"/>
              <w:spacing w:line="197" w:lineRule="exact"/>
              <w:ind w:right="140"/>
              <w:jc w:val="right"/>
              <w:rPr>
                <w:sz w:val="18"/>
              </w:rPr>
            </w:pPr>
            <w:r>
              <w:rPr>
                <w:sz w:val="18"/>
              </w:rPr>
              <w:t>M7</w:t>
            </w:r>
          </w:p>
        </w:tc>
        <w:tc>
          <w:tcPr>
            <w:tcW w:w="662" w:type="dxa"/>
          </w:tcPr>
          <w:p>
            <w:pPr/>
          </w:p>
        </w:tc>
        <w:tc>
          <w:tcPr>
            <w:tcW w:w="840" w:type="dxa"/>
          </w:tcPr>
          <w:p>
            <w:pPr/>
          </w:p>
        </w:tc>
        <w:tc>
          <w:tcPr>
            <w:tcW w:w="763" w:type="dxa"/>
          </w:tcPr>
          <w:p>
            <w:pPr/>
          </w:p>
        </w:tc>
        <w:tc>
          <w:tcPr>
            <w:tcW w:w="509" w:type="dxa"/>
          </w:tcPr>
          <w:p>
            <w:pPr/>
          </w:p>
        </w:tc>
        <w:tc>
          <w:tcPr>
            <w:tcW w:w="658" w:type="dxa"/>
          </w:tcPr>
          <w:p>
            <w:pPr/>
          </w:p>
        </w:tc>
        <w:tc>
          <w:tcPr>
            <w:tcW w:w="845" w:type="dxa"/>
          </w:tcPr>
          <w:p>
            <w:pPr/>
          </w:p>
        </w:tc>
        <w:tc>
          <w:tcPr>
            <w:tcW w:w="764" w:type="dxa"/>
          </w:tcPr>
          <w:p>
            <w:pPr/>
          </w:p>
        </w:tc>
        <w:tc>
          <w:tcPr>
            <w:tcW w:w="504" w:type="dxa"/>
          </w:tcPr>
          <w:p>
            <w:pPr/>
          </w:p>
        </w:tc>
      </w:tr>
      <w:tr>
        <w:trPr>
          <w:trHeight w:val="322" w:hRule="exact"/>
        </w:trPr>
        <w:tc>
          <w:tcPr>
            <w:tcW w:w="360" w:type="dxa"/>
          </w:tcPr>
          <w:p>
            <w:pPr>
              <w:pStyle w:val="TableParagraph"/>
              <w:spacing w:line="197" w:lineRule="exact"/>
              <w:ind w:right="5"/>
              <w:jc w:val="center"/>
              <w:rPr>
                <w:sz w:val="18"/>
              </w:rPr>
            </w:pPr>
            <w:r>
              <w:rPr>
                <w:w w:val="101"/>
                <w:sz w:val="18"/>
              </w:rPr>
              <w:t>H</w:t>
            </w:r>
          </w:p>
        </w:tc>
        <w:tc>
          <w:tcPr>
            <w:tcW w:w="658" w:type="dxa"/>
          </w:tcPr>
          <w:p>
            <w:pPr>
              <w:pStyle w:val="TableParagraph"/>
              <w:spacing w:line="197" w:lineRule="exact"/>
              <w:ind w:left="105"/>
              <w:rPr>
                <w:sz w:val="18"/>
              </w:rPr>
            </w:pPr>
            <w:r>
              <w:rPr>
                <w:sz w:val="18"/>
              </w:rPr>
              <w:t>M8</w:t>
            </w:r>
          </w:p>
        </w:tc>
        <w:tc>
          <w:tcPr>
            <w:tcW w:w="845" w:type="dxa"/>
          </w:tcPr>
          <w:p>
            <w:pPr>
              <w:pStyle w:val="TableParagraph"/>
              <w:spacing w:line="197" w:lineRule="exact"/>
              <w:ind w:left="105"/>
              <w:rPr>
                <w:sz w:val="18"/>
              </w:rPr>
            </w:pPr>
            <w:r>
              <w:rPr>
                <w:sz w:val="18"/>
              </w:rPr>
              <w:t>M8</w:t>
            </w:r>
          </w:p>
        </w:tc>
        <w:tc>
          <w:tcPr>
            <w:tcW w:w="763" w:type="dxa"/>
          </w:tcPr>
          <w:p>
            <w:pPr>
              <w:pStyle w:val="TableParagraph"/>
              <w:spacing w:line="197" w:lineRule="exact"/>
              <w:ind w:left="100"/>
              <w:rPr>
                <w:sz w:val="18"/>
              </w:rPr>
            </w:pPr>
            <w:r>
              <w:rPr>
                <w:sz w:val="18"/>
              </w:rPr>
              <w:t>M8</w:t>
            </w:r>
          </w:p>
        </w:tc>
        <w:tc>
          <w:tcPr>
            <w:tcW w:w="505" w:type="dxa"/>
          </w:tcPr>
          <w:p>
            <w:pPr>
              <w:pStyle w:val="TableParagraph"/>
              <w:spacing w:line="197" w:lineRule="exact"/>
              <w:ind w:right="140"/>
              <w:jc w:val="right"/>
              <w:rPr>
                <w:sz w:val="18"/>
              </w:rPr>
            </w:pPr>
            <w:r>
              <w:rPr>
                <w:sz w:val="18"/>
              </w:rPr>
              <w:t>M8</w:t>
            </w:r>
          </w:p>
        </w:tc>
        <w:tc>
          <w:tcPr>
            <w:tcW w:w="662" w:type="dxa"/>
          </w:tcPr>
          <w:p>
            <w:pPr/>
          </w:p>
        </w:tc>
        <w:tc>
          <w:tcPr>
            <w:tcW w:w="840" w:type="dxa"/>
          </w:tcPr>
          <w:p>
            <w:pPr/>
          </w:p>
        </w:tc>
        <w:tc>
          <w:tcPr>
            <w:tcW w:w="763" w:type="dxa"/>
          </w:tcPr>
          <w:p>
            <w:pPr/>
          </w:p>
        </w:tc>
        <w:tc>
          <w:tcPr>
            <w:tcW w:w="509" w:type="dxa"/>
          </w:tcPr>
          <w:p>
            <w:pPr/>
          </w:p>
        </w:tc>
        <w:tc>
          <w:tcPr>
            <w:tcW w:w="658" w:type="dxa"/>
          </w:tcPr>
          <w:p>
            <w:pPr/>
          </w:p>
        </w:tc>
        <w:tc>
          <w:tcPr>
            <w:tcW w:w="845" w:type="dxa"/>
          </w:tcPr>
          <w:p>
            <w:pPr/>
          </w:p>
        </w:tc>
        <w:tc>
          <w:tcPr>
            <w:tcW w:w="764" w:type="dxa"/>
          </w:tcPr>
          <w:p>
            <w:pPr/>
          </w:p>
        </w:tc>
        <w:tc>
          <w:tcPr>
            <w:tcW w:w="504" w:type="dxa"/>
          </w:tcPr>
          <w:p>
            <w:pPr/>
          </w:p>
        </w:tc>
      </w:tr>
    </w:tbl>
    <w:p>
      <w:pPr>
        <w:pStyle w:val="BodyText"/>
        <w:spacing w:before="8"/>
        <w:rPr>
          <w:sz w:val="10"/>
        </w:rPr>
      </w:pPr>
    </w:p>
    <w:p>
      <w:pPr>
        <w:pStyle w:val="BodyText"/>
        <w:spacing w:before="70"/>
        <w:ind w:left="4027" w:right="4278"/>
        <w:jc w:val="center"/>
      </w:pPr>
      <w:r>
        <w:rPr/>
        <w:drawing>
          <wp:anchor distT="0" distB="0" distL="0" distR="0" allowOverlap="1" layoutInCell="1" locked="0" behindDoc="1" simplePos="0" relativeHeight="268260599">
            <wp:simplePos x="0" y="0"/>
            <wp:positionH relativeFrom="page">
              <wp:posOffset>3099816</wp:posOffset>
            </wp:positionH>
            <wp:positionV relativeFrom="paragraph">
              <wp:posOffset>48715</wp:posOffset>
            </wp:positionV>
            <wp:extent cx="1274063" cy="143255"/>
            <wp:effectExtent l="0" t="0" r="0" b="0"/>
            <wp:wrapNone/>
            <wp:docPr id="47" name="image44.png" descr=""/>
            <wp:cNvGraphicFramePr>
              <a:graphicFrameLocks noChangeAspect="1"/>
            </wp:cNvGraphicFramePr>
            <a:graphic>
              <a:graphicData uri="http://schemas.openxmlformats.org/drawingml/2006/picture">
                <pic:pic>
                  <pic:nvPicPr>
                    <pic:cNvPr id="48" name="image44.png"/>
                    <pic:cNvPicPr/>
                  </pic:nvPicPr>
                  <pic:blipFill>
                    <a:blip r:embed="rId69" cstate="print"/>
                    <a:stretch>
                      <a:fillRect/>
                    </a:stretch>
                  </pic:blipFill>
                  <pic:spPr>
                    <a:xfrm>
                      <a:off x="0" y="0"/>
                      <a:ext cx="1274063" cy="143255"/>
                    </a:xfrm>
                    <a:prstGeom prst="rect">
                      <a:avLst/>
                    </a:prstGeom>
                  </pic:spPr>
                </pic:pic>
              </a:graphicData>
            </a:graphic>
          </wp:anchor>
        </w:drawing>
      </w:r>
      <w:r>
        <w:rPr/>
        <w:t>M= muestra</w:t>
      </w:r>
    </w:p>
    <w:p>
      <w:pPr>
        <w:pStyle w:val="BodyText"/>
        <w:spacing w:before="5"/>
        <w:rPr>
          <w:sz w:val="25"/>
        </w:rPr>
      </w:pPr>
    </w:p>
    <w:p>
      <w:pPr>
        <w:spacing w:line="360" w:lineRule="auto" w:before="70"/>
        <w:ind w:left="216" w:right="275" w:firstLine="0"/>
        <w:jc w:val="both"/>
        <w:rPr>
          <w:sz w:val="24"/>
        </w:rPr>
      </w:pPr>
      <w:r>
        <w:rPr>
          <w:sz w:val="24"/>
        </w:rPr>
        <w:t>Se consideró el manejo de un control NTC (</w:t>
      </w:r>
      <w:r>
        <w:rPr>
          <w:i/>
          <w:sz w:val="24"/>
        </w:rPr>
        <w:t>Negative Template Control</w:t>
      </w:r>
      <w:r>
        <w:rPr>
          <w:sz w:val="24"/>
        </w:rPr>
        <w:t>) de agua inyectable.</w:t>
      </w:r>
    </w:p>
    <w:p>
      <w:pPr>
        <w:pStyle w:val="BodyText"/>
        <w:spacing w:line="360" w:lineRule="auto" w:before="2"/>
        <w:ind w:left="216" w:right="279"/>
        <w:jc w:val="both"/>
      </w:pPr>
      <w:r>
        <w:rPr/>
        <w:t>Cuando se concluyó el llenado de todos los pocillos de la placa de reacción MicroAmp® Fast, se cubrió con una cubierta adhesiva (Applied Biosystems, Foster City, USA), la cual se fijó firmemente con el aplicador auxiliar; después se homogeneizó el contenido de la placa de reacción MicroAmp® Fast, en la centrifuga 5804R Versión 15 amp (Eppendorf, Hamburgo, Alemania), a 3700 rpm, durante 15 segundos.</w:t>
      </w:r>
    </w:p>
    <w:p>
      <w:pPr>
        <w:pStyle w:val="BodyText"/>
        <w:spacing w:line="360" w:lineRule="auto" w:before="214"/>
        <w:ind w:left="216" w:right="278"/>
        <w:jc w:val="both"/>
      </w:pPr>
      <w:r>
        <w:rPr/>
        <w:t>Posteriormente, se colocó la placa de reacción MicroAmp® Fast en el equipo 7500 Fast Real Time PCR Systems (Applied Biosystems, Foster City, USA), se seleccionaron los ensayos usados (Fc</w:t>
      </w:r>
      <w:r>
        <w:rPr>
          <w:rFonts w:ascii="Symbol" w:hAnsi="Symbol"/>
        </w:rPr>
        <w:t></w:t>
      </w:r>
      <w:r>
        <w:rPr/>
        <w:t>R, Fc</w:t>
      </w:r>
      <w:r>
        <w:rPr>
          <w:rFonts w:ascii="Symbol" w:hAnsi="Symbol"/>
        </w:rPr>
        <w:t></w:t>
      </w:r>
      <w:r>
        <w:rPr/>
        <w:t>RIIB, Fc</w:t>
      </w:r>
      <w:r>
        <w:rPr>
          <w:rFonts w:ascii="Symbol" w:hAnsi="Symbol"/>
        </w:rPr>
        <w:t></w:t>
      </w:r>
      <w:r>
        <w:rPr/>
        <w:t>R, y 18s), y se señaló la ubicación de cada ensayo, así como del control NTC; se programaron 50 ciclos.</w:t>
      </w:r>
    </w:p>
    <w:p>
      <w:pPr>
        <w:pStyle w:val="BodyText"/>
        <w:spacing w:before="6"/>
        <w:rPr>
          <w:sz w:val="21"/>
        </w:rPr>
      </w:pPr>
    </w:p>
    <w:p>
      <w:pPr>
        <w:pStyle w:val="BodyText"/>
        <w:spacing w:line="336" w:lineRule="auto"/>
        <w:ind w:left="216" w:right="280"/>
        <w:jc w:val="both"/>
      </w:pPr>
      <w:r>
        <w:rPr/>
        <w:t>Al finalizar los ciclos programados se realizó el análisis de la expresión  génica relativa mediante el método           ; </w:t>
      </w:r>
      <w:r>
        <w:rPr>
          <w:position w:val="11"/>
          <w:sz w:val="16"/>
        </w:rPr>
        <w:t>79, 90 </w:t>
      </w:r>
      <w:r>
        <w:rPr/>
        <w:t>utilizando los valores C</w:t>
      </w:r>
      <w:r>
        <w:rPr>
          <w:position w:val="-2"/>
          <w:sz w:val="16"/>
        </w:rPr>
        <w:t>T  </w:t>
      </w:r>
      <w:r>
        <w:rPr/>
        <w:t>proporcionados</w:t>
      </w:r>
      <w:r>
        <w:rPr>
          <w:spacing w:val="65"/>
        </w:rPr>
        <w:t> </w:t>
      </w:r>
      <w:r>
        <w:rPr/>
        <w:t>por</w:t>
      </w:r>
    </w:p>
    <w:p>
      <w:pPr>
        <w:spacing w:after="0" w:line="336" w:lineRule="auto"/>
        <w:jc w:val="both"/>
        <w:sectPr>
          <w:pgSz w:w="12240" w:h="15840"/>
          <w:pgMar w:header="726" w:footer="1031" w:top="1340" w:bottom="1220" w:left="1200" w:right="1420"/>
        </w:sectPr>
      </w:pPr>
    </w:p>
    <w:p>
      <w:pPr>
        <w:pStyle w:val="BodyText"/>
        <w:spacing w:before="3"/>
        <w:rPr>
          <w:sz w:val="23"/>
        </w:rPr>
      </w:pPr>
    </w:p>
    <w:p>
      <w:pPr>
        <w:pStyle w:val="BodyText"/>
        <w:spacing w:line="360" w:lineRule="auto" w:before="69"/>
        <w:ind w:left="196"/>
      </w:pPr>
      <w:r>
        <w:rPr/>
        <w:t>el software del equipo 7500 Fast Real Time PCR System, se desarrolló la siguiente formula:</w:t>
      </w:r>
    </w:p>
    <w:p>
      <w:pPr>
        <w:pStyle w:val="BodyText"/>
        <w:rPr>
          <w:sz w:val="20"/>
        </w:rPr>
      </w:pPr>
    </w:p>
    <w:p>
      <w:pPr>
        <w:pStyle w:val="BodyText"/>
        <w:rPr>
          <w:sz w:val="20"/>
        </w:rPr>
      </w:pPr>
    </w:p>
    <w:p>
      <w:pPr>
        <w:pStyle w:val="BodyText"/>
        <w:spacing w:before="9"/>
        <w:rPr>
          <w:sz w:val="26"/>
        </w:rPr>
      </w:pPr>
    </w:p>
    <w:p>
      <w:pPr>
        <w:spacing w:line="355" w:lineRule="auto" w:before="70"/>
        <w:ind w:left="196" w:right="277" w:firstLine="0"/>
        <w:jc w:val="both"/>
        <w:rPr>
          <w:sz w:val="22"/>
        </w:rPr>
      </w:pPr>
      <w:r>
        <w:rPr>
          <w:sz w:val="24"/>
        </w:rPr>
        <w:t>dónde = </w:t>
      </w:r>
      <w:r>
        <w:rPr>
          <w:sz w:val="22"/>
        </w:rPr>
        <w:t>(C</w:t>
      </w:r>
      <w:r>
        <w:rPr>
          <w:position w:val="-2"/>
          <w:sz w:val="14"/>
        </w:rPr>
        <w:t>T objetivo </w:t>
      </w:r>
      <w:r>
        <w:rPr>
          <w:sz w:val="22"/>
        </w:rPr>
        <w:t>– C</w:t>
      </w:r>
      <w:r>
        <w:rPr>
          <w:position w:val="-2"/>
          <w:sz w:val="14"/>
        </w:rPr>
        <w:t>T referencia</w:t>
      </w:r>
      <w:r>
        <w:rPr>
          <w:sz w:val="22"/>
        </w:rPr>
        <w:t>) muestra tratamiento - (C</w:t>
      </w:r>
      <w:r>
        <w:rPr>
          <w:position w:val="-2"/>
          <w:sz w:val="14"/>
        </w:rPr>
        <w:t>T objetivo </w:t>
      </w:r>
      <w:r>
        <w:rPr>
          <w:sz w:val="22"/>
        </w:rPr>
        <w:t>– C</w:t>
      </w:r>
      <w:r>
        <w:rPr>
          <w:position w:val="-2"/>
          <w:sz w:val="14"/>
        </w:rPr>
        <w:t>T referencia</w:t>
      </w:r>
      <w:r>
        <w:rPr>
          <w:sz w:val="22"/>
        </w:rPr>
        <w:t>) muestra calibradora.</w:t>
      </w:r>
    </w:p>
    <w:p>
      <w:pPr>
        <w:pStyle w:val="BodyText"/>
        <w:spacing w:before="3"/>
        <w:rPr>
          <w:sz w:val="18"/>
        </w:rPr>
      </w:pPr>
    </w:p>
    <w:p>
      <w:pPr>
        <w:pStyle w:val="BodyText"/>
        <w:ind w:left="196"/>
        <w:jc w:val="both"/>
      </w:pPr>
      <w:r>
        <w:rPr/>
        <w:t>Se consideraron dos opciones para determinar la muestra calibradora para el método</w:t>
      </w:r>
    </w:p>
    <w:p>
      <w:pPr>
        <w:pStyle w:val="BodyText"/>
        <w:spacing w:line="357" w:lineRule="auto" w:before="140"/>
        <w:ind w:left="196" w:right="278"/>
        <w:jc w:val="both"/>
      </w:pPr>
      <w:r>
        <w:rPr>
          <w:rFonts w:ascii="Cambria Math" w:hAnsi="Cambria Math"/>
          <w:w w:val="251"/>
        </w:rPr>
        <w:t> </w:t>
      </w:r>
      <w:r>
        <w:rPr>
          <w:rFonts w:ascii="Cambria Math" w:hAnsi="Cambria Math"/>
          <w:w w:val="347"/>
          <w:position w:val="9"/>
          <w:sz w:val="16"/>
        </w:rPr>
        <w:t> </w:t>
      </w:r>
      <w:r>
        <w:rPr>
          <w:rFonts w:ascii="Cambria Math" w:hAnsi="Cambria Math"/>
          <w:position w:val="9"/>
          <w:sz w:val="16"/>
        </w:rPr>
        <w:t> </w:t>
      </w:r>
      <w:r>
        <w:rPr>
          <w:rFonts w:ascii="Cambria Math" w:hAnsi="Cambria Math"/>
          <w:w w:val="319"/>
          <w:position w:val="9"/>
          <w:sz w:val="16"/>
        </w:rPr>
        <w:t>  </w:t>
      </w:r>
      <w:r>
        <w:rPr>
          <w:rFonts w:ascii="Cambria Math" w:hAnsi="Cambria Math"/>
          <w:w w:val="299"/>
          <w:position w:val="9"/>
          <w:sz w:val="16"/>
        </w:rPr>
        <w:t> </w:t>
      </w:r>
      <w:r>
        <w:rPr>
          <w:rFonts w:ascii="Cambria Math" w:hAnsi="Cambria Math"/>
          <w:w w:val="311"/>
          <w:position w:val="5"/>
          <w:sz w:val="14"/>
        </w:rPr>
        <w:t> </w:t>
      </w:r>
      <w:r>
        <w:rPr/>
        <w:t>: a) la expresión génica de Fc</w:t>
      </w:r>
      <w:r>
        <w:rPr>
          <w:rFonts w:ascii="Symbol" w:hAnsi="Symbol"/>
        </w:rPr>
        <w:t></w:t>
      </w:r>
      <w:r>
        <w:rPr/>
        <w:t>R, Fc</w:t>
      </w:r>
      <w:r>
        <w:rPr>
          <w:rFonts w:ascii="Symbol" w:hAnsi="Symbol"/>
        </w:rPr>
        <w:t></w:t>
      </w:r>
      <w:r>
        <w:rPr/>
        <w:t>RIIB, Fc</w:t>
      </w:r>
      <w:r>
        <w:rPr>
          <w:rFonts w:ascii="Symbol" w:hAnsi="Symbol"/>
        </w:rPr>
        <w:t></w:t>
      </w:r>
      <w:r>
        <w:rPr/>
        <w:t>R de un sujeto libre de caries de cada grupo de estudio (con valor igual a 1); y b) la expresión génica de Fc</w:t>
      </w:r>
      <w:r>
        <w:rPr>
          <w:rFonts w:ascii="Symbol" w:hAnsi="Symbol"/>
        </w:rPr>
        <w:t></w:t>
      </w:r>
      <w:r>
        <w:rPr/>
        <w:t>R, Fc</w:t>
      </w:r>
      <w:r>
        <w:rPr>
          <w:rFonts w:ascii="Symbol" w:hAnsi="Symbol"/>
        </w:rPr>
        <w:t></w:t>
      </w:r>
      <w:r>
        <w:rPr/>
        <w:t>RIIB, Fc</w:t>
      </w:r>
      <w:r>
        <w:rPr>
          <w:rFonts w:ascii="Symbol" w:hAnsi="Symbol"/>
        </w:rPr>
        <w:t></w:t>
      </w:r>
      <w:r>
        <w:rPr/>
        <w:t>R obtenida de cDNA Raji de varón humano (Part No. 4352575, Applied Biosystems, Foster City, USA).</w:t>
      </w:r>
    </w:p>
    <w:p>
      <w:pPr>
        <w:pStyle w:val="BodyText"/>
        <w:spacing w:line="355" w:lineRule="auto" w:before="212"/>
        <w:ind w:left="196" w:right="282"/>
        <w:jc w:val="both"/>
      </w:pPr>
      <w:r>
        <w:rPr/>
        <w:t>De esta manera se obtuvieron las unidades relativas de expresión para la comparación entre el grupo de dentición mixta y el grupo de dentición permanente.</w:t>
      </w:r>
    </w:p>
    <w:p>
      <w:pPr>
        <w:pStyle w:val="Heading2"/>
        <w:numPr>
          <w:ilvl w:val="0"/>
          <w:numId w:val="19"/>
        </w:numPr>
        <w:tabs>
          <w:tab w:pos="624" w:val="left" w:leader="none"/>
        </w:tabs>
        <w:spacing w:line="240" w:lineRule="auto" w:before="205" w:after="0"/>
        <w:ind w:left="623" w:right="0" w:hanging="360"/>
        <w:jc w:val="both"/>
      </w:pPr>
      <w:bookmarkStart w:name="_TOC_250015" w:id="51"/>
      <w:r>
        <w:rPr/>
        <w:t>Análisis de la</w:t>
      </w:r>
      <w:r>
        <w:rPr>
          <w:spacing w:val="-13"/>
        </w:rPr>
        <w:t> </w:t>
      </w:r>
      <w:bookmarkEnd w:id="51"/>
      <w:r>
        <w:rPr/>
        <w:t>Información</w:t>
      </w:r>
    </w:p>
    <w:p>
      <w:pPr>
        <w:pStyle w:val="BodyText"/>
        <w:spacing w:before="10"/>
        <w:rPr>
          <w:b/>
          <w:sz w:val="29"/>
        </w:rPr>
      </w:pPr>
    </w:p>
    <w:p>
      <w:pPr>
        <w:pStyle w:val="BodyText"/>
        <w:ind w:left="196"/>
        <w:jc w:val="both"/>
      </w:pPr>
      <w:r>
        <w:rPr/>
        <w:t>Para el análisis de los datos se realizó:</w:t>
      </w:r>
    </w:p>
    <w:p>
      <w:pPr>
        <w:pStyle w:val="BodyText"/>
        <w:spacing w:before="7"/>
        <w:rPr>
          <w:sz w:val="29"/>
        </w:rPr>
      </w:pPr>
    </w:p>
    <w:p>
      <w:pPr>
        <w:pStyle w:val="ListParagraph"/>
        <w:numPr>
          <w:ilvl w:val="0"/>
          <w:numId w:val="33"/>
        </w:numPr>
        <w:tabs>
          <w:tab w:pos="916" w:val="left" w:leader="none"/>
          <w:tab w:pos="917" w:val="left" w:leader="none"/>
        </w:tabs>
        <w:spacing w:line="350" w:lineRule="auto" w:before="1" w:after="0"/>
        <w:ind w:left="917" w:right="279" w:hanging="361"/>
        <w:jc w:val="left"/>
        <w:rPr>
          <w:sz w:val="24"/>
        </w:rPr>
      </w:pPr>
      <w:r>
        <w:rPr>
          <w:sz w:val="24"/>
        </w:rPr>
        <w:t>Estadística descriptiva de los datos, para conocer el comportamiento de las variables incluidas en el presente</w:t>
      </w:r>
      <w:r>
        <w:rPr>
          <w:spacing w:val="-10"/>
          <w:sz w:val="24"/>
        </w:rPr>
        <w:t> </w:t>
      </w:r>
      <w:r>
        <w:rPr>
          <w:sz w:val="24"/>
        </w:rPr>
        <w:t>estudio.</w:t>
      </w:r>
    </w:p>
    <w:p>
      <w:pPr>
        <w:pStyle w:val="ListParagraph"/>
        <w:numPr>
          <w:ilvl w:val="0"/>
          <w:numId w:val="33"/>
        </w:numPr>
        <w:tabs>
          <w:tab w:pos="916" w:val="left" w:leader="none"/>
          <w:tab w:pos="917" w:val="left" w:leader="none"/>
        </w:tabs>
        <w:spacing w:line="355" w:lineRule="auto" w:before="12" w:after="0"/>
        <w:ind w:left="917" w:right="281" w:hanging="361"/>
        <w:jc w:val="left"/>
        <w:rPr>
          <w:sz w:val="24"/>
        </w:rPr>
      </w:pPr>
      <w:r>
        <w:rPr>
          <w:sz w:val="24"/>
        </w:rPr>
        <w:t>Diferencia de medias de la desmineralización (caries) entre los grupos de estudio (dentición mixta y dentición</w:t>
      </w:r>
      <w:r>
        <w:rPr>
          <w:spacing w:val="-23"/>
          <w:sz w:val="24"/>
        </w:rPr>
        <w:t> </w:t>
      </w:r>
      <w:r>
        <w:rPr>
          <w:sz w:val="24"/>
        </w:rPr>
        <w:t>permanente).</w:t>
      </w:r>
    </w:p>
    <w:p>
      <w:pPr>
        <w:pStyle w:val="ListParagraph"/>
        <w:numPr>
          <w:ilvl w:val="0"/>
          <w:numId w:val="33"/>
        </w:numPr>
        <w:tabs>
          <w:tab w:pos="916" w:val="left" w:leader="none"/>
          <w:tab w:pos="917" w:val="left" w:leader="none"/>
        </w:tabs>
        <w:spacing w:line="355" w:lineRule="auto" w:before="6" w:after="0"/>
        <w:ind w:left="917" w:right="289" w:hanging="361"/>
        <w:jc w:val="left"/>
        <w:rPr>
          <w:sz w:val="24"/>
        </w:rPr>
      </w:pPr>
      <w:r>
        <w:rPr>
          <w:sz w:val="24"/>
        </w:rPr>
        <w:t>Diferencia de medias de la expresión génica entre los grupos de estudio (dentición mixta y dentición</w:t>
      </w:r>
      <w:r>
        <w:rPr>
          <w:spacing w:val="-21"/>
          <w:sz w:val="24"/>
        </w:rPr>
        <w:t> </w:t>
      </w:r>
      <w:r>
        <w:rPr>
          <w:sz w:val="24"/>
        </w:rPr>
        <w:t>permanente).</w:t>
      </w:r>
    </w:p>
    <w:p>
      <w:pPr>
        <w:pStyle w:val="ListParagraph"/>
        <w:numPr>
          <w:ilvl w:val="0"/>
          <w:numId w:val="33"/>
        </w:numPr>
        <w:tabs>
          <w:tab w:pos="916" w:val="left" w:leader="none"/>
          <w:tab w:pos="917" w:val="left" w:leader="none"/>
        </w:tabs>
        <w:spacing w:line="352" w:lineRule="auto" w:before="6" w:after="0"/>
        <w:ind w:left="917" w:right="278" w:hanging="361"/>
        <w:jc w:val="left"/>
        <w:rPr>
          <w:sz w:val="24"/>
        </w:rPr>
      </w:pPr>
      <w:r>
        <w:rPr>
          <w:sz w:val="24"/>
        </w:rPr>
        <w:t>Regresión Lineal Múltiple para conocer la asociación entre la caries y la expresión génica de Fc</w:t>
      </w:r>
      <w:r>
        <w:rPr>
          <w:rFonts w:ascii="Symbol" w:hAnsi="Symbol"/>
          <w:sz w:val="24"/>
        </w:rPr>
        <w:t></w:t>
      </w:r>
      <w:r>
        <w:rPr>
          <w:sz w:val="24"/>
        </w:rPr>
        <w:t>R, Fc</w:t>
      </w:r>
      <w:r>
        <w:rPr>
          <w:rFonts w:ascii="Symbol" w:hAnsi="Symbol"/>
          <w:sz w:val="24"/>
        </w:rPr>
        <w:t></w:t>
      </w:r>
      <w:r>
        <w:rPr>
          <w:sz w:val="24"/>
        </w:rPr>
        <w:t>RIIB,</w:t>
      </w:r>
      <w:r>
        <w:rPr>
          <w:spacing w:val="-11"/>
          <w:sz w:val="24"/>
        </w:rPr>
        <w:t> </w:t>
      </w:r>
      <w:r>
        <w:rPr>
          <w:sz w:val="24"/>
        </w:rPr>
        <w:t>Fc</w:t>
      </w:r>
      <w:r>
        <w:rPr>
          <w:rFonts w:ascii="Symbol" w:hAnsi="Symbol"/>
          <w:sz w:val="24"/>
        </w:rPr>
        <w:t></w:t>
      </w:r>
      <w:r>
        <w:rPr>
          <w:sz w:val="24"/>
        </w:rPr>
        <w:t>R.</w:t>
      </w:r>
    </w:p>
    <w:p>
      <w:pPr>
        <w:pStyle w:val="ListParagraph"/>
        <w:numPr>
          <w:ilvl w:val="0"/>
          <w:numId w:val="33"/>
        </w:numPr>
        <w:tabs>
          <w:tab w:pos="916" w:val="left" w:leader="none"/>
          <w:tab w:pos="917" w:val="left" w:leader="none"/>
        </w:tabs>
        <w:spacing w:line="240" w:lineRule="auto" w:before="9" w:after="0"/>
        <w:ind w:left="917" w:right="0" w:hanging="361"/>
        <w:jc w:val="left"/>
        <w:rPr>
          <w:sz w:val="24"/>
        </w:rPr>
      </w:pPr>
      <w:r>
        <w:rPr>
          <w:sz w:val="24"/>
        </w:rPr>
        <w:t>El  análisis se realizó mediante el uso del  paquete estadístico SPSS   </w:t>
      </w:r>
      <w:r>
        <w:rPr>
          <w:spacing w:val="16"/>
          <w:sz w:val="24"/>
        </w:rPr>
        <w:t> </w:t>
      </w:r>
      <w:r>
        <w:rPr>
          <w:sz w:val="24"/>
        </w:rPr>
        <w:t>versión</w:t>
      </w:r>
    </w:p>
    <w:p>
      <w:pPr>
        <w:pStyle w:val="BodyText"/>
        <w:spacing w:before="130"/>
        <w:ind w:left="916"/>
      </w:pPr>
      <w:r>
        <w:rPr/>
        <w:t>19.0 (Chicago, USA).</w:t>
      </w:r>
    </w:p>
    <w:p>
      <w:pPr>
        <w:spacing w:after="0"/>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34"/>
        </w:numPr>
        <w:tabs>
          <w:tab w:pos="3496" w:val="left" w:leader="none"/>
        </w:tabs>
        <w:spacing w:line="240" w:lineRule="auto" w:before="173" w:after="0"/>
        <w:ind w:left="3495" w:right="0" w:hanging="1066"/>
        <w:jc w:val="left"/>
      </w:pPr>
      <w:bookmarkStart w:name="_TOC_250014" w:id="52"/>
      <w:bookmarkEnd w:id="52"/>
      <w:r>
        <w:rPr/>
        <w:t>RESULTADOS</w:t>
      </w:r>
    </w:p>
    <w:p>
      <w:pPr>
        <w:spacing w:after="0" w:line="240" w:lineRule="auto"/>
        <w:jc w:val="left"/>
        <w:sectPr>
          <w:pgSz w:w="12240" w:h="15840"/>
          <w:pgMar w:header="726" w:footer="1031" w:top="1340" w:bottom="1220" w:left="1220" w:right="1420"/>
        </w:sectPr>
      </w:pPr>
    </w:p>
    <w:p>
      <w:pPr>
        <w:pStyle w:val="BodyText"/>
        <w:spacing w:before="4"/>
        <w:rPr>
          <w:b/>
          <w:sz w:val="22"/>
        </w:rPr>
      </w:pPr>
    </w:p>
    <w:p>
      <w:pPr>
        <w:pStyle w:val="Heading2"/>
        <w:numPr>
          <w:ilvl w:val="0"/>
          <w:numId w:val="35"/>
        </w:numPr>
        <w:tabs>
          <w:tab w:pos="619" w:val="left" w:leader="none"/>
        </w:tabs>
        <w:spacing w:line="240" w:lineRule="auto" w:before="70" w:after="0"/>
        <w:ind w:left="618" w:right="0" w:hanging="360"/>
        <w:jc w:val="left"/>
      </w:pPr>
      <w:bookmarkStart w:name="_TOC_250013" w:id="53"/>
      <w:r>
        <w:rPr/>
        <w:t>Acuse de recibido del artículo por una revista</w:t>
      </w:r>
      <w:r>
        <w:rPr>
          <w:spacing w:val="-30"/>
        </w:rPr>
        <w:t> </w:t>
      </w:r>
      <w:bookmarkEnd w:id="53"/>
      <w:r>
        <w:rPr/>
        <w:t>indexada</w:t>
      </w:r>
    </w:p>
    <w:p>
      <w:pPr>
        <w:pStyle w:val="BodyText"/>
        <w:rPr>
          <w:b/>
          <w:sz w:val="20"/>
        </w:rPr>
      </w:pPr>
    </w:p>
    <w:p>
      <w:pPr>
        <w:pStyle w:val="BodyText"/>
        <w:rPr>
          <w:b/>
          <w:sz w:val="20"/>
        </w:rPr>
      </w:pPr>
    </w:p>
    <w:p>
      <w:pPr>
        <w:pStyle w:val="BodyText"/>
        <w:spacing w:before="2"/>
        <w:rPr>
          <w:b/>
        </w:rPr>
      </w:pPr>
      <w:r>
        <w:rPr/>
        <w:drawing>
          <wp:anchor distT="0" distB="0" distL="0" distR="0" allowOverlap="1" layoutInCell="1" locked="0" behindDoc="0" simplePos="0" relativeHeight="2248">
            <wp:simplePos x="0" y="0"/>
            <wp:positionH relativeFrom="page">
              <wp:posOffset>1077594</wp:posOffset>
            </wp:positionH>
            <wp:positionV relativeFrom="paragraph">
              <wp:posOffset>201536</wp:posOffset>
            </wp:positionV>
            <wp:extent cx="5596257" cy="6335839"/>
            <wp:effectExtent l="0" t="0" r="0" b="0"/>
            <wp:wrapTopAndBottom/>
            <wp:docPr id="49" name="image45.jpeg" descr=""/>
            <wp:cNvGraphicFramePr>
              <a:graphicFrameLocks noChangeAspect="1"/>
            </wp:cNvGraphicFramePr>
            <a:graphic>
              <a:graphicData uri="http://schemas.openxmlformats.org/drawingml/2006/picture">
                <pic:pic>
                  <pic:nvPicPr>
                    <pic:cNvPr id="50" name="image45.jpeg"/>
                    <pic:cNvPicPr/>
                  </pic:nvPicPr>
                  <pic:blipFill>
                    <a:blip r:embed="rId71" cstate="print"/>
                    <a:stretch>
                      <a:fillRect/>
                    </a:stretch>
                  </pic:blipFill>
                  <pic:spPr>
                    <a:xfrm>
                      <a:off x="0" y="0"/>
                      <a:ext cx="5596257" cy="6335839"/>
                    </a:xfrm>
                    <a:prstGeom prst="rect">
                      <a:avLst/>
                    </a:prstGeom>
                  </pic:spPr>
                </pic:pic>
              </a:graphicData>
            </a:graphic>
          </wp:anchor>
        </w:drawing>
      </w:r>
    </w:p>
    <w:p>
      <w:pPr>
        <w:spacing w:after="0"/>
        <w:sectPr>
          <w:footerReference w:type="default" r:id="rId70"/>
          <w:pgSz w:w="12240" w:h="15840"/>
          <w:pgMar w:footer="1031" w:header="726" w:top="1340" w:bottom="1220" w:left="1220" w:right="1420"/>
        </w:sectPr>
      </w:pPr>
    </w:p>
    <w:p>
      <w:pPr>
        <w:pStyle w:val="BodyText"/>
        <w:spacing w:before="4"/>
        <w:rPr>
          <w:b/>
          <w:sz w:val="22"/>
        </w:rPr>
      </w:pPr>
    </w:p>
    <w:p>
      <w:pPr>
        <w:pStyle w:val="Heading2"/>
        <w:numPr>
          <w:ilvl w:val="0"/>
          <w:numId w:val="35"/>
        </w:numPr>
        <w:tabs>
          <w:tab w:pos="624" w:val="left" w:leader="none"/>
        </w:tabs>
        <w:spacing w:line="240" w:lineRule="auto" w:before="70" w:after="0"/>
        <w:ind w:left="623" w:right="0" w:hanging="360"/>
        <w:jc w:val="left"/>
      </w:pPr>
      <w:bookmarkStart w:name="_TOC_250012" w:id="54"/>
      <w:r>
        <w:rPr/>
        <w:t>Artículo</w:t>
      </w:r>
      <w:r>
        <w:rPr>
          <w:spacing w:val="-6"/>
        </w:rPr>
        <w:t> </w:t>
      </w:r>
      <w:bookmarkEnd w:id="54"/>
      <w:r>
        <w:rPr/>
        <w:t>completo</w:t>
      </w:r>
    </w:p>
    <w:p>
      <w:pPr>
        <w:pStyle w:val="BodyText"/>
        <w:rPr>
          <w:b/>
        </w:rPr>
      </w:pPr>
    </w:p>
    <w:p>
      <w:pPr>
        <w:pStyle w:val="BodyText"/>
        <w:rPr>
          <w:b/>
        </w:rPr>
      </w:pPr>
    </w:p>
    <w:p>
      <w:pPr>
        <w:spacing w:line="357" w:lineRule="auto" w:before="207"/>
        <w:ind w:left="3150" w:right="1873" w:hanging="985"/>
        <w:jc w:val="left"/>
        <w:rPr>
          <w:b/>
          <w:sz w:val="24"/>
        </w:rPr>
      </w:pPr>
      <w:r>
        <w:rPr>
          <w:b/>
          <w:sz w:val="24"/>
        </w:rPr>
        <w:t>Genetic expression of Fc</w:t>
      </w:r>
      <w:r>
        <w:rPr>
          <w:rFonts w:ascii="Symbol" w:hAnsi="Symbol"/>
          <w:b/>
          <w:sz w:val="24"/>
        </w:rPr>
        <w:t></w:t>
      </w:r>
      <w:r>
        <w:rPr>
          <w:b/>
          <w:sz w:val="24"/>
        </w:rPr>
        <w:t>R, Fc</w:t>
      </w:r>
      <w:r>
        <w:rPr>
          <w:rFonts w:ascii="Symbol" w:hAnsi="Symbol"/>
          <w:b/>
          <w:sz w:val="24"/>
        </w:rPr>
        <w:t></w:t>
      </w:r>
      <w:r>
        <w:rPr>
          <w:b/>
          <w:sz w:val="24"/>
        </w:rPr>
        <w:t>RIIB, and Fc</w:t>
      </w:r>
      <w:r>
        <w:rPr>
          <w:rFonts w:ascii="Symbol" w:hAnsi="Symbol"/>
          <w:b/>
          <w:sz w:val="24"/>
        </w:rPr>
        <w:t></w:t>
      </w:r>
      <w:r>
        <w:rPr>
          <w:b/>
          <w:sz w:val="24"/>
        </w:rPr>
        <w:t>R in Mexican subjects with caries</w:t>
      </w:r>
    </w:p>
    <w:p>
      <w:pPr>
        <w:pStyle w:val="BodyText"/>
        <w:rPr>
          <w:b/>
        </w:rPr>
      </w:pPr>
    </w:p>
    <w:p>
      <w:pPr>
        <w:pStyle w:val="BodyText"/>
        <w:spacing w:before="6"/>
        <w:rPr>
          <w:b/>
          <w:sz w:val="33"/>
        </w:rPr>
      </w:pPr>
    </w:p>
    <w:p>
      <w:pPr>
        <w:spacing w:line="324" w:lineRule="auto" w:before="0"/>
        <w:ind w:left="556" w:right="277" w:firstLine="0"/>
        <w:jc w:val="both"/>
        <w:rPr>
          <w:b/>
          <w:sz w:val="13"/>
        </w:rPr>
      </w:pPr>
      <w:r>
        <w:rPr>
          <w:b/>
          <w:sz w:val="20"/>
        </w:rPr>
        <w:t>Gema Regina Guadarrama-Santín</w:t>
      </w:r>
      <w:r>
        <w:rPr>
          <w:b/>
          <w:position w:val="10"/>
          <w:sz w:val="13"/>
        </w:rPr>
        <w:t>1,</w:t>
      </w:r>
      <w:r>
        <w:rPr>
          <w:b/>
          <w:sz w:val="20"/>
        </w:rPr>
        <w:t>*, Angel Visoso Salgado</w:t>
      </w:r>
      <w:r>
        <w:rPr>
          <w:b/>
          <w:position w:val="10"/>
          <w:sz w:val="13"/>
        </w:rPr>
        <w:t>1</w:t>
      </w:r>
      <w:r>
        <w:rPr>
          <w:b/>
          <w:sz w:val="20"/>
        </w:rPr>
        <w:t>, Norma Margarita Montiel Bastida</w:t>
      </w:r>
      <w:r>
        <w:rPr>
          <w:b/>
          <w:position w:val="10"/>
          <w:sz w:val="13"/>
        </w:rPr>
        <w:t>1</w:t>
      </w:r>
      <w:r>
        <w:rPr>
          <w:b/>
          <w:sz w:val="20"/>
        </w:rPr>
        <w:t>, Isaías de la Rosa Gómez</w:t>
      </w:r>
      <w:r>
        <w:rPr>
          <w:b/>
          <w:position w:val="10"/>
          <w:sz w:val="13"/>
        </w:rPr>
        <w:t>2</w:t>
      </w:r>
      <w:r>
        <w:rPr>
          <w:b/>
          <w:sz w:val="20"/>
        </w:rPr>
        <w:t>, Hugo Mendieta Zerón</w:t>
      </w:r>
      <w:r>
        <w:rPr>
          <w:b/>
          <w:position w:val="10"/>
          <w:sz w:val="13"/>
        </w:rPr>
        <w:t>3</w:t>
      </w:r>
      <w:r>
        <w:rPr>
          <w:b/>
          <w:sz w:val="20"/>
        </w:rPr>
        <w:t>, and </w:t>
      </w:r>
      <w:r>
        <w:rPr>
          <w:position w:val="10"/>
          <w:sz w:val="13"/>
        </w:rPr>
        <w:t>1</w:t>
      </w:r>
      <w:r>
        <w:rPr>
          <w:b/>
          <w:sz w:val="20"/>
        </w:rPr>
        <w:t>Jonnathan Guadalupe Santillán Benítez</w:t>
      </w:r>
      <w:r>
        <w:rPr>
          <w:b/>
          <w:position w:val="10"/>
          <w:sz w:val="13"/>
        </w:rPr>
        <w:t>3</w:t>
      </w:r>
    </w:p>
    <w:p>
      <w:pPr>
        <w:pStyle w:val="BodyText"/>
        <w:spacing w:before="7"/>
        <w:rPr>
          <w:b/>
          <w:sz w:val="29"/>
        </w:rPr>
      </w:pPr>
    </w:p>
    <w:p>
      <w:pPr>
        <w:spacing w:line="360" w:lineRule="auto" w:before="0"/>
        <w:ind w:left="556" w:right="273" w:firstLine="0"/>
        <w:jc w:val="both"/>
        <w:rPr>
          <w:sz w:val="20"/>
        </w:rPr>
      </w:pPr>
      <w:r>
        <w:rPr>
          <w:position w:val="10"/>
          <w:sz w:val="13"/>
        </w:rPr>
        <w:t>1 </w:t>
      </w:r>
      <w:r>
        <w:rPr>
          <w:sz w:val="20"/>
        </w:rPr>
        <w:t>The Dr. Keisaburo Miyata Center for Research and Advanced Studies in Dentistry. Autonomous University of the State of Mexico, Paseo Tollocan esq. Jesús Carranza s/n. Toluca, C.P. 50130. Mexico.</w:t>
      </w:r>
    </w:p>
    <w:p>
      <w:pPr>
        <w:spacing w:line="229" w:lineRule="exact" w:before="0"/>
        <w:ind w:left="556" w:right="0" w:firstLine="0"/>
        <w:jc w:val="both"/>
        <w:rPr>
          <w:sz w:val="20"/>
        </w:rPr>
      </w:pPr>
      <w:r>
        <w:rPr>
          <w:position w:val="10"/>
          <w:sz w:val="13"/>
        </w:rPr>
        <w:t>2  </w:t>
      </w:r>
      <w:r>
        <w:rPr>
          <w:sz w:val="20"/>
        </w:rPr>
        <w:t>Technological Institute of Toluca, Av. Tecnológico s/n. Metepec, C.P. 52149. Mexico.</w:t>
      </w:r>
    </w:p>
    <w:p>
      <w:pPr>
        <w:spacing w:line="360" w:lineRule="auto" w:before="81"/>
        <w:ind w:left="556" w:right="285" w:firstLine="0"/>
        <w:jc w:val="both"/>
        <w:rPr>
          <w:sz w:val="20"/>
        </w:rPr>
      </w:pPr>
      <w:r>
        <w:rPr>
          <w:position w:val="10"/>
          <w:sz w:val="13"/>
        </w:rPr>
        <w:t>3 </w:t>
      </w:r>
      <w:r>
        <w:rPr>
          <w:sz w:val="20"/>
        </w:rPr>
        <w:t>Centre for Research in Medical Sciences. Autonomous University of the State of Mexico, Jesús Carranza No. 200. Toluca, C.P. 50130. Mexico.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2272;mso-wrap-distance-left:0;mso-wrap-distance-right:0" from="70.823997pt,11.843467pt" to="214.873997pt,11.843467pt" stroked="true" strokeweight=".72003pt" strokecolor="#000000">
            <w10:wrap type="topAndBottom"/>
          </v:line>
        </w:pict>
      </w:r>
    </w:p>
    <w:p>
      <w:pPr>
        <w:spacing w:line="360" w:lineRule="auto" w:before="66"/>
        <w:ind w:left="196" w:right="579" w:firstLine="0"/>
        <w:jc w:val="left"/>
        <w:rPr>
          <w:sz w:val="20"/>
        </w:rPr>
      </w:pPr>
      <w:r>
        <w:rPr>
          <w:b/>
          <w:sz w:val="20"/>
        </w:rPr>
        <w:t>*Corresponding author</w:t>
      </w:r>
      <w:r>
        <w:rPr>
          <w:sz w:val="20"/>
        </w:rPr>
        <w:t>: Gema Regina Guadarrama Santín. The Dr. Keisaburo Miyata Center for Research and Advanced Studies in Dentistry. Autonomous University of the State of Mexico, Paseo Tollocan esq. Jesús Carranza s/n. Toluca, C.P. 50130. Mexico (Present address). Phone:</w:t>
      </w:r>
    </w:p>
    <w:p>
      <w:pPr>
        <w:spacing w:before="4"/>
        <w:ind w:left="196" w:right="0" w:firstLine="0"/>
        <w:jc w:val="left"/>
        <w:rPr>
          <w:sz w:val="20"/>
        </w:rPr>
      </w:pPr>
      <w:r>
        <w:rPr>
          <w:sz w:val="20"/>
        </w:rPr>
        <w:t>+527225716092. E-mail: </w:t>
      </w:r>
      <w:hyperlink r:id="rId73">
        <w:r>
          <w:rPr>
            <w:sz w:val="20"/>
          </w:rPr>
          <w:t>reginaguadarrama@outlook.com</w:t>
        </w:r>
      </w:hyperlink>
    </w:p>
    <w:p>
      <w:pPr>
        <w:spacing w:before="111"/>
        <w:ind w:left="196" w:right="0" w:firstLine="0"/>
        <w:jc w:val="left"/>
        <w:rPr>
          <w:sz w:val="20"/>
        </w:rPr>
      </w:pPr>
      <w:r>
        <w:rPr>
          <w:b/>
          <w:sz w:val="20"/>
        </w:rPr>
        <w:t>Short title: </w:t>
      </w:r>
      <w:r>
        <w:rPr>
          <w:sz w:val="20"/>
        </w:rPr>
        <w:t>Genetic expression of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w:t>
      </w:r>
    </w:p>
    <w:p>
      <w:pPr>
        <w:spacing w:after="0"/>
        <w:jc w:val="left"/>
        <w:rPr>
          <w:sz w:val="20"/>
        </w:rPr>
        <w:sectPr>
          <w:footerReference w:type="default" r:id="rId72"/>
          <w:pgSz w:w="12240" w:h="15840"/>
          <w:pgMar w:footer="1031" w:header="726" w:top="1340" w:bottom="1220" w:left="1220" w:right="1420"/>
          <w:pgNumType w:start="81"/>
        </w:sectPr>
      </w:pPr>
    </w:p>
    <w:p>
      <w:pPr>
        <w:pStyle w:val="BodyText"/>
        <w:spacing w:before="2"/>
        <w:rPr>
          <w:sz w:val="22"/>
        </w:rPr>
      </w:pPr>
    </w:p>
    <w:p>
      <w:pPr>
        <w:spacing w:before="76"/>
        <w:ind w:left="254" w:right="0" w:firstLine="0"/>
        <w:jc w:val="both"/>
        <w:rPr>
          <w:b/>
          <w:sz w:val="20"/>
        </w:rPr>
      </w:pPr>
      <w:r>
        <w:rPr>
          <w:b/>
          <w:sz w:val="20"/>
        </w:rPr>
        <w:t>ABSTRACT</w:t>
      </w:r>
    </w:p>
    <w:p>
      <w:pPr>
        <w:pStyle w:val="BodyText"/>
        <w:rPr>
          <w:b/>
          <w:sz w:val="20"/>
        </w:rPr>
      </w:pPr>
    </w:p>
    <w:p>
      <w:pPr>
        <w:spacing w:before="126"/>
        <w:ind w:left="196" w:right="0" w:firstLine="0"/>
        <w:jc w:val="both"/>
        <w:rPr>
          <w:b/>
          <w:sz w:val="20"/>
        </w:rPr>
      </w:pPr>
      <w:r>
        <w:rPr>
          <w:b/>
          <w:sz w:val="20"/>
        </w:rPr>
        <w:t>Objectives</w:t>
      </w:r>
    </w:p>
    <w:p>
      <w:pPr>
        <w:spacing w:line="360" w:lineRule="auto" w:before="120"/>
        <w:ind w:left="196" w:right="276" w:firstLine="0"/>
        <w:jc w:val="both"/>
        <w:rPr>
          <w:sz w:val="20"/>
        </w:rPr>
      </w:pPr>
      <w:r>
        <w:rPr>
          <w:sz w:val="20"/>
        </w:rPr>
        <w:t>Tooth decay is a contagious and multifactorial disease, saliva is a host-associated aetiological factor involved in caries. Saliva contains nucleic acids and proteins such as immunoglobulins A, G, and </w:t>
      </w:r>
      <w:r>
        <w:rPr>
          <w:spacing w:val="-3"/>
          <w:sz w:val="20"/>
        </w:rPr>
        <w:t>M. </w:t>
      </w:r>
      <w:r>
        <w:rPr>
          <w:sz w:val="20"/>
        </w:rPr>
        <w:t>IgA and IgG have binding activity </w:t>
      </w:r>
      <w:r>
        <w:rPr>
          <w:spacing w:val="-3"/>
          <w:sz w:val="20"/>
        </w:rPr>
        <w:t>against </w:t>
      </w:r>
      <w:r>
        <w:rPr>
          <w:sz w:val="20"/>
        </w:rPr>
        <w:t>oral α-haemolytic </w:t>
      </w:r>
      <w:r>
        <w:rPr>
          <w:i/>
          <w:sz w:val="20"/>
        </w:rPr>
        <w:t>Streptococcus </w:t>
      </w:r>
      <w:r>
        <w:rPr>
          <w:sz w:val="20"/>
        </w:rPr>
        <w:t>isolates and reduce the incidence </w:t>
      </w:r>
      <w:r>
        <w:rPr>
          <w:spacing w:val="-4"/>
          <w:sz w:val="20"/>
        </w:rPr>
        <w:t>of </w:t>
      </w:r>
      <w:r>
        <w:rPr>
          <w:sz w:val="20"/>
        </w:rPr>
        <w:t>carious lesions. The biomarkers present in saliva are important for molecular diagnostics. The objective </w:t>
      </w:r>
      <w:r>
        <w:rPr>
          <w:spacing w:val="-4"/>
          <w:sz w:val="20"/>
        </w:rPr>
        <w:t>of </w:t>
      </w:r>
      <w:r>
        <w:rPr>
          <w:sz w:val="20"/>
        </w:rPr>
        <w:t>this study </w:t>
      </w:r>
      <w:r>
        <w:rPr>
          <w:spacing w:val="-3"/>
          <w:sz w:val="20"/>
        </w:rPr>
        <w:t>was </w:t>
      </w:r>
      <w:r>
        <w:rPr>
          <w:sz w:val="20"/>
        </w:rPr>
        <w:t>to analyse the genetic expression </w:t>
      </w:r>
      <w:r>
        <w:rPr>
          <w:spacing w:val="-4"/>
          <w:sz w:val="20"/>
        </w:rPr>
        <w:t>of </w:t>
      </w:r>
      <w:r>
        <w:rPr>
          <w:sz w:val="20"/>
        </w:rPr>
        <w:t>the immunoglobulin receptors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in saliva </w:t>
      </w:r>
      <w:r>
        <w:rPr>
          <w:spacing w:val="-4"/>
          <w:sz w:val="20"/>
        </w:rPr>
        <w:t>of </w:t>
      </w:r>
      <w:r>
        <w:rPr>
          <w:sz w:val="20"/>
        </w:rPr>
        <w:t>Mexican patients with mixed and permanent dentition with caries.</w:t>
      </w:r>
    </w:p>
    <w:p>
      <w:pPr>
        <w:pStyle w:val="BodyText"/>
        <w:spacing w:before="5"/>
        <w:rPr>
          <w:sz w:val="17"/>
        </w:rPr>
      </w:pPr>
    </w:p>
    <w:p>
      <w:pPr>
        <w:spacing w:before="1"/>
        <w:ind w:left="196" w:right="0" w:firstLine="0"/>
        <w:jc w:val="both"/>
        <w:rPr>
          <w:b/>
          <w:sz w:val="20"/>
        </w:rPr>
      </w:pPr>
      <w:r>
        <w:rPr>
          <w:b/>
          <w:sz w:val="20"/>
        </w:rPr>
        <w:t>Desing</w:t>
      </w:r>
    </w:p>
    <w:p>
      <w:pPr>
        <w:spacing w:line="360" w:lineRule="auto" w:before="115"/>
        <w:ind w:left="196" w:right="272" w:firstLine="0"/>
        <w:jc w:val="both"/>
        <w:rPr>
          <w:sz w:val="20"/>
        </w:rPr>
      </w:pPr>
      <w:r>
        <w:rPr>
          <w:sz w:val="20"/>
        </w:rPr>
        <w:t>One hundred patients whit tooth decay (50 with mixed dentition and 50 with permanent dentition) took part in the study. From a sample of saliva was obtained mRNA and RT-qPCR was realized to observe the genetic expression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w:t>
      </w:r>
    </w:p>
    <w:p>
      <w:pPr>
        <w:pStyle w:val="BodyText"/>
        <w:spacing w:before="9"/>
        <w:rPr>
          <w:sz w:val="16"/>
        </w:rPr>
      </w:pPr>
    </w:p>
    <w:p>
      <w:pPr>
        <w:spacing w:before="0"/>
        <w:ind w:left="196" w:right="0" w:firstLine="0"/>
        <w:jc w:val="both"/>
        <w:rPr>
          <w:b/>
          <w:sz w:val="20"/>
        </w:rPr>
      </w:pPr>
      <w:r>
        <w:rPr>
          <w:b/>
          <w:sz w:val="20"/>
        </w:rPr>
        <w:t>Results</w:t>
      </w:r>
    </w:p>
    <w:p>
      <w:pPr>
        <w:spacing w:line="364" w:lineRule="auto" w:before="116"/>
        <w:ind w:left="196" w:right="275" w:firstLine="0"/>
        <w:jc w:val="both"/>
        <w:rPr>
          <w:sz w:val="20"/>
        </w:rPr>
      </w:pPr>
      <w:r>
        <w:rPr>
          <w:sz w:val="20"/>
        </w:rPr>
        <w:t>Was observed a significant difference of Fc</w:t>
      </w:r>
      <w:r>
        <w:rPr>
          <w:rFonts w:ascii="Symbol" w:hAnsi="Symbol"/>
          <w:sz w:val="20"/>
        </w:rPr>
        <w:t></w:t>
      </w:r>
      <w:r>
        <w:rPr>
          <w:sz w:val="20"/>
        </w:rPr>
        <w:t>RIIB gene expression between both dentitions (</w:t>
      </w:r>
      <w:r>
        <w:rPr>
          <w:i/>
          <w:sz w:val="20"/>
        </w:rPr>
        <w:t>p</w:t>
      </w:r>
      <w:r>
        <w:rPr>
          <w:sz w:val="20"/>
        </w:rPr>
        <w:t>=0.025), however, was not significant association between the tooth decay and the genetic expression.</w:t>
      </w:r>
    </w:p>
    <w:p>
      <w:pPr>
        <w:pStyle w:val="BodyText"/>
        <w:spacing w:before="7"/>
        <w:rPr>
          <w:sz w:val="16"/>
        </w:rPr>
      </w:pPr>
    </w:p>
    <w:p>
      <w:pPr>
        <w:spacing w:before="0"/>
        <w:ind w:left="196" w:right="0" w:firstLine="0"/>
        <w:jc w:val="both"/>
        <w:rPr>
          <w:b/>
          <w:sz w:val="20"/>
        </w:rPr>
      </w:pPr>
      <w:r>
        <w:rPr>
          <w:b/>
          <w:sz w:val="20"/>
        </w:rPr>
        <w:t>Conclusions</w:t>
      </w:r>
    </w:p>
    <w:p>
      <w:pPr>
        <w:spacing w:line="360" w:lineRule="auto" w:before="121"/>
        <w:ind w:left="196" w:right="284" w:firstLine="0"/>
        <w:jc w:val="both"/>
        <w:rPr>
          <w:sz w:val="20"/>
        </w:rPr>
      </w:pPr>
      <w:r>
        <w:rPr>
          <w:sz w:val="20"/>
        </w:rPr>
        <w:t>Although the expression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in saliva was confirmed, no association was found between the expression of immunoglobulin receptors and tooth decay.</w:t>
      </w:r>
    </w:p>
    <w:p>
      <w:pPr>
        <w:pStyle w:val="BodyText"/>
        <w:spacing w:before="11"/>
        <w:rPr>
          <w:sz w:val="29"/>
        </w:rPr>
      </w:pPr>
    </w:p>
    <w:p>
      <w:pPr>
        <w:spacing w:before="0"/>
        <w:ind w:left="196" w:right="0" w:firstLine="0"/>
        <w:jc w:val="both"/>
        <w:rPr>
          <w:b/>
          <w:sz w:val="20"/>
        </w:rPr>
      </w:pPr>
      <w:r>
        <w:rPr>
          <w:b/>
          <w:sz w:val="20"/>
        </w:rPr>
        <w:t>INTRODUCTION</w:t>
      </w:r>
    </w:p>
    <w:p>
      <w:pPr>
        <w:pStyle w:val="BodyText"/>
        <w:spacing w:before="7"/>
        <w:rPr>
          <w:b/>
          <w:sz w:val="27"/>
        </w:rPr>
      </w:pPr>
    </w:p>
    <w:p>
      <w:pPr>
        <w:spacing w:line="360" w:lineRule="auto" w:before="0"/>
        <w:ind w:left="196" w:right="271" w:firstLine="0"/>
        <w:jc w:val="both"/>
        <w:rPr>
          <w:sz w:val="20"/>
        </w:rPr>
      </w:pPr>
      <w:r>
        <w:rPr>
          <w:sz w:val="20"/>
        </w:rPr>
        <w:t>Tooth decay is a contagious and multifactorial disease characterised by the progressive disintegration of the hard tissues of the tooth. This process is due to the acidic fermentation </w:t>
      </w:r>
      <w:r>
        <w:rPr>
          <w:spacing w:val="-4"/>
          <w:sz w:val="20"/>
        </w:rPr>
        <w:t>of </w:t>
      </w:r>
      <w:r>
        <w:rPr>
          <w:sz w:val="20"/>
        </w:rPr>
        <w:t>carbohydrates by oral microorganisms that demineralise the mineral portion of the tooth and subsequently disintegrate the organic </w:t>
      </w:r>
      <w:r>
        <w:rPr>
          <w:spacing w:val="-3"/>
          <w:sz w:val="20"/>
        </w:rPr>
        <w:t>tissue. </w:t>
      </w:r>
      <w:r>
        <w:rPr>
          <w:sz w:val="20"/>
        </w:rPr>
        <w:t>Tooth decay is the most prevalent oral health problem in the world, affecting 95 to </w:t>
      </w:r>
      <w:r>
        <w:rPr>
          <w:spacing w:val="50"/>
          <w:sz w:val="20"/>
        </w:rPr>
        <w:t> </w:t>
      </w:r>
      <w:r>
        <w:rPr>
          <w:sz w:val="20"/>
        </w:rPr>
        <w:t>99%</w:t>
      </w:r>
    </w:p>
    <w:p>
      <w:pPr>
        <w:spacing w:line="234" w:lineRule="exact" w:before="0"/>
        <w:ind w:left="196" w:right="0" w:firstLine="0"/>
        <w:jc w:val="both"/>
        <w:rPr>
          <w:sz w:val="13"/>
        </w:rPr>
      </w:pPr>
      <w:r>
        <w:rPr>
          <w:sz w:val="20"/>
        </w:rPr>
        <w:t>of the population.</w:t>
      </w:r>
      <w:r>
        <w:rPr>
          <w:position w:val="10"/>
          <w:sz w:val="13"/>
        </w:rPr>
        <w:t>1, 2</w:t>
      </w:r>
    </w:p>
    <w:p>
      <w:pPr>
        <w:pStyle w:val="BodyText"/>
        <w:spacing w:before="1"/>
        <w:rPr>
          <w:sz w:val="27"/>
        </w:rPr>
      </w:pPr>
    </w:p>
    <w:p>
      <w:pPr>
        <w:spacing w:line="324" w:lineRule="auto" w:before="1"/>
        <w:ind w:left="196" w:right="278" w:firstLine="0"/>
        <w:jc w:val="both"/>
        <w:rPr>
          <w:sz w:val="13"/>
        </w:rPr>
      </w:pPr>
      <w:r>
        <w:rPr>
          <w:sz w:val="20"/>
        </w:rPr>
        <w:t>Various studies conducted in Mexico during the last two decades in different age groups reported that caries have prevalences of 48 to 95% in pre-schoolers</w:t>
      </w:r>
      <w:r>
        <w:rPr>
          <w:position w:val="10"/>
          <w:sz w:val="13"/>
        </w:rPr>
        <w:t>3-7</w:t>
      </w:r>
      <w:r>
        <w:rPr>
          <w:sz w:val="20"/>
        </w:rPr>
        <w:t>, 42 to 88% in 12-year-olds</w:t>
      </w:r>
      <w:r>
        <w:rPr>
          <w:position w:val="10"/>
          <w:sz w:val="13"/>
        </w:rPr>
        <w:t>8-10</w:t>
      </w:r>
      <w:r>
        <w:rPr>
          <w:sz w:val="20"/>
        </w:rPr>
        <w:t>, 53.4% in 15- year-old adolescents</w:t>
      </w:r>
      <w:r>
        <w:rPr>
          <w:position w:val="10"/>
          <w:sz w:val="13"/>
        </w:rPr>
        <w:t>11</w:t>
      </w:r>
      <w:r>
        <w:rPr>
          <w:sz w:val="20"/>
        </w:rPr>
        <w:t>, and 74.4% in young adults under the age of 26.</w:t>
      </w:r>
      <w:r>
        <w:rPr>
          <w:position w:val="10"/>
          <w:sz w:val="13"/>
        </w:rPr>
        <w:t>12</w:t>
      </w:r>
    </w:p>
    <w:p>
      <w:pPr>
        <w:spacing w:line="343" w:lineRule="auto" w:before="187"/>
        <w:ind w:left="196" w:right="274" w:firstLine="0"/>
        <w:jc w:val="both"/>
        <w:rPr>
          <w:sz w:val="20"/>
        </w:rPr>
      </w:pPr>
      <w:r>
        <w:rPr>
          <w:sz w:val="20"/>
        </w:rPr>
        <w:t>Based on the ecological triad developed by Gordon</w:t>
      </w:r>
      <w:r>
        <w:rPr>
          <w:position w:val="10"/>
          <w:sz w:val="13"/>
        </w:rPr>
        <w:t>1 </w:t>
      </w:r>
      <w:r>
        <w:rPr>
          <w:sz w:val="20"/>
        </w:rPr>
        <w:t>for the development of a causal model in epidemiology, Paul Keyes</w:t>
      </w:r>
      <w:r>
        <w:rPr>
          <w:position w:val="10"/>
          <w:sz w:val="13"/>
        </w:rPr>
        <w:t>13 </w:t>
      </w:r>
      <w:r>
        <w:rPr>
          <w:sz w:val="20"/>
        </w:rPr>
        <w:t>established that the aetiology of dental caries was due to the interaction of three agents: the host, microorganisms, and the diet. These factors are known as basic or primary</w:t>
      </w:r>
    </w:p>
    <w:p>
      <w:pPr>
        <w:spacing w:after="0" w:line="343" w:lineRule="auto"/>
        <w:jc w:val="both"/>
        <w:rPr>
          <w:sz w:val="20"/>
        </w:rPr>
        <w:sectPr>
          <w:pgSz w:w="12240" w:h="15840"/>
          <w:pgMar w:header="726" w:footer="1031" w:top="1340" w:bottom="1220" w:left="1220" w:right="1420"/>
        </w:sectPr>
      </w:pPr>
    </w:p>
    <w:p>
      <w:pPr>
        <w:pStyle w:val="BodyText"/>
        <w:spacing w:before="10"/>
        <w:rPr>
          <w:sz w:val="18"/>
        </w:rPr>
      </w:pPr>
    </w:p>
    <w:p>
      <w:pPr>
        <w:spacing w:line="324" w:lineRule="auto" w:before="84"/>
        <w:ind w:left="196" w:right="279" w:firstLine="0"/>
        <w:jc w:val="both"/>
        <w:rPr>
          <w:sz w:val="13"/>
        </w:rPr>
      </w:pPr>
      <w:r>
        <w:rPr>
          <w:sz w:val="20"/>
        </w:rPr>
        <w:t>factors.</w:t>
      </w:r>
      <w:r>
        <w:rPr>
          <w:position w:val="10"/>
          <w:sz w:val="13"/>
        </w:rPr>
        <w:t>7, 14 </w:t>
      </w:r>
      <w:r>
        <w:rPr>
          <w:sz w:val="20"/>
        </w:rPr>
        <w:t>Subsequently, another study</w:t>
      </w:r>
      <w:r>
        <w:rPr>
          <w:position w:val="10"/>
          <w:sz w:val="13"/>
        </w:rPr>
        <w:t>15 </w:t>
      </w:r>
      <w:r>
        <w:rPr>
          <w:sz w:val="20"/>
        </w:rPr>
        <w:t>added a fourth aetiological factor required for the production of caries: time.</w:t>
      </w:r>
      <w:r>
        <w:rPr>
          <w:position w:val="10"/>
          <w:sz w:val="13"/>
        </w:rPr>
        <w:t>16</w:t>
      </w:r>
    </w:p>
    <w:p>
      <w:pPr>
        <w:spacing w:before="192"/>
        <w:ind w:left="196" w:right="0" w:firstLine="0"/>
        <w:jc w:val="both"/>
        <w:rPr>
          <w:sz w:val="13"/>
        </w:rPr>
      </w:pPr>
      <w:r>
        <w:rPr>
          <w:sz w:val="20"/>
        </w:rPr>
        <w:t>Saliva is an important aetiological factor of the host and plays a major role in the formation of   caries.</w:t>
      </w:r>
      <w:r>
        <w:rPr>
          <w:position w:val="10"/>
          <w:sz w:val="13"/>
        </w:rPr>
        <w:t>17,</w:t>
      </w:r>
    </w:p>
    <w:p>
      <w:pPr>
        <w:spacing w:line="348" w:lineRule="auto" w:before="81"/>
        <w:ind w:left="196" w:right="273" w:firstLine="0"/>
        <w:jc w:val="both"/>
        <w:rPr>
          <w:sz w:val="20"/>
        </w:rPr>
      </w:pPr>
      <w:r>
        <w:rPr>
          <w:position w:val="10"/>
          <w:sz w:val="13"/>
        </w:rPr>
        <w:t>18 </w:t>
      </w:r>
      <w:r>
        <w:rPr>
          <w:sz w:val="20"/>
        </w:rPr>
        <w:t>Furthermore, saliva contains antibodies including IgA, IgG, and IgM.</w:t>
      </w:r>
      <w:r>
        <w:rPr>
          <w:position w:val="10"/>
          <w:sz w:val="13"/>
        </w:rPr>
        <w:t>1, 18 </w:t>
      </w:r>
      <w:r>
        <w:rPr>
          <w:sz w:val="20"/>
        </w:rPr>
        <w:t>These antibodies mediate  the humoral immune response of the </w:t>
      </w:r>
      <w:r>
        <w:rPr>
          <w:spacing w:val="-3"/>
          <w:sz w:val="20"/>
        </w:rPr>
        <w:t>host </w:t>
      </w:r>
      <w:r>
        <w:rPr>
          <w:sz w:val="20"/>
        </w:rPr>
        <w:t>and are involved in dental caries. Functionally intact immunoglobulins present in the oral cavity bind specific antigens on the oral bacteria and thereby block certain molecules on  bacterial  surfaces that  are  important  for  adhesion  to  the  oral</w:t>
      </w:r>
      <w:r>
        <w:rPr>
          <w:spacing w:val="-13"/>
          <w:sz w:val="20"/>
        </w:rPr>
        <w:t> </w:t>
      </w:r>
      <w:r>
        <w:rPr>
          <w:sz w:val="20"/>
        </w:rPr>
        <w:t>surfaces.</w:t>
      </w:r>
      <w:r>
        <w:rPr>
          <w:position w:val="10"/>
          <w:sz w:val="13"/>
        </w:rPr>
        <w:t>19  </w:t>
      </w:r>
      <w:r>
        <w:rPr>
          <w:sz w:val="20"/>
        </w:rPr>
        <w:t>The</w:t>
      </w:r>
    </w:p>
    <w:p>
      <w:pPr>
        <w:spacing w:line="324" w:lineRule="auto" w:before="0"/>
        <w:ind w:left="196" w:right="282" w:firstLine="0"/>
        <w:jc w:val="both"/>
        <w:rPr>
          <w:sz w:val="13"/>
        </w:rPr>
      </w:pPr>
      <w:r>
        <w:rPr>
          <w:sz w:val="20"/>
        </w:rPr>
        <w:t>cellular immunity of the innate immune system is also involved in the response against caries and is mediated by macrophages and enzymatic activity.</w:t>
      </w:r>
      <w:r>
        <w:rPr>
          <w:position w:val="10"/>
          <w:sz w:val="13"/>
        </w:rPr>
        <w:t>20</w:t>
      </w:r>
    </w:p>
    <w:p>
      <w:pPr>
        <w:pStyle w:val="BodyText"/>
        <w:spacing w:before="7"/>
        <w:rPr>
          <w:sz w:val="22"/>
        </w:rPr>
      </w:pPr>
    </w:p>
    <w:p>
      <w:pPr>
        <w:spacing w:line="336" w:lineRule="auto" w:before="0"/>
        <w:ind w:left="196" w:right="274" w:firstLine="0"/>
        <w:jc w:val="both"/>
        <w:rPr>
          <w:sz w:val="20"/>
        </w:rPr>
      </w:pPr>
      <w:r>
        <w:rPr>
          <w:sz w:val="20"/>
        </w:rPr>
        <w:t>Immunoglobulins IgG and IgA aggregate oral α-haemolytic </w:t>
      </w:r>
      <w:r>
        <w:rPr>
          <w:i/>
          <w:sz w:val="20"/>
        </w:rPr>
        <w:t>Streptococcus </w:t>
      </w:r>
      <w:r>
        <w:rPr>
          <w:sz w:val="20"/>
        </w:rPr>
        <w:t>isolates and reduce the incidence </w:t>
      </w:r>
      <w:r>
        <w:rPr>
          <w:spacing w:val="-4"/>
          <w:sz w:val="20"/>
        </w:rPr>
        <w:t>of </w:t>
      </w:r>
      <w:r>
        <w:rPr>
          <w:sz w:val="20"/>
        </w:rPr>
        <w:t>new carious lesions. However, this process does not always prevent the disease.</w:t>
      </w:r>
      <w:r>
        <w:rPr>
          <w:position w:val="10"/>
          <w:sz w:val="13"/>
        </w:rPr>
        <w:t>21, 22 </w:t>
      </w:r>
      <w:r>
        <w:rPr>
          <w:sz w:val="20"/>
        </w:rPr>
        <w:t>Specifically, secretory IgA helps maintain the integrity </w:t>
      </w:r>
      <w:r>
        <w:rPr>
          <w:spacing w:val="-4"/>
          <w:sz w:val="20"/>
        </w:rPr>
        <w:t>of </w:t>
      </w:r>
      <w:r>
        <w:rPr>
          <w:sz w:val="20"/>
        </w:rPr>
        <w:t>the oral surfaces by four different  mechanisms. First, IgA limits microbial adhesion to epithelial surfaces and to the  hydroxyapatite </w:t>
      </w:r>
      <w:r>
        <w:rPr>
          <w:spacing w:val="-4"/>
          <w:sz w:val="20"/>
        </w:rPr>
        <w:t>of </w:t>
      </w:r>
      <w:r>
        <w:rPr>
          <w:sz w:val="20"/>
        </w:rPr>
        <w:t>tooth enamel.</w:t>
      </w:r>
      <w:r>
        <w:rPr>
          <w:position w:val="10"/>
          <w:sz w:val="13"/>
        </w:rPr>
        <w:t>23 </w:t>
      </w:r>
      <w:r>
        <w:rPr>
          <w:sz w:val="20"/>
        </w:rPr>
        <w:t>IgA reduces plaque formation by controlling streptococcal glucosyltransferase</w:t>
      </w:r>
      <w:r>
        <w:rPr>
          <w:position w:val="10"/>
          <w:sz w:val="13"/>
        </w:rPr>
        <w:t>24 </w:t>
      </w:r>
      <w:r>
        <w:rPr>
          <w:sz w:val="20"/>
        </w:rPr>
        <w:t>and neutralises toxins, enzymes, and viruses.</w:t>
      </w:r>
      <w:r>
        <w:rPr>
          <w:position w:val="10"/>
          <w:sz w:val="13"/>
        </w:rPr>
        <w:t>25, 26 </w:t>
      </w:r>
      <w:r>
        <w:rPr>
          <w:sz w:val="20"/>
        </w:rPr>
        <w:t>Finally, IgA acts in synergy with other antibacterial  factors such as lysozyme</w:t>
      </w:r>
      <w:r>
        <w:rPr>
          <w:position w:val="10"/>
          <w:sz w:val="13"/>
        </w:rPr>
        <w:t>27</w:t>
      </w:r>
      <w:r>
        <w:rPr>
          <w:sz w:val="20"/>
        </w:rPr>
        <w:t>, lactoferrin</w:t>
      </w:r>
      <w:r>
        <w:rPr>
          <w:position w:val="10"/>
          <w:sz w:val="13"/>
        </w:rPr>
        <w:t>28, 29</w:t>
      </w:r>
      <w:r>
        <w:rPr>
          <w:sz w:val="20"/>
        </w:rPr>
        <w:t>, salivary peroxidase</w:t>
      </w:r>
      <w:r>
        <w:rPr>
          <w:position w:val="10"/>
          <w:sz w:val="13"/>
        </w:rPr>
        <w:t>30, 31</w:t>
      </w:r>
      <w:r>
        <w:rPr>
          <w:sz w:val="20"/>
        </w:rPr>
        <w:t>, and mucins</w:t>
      </w:r>
      <w:r>
        <w:rPr>
          <w:position w:val="10"/>
          <w:sz w:val="13"/>
        </w:rPr>
        <w:t>28  </w:t>
      </w:r>
      <w:r>
        <w:rPr>
          <w:sz w:val="20"/>
        </w:rPr>
        <w:t>and further</w:t>
      </w:r>
      <w:r>
        <w:rPr>
          <w:spacing w:val="45"/>
          <w:sz w:val="20"/>
        </w:rPr>
        <w:t> </w:t>
      </w:r>
      <w:r>
        <w:rPr>
          <w:sz w:val="20"/>
        </w:rPr>
        <w:t>prevents</w:t>
      </w:r>
    </w:p>
    <w:p>
      <w:pPr>
        <w:spacing w:line="242" w:lineRule="exact" w:before="0"/>
        <w:ind w:left="196" w:right="0" w:firstLine="0"/>
        <w:jc w:val="both"/>
        <w:rPr>
          <w:sz w:val="13"/>
        </w:rPr>
      </w:pPr>
      <w:r>
        <w:rPr>
          <w:sz w:val="20"/>
        </w:rPr>
        <w:t>the penetration of antigens in the oral mucosa.</w:t>
      </w:r>
      <w:r>
        <w:rPr>
          <w:position w:val="10"/>
          <w:sz w:val="13"/>
        </w:rPr>
        <w:t>32</w:t>
      </w:r>
    </w:p>
    <w:p>
      <w:pPr>
        <w:pStyle w:val="BodyText"/>
        <w:spacing w:before="11"/>
        <w:rPr>
          <w:sz w:val="30"/>
        </w:rPr>
      </w:pPr>
    </w:p>
    <w:p>
      <w:pPr>
        <w:spacing w:line="360" w:lineRule="auto" w:before="0"/>
        <w:ind w:left="196" w:right="278" w:firstLine="0"/>
        <w:jc w:val="both"/>
        <w:rPr>
          <w:sz w:val="20"/>
        </w:rPr>
      </w:pPr>
      <w:r>
        <w:rPr>
          <w:sz w:val="20"/>
        </w:rPr>
        <w:t>The presence of caries in different age groups and in different types of teeth </w:t>
      </w:r>
      <w:r>
        <w:rPr>
          <w:spacing w:val="-3"/>
          <w:sz w:val="20"/>
        </w:rPr>
        <w:t>was </w:t>
      </w:r>
      <w:r>
        <w:rPr>
          <w:sz w:val="20"/>
        </w:rPr>
        <w:t>studied. The aims </w:t>
      </w:r>
      <w:r>
        <w:rPr>
          <w:spacing w:val="-4"/>
          <w:sz w:val="20"/>
        </w:rPr>
        <w:t>of </w:t>
      </w:r>
      <w:r>
        <w:rPr>
          <w:sz w:val="20"/>
        </w:rPr>
        <w:t>this </w:t>
      </w:r>
      <w:r>
        <w:rPr>
          <w:spacing w:val="-3"/>
          <w:sz w:val="20"/>
        </w:rPr>
        <w:t>work were </w:t>
      </w:r>
      <w:r>
        <w:rPr>
          <w:sz w:val="20"/>
        </w:rPr>
        <w:t>to measure the genetic expression of IgA (Fc</w:t>
      </w:r>
      <w:r>
        <w:rPr>
          <w:rFonts w:ascii="Symbol" w:hAnsi="Symbol"/>
          <w:sz w:val="20"/>
        </w:rPr>
        <w:t></w:t>
      </w:r>
      <w:r>
        <w:rPr>
          <w:sz w:val="20"/>
        </w:rPr>
        <w:t>R), IgG (Fc</w:t>
      </w:r>
      <w:r>
        <w:rPr>
          <w:rFonts w:ascii="Symbol" w:hAnsi="Symbol"/>
          <w:sz w:val="20"/>
        </w:rPr>
        <w:t></w:t>
      </w:r>
      <w:r>
        <w:rPr>
          <w:sz w:val="20"/>
        </w:rPr>
        <w:t>RIIB), and IgM (Fc</w:t>
      </w:r>
      <w:r>
        <w:rPr>
          <w:rFonts w:ascii="Symbol" w:hAnsi="Symbol"/>
          <w:sz w:val="20"/>
        </w:rPr>
        <w:t></w:t>
      </w:r>
      <w:r>
        <w:rPr>
          <w:sz w:val="20"/>
        </w:rPr>
        <w:t>R) receptors in the saliva </w:t>
      </w:r>
      <w:r>
        <w:rPr>
          <w:spacing w:val="-4"/>
          <w:sz w:val="20"/>
        </w:rPr>
        <w:t>of </w:t>
      </w:r>
      <w:r>
        <w:rPr>
          <w:sz w:val="20"/>
        </w:rPr>
        <w:t>subjects with mixed and permanent dentition with caries, study the  differences between the types of dentitions, and learn about the role </w:t>
      </w:r>
      <w:r>
        <w:rPr>
          <w:spacing w:val="-4"/>
          <w:sz w:val="20"/>
        </w:rPr>
        <w:t>of </w:t>
      </w:r>
      <w:r>
        <w:rPr>
          <w:sz w:val="20"/>
        </w:rPr>
        <w:t>these immunoglobulins in the immune </w:t>
      </w:r>
      <w:r>
        <w:rPr>
          <w:spacing w:val="-3"/>
          <w:sz w:val="20"/>
        </w:rPr>
        <w:t>response </w:t>
      </w:r>
      <w:r>
        <w:rPr>
          <w:sz w:val="20"/>
        </w:rPr>
        <w:t>against</w:t>
      </w:r>
      <w:r>
        <w:rPr>
          <w:spacing w:val="20"/>
          <w:sz w:val="20"/>
        </w:rPr>
        <w:t> </w:t>
      </w:r>
      <w:r>
        <w:rPr>
          <w:sz w:val="20"/>
        </w:rPr>
        <w:t>cavities.</w:t>
      </w:r>
    </w:p>
    <w:p>
      <w:pPr>
        <w:pStyle w:val="BodyText"/>
        <w:rPr>
          <w:sz w:val="20"/>
        </w:rPr>
      </w:pPr>
    </w:p>
    <w:p>
      <w:pPr>
        <w:spacing w:before="115"/>
        <w:ind w:left="196" w:right="0" w:firstLine="0"/>
        <w:jc w:val="both"/>
        <w:rPr>
          <w:b/>
          <w:sz w:val="20"/>
        </w:rPr>
      </w:pPr>
      <w:r>
        <w:rPr>
          <w:b/>
          <w:sz w:val="20"/>
        </w:rPr>
        <w:t>MATERIALS AND METHODS</w:t>
      </w:r>
    </w:p>
    <w:p>
      <w:pPr>
        <w:pStyle w:val="BodyText"/>
        <w:rPr>
          <w:b/>
          <w:sz w:val="20"/>
        </w:rPr>
      </w:pPr>
    </w:p>
    <w:p>
      <w:pPr>
        <w:spacing w:before="125"/>
        <w:ind w:left="196" w:right="0" w:firstLine="0"/>
        <w:jc w:val="both"/>
        <w:rPr>
          <w:b/>
          <w:sz w:val="20"/>
        </w:rPr>
      </w:pPr>
      <w:r>
        <w:rPr>
          <w:b/>
          <w:sz w:val="20"/>
        </w:rPr>
        <w:t>Type of study and particularities of the population</w:t>
      </w:r>
    </w:p>
    <w:p>
      <w:pPr>
        <w:spacing w:line="360" w:lineRule="auto" w:before="116"/>
        <w:ind w:left="196" w:right="277" w:firstLine="0"/>
        <w:jc w:val="both"/>
        <w:rPr>
          <w:sz w:val="20"/>
        </w:rPr>
      </w:pPr>
      <w:r>
        <w:rPr>
          <w:sz w:val="20"/>
        </w:rPr>
        <w:t>This work is a comparative cross-sectional study. One hundred Mexican individuals (50 with mixed dentition and 50 with permanent dentition) were studied, and deterministic sampling was used. The subjects signed consent forms, and in the case of children, the forms were signed by their parents. The study was reviewed and approved by the Ethics Committee of the Centre for Research and Advanced Studies, School of Dentistry, Autonomous University of the State of Mexico.</w:t>
      </w:r>
    </w:p>
    <w:p>
      <w:pPr>
        <w:pStyle w:val="BodyText"/>
        <w:spacing w:before="5"/>
        <w:rPr>
          <w:sz w:val="17"/>
        </w:rPr>
      </w:pPr>
    </w:p>
    <w:p>
      <w:pPr>
        <w:spacing w:line="360" w:lineRule="auto" w:before="1"/>
        <w:ind w:left="196" w:right="283" w:firstLine="0"/>
        <w:jc w:val="both"/>
        <w:rPr>
          <w:sz w:val="20"/>
        </w:rPr>
      </w:pPr>
      <w:r>
        <w:rPr>
          <w:sz w:val="20"/>
        </w:rPr>
        <w:t>Subjects who met the following criteria were included in the study: presence of caries diagnosed by the laser fluorescence device DIAGNOdent Pen (KaVo, Biberach, Germany) in at least one tooth, no</w:t>
      </w:r>
    </w:p>
    <w:p>
      <w:pPr>
        <w:spacing w:after="0" w:line="360" w:lineRule="auto"/>
        <w:jc w:val="both"/>
        <w:rPr>
          <w:sz w:val="20"/>
        </w:rPr>
        <w:sectPr>
          <w:pgSz w:w="12240" w:h="15840"/>
          <w:pgMar w:header="726" w:footer="1031" w:top="1340" w:bottom="1220" w:left="1220" w:right="1420"/>
        </w:sectPr>
      </w:pPr>
    </w:p>
    <w:p>
      <w:pPr>
        <w:pStyle w:val="BodyText"/>
        <w:spacing w:before="7"/>
        <w:rPr>
          <w:sz w:val="22"/>
        </w:rPr>
      </w:pPr>
    </w:p>
    <w:p>
      <w:pPr>
        <w:spacing w:line="360" w:lineRule="auto" w:before="76"/>
        <w:ind w:left="196" w:right="281" w:firstLine="0"/>
        <w:jc w:val="both"/>
        <w:rPr>
          <w:sz w:val="20"/>
        </w:rPr>
      </w:pPr>
      <w:r>
        <w:rPr>
          <w:sz w:val="20"/>
        </w:rPr>
        <w:t>orthopaedic or orthodontic treatment and/or dental prosthetics, and no pharmacotherapy. Subjects with chronic or acute illnesses were excluded from the study.</w:t>
      </w:r>
    </w:p>
    <w:p>
      <w:pPr>
        <w:pStyle w:val="BodyText"/>
        <w:spacing w:before="5"/>
        <w:rPr>
          <w:sz w:val="17"/>
        </w:rPr>
      </w:pPr>
    </w:p>
    <w:p>
      <w:pPr>
        <w:spacing w:before="1"/>
        <w:ind w:left="196" w:right="0" w:firstLine="0"/>
        <w:jc w:val="both"/>
        <w:rPr>
          <w:b/>
          <w:sz w:val="20"/>
        </w:rPr>
      </w:pPr>
      <w:r>
        <w:rPr>
          <w:b/>
          <w:sz w:val="20"/>
        </w:rPr>
        <w:t>Characterisation of the population</w:t>
      </w:r>
    </w:p>
    <w:p>
      <w:pPr>
        <w:spacing w:line="360" w:lineRule="auto" w:before="120"/>
        <w:ind w:left="196" w:right="278" w:firstLine="0"/>
        <w:jc w:val="both"/>
        <w:rPr>
          <w:sz w:val="20"/>
        </w:rPr>
      </w:pPr>
      <w:r>
        <w:rPr>
          <w:sz w:val="20"/>
        </w:rPr>
        <w:t>The following data </w:t>
      </w:r>
      <w:r>
        <w:rPr>
          <w:spacing w:val="-3"/>
          <w:sz w:val="20"/>
        </w:rPr>
        <w:t>were </w:t>
      </w:r>
      <w:r>
        <w:rPr>
          <w:sz w:val="20"/>
        </w:rPr>
        <w:t>collected: demographic characteristics (age, sex, marital status, education,  and occupation), health habits (brushing frequency, brushing time, and occasional </w:t>
      </w:r>
      <w:r>
        <w:rPr>
          <w:spacing w:val="-3"/>
          <w:sz w:val="20"/>
        </w:rPr>
        <w:t>use </w:t>
      </w:r>
      <w:r>
        <w:rPr>
          <w:sz w:val="20"/>
        </w:rPr>
        <w:t>of secondary oral hygiene measures), and alimentary habits (number </w:t>
      </w:r>
      <w:r>
        <w:rPr>
          <w:spacing w:val="-4"/>
          <w:sz w:val="20"/>
        </w:rPr>
        <w:t>of </w:t>
      </w:r>
      <w:r>
        <w:rPr>
          <w:sz w:val="20"/>
        </w:rPr>
        <w:t>meals per day, number </w:t>
      </w:r>
      <w:r>
        <w:rPr>
          <w:spacing w:val="-4"/>
          <w:sz w:val="20"/>
        </w:rPr>
        <w:t>of </w:t>
      </w:r>
      <w:r>
        <w:rPr>
          <w:sz w:val="20"/>
        </w:rPr>
        <w:t>nutritive and non- nutritive sugar-containing foods consumed between meals and number of non-nutritive sugar- containing foods consumed hour before sleep) to characterise the population</w:t>
      </w:r>
      <w:r>
        <w:rPr>
          <w:spacing w:val="-21"/>
          <w:sz w:val="20"/>
        </w:rPr>
        <w:t> </w:t>
      </w:r>
      <w:r>
        <w:rPr>
          <w:sz w:val="20"/>
        </w:rPr>
        <w:t>studied.</w:t>
      </w:r>
    </w:p>
    <w:p>
      <w:pPr>
        <w:pStyle w:val="BodyText"/>
        <w:spacing w:before="5"/>
        <w:rPr>
          <w:sz w:val="17"/>
        </w:rPr>
      </w:pPr>
    </w:p>
    <w:p>
      <w:pPr>
        <w:spacing w:before="0"/>
        <w:ind w:left="196" w:right="0" w:firstLine="0"/>
        <w:jc w:val="both"/>
        <w:rPr>
          <w:b/>
          <w:sz w:val="20"/>
        </w:rPr>
      </w:pPr>
      <w:r>
        <w:rPr>
          <w:b/>
          <w:sz w:val="20"/>
        </w:rPr>
        <w:t>Diagnosis of tooth decay</w:t>
      </w:r>
    </w:p>
    <w:p>
      <w:pPr>
        <w:spacing w:line="348" w:lineRule="auto" w:before="121"/>
        <w:ind w:left="196" w:right="277" w:firstLine="0"/>
        <w:jc w:val="both"/>
        <w:rPr>
          <w:sz w:val="20"/>
        </w:rPr>
      </w:pPr>
      <w:r>
        <w:rPr>
          <w:sz w:val="20"/>
        </w:rPr>
        <w:t>Caries were diagnosed using the laser fluorescence device DIAGNOdent Pen (KaVo, Biberach, Germany), which was calibrated at the beginning of the study and between each subject. The teeth were examined using tip B for smooth surfaces to diagnose caries. The values set by the manufacturer (0-13 = no caries, 14-20 = enamel caries, and 21-99 = caries in dentin)</w:t>
      </w:r>
      <w:r>
        <w:rPr>
          <w:position w:val="10"/>
          <w:sz w:val="13"/>
        </w:rPr>
        <w:t>33, 34  </w:t>
      </w:r>
      <w:r>
        <w:rPr>
          <w:sz w:val="20"/>
        </w:rPr>
        <w:t>were used.</w:t>
      </w:r>
    </w:p>
    <w:p>
      <w:pPr>
        <w:spacing w:before="195"/>
        <w:ind w:left="196" w:right="0" w:firstLine="0"/>
        <w:jc w:val="both"/>
        <w:rPr>
          <w:b/>
          <w:sz w:val="20"/>
        </w:rPr>
      </w:pPr>
      <w:r>
        <w:rPr>
          <w:b/>
          <w:sz w:val="20"/>
        </w:rPr>
        <w:t>Saliva sampling</w:t>
      </w:r>
    </w:p>
    <w:p>
      <w:pPr>
        <w:spacing w:line="360" w:lineRule="auto" w:before="120"/>
        <w:ind w:left="196" w:right="278" w:firstLine="0"/>
        <w:jc w:val="both"/>
        <w:rPr>
          <w:sz w:val="20"/>
        </w:rPr>
      </w:pPr>
      <w:r>
        <w:rPr>
          <w:sz w:val="20"/>
        </w:rPr>
        <w:t>A spontaneous saliva sample of approximately 1.5 mL was collected from each subject. Patients were instructed to abstain from eating, drinking, smoking, or the use of oral hygiene procedures for at least 1 hour before sampling. To produce saliva, subjects were asked to expectorate mixed, unstimulated saliva into a blunt plastic cone. The sample was then transferred to a 1.7 mL microcentrifuge tube (Costar, California, USA) with the help of a sterile 1654 Beale spatula (Arain, Sialkot, Pakistan). Samples were stored at 4-8°C during collection and subsequently stored at -70°C.</w:t>
      </w:r>
    </w:p>
    <w:p>
      <w:pPr>
        <w:pStyle w:val="BodyText"/>
        <w:rPr>
          <w:sz w:val="17"/>
        </w:rPr>
      </w:pPr>
    </w:p>
    <w:p>
      <w:pPr>
        <w:spacing w:before="0"/>
        <w:ind w:left="196" w:right="0" w:firstLine="0"/>
        <w:jc w:val="both"/>
        <w:rPr>
          <w:b/>
          <w:sz w:val="20"/>
        </w:rPr>
      </w:pPr>
      <w:r>
        <w:rPr>
          <w:b/>
          <w:sz w:val="20"/>
        </w:rPr>
        <w:t>RNA extraction from saliva</w:t>
      </w:r>
    </w:p>
    <w:p>
      <w:pPr>
        <w:spacing w:line="360" w:lineRule="auto" w:before="117"/>
        <w:ind w:left="196" w:right="277" w:firstLine="0"/>
        <w:jc w:val="both"/>
        <w:rPr>
          <w:sz w:val="20"/>
        </w:rPr>
      </w:pPr>
      <w:r>
        <w:rPr>
          <w:sz w:val="20"/>
        </w:rPr>
        <w:t>mRNA </w:t>
      </w:r>
      <w:r>
        <w:rPr>
          <w:spacing w:val="-3"/>
          <w:sz w:val="20"/>
        </w:rPr>
        <w:t>was </w:t>
      </w:r>
      <w:r>
        <w:rPr>
          <w:sz w:val="20"/>
        </w:rPr>
        <w:t>isolated from 200 </w:t>
      </w:r>
      <w:r>
        <w:rPr>
          <w:rFonts w:ascii="Symbol" w:hAnsi="Symbol"/>
          <w:sz w:val="20"/>
        </w:rPr>
        <w:t></w:t>
      </w:r>
      <w:r>
        <w:rPr>
          <w:sz w:val="20"/>
        </w:rPr>
        <w:t>L of saliva using the </w:t>
      </w:r>
      <w:r>
        <w:rPr>
          <w:i/>
          <w:sz w:val="20"/>
        </w:rPr>
        <w:t>RNA III Tissue_Fresh-frozen </w:t>
      </w:r>
      <w:r>
        <w:rPr>
          <w:sz w:val="20"/>
        </w:rPr>
        <w:t>protocol on a MagNA Pure LC 2.0 (Roche Diagnostics GmbH, the Netherlands) and the MagNA Pure Lc RNA Isolation (Tissue) Kit III (Roche Applied Science, Mannheim, Germany) following the manufacturer’s  instructions. Aliquots of 50 </w:t>
      </w:r>
      <w:r>
        <w:rPr>
          <w:rFonts w:ascii="Symbol" w:hAnsi="Symbol"/>
          <w:sz w:val="20"/>
        </w:rPr>
        <w:t></w:t>
      </w:r>
      <w:r>
        <w:rPr>
          <w:sz w:val="20"/>
        </w:rPr>
        <w:t>L </w:t>
      </w:r>
      <w:r>
        <w:rPr>
          <w:spacing w:val="-4"/>
          <w:sz w:val="20"/>
        </w:rPr>
        <w:t>of </w:t>
      </w:r>
      <w:r>
        <w:rPr>
          <w:sz w:val="20"/>
        </w:rPr>
        <w:t>saliva mRNA </w:t>
      </w:r>
      <w:r>
        <w:rPr>
          <w:spacing w:val="-3"/>
          <w:sz w:val="20"/>
        </w:rPr>
        <w:t>were </w:t>
      </w:r>
      <w:r>
        <w:rPr>
          <w:sz w:val="20"/>
        </w:rPr>
        <w:t>obtained, and mRNA concentration and purity  </w:t>
      </w:r>
      <w:r>
        <w:rPr>
          <w:spacing w:val="-3"/>
          <w:sz w:val="20"/>
        </w:rPr>
        <w:t>were </w:t>
      </w:r>
      <w:r>
        <w:rPr>
          <w:sz w:val="20"/>
        </w:rPr>
        <w:t>determined by spectrophotometric analysis using a NanoPhotometer Version 2.0 (Implen GmbH, Schatzbogen,</w:t>
      </w:r>
      <w:r>
        <w:rPr>
          <w:spacing w:val="-4"/>
          <w:sz w:val="20"/>
        </w:rPr>
        <w:t> </w:t>
      </w:r>
      <w:r>
        <w:rPr>
          <w:sz w:val="20"/>
        </w:rPr>
        <w:t>Germany).</w:t>
      </w:r>
    </w:p>
    <w:p>
      <w:pPr>
        <w:pStyle w:val="BodyText"/>
        <w:spacing w:before="5"/>
        <w:rPr>
          <w:sz w:val="17"/>
        </w:rPr>
      </w:pPr>
    </w:p>
    <w:p>
      <w:pPr>
        <w:spacing w:before="0"/>
        <w:ind w:left="196" w:right="0" w:firstLine="0"/>
        <w:jc w:val="both"/>
        <w:rPr>
          <w:b/>
          <w:sz w:val="20"/>
        </w:rPr>
      </w:pPr>
      <w:r>
        <w:rPr>
          <w:b/>
          <w:sz w:val="20"/>
        </w:rPr>
        <w:t>Reverse transcription from mRNA to cDNA</w:t>
      </w:r>
    </w:p>
    <w:p>
      <w:pPr>
        <w:spacing w:line="360" w:lineRule="auto" w:before="115"/>
        <w:ind w:left="196" w:right="275" w:firstLine="0"/>
        <w:jc w:val="both"/>
        <w:rPr>
          <w:sz w:val="20"/>
        </w:rPr>
      </w:pPr>
      <w:r>
        <w:rPr>
          <w:sz w:val="20"/>
        </w:rPr>
        <w:t>Reverse transcription from mRNA to cDNA </w:t>
      </w:r>
      <w:r>
        <w:rPr>
          <w:spacing w:val="-3"/>
          <w:sz w:val="20"/>
        </w:rPr>
        <w:t>was </w:t>
      </w:r>
      <w:r>
        <w:rPr>
          <w:sz w:val="20"/>
        </w:rPr>
        <w:t>performed using the High Capacity RNA-to-cDNA kit (Applied Biosystems, Foster City, USA). Ten microliters of Buffer </w:t>
      </w:r>
      <w:r>
        <w:rPr>
          <w:spacing w:val="-3"/>
          <w:sz w:val="20"/>
        </w:rPr>
        <w:t>Mix </w:t>
      </w:r>
      <w:r>
        <w:rPr>
          <w:sz w:val="20"/>
        </w:rPr>
        <w:t>and 1</w:t>
      </w:r>
      <w:r>
        <w:rPr>
          <w:rFonts w:ascii="Symbol" w:hAnsi="Symbol"/>
          <w:sz w:val="20"/>
        </w:rPr>
        <w:t></w:t>
      </w:r>
      <w:r>
        <w:rPr>
          <w:sz w:val="20"/>
        </w:rPr>
        <w:t>L of Enzyme </w:t>
      </w:r>
      <w:r>
        <w:rPr>
          <w:spacing w:val="-3"/>
          <w:sz w:val="20"/>
        </w:rPr>
        <w:t>Mix were </w:t>
      </w:r>
      <w:r>
        <w:rPr>
          <w:sz w:val="20"/>
        </w:rPr>
        <w:t>added to 9</w:t>
      </w:r>
      <w:r>
        <w:rPr>
          <w:rFonts w:ascii="Symbol" w:hAnsi="Symbol"/>
          <w:sz w:val="20"/>
        </w:rPr>
        <w:t></w:t>
      </w:r>
      <w:r>
        <w:rPr>
          <w:sz w:val="20"/>
        </w:rPr>
        <w:t>L saliva mRNA /sterile water (at a concentration </w:t>
      </w:r>
      <w:r>
        <w:rPr>
          <w:spacing w:val="-4"/>
          <w:sz w:val="20"/>
        </w:rPr>
        <w:t>of </w:t>
      </w:r>
      <w:r>
        <w:rPr>
          <w:sz w:val="20"/>
        </w:rPr>
        <w:t>28.8ng)  to obtain a final volume </w:t>
      </w:r>
      <w:r>
        <w:rPr>
          <w:spacing w:val="-4"/>
          <w:sz w:val="20"/>
        </w:rPr>
        <w:t>of</w:t>
      </w:r>
      <w:r>
        <w:rPr>
          <w:spacing w:val="47"/>
          <w:sz w:val="20"/>
        </w:rPr>
        <w:t> </w:t>
      </w:r>
      <w:r>
        <w:rPr>
          <w:sz w:val="20"/>
        </w:rPr>
        <w:t>20</w:t>
      </w:r>
      <w:r>
        <w:rPr>
          <w:rFonts w:ascii="Symbol" w:hAnsi="Symbol"/>
          <w:sz w:val="20"/>
        </w:rPr>
        <w:t></w:t>
      </w:r>
      <w:r>
        <w:rPr>
          <w:sz w:val="20"/>
        </w:rPr>
        <w:t>L. The transcription reaction was incubated in a Life Express thermocycler (Bioer, Hangzhou, China) using the following cycles: 60 min at 37°C, 5 min at 95°C, and 10 min at</w:t>
      </w:r>
      <w:r>
        <w:rPr>
          <w:spacing w:val="-26"/>
          <w:sz w:val="20"/>
        </w:rPr>
        <w:t> </w:t>
      </w:r>
      <w:r>
        <w:rPr>
          <w:sz w:val="20"/>
        </w:rPr>
        <w:t>4°C.</w:t>
      </w:r>
    </w:p>
    <w:p>
      <w:pPr>
        <w:spacing w:after="0" w:line="360" w:lineRule="auto"/>
        <w:jc w:val="both"/>
        <w:rPr>
          <w:sz w:val="20"/>
        </w:rPr>
        <w:sectPr>
          <w:pgSz w:w="12240" w:h="15840"/>
          <w:pgMar w:header="726" w:footer="1031" w:top="1340" w:bottom="1220" w:left="1220" w:right="1420"/>
        </w:sectPr>
      </w:pPr>
    </w:p>
    <w:p>
      <w:pPr>
        <w:pStyle w:val="BodyText"/>
        <w:spacing w:before="2"/>
        <w:rPr>
          <w:sz w:val="22"/>
        </w:rPr>
      </w:pPr>
    </w:p>
    <w:p>
      <w:pPr>
        <w:spacing w:before="76"/>
        <w:ind w:left="296" w:right="0" w:firstLine="0"/>
        <w:jc w:val="both"/>
        <w:rPr>
          <w:b/>
          <w:sz w:val="20"/>
        </w:rPr>
      </w:pPr>
      <w:r>
        <w:rPr>
          <w:b/>
          <w:sz w:val="20"/>
        </w:rPr>
        <w:t>Real-time quantitative polymerase chain reaction (RT-qPCR)</w:t>
      </w:r>
    </w:p>
    <w:p>
      <w:pPr>
        <w:spacing w:line="362" w:lineRule="auto" w:before="121"/>
        <w:ind w:left="296" w:right="276" w:firstLine="0"/>
        <w:jc w:val="both"/>
        <w:rPr>
          <w:sz w:val="20"/>
        </w:rPr>
      </w:pPr>
      <w:r>
        <w:rPr>
          <w:sz w:val="20"/>
        </w:rPr>
        <w:t>Genetic expression was measured using TaqMan Assays (Applied Biosystems, California, USA): Fc</w:t>
      </w:r>
      <w:r>
        <w:rPr>
          <w:rFonts w:ascii="Symbol" w:hAnsi="Symbol"/>
          <w:sz w:val="20"/>
        </w:rPr>
        <w:t></w:t>
      </w:r>
      <w:r>
        <w:rPr>
          <w:sz w:val="20"/>
        </w:rPr>
        <w:t>R (CD89), Hs00370197_m1; Fc</w:t>
      </w:r>
      <w:r>
        <w:rPr>
          <w:rFonts w:ascii="Symbol" w:hAnsi="Symbol"/>
          <w:sz w:val="20"/>
        </w:rPr>
        <w:t></w:t>
      </w:r>
      <w:r>
        <w:rPr>
          <w:sz w:val="20"/>
        </w:rPr>
        <w:t>R (CD351), Hs01049679_m1; Fc</w:t>
      </w:r>
      <w:r>
        <w:rPr>
          <w:rFonts w:ascii="Symbol" w:hAnsi="Symbol"/>
          <w:sz w:val="20"/>
        </w:rPr>
        <w:t></w:t>
      </w:r>
      <w:r>
        <w:rPr>
          <w:sz w:val="20"/>
        </w:rPr>
        <w:t>RIIB (CD32), Hs00269610_m1;  and</w:t>
      </w:r>
    </w:p>
    <w:p>
      <w:pPr>
        <w:spacing w:line="360" w:lineRule="auto" w:before="0"/>
        <w:ind w:left="296" w:right="275" w:firstLine="0"/>
        <w:jc w:val="both"/>
        <w:rPr>
          <w:sz w:val="20"/>
        </w:rPr>
      </w:pPr>
      <w:r>
        <w:rPr>
          <w:sz w:val="20"/>
        </w:rPr>
        <w:t>the housekeeping gene 18S, Hs99999901_s1. cDNA samples were processed using a MicroAmp® Fast reaction plate (Applied Biosystems, Foster City, USA). Ten microliters of TaqMan  Universal Master Mix II, No UNG (Applied Biosystems, California, USA) and 1</w:t>
      </w:r>
      <w:r>
        <w:rPr>
          <w:rFonts w:ascii="Symbol" w:hAnsi="Symbol"/>
          <w:sz w:val="20"/>
        </w:rPr>
        <w:t></w:t>
      </w:r>
      <w:r>
        <w:rPr>
          <w:sz w:val="20"/>
        </w:rPr>
        <w:t>L of gene-specific TaqMan Assay were added to 9</w:t>
      </w:r>
      <w:r>
        <w:rPr>
          <w:rFonts w:ascii="Symbol" w:hAnsi="Symbol"/>
          <w:sz w:val="20"/>
        </w:rPr>
        <w:t></w:t>
      </w:r>
      <w:r>
        <w:rPr>
          <w:sz w:val="20"/>
        </w:rPr>
        <w:t>L saliva cDNA/sterile water (at a concentration of 28.8ng) to obtain a final volume of 20 </w:t>
      </w:r>
      <w:r>
        <w:rPr>
          <w:rFonts w:ascii="Symbol" w:hAnsi="Symbol"/>
          <w:sz w:val="20"/>
        </w:rPr>
        <w:t></w:t>
      </w:r>
      <w:r>
        <w:rPr>
          <w:sz w:val="20"/>
        </w:rPr>
        <w:t>L. A negative control was analysed for each sample. Samples were processed in a 7500 Fast Real Time PCR System (Applied Biosystems, Foster City, USA). The following cycles were used for the amplification of all genes by RT-qPCR: 50°C for 2 min, 95°C for 10 min, and 50 cycles of 95° C for 15 s and 60° C for 1 min.</w:t>
      </w:r>
    </w:p>
    <w:p>
      <w:pPr>
        <w:spacing w:line="355" w:lineRule="auto" w:before="176"/>
        <w:ind w:left="296" w:right="271" w:firstLine="0"/>
        <w:jc w:val="both"/>
        <w:rPr>
          <w:sz w:val="20"/>
        </w:rPr>
      </w:pPr>
      <w:r>
        <w:rPr/>
        <w:pict>
          <v:line style="position:absolute;mso-position-horizontal-relative:page;mso-position-vertical-relative:paragraph;z-index:2296" from="62.063999pt,99.356918pt" to="62.063999pt,126.476918pt" stroked="true" strokeweight=".72pt" strokecolor="#000000">
            <w10:wrap type="none"/>
          </v:line>
        </w:pict>
      </w:r>
      <w:r>
        <w:rPr>
          <w:sz w:val="20"/>
        </w:rPr>
        <w:t>Relative gene expression was calculated using the        method</w:t>
      </w:r>
      <w:r>
        <w:rPr>
          <w:position w:val="10"/>
          <w:sz w:val="13"/>
        </w:rPr>
        <w:t>35</w:t>
      </w:r>
      <w:r>
        <w:rPr>
          <w:sz w:val="20"/>
        </w:rPr>
        <w:t>, and the cycle threshold (C1</w:t>
      </w:r>
      <w:r>
        <w:rPr>
          <w:position w:val="-2"/>
          <w:sz w:val="13"/>
        </w:rPr>
        <w:t>T,  </w:t>
      </w:r>
      <w:r>
        <w:rPr>
          <w:spacing w:val="-3"/>
          <w:position w:val="-2"/>
          <w:sz w:val="13"/>
        </w:rPr>
        <w:t>X</w:t>
      </w:r>
      <w:r>
        <w:rPr>
          <w:spacing w:val="-3"/>
          <w:sz w:val="20"/>
        </w:rPr>
        <w:t>,    </w:t>
      </w:r>
      <w:r>
        <w:rPr>
          <w:sz w:val="20"/>
        </w:rPr>
        <w:t>C2</w:t>
      </w:r>
      <w:r>
        <w:rPr>
          <w:position w:val="-2"/>
          <w:sz w:val="13"/>
        </w:rPr>
        <w:t>T, </w:t>
      </w:r>
      <w:r>
        <w:rPr>
          <w:spacing w:val="-3"/>
          <w:position w:val="-2"/>
          <w:sz w:val="13"/>
        </w:rPr>
        <w:t>X</w:t>
      </w:r>
      <w:r>
        <w:rPr>
          <w:spacing w:val="-3"/>
          <w:sz w:val="20"/>
        </w:rPr>
        <w:t>) </w:t>
      </w:r>
      <w:r>
        <w:rPr>
          <w:sz w:val="20"/>
        </w:rPr>
        <w:t>was determined using the software from the </w:t>
      </w:r>
      <w:r>
        <w:rPr>
          <w:spacing w:val="-3"/>
          <w:sz w:val="20"/>
        </w:rPr>
        <w:t>7500 </w:t>
      </w:r>
      <w:r>
        <w:rPr>
          <w:sz w:val="20"/>
        </w:rPr>
        <w:t>Fast Real Time PCR System. Two options </w:t>
      </w:r>
      <w:r>
        <w:rPr>
          <w:spacing w:val="-3"/>
          <w:sz w:val="20"/>
        </w:rPr>
        <w:t>were </w:t>
      </w:r>
      <w:r>
        <w:rPr>
          <w:sz w:val="20"/>
        </w:rPr>
        <w:t>considered to determine the calibrator sample for      method: a)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gene expression in a subject with no caries in each group (n = 1); and b)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gene expression from Raji cDNA </w:t>
      </w:r>
      <w:r>
        <w:rPr>
          <w:spacing w:val="-4"/>
          <w:sz w:val="20"/>
        </w:rPr>
        <w:t>of </w:t>
      </w:r>
      <w:r>
        <w:rPr>
          <w:sz w:val="20"/>
        </w:rPr>
        <w:t>human male (Part No. 4352575, Applied Biosystems, Foster City, USA).</w:t>
      </w:r>
    </w:p>
    <w:p>
      <w:pPr>
        <w:pStyle w:val="BodyText"/>
        <w:spacing w:before="9"/>
        <w:rPr>
          <w:sz w:val="10"/>
        </w:rPr>
      </w:pPr>
    </w:p>
    <w:p>
      <w:pPr>
        <w:spacing w:before="76"/>
        <w:ind w:left="296" w:right="0" w:firstLine="0"/>
        <w:jc w:val="both"/>
        <w:rPr>
          <w:b/>
          <w:sz w:val="20"/>
        </w:rPr>
      </w:pPr>
      <w:r>
        <w:rPr>
          <w:b/>
          <w:sz w:val="20"/>
        </w:rPr>
        <w:t>Statistical analysis</w:t>
      </w:r>
    </w:p>
    <w:p>
      <w:pPr>
        <w:spacing w:line="360" w:lineRule="auto" w:before="121"/>
        <w:ind w:left="296" w:right="273" w:firstLine="0"/>
        <w:jc w:val="both"/>
        <w:rPr>
          <w:sz w:val="20"/>
        </w:rPr>
      </w:pPr>
      <w:r>
        <w:rPr>
          <w:sz w:val="20"/>
        </w:rPr>
        <w:t>The data collected for each variable </w:t>
      </w:r>
      <w:r>
        <w:rPr>
          <w:spacing w:val="-3"/>
          <w:sz w:val="20"/>
        </w:rPr>
        <w:t>were </w:t>
      </w:r>
      <w:r>
        <w:rPr>
          <w:sz w:val="20"/>
        </w:rPr>
        <w:t>analysed with descriptive statistics. These data followed a normal distribution and </w:t>
      </w:r>
      <w:r>
        <w:rPr>
          <w:spacing w:val="-3"/>
          <w:sz w:val="20"/>
        </w:rPr>
        <w:t>were </w:t>
      </w:r>
      <w:r>
        <w:rPr>
          <w:sz w:val="20"/>
        </w:rPr>
        <w:t>therefore analysed using Student’s </w:t>
      </w:r>
      <w:r>
        <w:rPr>
          <w:i/>
          <w:sz w:val="20"/>
        </w:rPr>
        <w:t>t</w:t>
      </w:r>
      <w:r>
        <w:rPr>
          <w:sz w:val="20"/>
        </w:rPr>
        <w:t>-test paired to compare the  continuous variables and relative units of gene expression between the two groups: 1) mixed dentition and 2) permanent dentition. A multiple linear regression was used to determine the  association between caries and the expression of immunoglobulin receptors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SPSS statistical package version 19.0 (Chicago, USA) was</w:t>
      </w:r>
      <w:r>
        <w:rPr>
          <w:spacing w:val="-20"/>
          <w:sz w:val="20"/>
        </w:rPr>
        <w:t> </w:t>
      </w:r>
      <w:r>
        <w:rPr>
          <w:sz w:val="20"/>
        </w:rPr>
        <w:t>used.</w:t>
      </w:r>
    </w:p>
    <w:p>
      <w:pPr>
        <w:pStyle w:val="BodyText"/>
        <w:spacing w:before="11"/>
        <w:rPr>
          <w:sz w:val="29"/>
        </w:rPr>
      </w:pPr>
    </w:p>
    <w:p>
      <w:pPr>
        <w:spacing w:before="0"/>
        <w:ind w:left="296" w:right="0" w:firstLine="0"/>
        <w:jc w:val="both"/>
        <w:rPr>
          <w:b/>
          <w:sz w:val="20"/>
        </w:rPr>
      </w:pPr>
      <w:r>
        <w:rPr>
          <w:b/>
          <w:sz w:val="20"/>
        </w:rPr>
        <w:t>RESULTS</w:t>
      </w:r>
    </w:p>
    <w:p>
      <w:pPr>
        <w:pStyle w:val="BodyText"/>
        <w:spacing w:before="7"/>
        <w:rPr>
          <w:b/>
          <w:sz w:val="27"/>
        </w:rPr>
      </w:pPr>
    </w:p>
    <w:p>
      <w:pPr>
        <w:spacing w:before="0"/>
        <w:ind w:left="296" w:right="0" w:firstLine="0"/>
        <w:jc w:val="both"/>
        <w:rPr>
          <w:b/>
          <w:sz w:val="20"/>
        </w:rPr>
      </w:pPr>
      <w:r>
        <w:rPr>
          <w:b/>
          <w:sz w:val="20"/>
        </w:rPr>
        <w:t>Sociodemographic characteristics</w:t>
      </w:r>
    </w:p>
    <w:p>
      <w:pPr>
        <w:spacing w:line="360" w:lineRule="auto" w:before="115"/>
        <w:ind w:left="296" w:right="273" w:firstLine="0"/>
        <w:jc w:val="both"/>
        <w:rPr>
          <w:sz w:val="20"/>
        </w:rPr>
      </w:pPr>
      <w:r>
        <w:rPr>
          <w:sz w:val="20"/>
        </w:rPr>
        <w:t>The mixed dentition group was composed of 60% female subjects, who were single (100%), primary- school educated (100%), and currently students (100%). The average age of this group was 9.54 years (Table 1).</w:t>
      </w:r>
    </w:p>
    <w:p>
      <w:pPr>
        <w:pStyle w:val="BodyText"/>
        <w:spacing w:before="10"/>
        <w:rPr>
          <w:sz w:val="17"/>
        </w:rPr>
      </w:pPr>
    </w:p>
    <w:p>
      <w:pPr>
        <w:spacing w:line="360" w:lineRule="auto" w:before="0"/>
        <w:ind w:left="296" w:right="279" w:firstLine="0"/>
        <w:jc w:val="both"/>
        <w:rPr>
          <w:sz w:val="20"/>
        </w:rPr>
      </w:pPr>
      <w:r>
        <w:rPr>
          <w:sz w:val="20"/>
        </w:rPr>
        <w:t>The group with permanent dentition was composed of 58% female subjects, who were mostly single (92%), with a college degree (86%), and currently students (72%). The average age of this group   was</w:t>
      </w:r>
    </w:p>
    <w:p>
      <w:pPr>
        <w:spacing w:line="229" w:lineRule="exact" w:before="0"/>
        <w:ind w:left="296" w:right="0" w:firstLine="0"/>
        <w:jc w:val="both"/>
        <w:rPr>
          <w:sz w:val="20"/>
        </w:rPr>
      </w:pPr>
      <w:r>
        <w:rPr>
          <w:sz w:val="20"/>
        </w:rPr>
        <w:t>22.98 years (Table 1).</w:t>
      </w:r>
    </w:p>
    <w:p>
      <w:pPr>
        <w:spacing w:after="0" w:line="229" w:lineRule="exact"/>
        <w:jc w:val="both"/>
        <w:rPr>
          <w:sz w:val="20"/>
        </w:rPr>
        <w:sectPr>
          <w:pgSz w:w="12240" w:h="15840"/>
          <w:pgMar w:header="726" w:footer="1031" w:top="1340" w:bottom="1220" w:left="1120" w:right="1420"/>
        </w:sectPr>
      </w:pPr>
    </w:p>
    <w:p>
      <w:pPr>
        <w:pStyle w:val="BodyText"/>
        <w:spacing w:before="2"/>
        <w:rPr>
          <w:sz w:val="22"/>
        </w:rPr>
      </w:pPr>
    </w:p>
    <w:p>
      <w:pPr>
        <w:spacing w:before="76"/>
        <w:ind w:left="196" w:right="0" w:firstLine="0"/>
        <w:jc w:val="both"/>
        <w:rPr>
          <w:b/>
          <w:sz w:val="20"/>
        </w:rPr>
      </w:pPr>
      <w:r>
        <w:rPr>
          <w:b/>
          <w:sz w:val="20"/>
        </w:rPr>
        <w:t>Hygiene and dietary habits</w:t>
      </w:r>
    </w:p>
    <w:p>
      <w:pPr>
        <w:spacing w:line="360" w:lineRule="auto" w:before="120"/>
        <w:ind w:left="196" w:right="276" w:firstLine="0"/>
        <w:jc w:val="both"/>
        <w:rPr>
          <w:sz w:val="20"/>
        </w:rPr>
      </w:pPr>
      <w:r>
        <w:rPr>
          <w:sz w:val="20"/>
        </w:rPr>
        <w:t>The group with mixed dentition reported that they performed tooth brushing after food consumption (100%), twice daily (58%), without secondary methods of hygiene (80%). Subjects using secondary methods of hygiene </w:t>
      </w:r>
      <w:r>
        <w:rPr>
          <w:spacing w:val="-3"/>
          <w:sz w:val="20"/>
        </w:rPr>
        <w:t>used </w:t>
      </w:r>
      <w:r>
        <w:rPr>
          <w:sz w:val="20"/>
        </w:rPr>
        <w:t>flossing (10%) and changed their toothbrush every three months (38%). The number </w:t>
      </w:r>
      <w:r>
        <w:rPr>
          <w:spacing w:val="-4"/>
          <w:sz w:val="20"/>
        </w:rPr>
        <w:t>of </w:t>
      </w:r>
      <w:r>
        <w:rPr>
          <w:sz w:val="20"/>
        </w:rPr>
        <w:t>meals per day on average </w:t>
      </w:r>
      <w:r>
        <w:rPr>
          <w:spacing w:val="-3"/>
          <w:sz w:val="20"/>
        </w:rPr>
        <w:t>was </w:t>
      </w:r>
      <w:r>
        <w:rPr>
          <w:sz w:val="20"/>
        </w:rPr>
        <w:t>2.70, with a consumption </w:t>
      </w:r>
      <w:r>
        <w:rPr>
          <w:spacing w:val="-4"/>
          <w:sz w:val="20"/>
        </w:rPr>
        <w:t>of </w:t>
      </w:r>
      <w:r>
        <w:rPr>
          <w:sz w:val="20"/>
        </w:rPr>
        <w:t>sugar-containing nutritious foods of 1.61 and non-nutritious foods of 1.19. The number </w:t>
      </w:r>
      <w:r>
        <w:rPr>
          <w:spacing w:val="-4"/>
          <w:sz w:val="20"/>
        </w:rPr>
        <w:t>of </w:t>
      </w:r>
      <w:r>
        <w:rPr>
          <w:sz w:val="20"/>
        </w:rPr>
        <w:t>non-nutritious foods containing </w:t>
      </w:r>
      <w:r>
        <w:rPr>
          <w:spacing w:val="-3"/>
          <w:sz w:val="20"/>
        </w:rPr>
        <w:t>sugar </w:t>
      </w:r>
      <w:r>
        <w:rPr>
          <w:sz w:val="20"/>
        </w:rPr>
        <w:t>consumed before sleep was 0.30 (Table</w:t>
      </w:r>
      <w:r>
        <w:rPr>
          <w:spacing w:val="-2"/>
          <w:sz w:val="20"/>
        </w:rPr>
        <w:t> </w:t>
      </w:r>
      <w:r>
        <w:rPr>
          <w:spacing w:val="-3"/>
          <w:sz w:val="20"/>
        </w:rPr>
        <w:t>1).</w:t>
      </w:r>
    </w:p>
    <w:p>
      <w:pPr>
        <w:pStyle w:val="BodyText"/>
        <w:spacing w:before="5"/>
        <w:rPr>
          <w:sz w:val="17"/>
        </w:rPr>
      </w:pPr>
    </w:p>
    <w:p>
      <w:pPr>
        <w:spacing w:line="360" w:lineRule="auto" w:before="0"/>
        <w:ind w:left="196" w:right="277" w:firstLine="0"/>
        <w:jc w:val="both"/>
        <w:rPr>
          <w:sz w:val="20"/>
        </w:rPr>
      </w:pPr>
      <w:r>
        <w:rPr>
          <w:sz w:val="20"/>
        </w:rPr>
        <w:t>The group with permanent dentition reported that they performed tooth brushing after food  consumption (98%), twice daily (60%), and using secondary methods of hygiene (84%). Subjects using secondary methods of hygiene </w:t>
      </w:r>
      <w:r>
        <w:rPr>
          <w:spacing w:val="-3"/>
          <w:sz w:val="20"/>
        </w:rPr>
        <w:t>used </w:t>
      </w:r>
      <w:r>
        <w:rPr>
          <w:sz w:val="20"/>
        </w:rPr>
        <w:t>mouth </w:t>
      </w:r>
      <w:r>
        <w:rPr>
          <w:spacing w:val="-3"/>
          <w:sz w:val="20"/>
        </w:rPr>
        <w:t>wash </w:t>
      </w:r>
      <w:r>
        <w:rPr>
          <w:sz w:val="20"/>
        </w:rPr>
        <w:t>(58%) and changed their toothbrush every three months (46%). The number </w:t>
      </w:r>
      <w:r>
        <w:rPr>
          <w:spacing w:val="-4"/>
          <w:sz w:val="20"/>
        </w:rPr>
        <w:t>of </w:t>
      </w:r>
      <w:r>
        <w:rPr>
          <w:sz w:val="20"/>
        </w:rPr>
        <w:t>meals per day on average was 2.78, with a consumption </w:t>
      </w:r>
      <w:r>
        <w:rPr>
          <w:spacing w:val="-4"/>
          <w:sz w:val="20"/>
        </w:rPr>
        <w:t>of </w:t>
      </w:r>
      <w:r>
        <w:rPr>
          <w:sz w:val="20"/>
        </w:rPr>
        <w:t>sugar- containing nutritious foods of 1.46 and non-nutritious foods of 1.73. The number </w:t>
      </w:r>
      <w:r>
        <w:rPr>
          <w:spacing w:val="-4"/>
          <w:sz w:val="20"/>
        </w:rPr>
        <w:t>of </w:t>
      </w:r>
      <w:r>
        <w:rPr>
          <w:sz w:val="20"/>
        </w:rPr>
        <w:t>non-nutritious foods containing </w:t>
      </w:r>
      <w:r>
        <w:rPr>
          <w:spacing w:val="-3"/>
          <w:sz w:val="20"/>
        </w:rPr>
        <w:t>sugar </w:t>
      </w:r>
      <w:r>
        <w:rPr>
          <w:sz w:val="20"/>
        </w:rPr>
        <w:t>consumed before sleep </w:t>
      </w:r>
      <w:r>
        <w:rPr>
          <w:spacing w:val="-3"/>
          <w:sz w:val="20"/>
        </w:rPr>
        <w:t>was </w:t>
      </w:r>
      <w:r>
        <w:rPr>
          <w:sz w:val="20"/>
        </w:rPr>
        <w:t>0.23 (Table</w:t>
      </w:r>
      <w:r>
        <w:rPr>
          <w:spacing w:val="18"/>
          <w:sz w:val="20"/>
        </w:rPr>
        <w:t> </w:t>
      </w:r>
      <w:r>
        <w:rPr>
          <w:sz w:val="20"/>
        </w:rPr>
        <w:t>1).</w:t>
      </w:r>
    </w:p>
    <w:p>
      <w:pPr>
        <w:pStyle w:val="BodyText"/>
        <w:spacing w:before="10"/>
        <w:rPr>
          <w:sz w:val="17"/>
        </w:rPr>
      </w:pPr>
    </w:p>
    <w:p>
      <w:pPr>
        <w:spacing w:line="360" w:lineRule="auto" w:before="0"/>
        <w:ind w:left="196" w:right="276" w:firstLine="0"/>
        <w:jc w:val="both"/>
        <w:rPr>
          <w:sz w:val="20"/>
        </w:rPr>
      </w:pPr>
      <w:r>
        <w:rPr>
          <w:sz w:val="20"/>
        </w:rPr>
        <w:t>Differences in age (p&lt;0.001) and in the consumption of non-nutritious foods (p=0.022) were statistically significant (Table 1).</w:t>
      </w:r>
    </w:p>
    <w:p>
      <w:pPr>
        <w:pStyle w:val="BodyText"/>
        <w:spacing w:before="5"/>
        <w:rPr>
          <w:sz w:val="17"/>
        </w:rPr>
      </w:pPr>
    </w:p>
    <w:p>
      <w:pPr>
        <w:spacing w:line="276" w:lineRule="auto" w:before="0"/>
        <w:ind w:left="2938" w:right="2090" w:hanging="917"/>
        <w:jc w:val="left"/>
        <w:rPr>
          <w:b/>
          <w:sz w:val="20"/>
        </w:rPr>
      </w:pPr>
      <w:r>
        <w:rPr>
          <w:b/>
          <w:sz w:val="20"/>
        </w:rPr>
        <w:t>Table 1. Sociodemographic characteristics, health habits, and dietary habits of the study groups</w:t>
      </w:r>
    </w:p>
    <w:p>
      <w:pPr>
        <w:pStyle w:val="BodyText"/>
        <w:rPr>
          <w:b/>
          <w:sz w:val="18"/>
        </w:rPr>
      </w:pPr>
    </w:p>
    <w:tbl>
      <w:tblPr>
        <w:tblW w:w="0" w:type="auto"/>
        <w:jc w:val="left"/>
        <w:tblInd w:w="2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8"/>
        <w:gridCol w:w="2108"/>
        <w:gridCol w:w="1223"/>
        <w:gridCol w:w="1173"/>
        <w:gridCol w:w="1360"/>
        <w:gridCol w:w="1195"/>
      </w:tblGrid>
      <w:tr>
        <w:trPr>
          <w:trHeight w:val="509" w:hRule="exact"/>
        </w:trPr>
        <w:tc>
          <w:tcPr>
            <w:tcW w:w="4106" w:type="dxa"/>
            <w:gridSpan w:val="2"/>
            <w:vMerge w:val="restart"/>
            <w:shd w:val="clear" w:color="auto" w:fill="4F81BC"/>
          </w:tcPr>
          <w:p>
            <w:pPr>
              <w:pStyle w:val="TableParagraph"/>
              <w:spacing w:before="2"/>
              <w:rPr>
                <w:b/>
                <w:sz w:val="24"/>
              </w:rPr>
            </w:pPr>
          </w:p>
          <w:p>
            <w:pPr>
              <w:pStyle w:val="TableParagraph"/>
              <w:ind w:left="1147"/>
              <w:rPr>
                <w:b/>
                <w:sz w:val="18"/>
              </w:rPr>
            </w:pPr>
            <w:r>
              <w:rPr>
                <w:b/>
                <w:color w:val="FFFFFF"/>
                <w:sz w:val="18"/>
              </w:rPr>
              <w:t>Categorical variables</w:t>
            </w:r>
          </w:p>
        </w:tc>
        <w:tc>
          <w:tcPr>
            <w:tcW w:w="4951" w:type="dxa"/>
            <w:gridSpan w:val="4"/>
            <w:tcBorders>
              <w:bottom w:val="single" w:sz="8" w:space="0" w:color="FFFFFF"/>
            </w:tcBorders>
            <w:shd w:val="clear" w:color="auto" w:fill="4F81BC"/>
          </w:tcPr>
          <w:p>
            <w:pPr>
              <w:pStyle w:val="TableParagraph"/>
              <w:tabs>
                <w:tab w:pos="2775" w:val="left" w:leader="none"/>
                <w:tab w:pos="3438" w:val="left" w:leader="none"/>
              </w:tabs>
              <w:spacing w:line="278" w:lineRule="auto" w:before="14"/>
              <w:ind w:left="960" w:right="430" w:hanging="452"/>
              <w:rPr>
                <w:b/>
                <w:sz w:val="18"/>
              </w:rPr>
            </w:pPr>
            <w:r>
              <w:rPr>
                <w:b/>
                <w:color w:val="FFFFFF"/>
                <w:sz w:val="18"/>
              </w:rPr>
              <w:t>Mixed</w:t>
            </w:r>
            <w:r>
              <w:rPr>
                <w:b/>
                <w:color w:val="FFFFFF"/>
                <w:spacing w:val="-1"/>
                <w:sz w:val="18"/>
              </w:rPr>
              <w:t> </w:t>
            </w:r>
            <w:r>
              <w:rPr>
                <w:b/>
                <w:color w:val="FFFFFF"/>
                <w:sz w:val="18"/>
              </w:rPr>
              <w:t>dentition</w:t>
              <w:tab/>
              <w:t>Permanent</w:t>
            </w:r>
            <w:r>
              <w:rPr>
                <w:b/>
                <w:color w:val="FFFFFF"/>
                <w:spacing w:val="-6"/>
                <w:sz w:val="18"/>
              </w:rPr>
              <w:t> </w:t>
            </w:r>
            <w:r>
              <w:rPr>
                <w:b/>
                <w:color w:val="FFFFFF"/>
                <w:sz w:val="18"/>
              </w:rPr>
              <w:t>dentition</w:t>
            </w:r>
            <w:r>
              <w:rPr>
                <w:b/>
                <w:color w:val="FFFFFF"/>
                <w:w w:val="101"/>
                <w:sz w:val="18"/>
              </w:rPr>
              <w:t> </w:t>
            </w:r>
            <w:r>
              <w:rPr>
                <w:b/>
                <w:color w:val="FFFFFF"/>
                <w:sz w:val="18"/>
              </w:rPr>
              <w:t>n=50</w:t>
              <w:tab/>
              <w:tab/>
              <w:t>n=50</w:t>
            </w:r>
          </w:p>
        </w:tc>
      </w:tr>
      <w:tr>
        <w:trPr>
          <w:trHeight w:val="274" w:hRule="exact"/>
        </w:trPr>
        <w:tc>
          <w:tcPr>
            <w:tcW w:w="4106" w:type="dxa"/>
            <w:gridSpan w:val="2"/>
            <w:vMerge/>
            <w:shd w:val="clear" w:color="auto" w:fill="4F81BC"/>
          </w:tcPr>
          <w:p>
            <w:pPr/>
          </w:p>
        </w:tc>
        <w:tc>
          <w:tcPr>
            <w:tcW w:w="2396" w:type="dxa"/>
            <w:gridSpan w:val="2"/>
            <w:tcBorders>
              <w:top w:val="single" w:sz="8" w:space="0" w:color="FFFFFF"/>
            </w:tcBorders>
            <w:shd w:val="clear" w:color="auto" w:fill="4F81BC"/>
          </w:tcPr>
          <w:p>
            <w:pPr>
              <w:pStyle w:val="TableParagraph"/>
              <w:tabs>
                <w:tab w:pos="1795" w:val="left" w:leader="none"/>
              </w:tabs>
              <w:spacing w:line="201" w:lineRule="exact"/>
              <w:ind w:left="245"/>
              <w:rPr>
                <w:b/>
                <w:sz w:val="18"/>
              </w:rPr>
            </w:pPr>
            <w:r>
              <w:rPr>
                <w:b/>
                <w:color w:val="FFFFFF"/>
                <w:sz w:val="18"/>
              </w:rPr>
              <w:t>Frequency</w:t>
              <w:tab/>
              <w:t>%</w:t>
            </w:r>
          </w:p>
        </w:tc>
        <w:tc>
          <w:tcPr>
            <w:tcW w:w="2555" w:type="dxa"/>
            <w:gridSpan w:val="2"/>
            <w:tcBorders>
              <w:top w:val="single" w:sz="8" w:space="0" w:color="FFFFFF"/>
            </w:tcBorders>
            <w:shd w:val="clear" w:color="auto" w:fill="4F81BC"/>
          </w:tcPr>
          <w:p>
            <w:pPr>
              <w:pStyle w:val="TableParagraph"/>
              <w:tabs>
                <w:tab w:pos="1973" w:val="left" w:leader="none"/>
              </w:tabs>
              <w:spacing w:line="201" w:lineRule="exact"/>
              <w:ind w:left="288"/>
              <w:rPr>
                <w:b/>
                <w:sz w:val="18"/>
              </w:rPr>
            </w:pPr>
            <w:r>
              <w:rPr>
                <w:b/>
                <w:color w:val="FFFFFF"/>
                <w:sz w:val="18"/>
              </w:rPr>
              <w:t>Frequency</w:t>
              <w:tab/>
              <w:t>%</w:t>
            </w:r>
          </w:p>
        </w:tc>
      </w:tr>
      <w:tr>
        <w:trPr>
          <w:trHeight w:val="475" w:hRule="exact"/>
        </w:trPr>
        <w:tc>
          <w:tcPr>
            <w:tcW w:w="1998" w:type="dxa"/>
            <w:tcBorders>
              <w:left w:val="single" w:sz="8" w:space="0" w:color="4F81BC"/>
            </w:tcBorders>
            <w:shd w:val="clear" w:color="auto" w:fill="C5D9F0"/>
          </w:tcPr>
          <w:p>
            <w:pPr>
              <w:pStyle w:val="TableParagraph"/>
              <w:spacing w:before="114"/>
              <w:ind w:left="122" w:right="123"/>
              <w:jc w:val="center"/>
              <w:rPr>
                <w:b/>
                <w:sz w:val="18"/>
              </w:rPr>
            </w:pPr>
            <w:r>
              <w:rPr>
                <w:b/>
                <w:sz w:val="18"/>
              </w:rPr>
              <w:t>Sex</w:t>
            </w:r>
          </w:p>
        </w:tc>
        <w:tc>
          <w:tcPr>
            <w:tcW w:w="2108" w:type="dxa"/>
            <w:shd w:val="clear" w:color="auto" w:fill="C5D9F0"/>
          </w:tcPr>
          <w:p>
            <w:pPr>
              <w:pStyle w:val="TableParagraph"/>
              <w:spacing w:line="273" w:lineRule="auto"/>
              <w:ind w:left="748" w:right="752"/>
              <w:jc w:val="center"/>
              <w:rPr>
                <w:sz w:val="18"/>
              </w:rPr>
            </w:pPr>
            <w:r>
              <w:rPr>
                <w:sz w:val="18"/>
              </w:rPr>
              <w:t>Male Female</w:t>
            </w:r>
          </w:p>
        </w:tc>
        <w:tc>
          <w:tcPr>
            <w:tcW w:w="1223" w:type="dxa"/>
            <w:shd w:val="clear" w:color="auto" w:fill="C5D9F0"/>
          </w:tcPr>
          <w:p>
            <w:pPr>
              <w:pStyle w:val="TableParagraph"/>
              <w:spacing w:line="201" w:lineRule="exact"/>
              <w:ind w:left="580" w:right="401"/>
              <w:jc w:val="center"/>
              <w:rPr>
                <w:sz w:val="18"/>
              </w:rPr>
            </w:pPr>
            <w:r>
              <w:rPr>
                <w:sz w:val="18"/>
              </w:rPr>
              <w:t>20</w:t>
            </w:r>
          </w:p>
          <w:p>
            <w:pPr>
              <w:pStyle w:val="TableParagraph"/>
              <w:spacing w:before="28"/>
              <w:ind w:left="580" w:right="401"/>
              <w:jc w:val="center"/>
              <w:rPr>
                <w:sz w:val="18"/>
              </w:rPr>
            </w:pPr>
            <w:r>
              <w:rPr>
                <w:sz w:val="18"/>
              </w:rPr>
              <w:t>30</w:t>
            </w:r>
          </w:p>
        </w:tc>
        <w:tc>
          <w:tcPr>
            <w:tcW w:w="1173" w:type="dxa"/>
            <w:shd w:val="clear" w:color="auto" w:fill="C5D9F0"/>
          </w:tcPr>
          <w:p>
            <w:pPr>
              <w:pStyle w:val="TableParagraph"/>
              <w:spacing w:line="201" w:lineRule="exact"/>
              <w:ind w:left="472"/>
              <w:rPr>
                <w:sz w:val="18"/>
              </w:rPr>
            </w:pPr>
            <w:r>
              <w:rPr>
                <w:sz w:val="18"/>
              </w:rPr>
              <w:t>40%</w:t>
            </w:r>
          </w:p>
          <w:p>
            <w:pPr>
              <w:pStyle w:val="TableParagraph"/>
              <w:spacing w:before="28"/>
              <w:ind w:left="472"/>
              <w:rPr>
                <w:sz w:val="18"/>
              </w:rPr>
            </w:pPr>
            <w:r>
              <w:rPr>
                <w:sz w:val="18"/>
              </w:rPr>
              <w:t>60%</w:t>
            </w:r>
          </w:p>
        </w:tc>
        <w:tc>
          <w:tcPr>
            <w:tcW w:w="1360" w:type="dxa"/>
            <w:shd w:val="clear" w:color="auto" w:fill="C5D9F0"/>
          </w:tcPr>
          <w:p>
            <w:pPr>
              <w:pStyle w:val="TableParagraph"/>
              <w:spacing w:line="201" w:lineRule="exact"/>
              <w:ind w:left="624" w:right="495"/>
              <w:jc w:val="center"/>
              <w:rPr>
                <w:sz w:val="18"/>
              </w:rPr>
            </w:pPr>
            <w:r>
              <w:rPr>
                <w:sz w:val="18"/>
              </w:rPr>
              <w:t>21</w:t>
            </w:r>
          </w:p>
          <w:p>
            <w:pPr>
              <w:pStyle w:val="TableParagraph"/>
              <w:spacing w:before="28"/>
              <w:ind w:left="624" w:right="495"/>
              <w:jc w:val="center"/>
              <w:rPr>
                <w:sz w:val="18"/>
              </w:rPr>
            </w:pPr>
            <w:r>
              <w:rPr>
                <w:sz w:val="18"/>
              </w:rPr>
              <w:t>29</w:t>
            </w:r>
          </w:p>
        </w:tc>
        <w:tc>
          <w:tcPr>
            <w:tcW w:w="1195" w:type="dxa"/>
            <w:tcBorders>
              <w:right w:val="single" w:sz="8" w:space="0" w:color="4F81BC"/>
            </w:tcBorders>
            <w:shd w:val="clear" w:color="auto" w:fill="C5D9F0"/>
          </w:tcPr>
          <w:p>
            <w:pPr>
              <w:pStyle w:val="TableParagraph"/>
              <w:spacing w:line="201" w:lineRule="exact"/>
              <w:ind w:left="513"/>
              <w:rPr>
                <w:sz w:val="18"/>
              </w:rPr>
            </w:pPr>
            <w:r>
              <w:rPr>
                <w:sz w:val="18"/>
              </w:rPr>
              <w:t>42%</w:t>
            </w:r>
          </w:p>
          <w:p>
            <w:pPr>
              <w:pStyle w:val="TableParagraph"/>
              <w:spacing w:before="28"/>
              <w:ind w:left="513"/>
              <w:rPr>
                <w:sz w:val="18"/>
              </w:rPr>
            </w:pPr>
            <w:r>
              <w:rPr>
                <w:sz w:val="18"/>
              </w:rPr>
              <w:t>58%</w:t>
            </w:r>
          </w:p>
        </w:tc>
      </w:tr>
      <w:tr>
        <w:trPr>
          <w:trHeight w:val="481" w:hRule="exact"/>
        </w:trPr>
        <w:tc>
          <w:tcPr>
            <w:tcW w:w="1998" w:type="dxa"/>
            <w:tcBorders>
              <w:left w:val="single" w:sz="8" w:space="0" w:color="4F81BC"/>
            </w:tcBorders>
          </w:tcPr>
          <w:p>
            <w:pPr>
              <w:pStyle w:val="TableParagraph"/>
              <w:spacing w:before="114"/>
              <w:ind w:left="122" w:right="124"/>
              <w:jc w:val="center"/>
              <w:rPr>
                <w:b/>
                <w:sz w:val="18"/>
              </w:rPr>
            </w:pPr>
            <w:r>
              <w:rPr>
                <w:b/>
                <w:sz w:val="18"/>
              </w:rPr>
              <w:t>Marital status</w:t>
            </w:r>
          </w:p>
        </w:tc>
        <w:tc>
          <w:tcPr>
            <w:tcW w:w="2108" w:type="dxa"/>
          </w:tcPr>
          <w:p>
            <w:pPr>
              <w:pStyle w:val="TableParagraph"/>
              <w:spacing w:line="278" w:lineRule="auto"/>
              <w:ind w:left="744" w:right="751" w:firstLine="9"/>
              <w:jc w:val="center"/>
              <w:rPr>
                <w:sz w:val="18"/>
              </w:rPr>
            </w:pPr>
            <w:r>
              <w:rPr>
                <w:sz w:val="18"/>
              </w:rPr>
              <w:t>Single Married</w:t>
            </w:r>
          </w:p>
        </w:tc>
        <w:tc>
          <w:tcPr>
            <w:tcW w:w="1223" w:type="dxa"/>
          </w:tcPr>
          <w:p>
            <w:pPr>
              <w:pStyle w:val="TableParagraph"/>
              <w:spacing w:line="201" w:lineRule="exact"/>
              <w:ind w:left="580" w:right="401"/>
              <w:jc w:val="center"/>
              <w:rPr>
                <w:sz w:val="18"/>
              </w:rPr>
            </w:pPr>
            <w:r>
              <w:rPr>
                <w:sz w:val="18"/>
              </w:rPr>
              <w:t>50</w:t>
            </w:r>
          </w:p>
          <w:p>
            <w:pPr>
              <w:pStyle w:val="TableParagraph"/>
              <w:spacing w:before="33"/>
              <w:ind w:left="185"/>
              <w:jc w:val="center"/>
              <w:rPr>
                <w:sz w:val="18"/>
              </w:rPr>
            </w:pPr>
            <w:r>
              <w:rPr>
                <w:w w:val="101"/>
                <w:sz w:val="18"/>
              </w:rPr>
              <w:t>0</w:t>
            </w:r>
          </w:p>
        </w:tc>
        <w:tc>
          <w:tcPr>
            <w:tcW w:w="1173" w:type="dxa"/>
          </w:tcPr>
          <w:p>
            <w:pPr>
              <w:pStyle w:val="TableParagraph"/>
              <w:spacing w:line="201" w:lineRule="exact"/>
              <w:ind w:left="401" w:right="271"/>
              <w:jc w:val="center"/>
              <w:rPr>
                <w:sz w:val="18"/>
              </w:rPr>
            </w:pPr>
            <w:r>
              <w:rPr>
                <w:sz w:val="18"/>
              </w:rPr>
              <w:t>100%</w:t>
            </w:r>
          </w:p>
          <w:p>
            <w:pPr>
              <w:pStyle w:val="TableParagraph"/>
              <w:spacing w:before="33"/>
              <w:ind w:left="401" w:right="271"/>
              <w:jc w:val="center"/>
              <w:rPr>
                <w:sz w:val="18"/>
              </w:rPr>
            </w:pPr>
            <w:r>
              <w:rPr>
                <w:sz w:val="18"/>
              </w:rPr>
              <w:t>0%</w:t>
            </w:r>
          </w:p>
        </w:tc>
        <w:tc>
          <w:tcPr>
            <w:tcW w:w="1360" w:type="dxa"/>
          </w:tcPr>
          <w:p>
            <w:pPr>
              <w:pStyle w:val="TableParagraph"/>
              <w:spacing w:line="201" w:lineRule="exact"/>
              <w:ind w:left="624" w:right="495"/>
              <w:jc w:val="center"/>
              <w:rPr>
                <w:sz w:val="18"/>
              </w:rPr>
            </w:pPr>
            <w:r>
              <w:rPr>
                <w:sz w:val="18"/>
              </w:rPr>
              <w:t>46</w:t>
            </w:r>
          </w:p>
          <w:p>
            <w:pPr>
              <w:pStyle w:val="TableParagraph"/>
              <w:spacing w:before="33"/>
              <w:ind w:left="135"/>
              <w:jc w:val="center"/>
              <w:rPr>
                <w:sz w:val="18"/>
              </w:rPr>
            </w:pPr>
            <w:r>
              <w:rPr>
                <w:w w:val="101"/>
                <w:sz w:val="18"/>
              </w:rPr>
              <w:t>4</w:t>
            </w:r>
          </w:p>
        </w:tc>
        <w:tc>
          <w:tcPr>
            <w:tcW w:w="1195" w:type="dxa"/>
            <w:tcBorders>
              <w:right w:val="single" w:sz="8" w:space="0" w:color="4F81BC"/>
            </w:tcBorders>
          </w:tcPr>
          <w:p>
            <w:pPr>
              <w:pStyle w:val="TableParagraph"/>
              <w:spacing w:line="201" w:lineRule="exact"/>
              <w:ind w:left="513"/>
              <w:rPr>
                <w:sz w:val="18"/>
              </w:rPr>
            </w:pPr>
            <w:r>
              <w:rPr>
                <w:sz w:val="18"/>
              </w:rPr>
              <w:t>92%</w:t>
            </w:r>
          </w:p>
          <w:p>
            <w:pPr>
              <w:pStyle w:val="TableParagraph"/>
              <w:spacing w:before="33"/>
              <w:ind w:left="561"/>
              <w:rPr>
                <w:sz w:val="18"/>
              </w:rPr>
            </w:pPr>
            <w:r>
              <w:rPr>
                <w:sz w:val="18"/>
              </w:rPr>
              <w:t>8%</w:t>
            </w:r>
          </w:p>
        </w:tc>
      </w:tr>
      <w:tr>
        <w:trPr>
          <w:trHeight w:val="1671" w:hRule="exact"/>
        </w:trPr>
        <w:tc>
          <w:tcPr>
            <w:tcW w:w="1998" w:type="dxa"/>
            <w:tcBorders>
              <w:left w:val="single" w:sz="8" w:space="0" w:color="4F81BC"/>
            </w:tcBorders>
            <w:shd w:val="clear" w:color="auto" w:fill="C5D9F0"/>
          </w:tcPr>
          <w:p>
            <w:pPr>
              <w:pStyle w:val="TableParagraph"/>
              <w:rPr>
                <w:b/>
                <w:sz w:val="18"/>
              </w:rPr>
            </w:pPr>
          </w:p>
          <w:p>
            <w:pPr>
              <w:pStyle w:val="TableParagraph"/>
              <w:rPr>
                <w:b/>
                <w:sz w:val="18"/>
              </w:rPr>
            </w:pPr>
          </w:p>
          <w:p>
            <w:pPr>
              <w:pStyle w:val="TableParagraph"/>
              <w:spacing w:before="8"/>
              <w:rPr>
                <w:b/>
                <w:sz w:val="25"/>
              </w:rPr>
            </w:pPr>
          </w:p>
          <w:p>
            <w:pPr>
              <w:pStyle w:val="TableParagraph"/>
              <w:ind w:left="122" w:right="122"/>
              <w:jc w:val="center"/>
              <w:rPr>
                <w:b/>
                <w:sz w:val="18"/>
              </w:rPr>
            </w:pPr>
            <w:r>
              <w:rPr>
                <w:b/>
                <w:sz w:val="18"/>
              </w:rPr>
              <w:t>Education</w:t>
            </w:r>
          </w:p>
        </w:tc>
        <w:tc>
          <w:tcPr>
            <w:tcW w:w="2108" w:type="dxa"/>
            <w:shd w:val="clear" w:color="auto" w:fill="C5D9F0"/>
          </w:tcPr>
          <w:p>
            <w:pPr>
              <w:pStyle w:val="TableParagraph"/>
              <w:spacing w:line="276" w:lineRule="auto"/>
              <w:ind w:left="580" w:right="583" w:hanging="3"/>
              <w:jc w:val="center"/>
              <w:rPr>
                <w:sz w:val="18"/>
              </w:rPr>
            </w:pPr>
            <w:r>
              <w:rPr>
                <w:sz w:val="18"/>
              </w:rPr>
              <w:t>Illiterate Primary Secondary High school</w:t>
            </w:r>
          </w:p>
          <w:p>
            <w:pPr>
              <w:pStyle w:val="TableParagraph"/>
              <w:spacing w:line="276" w:lineRule="auto" w:before="3"/>
              <w:ind w:left="152" w:right="161"/>
              <w:jc w:val="center"/>
              <w:rPr>
                <w:sz w:val="18"/>
              </w:rPr>
            </w:pPr>
            <w:r>
              <w:rPr>
                <w:sz w:val="18"/>
              </w:rPr>
              <w:t>Undergraduate </w:t>
            </w:r>
            <w:r>
              <w:rPr>
                <w:spacing w:val="-3"/>
                <w:sz w:val="18"/>
              </w:rPr>
              <w:t>degree </w:t>
            </w:r>
            <w:r>
              <w:rPr>
                <w:sz w:val="18"/>
              </w:rPr>
              <w:t>Graduate </w:t>
            </w:r>
            <w:r>
              <w:rPr>
                <w:spacing w:val="-3"/>
                <w:sz w:val="18"/>
              </w:rPr>
              <w:t>degree </w:t>
            </w:r>
            <w:r>
              <w:rPr>
                <w:sz w:val="18"/>
              </w:rPr>
              <w:t>Other</w:t>
            </w:r>
          </w:p>
        </w:tc>
        <w:tc>
          <w:tcPr>
            <w:tcW w:w="1223" w:type="dxa"/>
            <w:shd w:val="clear" w:color="auto" w:fill="C5D9F0"/>
          </w:tcPr>
          <w:p>
            <w:pPr>
              <w:pStyle w:val="TableParagraph"/>
              <w:spacing w:line="201" w:lineRule="exact"/>
              <w:ind w:left="185"/>
              <w:jc w:val="center"/>
              <w:rPr>
                <w:sz w:val="18"/>
              </w:rPr>
            </w:pPr>
            <w:r>
              <w:rPr>
                <w:w w:val="101"/>
                <w:sz w:val="18"/>
              </w:rPr>
              <w:t>0</w:t>
            </w:r>
          </w:p>
          <w:p>
            <w:pPr>
              <w:pStyle w:val="TableParagraph"/>
              <w:spacing w:before="33"/>
              <w:ind w:left="580" w:right="401"/>
              <w:jc w:val="center"/>
              <w:rPr>
                <w:sz w:val="18"/>
              </w:rPr>
            </w:pPr>
            <w:r>
              <w:rPr>
                <w:sz w:val="18"/>
              </w:rPr>
              <w:t>50</w:t>
            </w:r>
          </w:p>
          <w:p>
            <w:pPr>
              <w:pStyle w:val="TableParagraph"/>
              <w:spacing w:before="33"/>
              <w:ind w:left="185"/>
              <w:jc w:val="center"/>
              <w:rPr>
                <w:sz w:val="18"/>
              </w:rPr>
            </w:pPr>
            <w:r>
              <w:rPr>
                <w:w w:val="101"/>
                <w:sz w:val="18"/>
              </w:rPr>
              <w:t>0</w:t>
            </w:r>
          </w:p>
          <w:p>
            <w:pPr>
              <w:pStyle w:val="TableParagraph"/>
              <w:spacing w:before="28"/>
              <w:ind w:left="185"/>
              <w:jc w:val="center"/>
              <w:rPr>
                <w:sz w:val="18"/>
              </w:rPr>
            </w:pPr>
            <w:r>
              <w:rPr>
                <w:w w:val="101"/>
                <w:sz w:val="18"/>
              </w:rPr>
              <w:t>0</w:t>
            </w:r>
          </w:p>
          <w:p>
            <w:pPr>
              <w:pStyle w:val="TableParagraph"/>
              <w:spacing w:before="33"/>
              <w:ind w:left="185"/>
              <w:jc w:val="center"/>
              <w:rPr>
                <w:sz w:val="18"/>
              </w:rPr>
            </w:pPr>
            <w:r>
              <w:rPr>
                <w:w w:val="101"/>
                <w:sz w:val="18"/>
              </w:rPr>
              <w:t>0</w:t>
            </w:r>
          </w:p>
          <w:p>
            <w:pPr>
              <w:pStyle w:val="TableParagraph"/>
              <w:spacing w:before="28"/>
              <w:ind w:left="185"/>
              <w:jc w:val="center"/>
              <w:rPr>
                <w:sz w:val="18"/>
              </w:rPr>
            </w:pPr>
            <w:r>
              <w:rPr>
                <w:w w:val="101"/>
                <w:sz w:val="18"/>
              </w:rPr>
              <w:t>0</w:t>
            </w:r>
          </w:p>
          <w:p>
            <w:pPr>
              <w:pStyle w:val="TableParagraph"/>
              <w:spacing w:before="33"/>
              <w:ind w:left="185"/>
              <w:jc w:val="center"/>
              <w:rPr>
                <w:sz w:val="18"/>
              </w:rPr>
            </w:pPr>
            <w:r>
              <w:rPr>
                <w:w w:val="101"/>
                <w:sz w:val="18"/>
              </w:rPr>
              <w:t>0</w:t>
            </w:r>
          </w:p>
        </w:tc>
        <w:tc>
          <w:tcPr>
            <w:tcW w:w="1173" w:type="dxa"/>
            <w:shd w:val="clear" w:color="auto" w:fill="C5D9F0"/>
          </w:tcPr>
          <w:p>
            <w:pPr>
              <w:pStyle w:val="TableParagraph"/>
              <w:spacing w:line="201" w:lineRule="exact"/>
              <w:ind w:left="401" w:right="271"/>
              <w:jc w:val="center"/>
              <w:rPr>
                <w:sz w:val="18"/>
              </w:rPr>
            </w:pPr>
            <w:r>
              <w:rPr>
                <w:sz w:val="18"/>
              </w:rPr>
              <w:t>0%</w:t>
            </w:r>
          </w:p>
          <w:p>
            <w:pPr>
              <w:pStyle w:val="TableParagraph"/>
              <w:spacing w:before="33"/>
              <w:ind w:left="401" w:right="271"/>
              <w:jc w:val="center"/>
              <w:rPr>
                <w:sz w:val="18"/>
              </w:rPr>
            </w:pPr>
            <w:r>
              <w:rPr>
                <w:sz w:val="18"/>
              </w:rPr>
              <w:t>100%</w:t>
            </w:r>
          </w:p>
          <w:p>
            <w:pPr>
              <w:pStyle w:val="TableParagraph"/>
              <w:spacing w:before="33"/>
              <w:ind w:left="401" w:right="271"/>
              <w:jc w:val="center"/>
              <w:rPr>
                <w:sz w:val="18"/>
              </w:rPr>
            </w:pPr>
            <w:r>
              <w:rPr>
                <w:sz w:val="18"/>
              </w:rPr>
              <w:t>0%</w:t>
            </w:r>
          </w:p>
          <w:p>
            <w:pPr>
              <w:pStyle w:val="TableParagraph"/>
              <w:spacing w:before="28"/>
              <w:ind w:left="401" w:right="271"/>
              <w:jc w:val="center"/>
              <w:rPr>
                <w:sz w:val="18"/>
              </w:rPr>
            </w:pPr>
            <w:r>
              <w:rPr>
                <w:sz w:val="18"/>
              </w:rPr>
              <w:t>0%</w:t>
            </w:r>
          </w:p>
          <w:p>
            <w:pPr>
              <w:pStyle w:val="TableParagraph"/>
              <w:spacing w:before="33"/>
              <w:ind w:left="401" w:right="271"/>
              <w:jc w:val="center"/>
              <w:rPr>
                <w:sz w:val="18"/>
              </w:rPr>
            </w:pPr>
            <w:r>
              <w:rPr>
                <w:sz w:val="18"/>
              </w:rPr>
              <w:t>0%</w:t>
            </w:r>
          </w:p>
          <w:p>
            <w:pPr>
              <w:pStyle w:val="TableParagraph"/>
              <w:spacing w:before="28"/>
              <w:ind w:left="401" w:right="271"/>
              <w:jc w:val="center"/>
              <w:rPr>
                <w:sz w:val="18"/>
              </w:rPr>
            </w:pPr>
            <w:r>
              <w:rPr>
                <w:sz w:val="18"/>
              </w:rPr>
              <w:t>0%</w:t>
            </w:r>
          </w:p>
          <w:p>
            <w:pPr>
              <w:pStyle w:val="TableParagraph"/>
              <w:spacing w:before="33"/>
              <w:ind w:left="401" w:right="271"/>
              <w:jc w:val="center"/>
              <w:rPr>
                <w:sz w:val="18"/>
              </w:rPr>
            </w:pPr>
            <w:r>
              <w:rPr>
                <w:sz w:val="18"/>
              </w:rPr>
              <w:t>0%</w:t>
            </w:r>
          </w:p>
        </w:tc>
        <w:tc>
          <w:tcPr>
            <w:tcW w:w="1360" w:type="dxa"/>
            <w:shd w:val="clear" w:color="auto" w:fill="C5D9F0"/>
          </w:tcPr>
          <w:p>
            <w:pPr>
              <w:pStyle w:val="TableParagraph"/>
              <w:spacing w:line="201" w:lineRule="exact"/>
              <w:ind w:left="135"/>
              <w:jc w:val="center"/>
              <w:rPr>
                <w:sz w:val="18"/>
              </w:rPr>
            </w:pPr>
            <w:r>
              <w:rPr>
                <w:w w:val="101"/>
                <w:sz w:val="18"/>
              </w:rPr>
              <w:t>0</w:t>
            </w:r>
          </w:p>
          <w:p>
            <w:pPr>
              <w:pStyle w:val="TableParagraph"/>
              <w:spacing w:before="33"/>
              <w:ind w:left="135"/>
              <w:jc w:val="center"/>
              <w:rPr>
                <w:sz w:val="18"/>
              </w:rPr>
            </w:pPr>
            <w:r>
              <w:rPr>
                <w:w w:val="101"/>
                <w:sz w:val="18"/>
              </w:rPr>
              <w:t>0</w:t>
            </w:r>
          </w:p>
          <w:p>
            <w:pPr>
              <w:pStyle w:val="TableParagraph"/>
              <w:spacing w:before="33"/>
              <w:ind w:left="135"/>
              <w:jc w:val="center"/>
              <w:rPr>
                <w:sz w:val="18"/>
              </w:rPr>
            </w:pPr>
            <w:r>
              <w:rPr>
                <w:w w:val="101"/>
                <w:sz w:val="18"/>
              </w:rPr>
              <w:t>2</w:t>
            </w:r>
          </w:p>
          <w:p>
            <w:pPr>
              <w:pStyle w:val="TableParagraph"/>
              <w:spacing w:before="28"/>
              <w:ind w:left="135"/>
              <w:jc w:val="center"/>
              <w:rPr>
                <w:sz w:val="18"/>
              </w:rPr>
            </w:pPr>
            <w:r>
              <w:rPr>
                <w:w w:val="101"/>
                <w:sz w:val="18"/>
              </w:rPr>
              <w:t>4</w:t>
            </w:r>
          </w:p>
          <w:p>
            <w:pPr>
              <w:pStyle w:val="TableParagraph"/>
              <w:spacing w:before="33"/>
              <w:ind w:left="624" w:right="495"/>
              <w:jc w:val="center"/>
              <w:rPr>
                <w:sz w:val="18"/>
              </w:rPr>
            </w:pPr>
            <w:r>
              <w:rPr>
                <w:sz w:val="18"/>
              </w:rPr>
              <w:t>43</w:t>
            </w:r>
          </w:p>
          <w:p>
            <w:pPr>
              <w:pStyle w:val="TableParagraph"/>
              <w:spacing w:before="28"/>
              <w:ind w:left="135"/>
              <w:jc w:val="center"/>
              <w:rPr>
                <w:sz w:val="18"/>
              </w:rPr>
            </w:pPr>
            <w:r>
              <w:rPr>
                <w:w w:val="101"/>
                <w:sz w:val="18"/>
              </w:rPr>
              <w:t>1</w:t>
            </w:r>
          </w:p>
          <w:p>
            <w:pPr>
              <w:pStyle w:val="TableParagraph"/>
              <w:spacing w:before="33"/>
              <w:ind w:left="135"/>
              <w:jc w:val="center"/>
              <w:rPr>
                <w:sz w:val="18"/>
              </w:rPr>
            </w:pPr>
            <w:r>
              <w:rPr>
                <w:w w:val="101"/>
                <w:sz w:val="18"/>
              </w:rPr>
              <w:t>0</w:t>
            </w:r>
          </w:p>
        </w:tc>
        <w:tc>
          <w:tcPr>
            <w:tcW w:w="1195" w:type="dxa"/>
            <w:tcBorders>
              <w:right w:val="single" w:sz="8" w:space="0" w:color="4F81BC"/>
            </w:tcBorders>
            <w:shd w:val="clear" w:color="auto" w:fill="C5D9F0"/>
          </w:tcPr>
          <w:p>
            <w:pPr>
              <w:pStyle w:val="TableParagraph"/>
              <w:spacing w:line="201" w:lineRule="exact"/>
              <w:ind w:left="561"/>
              <w:rPr>
                <w:sz w:val="18"/>
              </w:rPr>
            </w:pPr>
            <w:r>
              <w:rPr>
                <w:sz w:val="18"/>
              </w:rPr>
              <w:t>0%</w:t>
            </w:r>
          </w:p>
          <w:p>
            <w:pPr>
              <w:pStyle w:val="TableParagraph"/>
              <w:spacing w:before="33"/>
              <w:ind w:left="561"/>
              <w:rPr>
                <w:sz w:val="18"/>
              </w:rPr>
            </w:pPr>
            <w:r>
              <w:rPr>
                <w:sz w:val="18"/>
              </w:rPr>
              <w:t>0%</w:t>
            </w:r>
          </w:p>
          <w:p>
            <w:pPr>
              <w:pStyle w:val="TableParagraph"/>
              <w:spacing w:before="33"/>
              <w:ind w:left="561"/>
              <w:rPr>
                <w:sz w:val="18"/>
              </w:rPr>
            </w:pPr>
            <w:r>
              <w:rPr>
                <w:sz w:val="18"/>
              </w:rPr>
              <w:t>4%</w:t>
            </w:r>
          </w:p>
          <w:p>
            <w:pPr>
              <w:pStyle w:val="TableParagraph"/>
              <w:spacing w:before="28"/>
              <w:ind w:left="561"/>
              <w:rPr>
                <w:sz w:val="18"/>
              </w:rPr>
            </w:pPr>
            <w:r>
              <w:rPr>
                <w:sz w:val="18"/>
              </w:rPr>
              <w:t>8%</w:t>
            </w:r>
          </w:p>
          <w:p>
            <w:pPr>
              <w:pStyle w:val="TableParagraph"/>
              <w:spacing w:before="33"/>
              <w:ind w:left="513"/>
              <w:rPr>
                <w:sz w:val="18"/>
              </w:rPr>
            </w:pPr>
            <w:r>
              <w:rPr>
                <w:sz w:val="18"/>
              </w:rPr>
              <w:t>86%</w:t>
            </w:r>
          </w:p>
          <w:p>
            <w:pPr>
              <w:pStyle w:val="TableParagraph"/>
              <w:spacing w:before="28"/>
              <w:ind w:left="561"/>
              <w:rPr>
                <w:sz w:val="18"/>
              </w:rPr>
            </w:pPr>
            <w:r>
              <w:rPr>
                <w:sz w:val="18"/>
              </w:rPr>
              <w:t>2%</w:t>
            </w:r>
          </w:p>
          <w:p>
            <w:pPr>
              <w:pStyle w:val="TableParagraph"/>
              <w:spacing w:before="33"/>
              <w:ind w:left="561"/>
              <w:rPr>
                <w:sz w:val="18"/>
              </w:rPr>
            </w:pPr>
            <w:r>
              <w:rPr>
                <w:sz w:val="18"/>
              </w:rPr>
              <w:t>0%</w:t>
            </w:r>
          </w:p>
        </w:tc>
      </w:tr>
      <w:tr>
        <w:trPr>
          <w:trHeight w:val="1901" w:hRule="exact"/>
        </w:trPr>
        <w:tc>
          <w:tcPr>
            <w:tcW w:w="1998" w:type="dxa"/>
            <w:tcBorders>
              <w:left w:val="single" w:sz="8" w:space="0" w:color="4F81BC"/>
            </w:tcBorders>
          </w:tcPr>
          <w:p>
            <w:pPr>
              <w:pStyle w:val="TableParagraph"/>
              <w:rPr>
                <w:b/>
                <w:sz w:val="18"/>
              </w:rPr>
            </w:pPr>
          </w:p>
          <w:p>
            <w:pPr>
              <w:pStyle w:val="TableParagraph"/>
              <w:rPr>
                <w:b/>
                <w:sz w:val="18"/>
              </w:rPr>
            </w:pPr>
          </w:p>
          <w:p>
            <w:pPr>
              <w:pStyle w:val="TableParagraph"/>
              <w:rPr>
                <w:b/>
                <w:sz w:val="18"/>
              </w:rPr>
            </w:pPr>
          </w:p>
          <w:p>
            <w:pPr>
              <w:pStyle w:val="TableParagraph"/>
              <w:spacing w:before="8"/>
              <w:rPr>
                <w:b/>
                <w:sz w:val="17"/>
              </w:rPr>
            </w:pPr>
          </w:p>
          <w:p>
            <w:pPr>
              <w:pStyle w:val="TableParagraph"/>
              <w:ind w:left="122" w:right="124"/>
              <w:jc w:val="center"/>
              <w:rPr>
                <w:b/>
                <w:sz w:val="18"/>
              </w:rPr>
            </w:pPr>
            <w:r>
              <w:rPr>
                <w:b/>
                <w:sz w:val="18"/>
              </w:rPr>
              <w:t>Occupation</w:t>
            </w:r>
          </w:p>
        </w:tc>
        <w:tc>
          <w:tcPr>
            <w:tcW w:w="2108" w:type="dxa"/>
          </w:tcPr>
          <w:p>
            <w:pPr>
              <w:pStyle w:val="TableParagraph"/>
              <w:spacing w:line="276" w:lineRule="auto"/>
              <w:ind w:left="628" w:right="631" w:firstLine="2"/>
              <w:jc w:val="center"/>
              <w:rPr>
                <w:sz w:val="18"/>
              </w:rPr>
            </w:pPr>
            <w:r>
              <w:rPr>
                <w:sz w:val="18"/>
              </w:rPr>
              <w:t>Labourer Employee Housewife Merchant Student Peasant Farmer Other</w:t>
            </w:r>
          </w:p>
        </w:tc>
        <w:tc>
          <w:tcPr>
            <w:tcW w:w="1223" w:type="dxa"/>
          </w:tcPr>
          <w:p>
            <w:pPr>
              <w:pStyle w:val="TableParagraph"/>
              <w:spacing w:line="201" w:lineRule="exact"/>
              <w:ind w:left="185"/>
              <w:jc w:val="center"/>
              <w:rPr>
                <w:sz w:val="18"/>
              </w:rPr>
            </w:pPr>
            <w:r>
              <w:rPr>
                <w:w w:val="101"/>
                <w:sz w:val="18"/>
              </w:rPr>
              <w:t>0</w:t>
            </w:r>
          </w:p>
          <w:p>
            <w:pPr>
              <w:pStyle w:val="TableParagraph"/>
              <w:spacing w:before="28"/>
              <w:ind w:left="185"/>
              <w:jc w:val="center"/>
              <w:rPr>
                <w:sz w:val="18"/>
              </w:rPr>
            </w:pPr>
            <w:r>
              <w:rPr>
                <w:w w:val="101"/>
                <w:sz w:val="18"/>
              </w:rPr>
              <w:t>0</w:t>
            </w:r>
          </w:p>
          <w:p>
            <w:pPr>
              <w:pStyle w:val="TableParagraph"/>
              <w:spacing w:before="33"/>
              <w:ind w:left="185"/>
              <w:jc w:val="center"/>
              <w:rPr>
                <w:sz w:val="18"/>
              </w:rPr>
            </w:pPr>
            <w:r>
              <w:rPr>
                <w:w w:val="101"/>
                <w:sz w:val="18"/>
              </w:rPr>
              <w:t>0</w:t>
            </w:r>
          </w:p>
          <w:p>
            <w:pPr>
              <w:pStyle w:val="TableParagraph"/>
              <w:spacing w:before="28"/>
              <w:ind w:left="185"/>
              <w:jc w:val="center"/>
              <w:rPr>
                <w:sz w:val="18"/>
              </w:rPr>
            </w:pPr>
            <w:r>
              <w:rPr>
                <w:w w:val="101"/>
                <w:sz w:val="18"/>
              </w:rPr>
              <w:t>0</w:t>
            </w:r>
          </w:p>
          <w:p>
            <w:pPr>
              <w:pStyle w:val="TableParagraph"/>
              <w:spacing w:before="33"/>
              <w:ind w:left="580" w:right="401"/>
              <w:jc w:val="center"/>
              <w:rPr>
                <w:sz w:val="18"/>
              </w:rPr>
            </w:pPr>
            <w:r>
              <w:rPr>
                <w:sz w:val="18"/>
              </w:rPr>
              <w:t>50</w:t>
            </w:r>
          </w:p>
          <w:p>
            <w:pPr>
              <w:pStyle w:val="TableParagraph"/>
              <w:spacing w:before="29"/>
              <w:ind w:left="185"/>
              <w:jc w:val="center"/>
              <w:rPr>
                <w:sz w:val="18"/>
              </w:rPr>
            </w:pPr>
            <w:r>
              <w:rPr>
                <w:w w:val="101"/>
                <w:sz w:val="18"/>
              </w:rPr>
              <w:t>0</w:t>
            </w:r>
          </w:p>
          <w:p>
            <w:pPr>
              <w:pStyle w:val="TableParagraph"/>
              <w:spacing w:before="33"/>
              <w:ind w:left="185"/>
              <w:jc w:val="center"/>
              <w:rPr>
                <w:sz w:val="18"/>
              </w:rPr>
            </w:pPr>
            <w:r>
              <w:rPr>
                <w:w w:val="101"/>
                <w:sz w:val="18"/>
              </w:rPr>
              <w:t>0</w:t>
            </w:r>
          </w:p>
          <w:p>
            <w:pPr>
              <w:pStyle w:val="TableParagraph"/>
              <w:spacing w:before="33"/>
              <w:ind w:left="185"/>
              <w:jc w:val="center"/>
              <w:rPr>
                <w:sz w:val="18"/>
              </w:rPr>
            </w:pPr>
            <w:r>
              <w:rPr>
                <w:w w:val="101"/>
                <w:sz w:val="18"/>
              </w:rPr>
              <w:t>0</w:t>
            </w:r>
          </w:p>
        </w:tc>
        <w:tc>
          <w:tcPr>
            <w:tcW w:w="1173" w:type="dxa"/>
          </w:tcPr>
          <w:p>
            <w:pPr>
              <w:pStyle w:val="TableParagraph"/>
              <w:spacing w:line="201" w:lineRule="exact"/>
              <w:ind w:left="401" w:right="271"/>
              <w:jc w:val="center"/>
              <w:rPr>
                <w:sz w:val="18"/>
              </w:rPr>
            </w:pPr>
            <w:r>
              <w:rPr>
                <w:sz w:val="18"/>
              </w:rPr>
              <w:t>0%</w:t>
            </w:r>
          </w:p>
          <w:p>
            <w:pPr>
              <w:pStyle w:val="TableParagraph"/>
              <w:spacing w:before="28"/>
              <w:ind w:left="401" w:right="271"/>
              <w:jc w:val="center"/>
              <w:rPr>
                <w:sz w:val="18"/>
              </w:rPr>
            </w:pPr>
            <w:r>
              <w:rPr>
                <w:sz w:val="18"/>
              </w:rPr>
              <w:t>0%</w:t>
            </w:r>
          </w:p>
          <w:p>
            <w:pPr>
              <w:pStyle w:val="TableParagraph"/>
              <w:spacing w:before="33"/>
              <w:ind w:left="401" w:right="271"/>
              <w:jc w:val="center"/>
              <w:rPr>
                <w:sz w:val="18"/>
              </w:rPr>
            </w:pPr>
            <w:r>
              <w:rPr>
                <w:sz w:val="18"/>
              </w:rPr>
              <w:t>0%</w:t>
            </w:r>
          </w:p>
          <w:p>
            <w:pPr>
              <w:pStyle w:val="TableParagraph"/>
              <w:spacing w:before="28"/>
              <w:ind w:left="401" w:right="271"/>
              <w:jc w:val="center"/>
              <w:rPr>
                <w:sz w:val="18"/>
              </w:rPr>
            </w:pPr>
            <w:r>
              <w:rPr>
                <w:sz w:val="18"/>
              </w:rPr>
              <w:t>0%</w:t>
            </w:r>
          </w:p>
          <w:p>
            <w:pPr>
              <w:pStyle w:val="TableParagraph"/>
              <w:spacing w:before="33"/>
              <w:ind w:left="401" w:right="271"/>
              <w:jc w:val="center"/>
              <w:rPr>
                <w:sz w:val="18"/>
              </w:rPr>
            </w:pPr>
            <w:r>
              <w:rPr>
                <w:sz w:val="18"/>
              </w:rPr>
              <w:t>100%</w:t>
            </w:r>
          </w:p>
          <w:p>
            <w:pPr>
              <w:pStyle w:val="TableParagraph"/>
              <w:spacing w:before="29"/>
              <w:ind w:left="401" w:right="271"/>
              <w:jc w:val="center"/>
              <w:rPr>
                <w:sz w:val="18"/>
              </w:rPr>
            </w:pPr>
            <w:r>
              <w:rPr>
                <w:sz w:val="18"/>
              </w:rPr>
              <w:t>0%</w:t>
            </w:r>
          </w:p>
          <w:p>
            <w:pPr>
              <w:pStyle w:val="TableParagraph"/>
              <w:spacing w:before="33"/>
              <w:ind w:left="401" w:right="271"/>
              <w:jc w:val="center"/>
              <w:rPr>
                <w:sz w:val="18"/>
              </w:rPr>
            </w:pPr>
            <w:r>
              <w:rPr>
                <w:sz w:val="18"/>
              </w:rPr>
              <w:t>0%</w:t>
            </w:r>
          </w:p>
          <w:p>
            <w:pPr>
              <w:pStyle w:val="TableParagraph"/>
              <w:spacing w:before="33"/>
              <w:ind w:left="401" w:right="271"/>
              <w:jc w:val="center"/>
              <w:rPr>
                <w:sz w:val="18"/>
              </w:rPr>
            </w:pPr>
            <w:r>
              <w:rPr>
                <w:sz w:val="18"/>
              </w:rPr>
              <w:t>0%</w:t>
            </w:r>
          </w:p>
        </w:tc>
        <w:tc>
          <w:tcPr>
            <w:tcW w:w="1360" w:type="dxa"/>
          </w:tcPr>
          <w:p>
            <w:pPr>
              <w:pStyle w:val="TableParagraph"/>
              <w:spacing w:line="201" w:lineRule="exact"/>
              <w:ind w:left="135"/>
              <w:jc w:val="center"/>
              <w:rPr>
                <w:sz w:val="18"/>
              </w:rPr>
            </w:pPr>
            <w:r>
              <w:rPr>
                <w:w w:val="101"/>
                <w:sz w:val="18"/>
              </w:rPr>
              <w:t>0</w:t>
            </w:r>
          </w:p>
          <w:p>
            <w:pPr>
              <w:pStyle w:val="TableParagraph"/>
              <w:spacing w:before="28"/>
              <w:ind w:left="135"/>
              <w:jc w:val="center"/>
              <w:rPr>
                <w:sz w:val="18"/>
              </w:rPr>
            </w:pPr>
            <w:r>
              <w:rPr>
                <w:w w:val="101"/>
                <w:sz w:val="18"/>
              </w:rPr>
              <w:t>9</w:t>
            </w:r>
          </w:p>
          <w:p>
            <w:pPr>
              <w:pStyle w:val="TableParagraph"/>
              <w:spacing w:before="33"/>
              <w:ind w:left="135"/>
              <w:jc w:val="center"/>
              <w:rPr>
                <w:sz w:val="18"/>
              </w:rPr>
            </w:pPr>
            <w:r>
              <w:rPr>
                <w:w w:val="101"/>
                <w:sz w:val="18"/>
              </w:rPr>
              <w:t>0</w:t>
            </w:r>
          </w:p>
          <w:p>
            <w:pPr>
              <w:pStyle w:val="TableParagraph"/>
              <w:spacing w:before="28"/>
              <w:ind w:left="135"/>
              <w:jc w:val="center"/>
              <w:rPr>
                <w:sz w:val="18"/>
              </w:rPr>
            </w:pPr>
            <w:r>
              <w:rPr>
                <w:w w:val="101"/>
                <w:sz w:val="18"/>
              </w:rPr>
              <w:t>1</w:t>
            </w:r>
          </w:p>
          <w:p>
            <w:pPr>
              <w:pStyle w:val="TableParagraph"/>
              <w:spacing w:before="33"/>
              <w:ind w:left="624" w:right="495"/>
              <w:jc w:val="center"/>
              <w:rPr>
                <w:sz w:val="18"/>
              </w:rPr>
            </w:pPr>
            <w:r>
              <w:rPr>
                <w:sz w:val="18"/>
              </w:rPr>
              <w:t>36</w:t>
            </w:r>
          </w:p>
          <w:p>
            <w:pPr>
              <w:pStyle w:val="TableParagraph"/>
              <w:spacing w:before="29"/>
              <w:ind w:left="135"/>
              <w:jc w:val="center"/>
              <w:rPr>
                <w:sz w:val="18"/>
              </w:rPr>
            </w:pPr>
            <w:r>
              <w:rPr>
                <w:w w:val="101"/>
                <w:sz w:val="18"/>
              </w:rPr>
              <w:t>0</w:t>
            </w:r>
          </w:p>
          <w:p>
            <w:pPr>
              <w:pStyle w:val="TableParagraph"/>
              <w:spacing w:before="33"/>
              <w:ind w:left="135"/>
              <w:jc w:val="center"/>
              <w:rPr>
                <w:sz w:val="18"/>
              </w:rPr>
            </w:pPr>
            <w:r>
              <w:rPr>
                <w:w w:val="101"/>
                <w:sz w:val="18"/>
              </w:rPr>
              <w:t>0</w:t>
            </w:r>
          </w:p>
          <w:p>
            <w:pPr>
              <w:pStyle w:val="TableParagraph"/>
              <w:spacing w:before="33"/>
              <w:ind w:left="135"/>
              <w:jc w:val="center"/>
              <w:rPr>
                <w:sz w:val="18"/>
              </w:rPr>
            </w:pPr>
            <w:r>
              <w:rPr>
                <w:w w:val="101"/>
                <w:sz w:val="18"/>
              </w:rPr>
              <w:t>4</w:t>
            </w:r>
          </w:p>
        </w:tc>
        <w:tc>
          <w:tcPr>
            <w:tcW w:w="1195" w:type="dxa"/>
            <w:tcBorders>
              <w:right w:val="single" w:sz="8" w:space="0" w:color="4F81BC"/>
            </w:tcBorders>
          </w:tcPr>
          <w:p>
            <w:pPr>
              <w:pStyle w:val="TableParagraph"/>
              <w:spacing w:line="201" w:lineRule="exact"/>
              <w:ind w:left="561"/>
              <w:rPr>
                <w:sz w:val="18"/>
              </w:rPr>
            </w:pPr>
            <w:r>
              <w:rPr>
                <w:sz w:val="18"/>
              </w:rPr>
              <w:t>0%</w:t>
            </w:r>
          </w:p>
          <w:p>
            <w:pPr>
              <w:pStyle w:val="TableParagraph"/>
              <w:spacing w:before="28"/>
              <w:ind w:left="513"/>
              <w:rPr>
                <w:sz w:val="18"/>
              </w:rPr>
            </w:pPr>
            <w:r>
              <w:rPr>
                <w:sz w:val="18"/>
              </w:rPr>
              <w:t>18%</w:t>
            </w:r>
          </w:p>
          <w:p>
            <w:pPr>
              <w:pStyle w:val="TableParagraph"/>
              <w:spacing w:before="33"/>
              <w:ind w:left="561"/>
              <w:rPr>
                <w:sz w:val="18"/>
              </w:rPr>
            </w:pPr>
            <w:r>
              <w:rPr>
                <w:sz w:val="18"/>
              </w:rPr>
              <w:t>0%</w:t>
            </w:r>
          </w:p>
          <w:p>
            <w:pPr>
              <w:pStyle w:val="TableParagraph"/>
              <w:spacing w:before="28"/>
              <w:ind w:left="561"/>
              <w:rPr>
                <w:sz w:val="18"/>
              </w:rPr>
            </w:pPr>
            <w:r>
              <w:rPr>
                <w:sz w:val="18"/>
              </w:rPr>
              <w:t>2%</w:t>
            </w:r>
          </w:p>
          <w:p>
            <w:pPr>
              <w:pStyle w:val="TableParagraph"/>
              <w:spacing w:before="33"/>
              <w:ind w:left="513"/>
              <w:rPr>
                <w:sz w:val="18"/>
              </w:rPr>
            </w:pPr>
            <w:r>
              <w:rPr>
                <w:sz w:val="18"/>
              </w:rPr>
              <w:t>72%</w:t>
            </w:r>
          </w:p>
          <w:p>
            <w:pPr>
              <w:pStyle w:val="TableParagraph"/>
              <w:spacing w:before="29"/>
              <w:ind w:left="561"/>
              <w:rPr>
                <w:sz w:val="18"/>
              </w:rPr>
            </w:pPr>
            <w:r>
              <w:rPr>
                <w:sz w:val="18"/>
              </w:rPr>
              <w:t>0%</w:t>
            </w:r>
          </w:p>
          <w:p>
            <w:pPr>
              <w:pStyle w:val="TableParagraph"/>
              <w:spacing w:before="33"/>
              <w:ind w:left="561"/>
              <w:rPr>
                <w:sz w:val="18"/>
              </w:rPr>
            </w:pPr>
            <w:r>
              <w:rPr>
                <w:sz w:val="18"/>
              </w:rPr>
              <w:t>0%</w:t>
            </w:r>
          </w:p>
          <w:p>
            <w:pPr>
              <w:pStyle w:val="TableParagraph"/>
              <w:spacing w:before="33"/>
              <w:ind w:left="561"/>
              <w:rPr>
                <w:sz w:val="18"/>
              </w:rPr>
            </w:pPr>
            <w:r>
              <w:rPr>
                <w:sz w:val="18"/>
              </w:rPr>
              <w:t>8%</w:t>
            </w:r>
          </w:p>
        </w:tc>
      </w:tr>
      <w:tr>
        <w:trPr>
          <w:trHeight w:val="252" w:hRule="exact"/>
        </w:trPr>
        <w:tc>
          <w:tcPr>
            <w:tcW w:w="1998" w:type="dxa"/>
            <w:vMerge w:val="restart"/>
            <w:tcBorders>
              <w:left w:val="single" w:sz="8" w:space="0" w:color="4F81BC"/>
            </w:tcBorders>
            <w:shd w:val="clear" w:color="auto" w:fill="C5D9F0"/>
          </w:tcPr>
          <w:p>
            <w:pPr>
              <w:pStyle w:val="TableParagraph"/>
              <w:spacing w:before="133"/>
              <w:ind w:left="384" w:right="128"/>
              <w:rPr>
                <w:b/>
                <w:sz w:val="18"/>
              </w:rPr>
            </w:pPr>
            <w:r>
              <w:rPr>
                <w:b/>
                <w:sz w:val="18"/>
              </w:rPr>
              <w:t>Brushing time</w:t>
            </w:r>
          </w:p>
        </w:tc>
        <w:tc>
          <w:tcPr>
            <w:tcW w:w="2108" w:type="dxa"/>
            <w:tcBorders>
              <w:bottom w:val="single" w:sz="10" w:space="0" w:color="FFFFFF"/>
            </w:tcBorders>
            <w:shd w:val="clear" w:color="auto" w:fill="C5D9F0"/>
          </w:tcPr>
          <w:p>
            <w:pPr>
              <w:pStyle w:val="TableParagraph"/>
              <w:spacing w:line="201" w:lineRule="exact"/>
              <w:ind w:left="748" w:right="748"/>
              <w:jc w:val="center"/>
              <w:rPr>
                <w:sz w:val="18"/>
              </w:rPr>
            </w:pPr>
            <w:r>
              <w:rPr>
                <w:sz w:val="18"/>
              </w:rPr>
              <w:t>Before</w:t>
            </w:r>
          </w:p>
        </w:tc>
        <w:tc>
          <w:tcPr>
            <w:tcW w:w="1223" w:type="dxa"/>
            <w:tcBorders>
              <w:bottom w:val="single" w:sz="10" w:space="0" w:color="FFFFFF"/>
            </w:tcBorders>
            <w:shd w:val="clear" w:color="auto" w:fill="C5D9F0"/>
          </w:tcPr>
          <w:p>
            <w:pPr>
              <w:pStyle w:val="TableParagraph"/>
              <w:spacing w:line="201" w:lineRule="exact"/>
              <w:ind w:right="465"/>
              <w:jc w:val="right"/>
              <w:rPr>
                <w:sz w:val="18"/>
              </w:rPr>
            </w:pPr>
            <w:r>
              <w:rPr>
                <w:w w:val="101"/>
                <w:sz w:val="18"/>
              </w:rPr>
              <w:t>1</w:t>
            </w:r>
          </w:p>
        </w:tc>
        <w:tc>
          <w:tcPr>
            <w:tcW w:w="1173" w:type="dxa"/>
            <w:tcBorders>
              <w:bottom w:val="single" w:sz="10" w:space="0" w:color="FFFFFF"/>
            </w:tcBorders>
            <w:shd w:val="clear" w:color="auto" w:fill="C5D9F0"/>
          </w:tcPr>
          <w:p>
            <w:pPr>
              <w:pStyle w:val="TableParagraph"/>
              <w:spacing w:line="201" w:lineRule="exact"/>
              <w:ind w:right="388"/>
              <w:jc w:val="right"/>
              <w:rPr>
                <w:sz w:val="18"/>
              </w:rPr>
            </w:pPr>
            <w:r>
              <w:rPr>
                <w:sz w:val="18"/>
              </w:rPr>
              <w:t>2%</w:t>
            </w:r>
          </w:p>
        </w:tc>
        <w:tc>
          <w:tcPr>
            <w:tcW w:w="1360" w:type="dxa"/>
            <w:tcBorders>
              <w:bottom w:val="single" w:sz="10" w:space="0" w:color="FFFFFF"/>
            </w:tcBorders>
            <w:shd w:val="clear" w:color="auto" w:fill="C5D9F0"/>
          </w:tcPr>
          <w:p>
            <w:pPr>
              <w:pStyle w:val="TableParagraph"/>
              <w:spacing w:line="201" w:lineRule="exact"/>
              <w:ind w:right="559"/>
              <w:jc w:val="right"/>
              <w:rPr>
                <w:sz w:val="18"/>
              </w:rPr>
            </w:pPr>
            <w:r>
              <w:rPr>
                <w:w w:val="101"/>
                <w:sz w:val="18"/>
              </w:rPr>
              <w:t>1</w:t>
            </w:r>
          </w:p>
        </w:tc>
        <w:tc>
          <w:tcPr>
            <w:tcW w:w="1195" w:type="dxa"/>
            <w:tcBorders>
              <w:bottom w:val="single" w:sz="10" w:space="0" w:color="FFFFFF"/>
              <w:right w:val="single" w:sz="8" w:space="0" w:color="4F81BC"/>
            </w:tcBorders>
            <w:shd w:val="clear" w:color="auto" w:fill="C5D9F0"/>
          </w:tcPr>
          <w:p>
            <w:pPr>
              <w:pStyle w:val="TableParagraph"/>
              <w:spacing w:line="201" w:lineRule="exact"/>
              <w:ind w:right="359"/>
              <w:jc w:val="right"/>
              <w:rPr>
                <w:sz w:val="18"/>
              </w:rPr>
            </w:pPr>
            <w:r>
              <w:rPr>
                <w:sz w:val="18"/>
              </w:rPr>
              <w:t>2%</w:t>
            </w:r>
          </w:p>
        </w:tc>
      </w:tr>
      <w:tr>
        <w:trPr>
          <w:trHeight w:val="262" w:hRule="exact"/>
        </w:trPr>
        <w:tc>
          <w:tcPr>
            <w:tcW w:w="1998" w:type="dxa"/>
            <w:vMerge/>
            <w:tcBorders>
              <w:left w:val="single" w:sz="8" w:space="0" w:color="4F81BC"/>
            </w:tcBorders>
            <w:shd w:val="clear" w:color="auto" w:fill="C5D9F0"/>
          </w:tcPr>
          <w:p>
            <w:pPr/>
          </w:p>
        </w:tc>
        <w:tc>
          <w:tcPr>
            <w:tcW w:w="2108" w:type="dxa"/>
            <w:tcBorders>
              <w:top w:val="single" w:sz="10" w:space="0" w:color="FFFFFF"/>
            </w:tcBorders>
            <w:shd w:val="clear" w:color="auto" w:fill="C5D9F0"/>
          </w:tcPr>
          <w:p>
            <w:pPr>
              <w:pStyle w:val="TableParagraph"/>
              <w:spacing w:line="201" w:lineRule="exact"/>
              <w:ind w:left="747" w:right="752"/>
              <w:jc w:val="center"/>
              <w:rPr>
                <w:sz w:val="18"/>
              </w:rPr>
            </w:pPr>
            <w:r>
              <w:rPr>
                <w:sz w:val="18"/>
              </w:rPr>
              <w:t>After</w:t>
            </w:r>
          </w:p>
        </w:tc>
        <w:tc>
          <w:tcPr>
            <w:tcW w:w="1223" w:type="dxa"/>
            <w:tcBorders>
              <w:top w:val="single" w:sz="10" w:space="0" w:color="FFFFFF"/>
            </w:tcBorders>
            <w:shd w:val="clear" w:color="auto" w:fill="C5D9F0"/>
          </w:tcPr>
          <w:p>
            <w:pPr>
              <w:pStyle w:val="TableParagraph"/>
              <w:spacing w:line="201" w:lineRule="exact"/>
              <w:ind w:right="418"/>
              <w:jc w:val="right"/>
              <w:rPr>
                <w:sz w:val="18"/>
              </w:rPr>
            </w:pPr>
            <w:r>
              <w:rPr>
                <w:sz w:val="18"/>
              </w:rPr>
              <w:t>49</w:t>
            </w:r>
          </w:p>
        </w:tc>
        <w:tc>
          <w:tcPr>
            <w:tcW w:w="1173" w:type="dxa"/>
            <w:tcBorders>
              <w:top w:val="single" w:sz="10" w:space="0" w:color="FFFFFF"/>
            </w:tcBorders>
            <w:shd w:val="clear" w:color="auto" w:fill="C5D9F0"/>
          </w:tcPr>
          <w:p>
            <w:pPr>
              <w:pStyle w:val="TableParagraph"/>
              <w:spacing w:line="201" w:lineRule="exact"/>
              <w:ind w:right="335"/>
              <w:jc w:val="right"/>
              <w:rPr>
                <w:sz w:val="18"/>
              </w:rPr>
            </w:pPr>
            <w:r>
              <w:rPr>
                <w:sz w:val="18"/>
              </w:rPr>
              <w:t>98%</w:t>
            </w:r>
          </w:p>
        </w:tc>
        <w:tc>
          <w:tcPr>
            <w:tcW w:w="1360" w:type="dxa"/>
            <w:tcBorders>
              <w:top w:val="single" w:sz="10" w:space="0" w:color="FFFFFF"/>
            </w:tcBorders>
            <w:shd w:val="clear" w:color="auto" w:fill="C5D9F0"/>
          </w:tcPr>
          <w:p>
            <w:pPr>
              <w:pStyle w:val="TableParagraph"/>
              <w:spacing w:line="201" w:lineRule="exact"/>
              <w:ind w:right="512"/>
              <w:jc w:val="right"/>
              <w:rPr>
                <w:sz w:val="18"/>
              </w:rPr>
            </w:pPr>
            <w:r>
              <w:rPr>
                <w:sz w:val="18"/>
              </w:rPr>
              <w:t>49</w:t>
            </w:r>
          </w:p>
        </w:tc>
        <w:tc>
          <w:tcPr>
            <w:tcW w:w="1195" w:type="dxa"/>
            <w:tcBorders>
              <w:top w:val="single" w:sz="10" w:space="0" w:color="FFFFFF"/>
              <w:right w:val="single" w:sz="8" w:space="0" w:color="4F81BC"/>
            </w:tcBorders>
            <w:shd w:val="clear" w:color="auto" w:fill="C5D9F0"/>
          </w:tcPr>
          <w:p>
            <w:pPr>
              <w:pStyle w:val="TableParagraph"/>
              <w:spacing w:line="201" w:lineRule="exact"/>
              <w:ind w:right="306"/>
              <w:jc w:val="right"/>
              <w:rPr>
                <w:sz w:val="18"/>
              </w:rPr>
            </w:pPr>
            <w:r>
              <w:rPr>
                <w:sz w:val="18"/>
              </w:rPr>
              <w:t>98%</w:t>
            </w:r>
          </w:p>
        </w:tc>
      </w:tr>
      <w:tr>
        <w:trPr>
          <w:trHeight w:val="235" w:hRule="exact"/>
        </w:trPr>
        <w:tc>
          <w:tcPr>
            <w:tcW w:w="1998" w:type="dxa"/>
            <w:tcBorders>
              <w:left w:val="single" w:sz="8" w:space="0" w:color="4F81BC"/>
            </w:tcBorders>
          </w:tcPr>
          <w:p>
            <w:pPr>
              <w:pStyle w:val="TableParagraph"/>
              <w:spacing w:line="201" w:lineRule="exact"/>
              <w:ind w:left="122" w:right="125"/>
              <w:jc w:val="center"/>
              <w:rPr>
                <w:b/>
                <w:sz w:val="18"/>
              </w:rPr>
            </w:pPr>
            <w:r>
              <w:rPr>
                <w:b/>
                <w:sz w:val="18"/>
              </w:rPr>
              <w:t>Brushing frequency</w:t>
            </w:r>
          </w:p>
        </w:tc>
        <w:tc>
          <w:tcPr>
            <w:tcW w:w="2108" w:type="dxa"/>
          </w:tcPr>
          <w:p>
            <w:pPr>
              <w:pStyle w:val="TableParagraph"/>
              <w:spacing w:line="201" w:lineRule="exact"/>
              <w:ind w:left="748" w:right="752"/>
              <w:jc w:val="center"/>
              <w:rPr>
                <w:sz w:val="18"/>
              </w:rPr>
            </w:pPr>
            <w:r>
              <w:rPr>
                <w:sz w:val="18"/>
              </w:rPr>
              <w:t>One</w:t>
            </w:r>
          </w:p>
        </w:tc>
        <w:tc>
          <w:tcPr>
            <w:tcW w:w="1223" w:type="dxa"/>
          </w:tcPr>
          <w:p>
            <w:pPr>
              <w:pStyle w:val="TableParagraph"/>
              <w:spacing w:line="201" w:lineRule="exact"/>
              <w:ind w:right="418"/>
              <w:jc w:val="right"/>
              <w:rPr>
                <w:sz w:val="18"/>
              </w:rPr>
            </w:pPr>
            <w:r>
              <w:rPr>
                <w:sz w:val="18"/>
              </w:rPr>
              <w:t>11</w:t>
            </w:r>
          </w:p>
        </w:tc>
        <w:tc>
          <w:tcPr>
            <w:tcW w:w="1173" w:type="dxa"/>
          </w:tcPr>
          <w:p>
            <w:pPr>
              <w:pStyle w:val="TableParagraph"/>
              <w:spacing w:line="201" w:lineRule="exact"/>
              <w:ind w:right="335"/>
              <w:jc w:val="right"/>
              <w:rPr>
                <w:sz w:val="18"/>
              </w:rPr>
            </w:pPr>
            <w:r>
              <w:rPr>
                <w:sz w:val="18"/>
              </w:rPr>
              <w:t>22%</w:t>
            </w:r>
          </w:p>
        </w:tc>
        <w:tc>
          <w:tcPr>
            <w:tcW w:w="1360" w:type="dxa"/>
          </w:tcPr>
          <w:p>
            <w:pPr>
              <w:pStyle w:val="TableParagraph"/>
              <w:spacing w:line="201" w:lineRule="exact"/>
              <w:ind w:right="559"/>
              <w:jc w:val="right"/>
              <w:rPr>
                <w:sz w:val="18"/>
              </w:rPr>
            </w:pPr>
            <w:r>
              <w:rPr>
                <w:w w:val="101"/>
                <w:sz w:val="18"/>
              </w:rPr>
              <w:t>0</w:t>
            </w:r>
          </w:p>
        </w:tc>
        <w:tc>
          <w:tcPr>
            <w:tcW w:w="1195" w:type="dxa"/>
            <w:tcBorders>
              <w:right w:val="single" w:sz="8" w:space="0" w:color="4F81BC"/>
            </w:tcBorders>
          </w:tcPr>
          <w:p>
            <w:pPr>
              <w:pStyle w:val="TableParagraph"/>
              <w:spacing w:line="201" w:lineRule="exact"/>
              <w:ind w:right="359"/>
              <w:jc w:val="right"/>
              <w:rPr>
                <w:sz w:val="18"/>
              </w:rPr>
            </w:pPr>
            <w:r>
              <w:rPr>
                <w:sz w:val="18"/>
              </w:rPr>
              <w:t>0%</w:t>
            </w:r>
          </w:p>
        </w:tc>
      </w:tr>
    </w:tbl>
    <w:p>
      <w:pPr>
        <w:spacing w:after="0" w:line="201" w:lineRule="exact"/>
        <w:jc w:val="right"/>
        <w:rPr>
          <w:sz w:val="18"/>
        </w:rPr>
        <w:sectPr>
          <w:pgSz w:w="12240" w:h="15840"/>
          <w:pgMar w:header="726" w:footer="1031" w:top="1340" w:bottom="1220" w:left="1220" w:right="1420"/>
        </w:sectPr>
      </w:pPr>
    </w:p>
    <w:p>
      <w:pPr>
        <w:pStyle w:val="BodyText"/>
        <w:spacing w:before="9"/>
        <w:rPr>
          <w:b/>
          <w:sz w:val="28"/>
        </w:rPr>
      </w:pPr>
    </w:p>
    <w:tbl>
      <w:tblPr>
        <w:tblW w:w="0" w:type="auto"/>
        <w:jc w:val="left"/>
        <w:tblInd w:w="2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8"/>
        <w:gridCol w:w="1960"/>
        <w:gridCol w:w="657"/>
        <w:gridCol w:w="904"/>
        <w:gridCol w:w="896"/>
        <w:gridCol w:w="719"/>
        <w:gridCol w:w="276"/>
        <w:gridCol w:w="639"/>
        <w:gridCol w:w="1008"/>
      </w:tblGrid>
      <w:tr>
        <w:trPr>
          <w:trHeight w:val="716" w:hRule="exact"/>
        </w:trPr>
        <w:tc>
          <w:tcPr>
            <w:tcW w:w="3958" w:type="dxa"/>
            <w:gridSpan w:val="2"/>
            <w:tcBorders>
              <w:left w:val="single" w:sz="8" w:space="0" w:color="4F81BC"/>
            </w:tcBorders>
          </w:tcPr>
          <w:p>
            <w:pPr>
              <w:pStyle w:val="TableParagraph"/>
              <w:spacing w:line="278" w:lineRule="auto"/>
              <w:ind w:left="2804" w:right="671" w:hanging="5"/>
              <w:jc w:val="center"/>
              <w:rPr>
                <w:sz w:val="18"/>
              </w:rPr>
            </w:pPr>
            <w:r>
              <w:rPr>
                <w:sz w:val="18"/>
              </w:rPr>
              <w:t>Two Three</w:t>
            </w:r>
          </w:p>
          <w:p>
            <w:pPr>
              <w:pStyle w:val="TableParagraph"/>
              <w:spacing w:before="1"/>
              <w:ind w:left="2380" w:right="256"/>
              <w:jc w:val="center"/>
              <w:rPr>
                <w:sz w:val="18"/>
              </w:rPr>
            </w:pPr>
            <w:r>
              <w:rPr>
                <w:sz w:val="18"/>
              </w:rPr>
              <w:t>More than three</w:t>
            </w:r>
          </w:p>
        </w:tc>
        <w:tc>
          <w:tcPr>
            <w:tcW w:w="657" w:type="dxa"/>
          </w:tcPr>
          <w:p>
            <w:pPr/>
          </w:p>
        </w:tc>
        <w:tc>
          <w:tcPr>
            <w:tcW w:w="904" w:type="dxa"/>
          </w:tcPr>
          <w:p>
            <w:pPr>
              <w:pStyle w:val="TableParagraph"/>
              <w:spacing w:line="201" w:lineRule="exact"/>
              <w:ind w:left="91"/>
              <w:rPr>
                <w:sz w:val="18"/>
              </w:rPr>
            </w:pPr>
            <w:r>
              <w:rPr>
                <w:sz w:val="18"/>
              </w:rPr>
              <w:t>29</w:t>
            </w:r>
          </w:p>
          <w:p>
            <w:pPr>
              <w:pStyle w:val="TableParagraph"/>
              <w:spacing w:before="33"/>
              <w:ind w:left="91"/>
              <w:rPr>
                <w:sz w:val="18"/>
              </w:rPr>
            </w:pPr>
            <w:r>
              <w:rPr>
                <w:sz w:val="18"/>
              </w:rPr>
              <w:t>10</w:t>
            </w:r>
          </w:p>
          <w:p>
            <w:pPr>
              <w:pStyle w:val="TableParagraph"/>
              <w:spacing w:before="33"/>
              <w:ind w:left="143"/>
              <w:rPr>
                <w:sz w:val="18"/>
              </w:rPr>
            </w:pPr>
            <w:r>
              <w:rPr>
                <w:w w:val="101"/>
                <w:sz w:val="18"/>
              </w:rPr>
              <w:t>0</w:t>
            </w:r>
          </w:p>
        </w:tc>
        <w:tc>
          <w:tcPr>
            <w:tcW w:w="896" w:type="dxa"/>
          </w:tcPr>
          <w:p>
            <w:pPr>
              <w:pStyle w:val="TableParagraph"/>
              <w:spacing w:line="201" w:lineRule="exact"/>
              <w:ind w:left="262" w:right="232"/>
              <w:jc w:val="center"/>
              <w:rPr>
                <w:sz w:val="18"/>
              </w:rPr>
            </w:pPr>
            <w:r>
              <w:rPr>
                <w:sz w:val="18"/>
              </w:rPr>
              <w:t>58%</w:t>
            </w:r>
          </w:p>
          <w:p>
            <w:pPr>
              <w:pStyle w:val="TableParagraph"/>
              <w:spacing w:before="33"/>
              <w:ind w:left="262" w:right="232"/>
              <w:jc w:val="center"/>
              <w:rPr>
                <w:sz w:val="18"/>
              </w:rPr>
            </w:pPr>
            <w:r>
              <w:rPr>
                <w:sz w:val="18"/>
              </w:rPr>
              <w:t>20%</w:t>
            </w:r>
          </w:p>
          <w:p>
            <w:pPr>
              <w:pStyle w:val="TableParagraph"/>
              <w:spacing w:before="33"/>
              <w:ind w:left="258" w:right="232"/>
              <w:jc w:val="center"/>
              <w:rPr>
                <w:sz w:val="18"/>
              </w:rPr>
            </w:pPr>
            <w:r>
              <w:rPr>
                <w:sz w:val="18"/>
              </w:rPr>
              <w:t>0%</w:t>
            </w:r>
          </w:p>
        </w:tc>
        <w:tc>
          <w:tcPr>
            <w:tcW w:w="719" w:type="dxa"/>
          </w:tcPr>
          <w:p>
            <w:pPr/>
          </w:p>
        </w:tc>
        <w:tc>
          <w:tcPr>
            <w:tcW w:w="276" w:type="dxa"/>
          </w:tcPr>
          <w:p>
            <w:pPr>
              <w:pStyle w:val="TableParagraph"/>
              <w:spacing w:line="201" w:lineRule="exact"/>
              <w:ind w:left="11"/>
              <w:rPr>
                <w:sz w:val="18"/>
              </w:rPr>
            </w:pPr>
            <w:r>
              <w:rPr>
                <w:sz w:val="18"/>
              </w:rPr>
              <w:t>30</w:t>
            </w:r>
          </w:p>
          <w:p>
            <w:pPr>
              <w:pStyle w:val="TableParagraph"/>
              <w:spacing w:before="33"/>
              <w:ind w:left="11"/>
              <w:rPr>
                <w:sz w:val="18"/>
              </w:rPr>
            </w:pPr>
            <w:r>
              <w:rPr>
                <w:sz w:val="18"/>
              </w:rPr>
              <w:t>16</w:t>
            </w:r>
          </w:p>
          <w:p>
            <w:pPr>
              <w:pStyle w:val="TableParagraph"/>
              <w:spacing w:before="33"/>
              <w:ind w:left="64"/>
              <w:rPr>
                <w:sz w:val="18"/>
              </w:rPr>
            </w:pPr>
            <w:r>
              <w:rPr>
                <w:w w:val="101"/>
                <w:sz w:val="18"/>
              </w:rPr>
              <w:t>4</w:t>
            </w:r>
          </w:p>
        </w:tc>
        <w:tc>
          <w:tcPr>
            <w:tcW w:w="639" w:type="dxa"/>
          </w:tcPr>
          <w:p>
            <w:pPr/>
          </w:p>
        </w:tc>
        <w:tc>
          <w:tcPr>
            <w:tcW w:w="1008" w:type="dxa"/>
            <w:tcBorders>
              <w:right w:val="single" w:sz="8" w:space="0" w:color="4F81BC"/>
            </w:tcBorders>
          </w:tcPr>
          <w:p>
            <w:pPr>
              <w:pStyle w:val="TableParagraph"/>
              <w:spacing w:line="201" w:lineRule="exact"/>
              <w:ind w:left="154" w:right="137"/>
              <w:jc w:val="center"/>
              <w:rPr>
                <w:sz w:val="18"/>
              </w:rPr>
            </w:pPr>
            <w:r>
              <w:rPr>
                <w:sz w:val="18"/>
              </w:rPr>
              <w:t>60%</w:t>
            </w:r>
          </w:p>
          <w:p>
            <w:pPr>
              <w:pStyle w:val="TableParagraph"/>
              <w:spacing w:before="33"/>
              <w:ind w:left="154" w:right="137"/>
              <w:jc w:val="center"/>
              <w:rPr>
                <w:sz w:val="18"/>
              </w:rPr>
            </w:pPr>
            <w:r>
              <w:rPr>
                <w:sz w:val="18"/>
              </w:rPr>
              <w:t>32%</w:t>
            </w:r>
          </w:p>
          <w:p>
            <w:pPr>
              <w:pStyle w:val="TableParagraph"/>
              <w:spacing w:before="33"/>
              <w:ind w:left="154" w:right="142"/>
              <w:jc w:val="center"/>
              <w:rPr>
                <w:sz w:val="18"/>
              </w:rPr>
            </w:pPr>
            <w:r>
              <w:rPr>
                <w:sz w:val="18"/>
              </w:rPr>
              <w:t>8%</w:t>
            </w:r>
          </w:p>
        </w:tc>
      </w:tr>
      <w:tr>
        <w:trPr>
          <w:trHeight w:val="475" w:hRule="exact"/>
        </w:trPr>
        <w:tc>
          <w:tcPr>
            <w:tcW w:w="1998" w:type="dxa"/>
            <w:tcBorders>
              <w:left w:val="single" w:sz="8" w:space="0" w:color="4F81BC"/>
            </w:tcBorders>
            <w:shd w:val="clear" w:color="auto" w:fill="C5D9F0"/>
          </w:tcPr>
          <w:p>
            <w:pPr>
              <w:pStyle w:val="TableParagraph"/>
              <w:spacing w:line="278" w:lineRule="auto"/>
              <w:ind w:left="139" w:right="128" w:firstLine="100"/>
              <w:rPr>
                <w:b/>
                <w:sz w:val="18"/>
              </w:rPr>
            </w:pPr>
            <w:r>
              <w:rPr>
                <w:b/>
                <w:sz w:val="18"/>
              </w:rPr>
              <w:t>Use of secondary methods of hygiene</w:t>
            </w:r>
          </w:p>
        </w:tc>
        <w:tc>
          <w:tcPr>
            <w:tcW w:w="1960" w:type="dxa"/>
            <w:shd w:val="clear" w:color="auto" w:fill="C5D9F0"/>
          </w:tcPr>
          <w:p>
            <w:pPr>
              <w:pStyle w:val="TableParagraph"/>
              <w:spacing w:line="278" w:lineRule="auto"/>
              <w:ind w:left="892" w:right="758"/>
              <w:jc w:val="center"/>
              <w:rPr>
                <w:sz w:val="18"/>
              </w:rPr>
            </w:pPr>
            <w:r>
              <w:rPr>
                <w:sz w:val="18"/>
              </w:rPr>
              <w:t>Yes No</w:t>
            </w:r>
          </w:p>
        </w:tc>
        <w:tc>
          <w:tcPr>
            <w:tcW w:w="657" w:type="dxa"/>
            <w:shd w:val="clear" w:color="auto" w:fill="C5D9F0"/>
          </w:tcPr>
          <w:p>
            <w:pPr/>
          </w:p>
        </w:tc>
        <w:tc>
          <w:tcPr>
            <w:tcW w:w="904" w:type="dxa"/>
            <w:shd w:val="clear" w:color="auto" w:fill="C5D9F0"/>
          </w:tcPr>
          <w:p>
            <w:pPr>
              <w:pStyle w:val="TableParagraph"/>
              <w:spacing w:line="201" w:lineRule="exact"/>
              <w:ind w:left="91"/>
              <w:rPr>
                <w:sz w:val="18"/>
              </w:rPr>
            </w:pPr>
            <w:r>
              <w:rPr>
                <w:sz w:val="18"/>
              </w:rPr>
              <w:t>10</w:t>
            </w:r>
          </w:p>
          <w:p>
            <w:pPr>
              <w:pStyle w:val="TableParagraph"/>
              <w:spacing w:before="33"/>
              <w:ind w:left="91"/>
              <w:rPr>
                <w:sz w:val="18"/>
              </w:rPr>
            </w:pPr>
            <w:r>
              <w:rPr>
                <w:sz w:val="18"/>
              </w:rPr>
              <w:t>40</w:t>
            </w:r>
          </w:p>
        </w:tc>
        <w:tc>
          <w:tcPr>
            <w:tcW w:w="896" w:type="dxa"/>
            <w:shd w:val="clear" w:color="auto" w:fill="C5D9F0"/>
          </w:tcPr>
          <w:p>
            <w:pPr>
              <w:pStyle w:val="TableParagraph"/>
              <w:spacing w:line="201" w:lineRule="exact"/>
              <w:ind w:left="281"/>
              <w:rPr>
                <w:sz w:val="18"/>
              </w:rPr>
            </w:pPr>
            <w:r>
              <w:rPr>
                <w:sz w:val="18"/>
              </w:rPr>
              <w:t>20%</w:t>
            </w:r>
          </w:p>
          <w:p>
            <w:pPr>
              <w:pStyle w:val="TableParagraph"/>
              <w:spacing w:before="33"/>
              <w:ind w:left="281"/>
              <w:rPr>
                <w:sz w:val="18"/>
              </w:rPr>
            </w:pPr>
            <w:r>
              <w:rPr>
                <w:sz w:val="18"/>
              </w:rPr>
              <w:t>80%</w:t>
            </w:r>
          </w:p>
        </w:tc>
        <w:tc>
          <w:tcPr>
            <w:tcW w:w="719" w:type="dxa"/>
            <w:shd w:val="clear" w:color="auto" w:fill="C5D9F0"/>
          </w:tcPr>
          <w:p>
            <w:pPr/>
          </w:p>
        </w:tc>
        <w:tc>
          <w:tcPr>
            <w:tcW w:w="276" w:type="dxa"/>
            <w:shd w:val="clear" w:color="auto" w:fill="C5D9F0"/>
          </w:tcPr>
          <w:p>
            <w:pPr>
              <w:pStyle w:val="TableParagraph"/>
              <w:spacing w:line="201" w:lineRule="exact"/>
              <w:ind w:left="11"/>
              <w:rPr>
                <w:sz w:val="18"/>
              </w:rPr>
            </w:pPr>
            <w:r>
              <w:rPr>
                <w:sz w:val="18"/>
              </w:rPr>
              <w:t>42</w:t>
            </w:r>
          </w:p>
          <w:p>
            <w:pPr>
              <w:pStyle w:val="TableParagraph"/>
              <w:spacing w:before="33"/>
              <w:ind w:left="64"/>
              <w:rPr>
                <w:sz w:val="18"/>
              </w:rPr>
            </w:pPr>
            <w:r>
              <w:rPr>
                <w:w w:val="101"/>
                <w:sz w:val="18"/>
              </w:rPr>
              <w:t>8</w:t>
            </w:r>
          </w:p>
        </w:tc>
        <w:tc>
          <w:tcPr>
            <w:tcW w:w="639" w:type="dxa"/>
            <w:shd w:val="clear" w:color="auto" w:fill="C5D9F0"/>
          </w:tcPr>
          <w:p>
            <w:pPr/>
          </w:p>
        </w:tc>
        <w:tc>
          <w:tcPr>
            <w:tcW w:w="1008" w:type="dxa"/>
            <w:tcBorders>
              <w:right w:val="single" w:sz="8" w:space="0" w:color="4F81BC"/>
            </w:tcBorders>
            <w:shd w:val="clear" w:color="auto" w:fill="C5D9F0"/>
          </w:tcPr>
          <w:p>
            <w:pPr>
              <w:pStyle w:val="TableParagraph"/>
              <w:spacing w:line="201" w:lineRule="exact"/>
              <w:ind w:left="326"/>
              <w:rPr>
                <w:sz w:val="18"/>
              </w:rPr>
            </w:pPr>
            <w:r>
              <w:rPr>
                <w:sz w:val="18"/>
              </w:rPr>
              <w:t>84%</w:t>
            </w:r>
          </w:p>
          <w:p>
            <w:pPr>
              <w:pStyle w:val="TableParagraph"/>
              <w:spacing w:before="33"/>
              <w:ind w:left="326"/>
              <w:rPr>
                <w:sz w:val="18"/>
              </w:rPr>
            </w:pPr>
            <w:r>
              <w:rPr>
                <w:sz w:val="18"/>
              </w:rPr>
              <w:t>16%</w:t>
            </w:r>
          </w:p>
        </w:tc>
      </w:tr>
      <w:tr>
        <w:trPr>
          <w:trHeight w:val="1191" w:hRule="exact"/>
        </w:trPr>
        <w:tc>
          <w:tcPr>
            <w:tcW w:w="1998" w:type="dxa"/>
            <w:tcBorders>
              <w:left w:val="single" w:sz="8" w:space="0" w:color="4F81BC"/>
            </w:tcBorders>
          </w:tcPr>
          <w:p>
            <w:pPr>
              <w:pStyle w:val="TableParagraph"/>
              <w:rPr>
                <w:b/>
                <w:sz w:val="18"/>
              </w:rPr>
            </w:pPr>
          </w:p>
          <w:p>
            <w:pPr>
              <w:pStyle w:val="TableParagraph"/>
              <w:spacing w:line="273" w:lineRule="auto" w:before="147"/>
              <w:ind w:left="139" w:right="128" w:firstLine="57"/>
              <w:rPr>
                <w:b/>
                <w:sz w:val="18"/>
              </w:rPr>
            </w:pPr>
            <w:r>
              <w:rPr>
                <w:b/>
                <w:sz w:val="18"/>
              </w:rPr>
              <w:t>Type of secondary methods of hygiene</w:t>
            </w:r>
          </w:p>
        </w:tc>
        <w:tc>
          <w:tcPr>
            <w:tcW w:w="1960" w:type="dxa"/>
          </w:tcPr>
          <w:p>
            <w:pPr>
              <w:pStyle w:val="TableParagraph"/>
              <w:spacing w:line="276" w:lineRule="auto"/>
              <w:ind w:left="340" w:right="192" w:firstLine="1"/>
              <w:jc w:val="center"/>
              <w:rPr>
                <w:sz w:val="18"/>
              </w:rPr>
            </w:pPr>
            <w:r>
              <w:rPr>
                <w:sz w:val="18"/>
              </w:rPr>
              <w:t>Mouthwash Toothpicks Dental floss Diagnostic</w:t>
            </w:r>
            <w:r>
              <w:rPr>
                <w:spacing w:val="-4"/>
                <w:sz w:val="18"/>
              </w:rPr>
              <w:t> </w:t>
            </w:r>
            <w:r>
              <w:rPr>
                <w:sz w:val="18"/>
              </w:rPr>
              <w:t>tablets None</w:t>
            </w:r>
          </w:p>
        </w:tc>
        <w:tc>
          <w:tcPr>
            <w:tcW w:w="657" w:type="dxa"/>
          </w:tcPr>
          <w:p>
            <w:pPr/>
          </w:p>
        </w:tc>
        <w:tc>
          <w:tcPr>
            <w:tcW w:w="904" w:type="dxa"/>
          </w:tcPr>
          <w:p>
            <w:pPr>
              <w:pStyle w:val="TableParagraph"/>
              <w:spacing w:line="201" w:lineRule="exact"/>
              <w:ind w:left="143"/>
              <w:rPr>
                <w:sz w:val="18"/>
              </w:rPr>
            </w:pPr>
            <w:r>
              <w:rPr>
                <w:w w:val="101"/>
                <w:sz w:val="18"/>
              </w:rPr>
              <w:t>4</w:t>
            </w:r>
          </w:p>
          <w:p>
            <w:pPr>
              <w:pStyle w:val="TableParagraph"/>
              <w:spacing w:before="33"/>
              <w:ind w:left="143"/>
              <w:rPr>
                <w:sz w:val="18"/>
              </w:rPr>
            </w:pPr>
            <w:r>
              <w:rPr>
                <w:w w:val="101"/>
                <w:sz w:val="18"/>
              </w:rPr>
              <w:t>1</w:t>
            </w:r>
          </w:p>
          <w:p>
            <w:pPr>
              <w:pStyle w:val="TableParagraph"/>
              <w:spacing w:before="33"/>
              <w:ind w:left="143"/>
              <w:rPr>
                <w:sz w:val="18"/>
              </w:rPr>
            </w:pPr>
            <w:r>
              <w:rPr>
                <w:w w:val="101"/>
                <w:sz w:val="18"/>
              </w:rPr>
              <w:t>5</w:t>
            </w:r>
          </w:p>
          <w:p>
            <w:pPr>
              <w:pStyle w:val="TableParagraph"/>
              <w:spacing w:before="28"/>
              <w:ind w:left="143"/>
              <w:rPr>
                <w:sz w:val="18"/>
              </w:rPr>
            </w:pPr>
            <w:r>
              <w:rPr>
                <w:w w:val="101"/>
                <w:sz w:val="18"/>
              </w:rPr>
              <w:t>0</w:t>
            </w:r>
          </w:p>
          <w:p>
            <w:pPr>
              <w:pStyle w:val="TableParagraph"/>
              <w:spacing w:before="33"/>
              <w:ind w:left="91"/>
              <w:rPr>
                <w:sz w:val="18"/>
              </w:rPr>
            </w:pPr>
            <w:r>
              <w:rPr>
                <w:sz w:val="18"/>
              </w:rPr>
              <w:t>40</w:t>
            </w:r>
          </w:p>
        </w:tc>
        <w:tc>
          <w:tcPr>
            <w:tcW w:w="896" w:type="dxa"/>
          </w:tcPr>
          <w:p>
            <w:pPr>
              <w:pStyle w:val="TableParagraph"/>
              <w:spacing w:line="201" w:lineRule="exact"/>
              <w:ind w:left="258" w:right="232"/>
              <w:jc w:val="center"/>
              <w:rPr>
                <w:sz w:val="18"/>
              </w:rPr>
            </w:pPr>
            <w:r>
              <w:rPr>
                <w:sz w:val="18"/>
              </w:rPr>
              <w:t>8%</w:t>
            </w:r>
          </w:p>
          <w:p>
            <w:pPr>
              <w:pStyle w:val="TableParagraph"/>
              <w:spacing w:before="33"/>
              <w:ind w:left="258" w:right="232"/>
              <w:jc w:val="center"/>
              <w:rPr>
                <w:sz w:val="18"/>
              </w:rPr>
            </w:pPr>
            <w:r>
              <w:rPr>
                <w:sz w:val="18"/>
              </w:rPr>
              <w:t>2%</w:t>
            </w:r>
          </w:p>
          <w:p>
            <w:pPr>
              <w:pStyle w:val="TableParagraph"/>
              <w:spacing w:before="33"/>
              <w:ind w:left="262" w:right="232"/>
              <w:jc w:val="center"/>
              <w:rPr>
                <w:sz w:val="18"/>
              </w:rPr>
            </w:pPr>
            <w:r>
              <w:rPr>
                <w:sz w:val="18"/>
              </w:rPr>
              <w:t>10%</w:t>
            </w:r>
          </w:p>
          <w:p>
            <w:pPr>
              <w:pStyle w:val="TableParagraph"/>
              <w:spacing w:before="28"/>
              <w:ind w:left="258" w:right="232"/>
              <w:jc w:val="center"/>
              <w:rPr>
                <w:sz w:val="18"/>
              </w:rPr>
            </w:pPr>
            <w:r>
              <w:rPr>
                <w:sz w:val="18"/>
              </w:rPr>
              <w:t>0%</w:t>
            </w:r>
          </w:p>
          <w:p>
            <w:pPr>
              <w:pStyle w:val="TableParagraph"/>
              <w:spacing w:before="33"/>
              <w:ind w:left="262" w:right="232"/>
              <w:jc w:val="center"/>
              <w:rPr>
                <w:sz w:val="18"/>
              </w:rPr>
            </w:pPr>
            <w:r>
              <w:rPr>
                <w:sz w:val="18"/>
              </w:rPr>
              <w:t>80%</w:t>
            </w:r>
          </w:p>
        </w:tc>
        <w:tc>
          <w:tcPr>
            <w:tcW w:w="719" w:type="dxa"/>
          </w:tcPr>
          <w:p>
            <w:pPr/>
          </w:p>
        </w:tc>
        <w:tc>
          <w:tcPr>
            <w:tcW w:w="276" w:type="dxa"/>
          </w:tcPr>
          <w:p>
            <w:pPr>
              <w:pStyle w:val="TableParagraph"/>
              <w:spacing w:line="201" w:lineRule="exact"/>
              <w:ind w:left="11"/>
              <w:rPr>
                <w:sz w:val="18"/>
              </w:rPr>
            </w:pPr>
            <w:r>
              <w:rPr>
                <w:sz w:val="18"/>
              </w:rPr>
              <w:t>29</w:t>
            </w:r>
          </w:p>
          <w:p>
            <w:pPr>
              <w:pStyle w:val="TableParagraph"/>
              <w:spacing w:before="33"/>
              <w:ind w:left="64"/>
              <w:rPr>
                <w:sz w:val="18"/>
              </w:rPr>
            </w:pPr>
            <w:r>
              <w:rPr>
                <w:w w:val="101"/>
                <w:sz w:val="18"/>
              </w:rPr>
              <w:t>2</w:t>
            </w:r>
          </w:p>
          <w:p>
            <w:pPr>
              <w:pStyle w:val="TableParagraph"/>
              <w:spacing w:before="33"/>
              <w:ind w:left="11"/>
              <w:rPr>
                <w:sz w:val="18"/>
              </w:rPr>
            </w:pPr>
            <w:r>
              <w:rPr>
                <w:sz w:val="18"/>
              </w:rPr>
              <w:t>11</w:t>
            </w:r>
          </w:p>
          <w:p>
            <w:pPr>
              <w:pStyle w:val="TableParagraph"/>
              <w:spacing w:before="28"/>
              <w:ind w:left="64"/>
              <w:rPr>
                <w:sz w:val="18"/>
              </w:rPr>
            </w:pPr>
            <w:r>
              <w:rPr>
                <w:w w:val="101"/>
                <w:sz w:val="18"/>
              </w:rPr>
              <w:t>0</w:t>
            </w:r>
          </w:p>
          <w:p>
            <w:pPr>
              <w:pStyle w:val="TableParagraph"/>
              <w:spacing w:before="33"/>
              <w:ind w:left="64"/>
              <w:rPr>
                <w:sz w:val="18"/>
              </w:rPr>
            </w:pPr>
            <w:r>
              <w:rPr>
                <w:w w:val="101"/>
                <w:sz w:val="18"/>
              </w:rPr>
              <w:t>8</w:t>
            </w:r>
          </w:p>
        </w:tc>
        <w:tc>
          <w:tcPr>
            <w:tcW w:w="639" w:type="dxa"/>
          </w:tcPr>
          <w:p>
            <w:pPr/>
          </w:p>
        </w:tc>
        <w:tc>
          <w:tcPr>
            <w:tcW w:w="1008" w:type="dxa"/>
            <w:tcBorders>
              <w:right w:val="single" w:sz="8" w:space="0" w:color="4F81BC"/>
            </w:tcBorders>
          </w:tcPr>
          <w:p>
            <w:pPr>
              <w:pStyle w:val="TableParagraph"/>
              <w:spacing w:line="201" w:lineRule="exact"/>
              <w:ind w:left="154" w:right="137"/>
              <w:jc w:val="center"/>
              <w:rPr>
                <w:sz w:val="18"/>
              </w:rPr>
            </w:pPr>
            <w:r>
              <w:rPr>
                <w:sz w:val="18"/>
              </w:rPr>
              <w:t>58%</w:t>
            </w:r>
          </w:p>
          <w:p>
            <w:pPr>
              <w:pStyle w:val="TableParagraph"/>
              <w:spacing w:before="33"/>
              <w:ind w:left="154" w:right="142"/>
              <w:jc w:val="center"/>
              <w:rPr>
                <w:sz w:val="18"/>
              </w:rPr>
            </w:pPr>
            <w:r>
              <w:rPr>
                <w:sz w:val="18"/>
              </w:rPr>
              <w:t>4%</w:t>
            </w:r>
          </w:p>
          <w:p>
            <w:pPr>
              <w:pStyle w:val="TableParagraph"/>
              <w:spacing w:before="33"/>
              <w:ind w:left="154" w:right="137"/>
              <w:jc w:val="center"/>
              <w:rPr>
                <w:sz w:val="18"/>
              </w:rPr>
            </w:pPr>
            <w:r>
              <w:rPr>
                <w:sz w:val="18"/>
              </w:rPr>
              <w:t>22%</w:t>
            </w:r>
          </w:p>
          <w:p>
            <w:pPr>
              <w:pStyle w:val="TableParagraph"/>
              <w:spacing w:before="28"/>
              <w:ind w:left="154" w:right="142"/>
              <w:jc w:val="center"/>
              <w:rPr>
                <w:sz w:val="18"/>
              </w:rPr>
            </w:pPr>
            <w:r>
              <w:rPr>
                <w:sz w:val="18"/>
              </w:rPr>
              <w:t>0%</w:t>
            </w:r>
          </w:p>
          <w:p>
            <w:pPr>
              <w:pStyle w:val="TableParagraph"/>
              <w:spacing w:before="33"/>
              <w:ind w:left="154" w:right="137"/>
              <w:jc w:val="center"/>
              <w:rPr>
                <w:sz w:val="18"/>
              </w:rPr>
            </w:pPr>
            <w:r>
              <w:rPr>
                <w:sz w:val="18"/>
              </w:rPr>
              <w:t>16%</w:t>
            </w:r>
          </w:p>
        </w:tc>
      </w:tr>
      <w:tr>
        <w:trPr>
          <w:trHeight w:val="482" w:hRule="exact"/>
        </w:trPr>
        <w:tc>
          <w:tcPr>
            <w:tcW w:w="1998" w:type="dxa"/>
            <w:vMerge w:val="restart"/>
            <w:tcBorders>
              <w:left w:val="single" w:sz="8" w:space="0" w:color="4F81BC"/>
            </w:tcBorders>
            <w:shd w:val="clear" w:color="auto" w:fill="C5D9F0"/>
          </w:tcPr>
          <w:p>
            <w:pPr>
              <w:pStyle w:val="TableParagraph"/>
              <w:spacing w:before="3"/>
              <w:rPr>
                <w:b/>
                <w:sz w:val="23"/>
              </w:rPr>
            </w:pPr>
          </w:p>
          <w:p>
            <w:pPr>
              <w:pStyle w:val="TableParagraph"/>
              <w:spacing w:line="278" w:lineRule="auto"/>
              <w:ind w:left="514" w:right="504" w:firstLine="33"/>
              <w:rPr>
                <w:b/>
                <w:sz w:val="18"/>
              </w:rPr>
            </w:pPr>
            <w:r>
              <w:rPr>
                <w:b/>
                <w:sz w:val="18"/>
              </w:rPr>
              <w:t>Change of toothbrush</w:t>
            </w:r>
          </w:p>
        </w:tc>
        <w:tc>
          <w:tcPr>
            <w:tcW w:w="1960" w:type="dxa"/>
            <w:tcBorders>
              <w:bottom w:val="single" w:sz="6" w:space="0" w:color="FFFFFF"/>
            </w:tcBorders>
            <w:shd w:val="clear" w:color="auto" w:fill="C5D9F0"/>
          </w:tcPr>
          <w:p>
            <w:pPr>
              <w:pStyle w:val="TableParagraph"/>
              <w:spacing w:line="278" w:lineRule="auto"/>
              <w:ind w:left="427" w:right="262" w:firstLine="120"/>
              <w:rPr>
                <w:sz w:val="18"/>
              </w:rPr>
            </w:pPr>
            <w:r>
              <w:rPr>
                <w:sz w:val="18"/>
              </w:rPr>
              <w:t>Every month Every 2 months</w:t>
            </w:r>
          </w:p>
        </w:tc>
        <w:tc>
          <w:tcPr>
            <w:tcW w:w="657" w:type="dxa"/>
            <w:tcBorders>
              <w:bottom w:val="single" w:sz="6" w:space="0" w:color="FFFFFF"/>
            </w:tcBorders>
            <w:shd w:val="clear" w:color="auto" w:fill="C5D9F0"/>
          </w:tcPr>
          <w:p>
            <w:pPr/>
          </w:p>
        </w:tc>
        <w:tc>
          <w:tcPr>
            <w:tcW w:w="904" w:type="dxa"/>
            <w:tcBorders>
              <w:bottom w:val="single" w:sz="6" w:space="0" w:color="FFFFFF"/>
            </w:tcBorders>
            <w:shd w:val="clear" w:color="auto" w:fill="C5D9F0"/>
          </w:tcPr>
          <w:p>
            <w:pPr>
              <w:pStyle w:val="TableParagraph"/>
              <w:spacing w:line="201" w:lineRule="exact"/>
              <w:ind w:left="143"/>
              <w:rPr>
                <w:sz w:val="18"/>
              </w:rPr>
            </w:pPr>
            <w:r>
              <w:rPr>
                <w:w w:val="101"/>
                <w:sz w:val="18"/>
              </w:rPr>
              <w:t>9</w:t>
            </w:r>
          </w:p>
          <w:p>
            <w:pPr>
              <w:pStyle w:val="TableParagraph"/>
              <w:spacing w:before="33"/>
              <w:ind w:left="91"/>
              <w:rPr>
                <w:sz w:val="18"/>
              </w:rPr>
            </w:pPr>
            <w:r>
              <w:rPr>
                <w:sz w:val="18"/>
              </w:rPr>
              <w:t>10</w:t>
            </w:r>
          </w:p>
        </w:tc>
        <w:tc>
          <w:tcPr>
            <w:tcW w:w="896" w:type="dxa"/>
            <w:tcBorders>
              <w:bottom w:val="single" w:sz="6" w:space="0" w:color="FFFFFF"/>
            </w:tcBorders>
            <w:shd w:val="clear" w:color="auto" w:fill="C5D9F0"/>
          </w:tcPr>
          <w:p>
            <w:pPr>
              <w:pStyle w:val="TableParagraph"/>
              <w:spacing w:line="201" w:lineRule="exact"/>
              <w:ind w:left="281"/>
              <w:rPr>
                <w:sz w:val="18"/>
              </w:rPr>
            </w:pPr>
            <w:r>
              <w:rPr>
                <w:sz w:val="18"/>
              </w:rPr>
              <w:t>18%</w:t>
            </w:r>
          </w:p>
          <w:p>
            <w:pPr>
              <w:pStyle w:val="TableParagraph"/>
              <w:spacing w:before="33"/>
              <w:ind w:left="281"/>
              <w:rPr>
                <w:sz w:val="18"/>
              </w:rPr>
            </w:pPr>
            <w:r>
              <w:rPr>
                <w:sz w:val="18"/>
              </w:rPr>
              <w:t>20%</w:t>
            </w:r>
          </w:p>
        </w:tc>
        <w:tc>
          <w:tcPr>
            <w:tcW w:w="719" w:type="dxa"/>
            <w:tcBorders>
              <w:bottom w:val="single" w:sz="6" w:space="0" w:color="FFFFFF"/>
            </w:tcBorders>
            <w:shd w:val="clear" w:color="auto" w:fill="C5D9F0"/>
          </w:tcPr>
          <w:p>
            <w:pPr/>
          </w:p>
        </w:tc>
        <w:tc>
          <w:tcPr>
            <w:tcW w:w="276" w:type="dxa"/>
            <w:tcBorders>
              <w:bottom w:val="single" w:sz="6" w:space="0" w:color="FFFFFF"/>
            </w:tcBorders>
            <w:shd w:val="clear" w:color="auto" w:fill="C5D9F0"/>
          </w:tcPr>
          <w:p>
            <w:pPr>
              <w:pStyle w:val="TableParagraph"/>
              <w:spacing w:line="201" w:lineRule="exact"/>
              <w:ind w:left="64"/>
              <w:rPr>
                <w:sz w:val="18"/>
              </w:rPr>
            </w:pPr>
            <w:r>
              <w:rPr>
                <w:w w:val="101"/>
                <w:sz w:val="18"/>
              </w:rPr>
              <w:t>7</w:t>
            </w:r>
          </w:p>
          <w:p>
            <w:pPr>
              <w:pStyle w:val="TableParagraph"/>
              <w:spacing w:before="33"/>
              <w:ind w:left="11"/>
              <w:rPr>
                <w:sz w:val="18"/>
              </w:rPr>
            </w:pPr>
            <w:r>
              <w:rPr>
                <w:sz w:val="18"/>
              </w:rPr>
              <w:t>13</w:t>
            </w:r>
          </w:p>
        </w:tc>
        <w:tc>
          <w:tcPr>
            <w:tcW w:w="639" w:type="dxa"/>
            <w:tcBorders>
              <w:bottom w:val="single" w:sz="6" w:space="0" w:color="FFFFFF"/>
            </w:tcBorders>
            <w:shd w:val="clear" w:color="auto" w:fill="C5D9F0"/>
          </w:tcPr>
          <w:p>
            <w:pPr/>
          </w:p>
        </w:tc>
        <w:tc>
          <w:tcPr>
            <w:tcW w:w="1008" w:type="dxa"/>
            <w:tcBorders>
              <w:bottom w:val="single" w:sz="6" w:space="0" w:color="FFFFFF"/>
              <w:right w:val="single" w:sz="8" w:space="0" w:color="4F81BC"/>
            </w:tcBorders>
            <w:shd w:val="clear" w:color="auto" w:fill="C5D9F0"/>
          </w:tcPr>
          <w:p>
            <w:pPr>
              <w:pStyle w:val="TableParagraph"/>
              <w:spacing w:line="201" w:lineRule="exact"/>
              <w:ind w:left="326"/>
              <w:rPr>
                <w:sz w:val="18"/>
              </w:rPr>
            </w:pPr>
            <w:r>
              <w:rPr>
                <w:sz w:val="18"/>
              </w:rPr>
              <w:t>14%</w:t>
            </w:r>
          </w:p>
          <w:p>
            <w:pPr>
              <w:pStyle w:val="TableParagraph"/>
              <w:spacing w:before="33"/>
              <w:ind w:left="326"/>
              <w:rPr>
                <w:sz w:val="18"/>
              </w:rPr>
            </w:pPr>
            <w:r>
              <w:rPr>
                <w:sz w:val="18"/>
              </w:rPr>
              <w:t>26%</w:t>
            </w:r>
          </w:p>
        </w:tc>
      </w:tr>
      <w:tr>
        <w:trPr>
          <w:trHeight w:val="262" w:hRule="exact"/>
        </w:trPr>
        <w:tc>
          <w:tcPr>
            <w:tcW w:w="1998" w:type="dxa"/>
            <w:vMerge/>
            <w:tcBorders>
              <w:left w:val="single" w:sz="8" w:space="0" w:color="4F81BC"/>
            </w:tcBorders>
            <w:shd w:val="clear" w:color="auto" w:fill="C5D9F0"/>
          </w:tcPr>
          <w:p>
            <w:pPr/>
          </w:p>
        </w:tc>
        <w:tc>
          <w:tcPr>
            <w:tcW w:w="1960" w:type="dxa"/>
            <w:tcBorders>
              <w:top w:val="single" w:sz="6" w:space="0" w:color="FFFFFF"/>
              <w:bottom w:val="single" w:sz="12" w:space="0" w:color="FFFFFF"/>
            </w:tcBorders>
            <w:shd w:val="clear" w:color="auto" w:fill="C5D9F0"/>
          </w:tcPr>
          <w:p>
            <w:pPr>
              <w:pStyle w:val="TableParagraph"/>
              <w:spacing w:line="201" w:lineRule="exact"/>
              <w:ind w:left="427"/>
              <w:rPr>
                <w:sz w:val="18"/>
              </w:rPr>
            </w:pPr>
            <w:r>
              <w:rPr>
                <w:sz w:val="18"/>
              </w:rPr>
              <w:t>Every 3 months</w:t>
            </w:r>
          </w:p>
        </w:tc>
        <w:tc>
          <w:tcPr>
            <w:tcW w:w="657" w:type="dxa"/>
            <w:tcBorders>
              <w:top w:val="single" w:sz="6" w:space="0" w:color="FFFFFF"/>
              <w:bottom w:val="single" w:sz="12" w:space="0" w:color="FFFFFF"/>
            </w:tcBorders>
            <w:shd w:val="clear" w:color="auto" w:fill="C5D9F0"/>
          </w:tcPr>
          <w:p>
            <w:pPr/>
          </w:p>
        </w:tc>
        <w:tc>
          <w:tcPr>
            <w:tcW w:w="904" w:type="dxa"/>
            <w:tcBorders>
              <w:top w:val="single" w:sz="6" w:space="0" w:color="FFFFFF"/>
              <w:bottom w:val="single" w:sz="12" w:space="0" w:color="FFFFFF"/>
            </w:tcBorders>
            <w:shd w:val="clear" w:color="auto" w:fill="C5D9F0"/>
          </w:tcPr>
          <w:p>
            <w:pPr>
              <w:pStyle w:val="TableParagraph"/>
              <w:spacing w:line="201" w:lineRule="exact"/>
              <w:ind w:left="91"/>
              <w:rPr>
                <w:sz w:val="18"/>
              </w:rPr>
            </w:pPr>
            <w:r>
              <w:rPr>
                <w:sz w:val="18"/>
              </w:rPr>
              <w:t>19</w:t>
            </w:r>
          </w:p>
        </w:tc>
        <w:tc>
          <w:tcPr>
            <w:tcW w:w="896" w:type="dxa"/>
            <w:tcBorders>
              <w:top w:val="single" w:sz="6" w:space="0" w:color="FFFFFF"/>
              <w:bottom w:val="single" w:sz="12" w:space="0" w:color="FFFFFF"/>
            </w:tcBorders>
            <w:shd w:val="clear" w:color="auto" w:fill="C5D9F0"/>
          </w:tcPr>
          <w:p>
            <w:pPr>
              <w:pStyle w:val="TableParagraph"/>
              <w:spacing w:line="201" w:lineRule="exact"/>
              <w:ind w:left="262" w:right="232"/>
              <w:jc w:val="center"/>
              <w:rPr>
                <w:sz w:val="18"/>
              </w:rPr>
            </w:pPr>
            <w:r>
              <w:rPr>
                <w:sz w:val="18"/>
              </w:rPr>
              <w:t>38%</w:t>
            </w:r>
          </w:p>
        </w:tc>
        <w:tc>
          <w:tcPr>
            <w:tcW w:w="719" w:type="dxa"/>
            <w:tcBorders>
              <w:top w:val="single" w:sz="6" w:space="0" w:color="FFFFFF"/>
              <w:bottom w:val="single" w:sz="12" w:space="0" w:color="FFFFFF"/>
            </w:tcBorders>
            <w:shd w:val="clear" w:color="auto" w:fill="C5D9F0"/>
          </w:tcPr>
          <w:p>
            <w:pPr/>
          </w:p>
        </w:tc>
        <w:tc>
          <w:tcPr>
            <w:tcW w:w="276" w:type="dxa"/>
            <w:tcBorders>
              <w:top w:val="single" w:sz="6" w:space="0" w:color="FFFFFF"/>
              <w:bottom w:val="single" w:sz="12" w:space="0" w:color="FFFFFF"/>
            </w:tcBorders>
            <w:shd w:val="clear" w:color="auto" w:fill="C5D9F0"/>
          </w:tcPr>
          <w:p>
            <w:pPr>
              <w:pStyle w:val="TableParagraph"/>
              <w:spacing w:line="201" w:lineRule="exact"/>
              <w:ind w:right="60"/>
              <w:jc w:val="right"/>
              <w:rPr>
                <w:sz w:val="18"/>
              </w:rPr>
            </w:pPr>
            <w:r>
              <w:rPr>
                <w:sz w:val="18"/>
              </w:rPr>
              <w:t>23</w:t>
            </w:r>
          </w:p>
        </w:tc>
        <w:tc>
          <w:tcPr>
            <w:tcW w:w="639" w:type="dxa"/>
            <w:tcBorders>
              <w:top w:val="single" w:sz="6" w:space="0" w:color="FFFFFF"/>
              <w:bottom w:val="single" w:sz="12" w:space="0" w:color="FFFFFF"/>
            </w:tcBorders>
            <w:shd w:val="clear" w:color="auto" w:fill="C5D9F0"/>
          </w:tcPr>
          <w:p>
            <w:pPr/>
          </w:p>
        </w:tc>
        <w:tc>
          <w:tcPr>
            <w:tcW w:w="1008" w:type="dxa"/>
            <w:tcBorders>
              <w:top w:val="single" w:sz="6" w:space="0" w:color="FFFFFF"/>
              <w:bottom w:val="single" w:sz="12" w:space="0" w:color="FFFFFF"/>
              <w:right w:val="single" w:sz="8" w:space="0" w:color="4F81BC"/>
            </w:tcBorders>
            <w:shd w:val="clear" w:color="auto" w:fill="C5D9F0"/>
          </w:tcPr>
          <w:p>
            <w:pPr>
              <w:pStyle w:val="TableParagraph"/>
              <w:spacing w:line="201" w:lineRule="exact"/>
              <w:ind w:left="154" w:right="137"/>
              <w:jc w:val="center"/>
              <w:rPr>
                <w:sz w:val="18"/>
              </w:rPr>
            </w:pPr>
            <w:r>
              <w:rPr>
                <w:sz w:val="18"/>
              </w:rPr>
              <w:t>46%</w:t>
            </w:r>
          </w:p>
        </w:tc>
      </w:tr>
      <w:tr>
        <w:trPr>
          <w:trHeight w:val="266" w:hRule="exact"/>
        </w:trPr>
        <w:tc>
          <w:tcPr>
            <w:tcW w:w="1998" w:type="dxa"/>
            <w:vMerge/>
            <w:tcBorders>
              <w:left w:val="single" w:sz="8" w:space="0" w:color="4F81BC"/>
              <w:bottom w:val="single" w:sz="13" w:space="0" w:color="FFFFFF"/>
            </w:tcBorders>
            <w:shd w:val="clear" w:color="auto" w:fill="C5D9F0"/>
          </w:tcPr>
          <w:p>
            <w:pPr/>
          </w:p>
        </w:tc>
        <w:tc>
          <w:tcPr>
            <w:tcW w:w="1960" w:type="dxa"/>
            <w:tcBorders>
              <w:top w:val="single" w:sz="12" w:space="0" w:color="FFFFFF"/>
              <w:bottom w:val="single" w:sz="13" w:space="0" w:color="FFFFFF"/>
            </w:tcBorders>
            <w:shd w:val="clear" w:color="auto" w:fill="C5D9F0"/>
          </w:tcPr>
          <w:p>
            <w:pPr>
              <w:pStyle w:val="TableParagraph"/>
              <w:spacing w:line="201" w:lineRule="exact"/>
              <w:ind w:left="249"/>
              <w:rPr>
                <w:sz w:val="18"/>
              </w:rPr>
            </w:pPr>
            <w:r>
              <w:rPr>
                <w:sz w:val="18"/>
              </w:rPr>
              <w:t>More than 3 months</w:t>
            </w:r>
          </w:p>
        </w:tc>
        <w:tc>
          <w:tcPr>
            <w:tcW w:w="657" w:type="dxa"/>
            <w:tcBorders>
              <w:top w:val="single" w:sz="12" w:space="0" w:color="FFFFFF"/>
              <w:bottom w:val="single" w:sz="13" w:space="0" w:color="FFFFFF"/>
            </w:tcBorders>
            <w:shd w:val="clear" w:color="auto" w:fill="C5D9F0"/>
          </w:tcPr>
          <w:p>
            <w:pPr/>
          </w:p>
        </w:tc>
        <w:tc>
          <w:tcPr>
            <w:tcW w:w="904" w:type="dxa"/>
            <w:tcBorders>
              <w:top w:val="single" w:sz="12" w:space="0" w:color="FFFFFF"/>
              <w:bottom w:val="single" w:sz="13" w:space="0" w:color="FFFFFF"/>
            </w:tcBorders>
            <w:shd w:val="clear" w:color="auto" w:fill="C5D9F0"/>
          </w:tcPr>
          <w:p>
            <w:pPr>
              <w:pStyle w:val="TableParagraph"/>
              <w:spacing w:line="201" w:lineRule="exact"/>
              <w:ind w:left="91"/>
              <w:rPr>
                <w:sz w:val="18"/>
              </w:rPr>
            </w:pPr>
            <w:r>
              <w:rPr>
                <w:sz w:val="18"/>
              </w:rPr>
              <w:t>12</w:t>
            </w:r>
          </w:p>
        </w:tc>
        <w:tc>
          <w:tcPr>
            <w:tcW w:w="896" w:type="dxa"/>
            <w:tcBorders>
              <w:top w:val="single" w:sz="12" w:space="0" w:color="FFFFFF"/>
              <w:bottom w:val="single" w:sz="13" w:space="0" w:color="FFFFFF"/>
            </w:tcBorders>
            <w:shd w:val="clear" w:color="auto" w:fill="C5D9F0"/>
          </w:tcPr>
          <w:p>
            <w:pPr>
              <w:pStyle w:val="TableParagraph"/>
              <w:spacing w:line="201" w:lineRule="exact"/>
              <w:ind w:left="262" w:right="232"/>
              <w:jc w:val="center"/>
              <w:rPr>
                <w:sz w:val="18"/>
              </w:rPr>
            </w:pPr>
            <w:r>
              <w:rPr>
                <w:sz w:val="18"/>
              </w:rPr>
              <w:t>24%</w:t>
            </w:r>
          </w:p>
        </w:tc>
        <w:tc>
          <w:tcPr>
            <w:tcW w:w="719" w:type="dxa"/>
            <w:tcBorders>
              <w:top w:val="single" w:sz="12" w:space="0" w:color="FFFFFF"/>
              <w:bottom w:val="single" w:sz="13" w:space="0" w:color="FFFFFF"/>
            </w:tcBorders>
            <w:shd w:val="clear" w:color="auto" w:fill="C5D9F0"/>
          </w:tcPr>
          <w:p>
            <w:pPr/>
          </w:p>
        </w:tc>
        <w:tc>
          <w:tcPr>
            <w:tcW w:w="276" w:type="dxa"/>
            <w:tcBorders>
              <w:top w:val="single" w:sz="12" w:space="0" w:color="FFFFFF"/>
              <w:bottom w:val="single" w:sz="13" w:space="0" w:color="FFFFFF"/>
            </w:tcBorders>
            <w:shd w:val="clear" w:color="auto" w:fill="C5D9F0"/>
          </w:tcPr>
          <w:p>
            <w:pPr>
              <w:pStyle w:val="TableParagraph"/>
              <w:spacing w:line="201" w:lineRule="exact"/>
              <w:ind w:right="108"/>
              <w:jc w:val="right"/>
              <w:rPr>
                <w:sz w:val="18"/>
              </w:rPr>
            </w:pPr>
            <w:r>
              <w:rPr>
                <w:w w:val="101"/>
                <w:sz w:val="18"/>
              </w:rPr>
              <w:t>7</w:t>
            </w:r>
          </w:p>
        </w:tc>
        <w:tc>
          <w:tcPr>
            <w:tcW w:w="639" w:type="dxa"/>
            <w:tcBorders>
              <w:top w:val="single" w:sz="12" w:space="0" w:color="FFFFFF"/>
              <w:bottom w:val="single" w:sz="13" w:space="0" w:color="FFFFFF"/>
            </w:tcBorders>
            <w:shd w:val="clear" w:color="auto" w:fill="C5D9F0"/>
          </w:tcPr>
          <w:p>
            <w:pPr/>
          </w:p>
        </w:tc>
        <w:tc>
          <w:tcPr>
            <w:tcW w:w="1008" w:type="dxa"/>
            <w:tcBorders>
              <w:top w:val="single" w:sz="12" w:space="0" w:color="FFFFFF"/>
              <w:bottom w:val="single" w:sz="13" w:space="0" w:color="FFFFFF"/>
              <w:right w:val="single" w:sz="8" w:space="0" w:color="4F81BC"/>
            </w:tcBorders>
            <w:shd w:val="clear" w:color="auto" w:fill="C5D9F0"/>
          </w:tcPr>
          <w:p>
            <w:pPr>
              <w:pStyle w:val="TableParagraph"/>
              <w:spacing w:line="201" w:lineRule="exact"/>
              <w:ind w:left="154" w:right="137"/>
              <w:jc w:val="center"/>
              <w:rPr>
                <w:sz w:val="18"/>
              </w:rPr>
            </w:pPr>
            <w:r>
              <w:rPr>
                <w:sz w:val="18"/>
              </w:rPr>
              <w:t>14%</w:t>
            </w:r>
          </w:p>
        </w:tc>
      </w:tr>
      <w:tr>
        <w:trPr>
          <w:trHeight w:val="975" w:hRule="exact"/>
        </w:trPr>
        <w:tc>
          <w:tcPr>
            <w:tcW w:w="1998" w:type="dxa"/>
            <w:tcBorders>
              <w:top w:val="single" w:sz="13" w:space="0" w:color="FFFFFF"/>
              <w:bottom w:val="single" w:sz="6" w:space="0" w:color="FFFFFF"/>
            </w:tcBorders>
            <w:shd w:val="clear" w:color="auto" w:fill="4F81BC"/>
          </w:tcPr>
          <w:p>
            <w:pPr>
              <w:pStyle w:val="TableParagraph"/>
              <w:spacing w:before="11"/>
              <w:rPr>
                <w:b/>
                <w:sz w:val="19"/>
              </w:rPr>
            </w:pPr>
          </w:p>
          <w:p>
            <w:pPr>
              <w:pStyle w:val="TableParagraph"/>
              <w:ind w:left="144"/>
              <w:rPr>
                <w:rFonts w:ascii="Trebuchet MS"/>
                <w:b/>
                <w:sz w:val="18"/>
              </w:rPr>
            </w:pPr>
            <w:r>
              <w:rPr>
                <w:rFonts w:ascii="Trebuchet MS"/>
                <w:b/>
                <w:color w:val="FFFFFF"/>
                <w:sz w:val="18"/>
              </w:rPr>
              <w:t>Continuous</w:t>
            </w:r>
          </w:p>
          <w:p>
            <w:pPr>
              <w:pStyle w:val="TableParagraph"/>
              <w:tabs>
                <w:tab w:pos="1272" w:val="left" w:leader="none"/>
              </w:tabs>
              <w:spacing w:before="31"/>
              <w:ind w:left="230"/>
              <w:rPr>
                <w:rFonts w:ascii="Trebuchet MS"/>
                <w:b/>
                <w:sz w:val="18"/>
              </w:rPr>
            </w:pPr>
            <w:r>
              <w:rPr>
                <w:rFonts w:ascii="Trebuchet MS"/>
                <w:b/>
                <w:color w:val="FFFFFF"/>
                <w:w w:val="95"/>
                <w:sz w:val="18"/>
              </w:rPr>
              <w:t>variables</w:t>
              <w:tab/>
            </w:r>
            <w:r>
              <w:rPr>
                <w:rFonts w:ascii="Trebuchet MS"/>
                <w:b/>
                <w:color w:val="FFFFFF"/>
                <w:w w:val="90"/>
                <w:position w:val="-11"/>
                <w:sz w:val="18"/>
              </w:rPr>
              <w:t>Minimum</w:t>
            </w:r>
          </w:p>
        </w:tc>
        <w:tc>
          <w:tcPr>
            <w:tcW w:w="1960" w:type="dxa"/>
            <w:tcBorders>
              <w:top w:val="single" w:sz="13" w:space="0" w:color="FFFFFF"/>
              <w:bottom w:val="single" w:sz="6" w:space="0" w:color="FFFFFF"/>
            </w:tcBorders>
            <w:shd w:val="clear" w:color="auto" w:fill="4F81BC"/>
          </w:tcPr>
          <w:p>
            <w:pPr>
              <w:pStyle w:val="TableParagraph"/>
              <w:spacing w:line="271" w:lineRule="auto"/>
              <w:ind w:left="705" w:right="262" w:hanging="370"/>
              <w:rPr>
                <w:rFonts w:ascii="Trebuchet MS"/>
                <w:b/>
                <w:sz w:val="18"/>
              </w:rPr>
            </w:pPr>
            <w:r>
              <w:rPr>
                <w:rFonts w:ascii="Trebuchet MS"/>
                <w:b/>
                <w:color w:val="FFFFFF"/>
                <w:w w:val="80"/>
                <w:sz w:val="18"/>
              </w:rPr>
              <w:t>Mixed dentition </w:t>
            </w:r>
            <w:r>
              <w:rPr>
                <w:rFonts w:ascii="Trebuchet MS"/>
                <w:b/>
                <w:color w:val="FFFFFF"/>
                <w:w w:val="95"/>
                <w:sz w:val="18"/>
              </w:rPr>
              <w:t>n=50</w:t>
            </w:r>
          </w:p>
          <w:p>
            <w:pPr>
              <w:pStyle w:val="TableParagraph"/>
              <w:tabs>
                <w:tab w:pos="1219" w:val="left" w:leader="none"/>
              </w:tabs>
              <w:spacing w:before="119"/>
              <w:ind w:left="254"/>
              <w:rPr>
                <w:rFonts w:ascii="Trebuchet MS"/>
                <w:b/>
                <w:sz w:val="18"/>
              </w:rPr>
            </w:pPr>
            <w:r>
              <w:rPr>
                <w:rFonts w:ascii="Trebuchet MS"/>
                <w:b/>
                <w:color w:val="FFFFFF"/>
                <w:w w:val="90"/>
                <w:sz w:val="18"/>
              </w:rPr>
              <w:t>Maximum</w:t>
              <w:tab/>
            </w:r>
            <w:r>
              <w:rPr>
                <w:rFonts w:ascii="Trebuchet MS"/>
                <w:b/>
                <w:color w:val="FFFFFF"/>
                <w:w w:val="95"/>
                <w:sz w:val="18"/>
              </w:rPr>
              <w:t>Average</w:t>
            </w:r>
          </w:p>
        </w:tc>
        <w:tc>
          <w:tcPr>
            <w:tcW w:w="657" w:type="dxa"/>
            <w:tcBorders>
              <w:top w:val="single" w:sz="13" w:space="0" w:color="FFFFFF"/>
              <w:bottom w:val="single" w:sz="6" w:space="0" w:color="FFFFFF"/>
            </w:tcBorders>
            <w:shd w:val="clear" w:color="auto" w:fill="4F81BC"/>
          </w:tcPr>
          <w:p>
            <w:pPr>
              <w:pStyle w:val="TableParagraph"/>
              <w:rPr>
                <w:b/>
                <w:sz w:val="18"/>
              </w:rPr>
            </w:pPr>
          </w:p>
          <w:p>
            <w:pPr>
              <w:pStyle w:val="TableParagraph"/>
              <w:rPr>
                <w:b/>
                <w:sz w:val="18"/>
              </w:rPr>
            </w:pPr>
          </w:p>
          <w:p>
            <w:pPr>
              <w:pStyle w:val="TableParagraph"/>
              <w:spacing w:before="10"/>
              <w:rPr>
                <w:b/>
                <w:sz w:val="14"/>
              </w:rPr>
            </w:pPr>
          </w:p>
          <w:p>
            <w:pPr>
              <w:pStyle w:val="TableParagraph"/>
              <w:ind w:left="90" w:right="74"/>
              <w:jc w:val="center"/>
              <w:rPr>
                <w:rFonts w:ascii="Trebuchet MS"/>
                <w:b/>
                <w:sz w:val="18"/>
              </w:rPr>
            </w:pPr>
            <w:r>
              <w:rPr>
                <w:rFonts w:ascii="Trebuchet MS"/>
                <w:b/>
                <w:color w:val="FFFFFF"/>
                <w:w w:val="90"/>
                <w:sz w:val="18"/>
              </w:rPr>
              <w:t>S.D.</w:t>
            </w:r>
          </w:p>
        </w:tc>
        <w:tc>
          <w:tcPr>
            <w:tcW w:w="904" w:type="dxa"/>
            <w:tcBorders>
              <w:top w:val="single" w:sz="13" w:space="0" w:color="FFFFFF"/>
              <w:bottom w:val="single" w:sz="6" w:space="0" w:color="FFFFFF"/>
            </w:tcBorders>
            <w:shd w:val="clear" w:color="auto" w:fill="4F81BC"/>
          </w:tcPr>
          <w:p>
            <w:pPr>
              <w:pStyle w:val="TableParagraph"/>
              <w:rPr>
                <w:b/>
                <w:sz w:val="18"/>
              </w:rPr>
            </w:pPr>
          </w:p>
          <w:p>
            <w:pPr>
              <w:pStyle w:val="TableParagraph"/>
              <w:rPr>
                <w:b/>
                <w:sz w:val="18"/>
              </w:rPr>
            </w:pPr>
          </w:p>
          <w:p>
            <w:pPr>
              <w:pStyle w:val="TableParagraph"/>
              <w:spacing w:before="10"/>
              <w:rPr>
                <w:b/>
                <w:sz w:val="14"/>
              </w:rPr>
            </w:pPr>
          </w:p>
          <w:p>
            <w:pPr>
              <w:pStyle w:val="TableParagraph"/>
              <w:ind w:left="139"/>
              <w:rPr>
                <w:rFonts w:ascii="Trebuchet MS"/>
                <w:b/>
                <w:sz w:val="18"/>
              </w:rPr>
            </w:pPr>
            <w:r>
              <w:rPr>
                <w:rFonts w:ascii="Trebuchet MS"/>
                <w:b/>
                <w:color w:val="FFFFFF"/>
                <w:w w:val="95"/>
                <w:sz w:val="18"/>
              </w:rPr>
              <w:t>Minimum</w:t>
            </w:r>
          </w:p>
        </w:tc>
        <w:tc>
          <w:tcPr>
            <w:tcW w:w="1891" w:type="dxa"/>
            <w:gridSpan w:val="3"/>
            <w:tcBorders>
              <w:top w:val="single" w:sz="13" w:space="0" w:color="FFFFFF"/>
              <w:bottom w:val="single" w:sz="6" w:space="0" w:color="FFFFFF"/>
            </w:tcBorders>
            <w:shd w:val="clear" w:color="auto" w:fill="4F81BC"/>
          </w:tcPr>
          <w:p>
            <w:pPr>
              <w:pStyle w:val="TableParagraph"/>
              <w:spacing w:line="271" w:lineRule="auto"/>
              <w:ind w:left="656" w:right="16" w:hanging="543"/>
              <w:rPr>
                <w:rFonts w:ascii="Trebuchet MS"/>
                <w:b/>
                <w:sz w:val="18"/>
              </w:rPr>
            </w:pPr>
            <w:r>
              <w:rPr>
                <w:rFonts w:ascii="Trebuchet MS"/>
                <w:b/>
                <w:color w:val="FFFFFF"/>
                <w:w w:val="80"/>
                <w:sz w:val="18"/>
              </w:rPr>
              <w:t>Permanent dentition </w:t>
            </w:r>
            <w:r>
              <w:rPr>
                <w:rFonts w:ascii="Trebuchet MS"/>
                <w:b/>
                <w:color w:val="FFFFFF"/>
                <w:w w:val="90"/>
                <w:sz w:val="18"/>
              </w:rPr>
              <w:t>n=50</w:t>
            </w:r>
          </w:p>
          <w:p>
            <w:pPr>
              <w:pStyle w:val="TableParagraph"/>
              <w:tabs>
                <w:tab w:pos="1083" w:val="left" w:leader="none"/>
              </w:tabs>
              <w:spacing w:before="119"/>
              <w:ind w:left="118" w:right="16"/>
              <w:rPr>
                <w:rFonts w:ascii="Trebuchet MS"/>
                <w:b/>
                <w:sz w:val="18"/>
              </w:rPr>
            </w:pPr>
            <w:r>
              <w:rPr>
                <w:rFonts w:ascii="Trebuchet MS"/>
                <w:b/>
                <w:color w:val="FFFFFF"/>
                <w:w w:val="90"/>
                <w:sz w:val="18"/>
              </w:rPr>
              <w:t>Maximum</w:t>
              <w:tab/>
            </w:r>
            <w:r>
              <w:rPr>
                <w:rFonts w:ascii="Trebuchet MS"/>
                <w:b/>
                <w:color w:val="FFFFFF"/>
                <w:w w:val="95"/>
                <w:sz w:val="18"/>
              </w:rPr>
              <w:t>Average</w:t>
            </w:r>
          </w:p>
        </w:tc>
        <w:tc>
          <w:tcPr>
            <w:tcW w:w="639" w:type="dxa"/>
            <w:tcBorders>
              <w:top w:val="single" w:sz="13" w:space="0" w:color="FFFFFF"/>
              <w:bottom w:val="single" w:sz="6" w:space="0" w:color="FFFFFF"/>
            </w:tcBorders>
            <w:shd w:val="clear" w:color="auto" w:fill="4F81BC"/>
          </w:tcPr>
          <w:p>
            <w:pPr>
              <w:pStyle w:val="TableParagraph"/>
              <w:rPr>
                <w:b/>
                <w:sz w:val="18"/>
              </w:rPr>
            </w:pPr>
          </w:p>
          <w:p>
            <w:pPr>
              <w:pStyle w:val="TableParagraph"/>
              <w:rPr>
                <w:b/>
                <w:sz w:val="18"/>
              </w:rPr>
            </w:pPr>
          </w:p>
          <w:p>
            <w:pPr>
              <w:pStyle w:val="TableParagraph"/>
              <w:spacing w:before="10"/>
              <w:rPr>
                <w:b/>
                <w:sz w:val="14"/>
              </w:rPr>
            </w:pPr>
          </w:p>
          <w:p>
            <w:pPr>
              <w:pStyle w:val="TableParagraph"/>
              <w:ind w:left="43" w:right="101"/>
              <w:jc w:val="center"/>
              <w:rPr>
                <w:rFonts w:ascii="Trebuchet MS"/>
                <w:b/>
                <w:sz w:val="18"/>
              </w:rPr>
            </w:pPr>
            <w:r>
              <w:rPr>
                <w:rFonts w:ascii="Trebuchet MS"/>
                <w:b/>
                <w:color w:val="FFFFFF"/>
                <w:w w:val="90"/>
                <w:sz w:val="18"/>
              </w:rPr>
              <w:t>S.D.</w:t>
            </w:r>
          </w:p>
        </w:tc>
        <w:tc>
          <w:tcPr>
            <w:tcW w:w="1008" w:type="dxa"/>
            <w:tcBorders>
              <w:top w:val="single" w:sz="13" w:space="0" w:color="FFFFFF"/>
              <w:bottom w:val="single" w:sz="6" w:space="0" w:color="FFFFFF"/>
            </w:tcBorders>
            <w:shd w:val="clear" w:color="auto" w:fill="4F81BC"/>
          </w:tcPr>
          <w:p>
            <w:pPr>
              <w:pStyle w:val="TableParagraph"/>
              <w:spacing w:line="175" w:lineRule="exact"/>
              <w:ind w:left="63" w:right="55"/>
              <w:jc w:val="center"/>
              <w:rPr>
                <w:rFonts w:ascii="Trebuchet MS"/>
                <w:b/>
                <w:sz w:val="16"/>
              </w:rPr>
            </w:pPr>
            <w:r>
              <w:rPr>
                <w:rFonts w:ascii="Trebuchet MS"/>
                <w:b/>
                <w:color w:val="FFFFFF"/>
                <w:w w:val="95"/>
                <w:sz w:val="16"/>
              </w:rPr>
              <w:t>Significance</w:t>
            </w:r>
          </w:p>
          <w:p>
            <w:pPr>
              <w:pStyle w:val="TableParagraph"/>
              <w:rPr>
                <w:b/>
                <w:sz w:val="16"/>
              </w:rPr>
            </w:pPr>
          </w:p>
          <w:p>
            <w:pPr>
              <w:pStyle w:val="TableParagraph"/>
              <w:spacing w:before="111"/>
              <w:ind w:left="60" w:right="55"/>
              <w:jc w:val="center"/>
              <w:rPr>
                <w:b/>
                <w:sz w:val="18"/>
              </w:rPr>
            </w:pPr>
            <w:r>
              <w:rPr>
                <w:b/>
                <w:color w:val="FFFFFF"/>
                <w:w w:val="95"/>
                <w:sz w:val="18"/>
              </w:rPr>
              <w:t>Student’s</w:t>
            </w:r>
          </w:p>
          <w:p>
            <w:pPr>
              <w:pStyle w:val="TableParagraph"/>
              <w:spacing w:before="28"/>
              <w:ind w:left="56" w:right="55"/>
              <w:jc w:val="center"/>
              <w:rPr>
                <w:rFonts w:ascii="Trebuchet MS"/>
                <w:b/>
                <w:sz w:val="18"/>
              </w:rPr>
            </w:pPr>
            <w:r>
              <w:rPr>
                <w:rFonts w:ascii="LilyUPC"/>
                <w:b/>
                <w:i/>
                <w:color w:val="FFFFFF"/>
                <w:w w:val="95"/>
                <w:sz w:val="18"/>
              </w:rPr>
              <w:t>t</w:t>
            </w:r>
            <w:r>
              <w:rPr>
                <w:rFonts w:ascii="Trebuchet MS"/>
                <w:b/>
                <w:color w:val="FFFFFF"/>
                <w:w w:val="95"/>
                <w:sz w:val="18"/>
              </w:rPr>
              <w:t>-test</w:t>
            </w:r>
          </w:p>
        </w:tc>
      </w:tr>
      <w:tr>
        <w:trPr>
          <w:trHeight w:val="262" w:hRule="exact"/>
        </w:trPr>
        <w:tc>
          <w:tcPr>
            <w:tcW w:w="1998" w:type="dxa"/>
            <w:tcBorders>
              <w:top w:val="single" w:sz="6" w:space="0" w:color="FFFFFF"/>
              <w:left w:val="single" w:sz="8" w:space="0" w:color="4F81BC"/>
            </w:tcBorders>
            <w:shd w:val="clear" w:color="auto" w:fill="C5D9F0"/>
          </w:tcPr>
          <w:p>
            <w:pPr>
              <w:pStyle w:val="TableParagraph"/>
              <w:tabs>
                <w:tab w:pos="1637" w:val="right" w:leader="none"/>
              </w:tabs>
              <w:spacing w:line="201" w:lineRule="exact"/>
              <w:ind w:left="369"/>
              <w:rPr>
                <w:sz w:val="18"/>
              </w:rPr>
            </w:pPr>
            <w:r>
              <w:rPr>
                <w:b/>
                <w:sz w:val="18"/>
              </w:rPr>
              <w:t>Age</w:t>
            </w:r>
            <w:r>
              <w:rPr>
                <w:sz w:val="18"/>
              </w:rPr>
              <w:tab/>
              <w:t>7</w:t>
            </w:r>
          </w:p>
        </w:tc>
        <w:tc>
          <w:tcPr>
            <w:tcW w:w="1960" w:type="dxa"/>
            <w:tcBorders>
              <w:top w:val="single" w:sz="6" w:space="0" w:color="FFFFFF"/>
            </w:tcBorders>
            <w:shd w:val="clear" w:color="auto" w:fill="C5D9F0"/>
          </w:tcPr>
          <w:p>
            <w:pPr>
              <w:pStyle w:val="TableParagraph"/>
              <w:tabs>
                <w:tab w:pos="1334" w:val="left" w:leader="none"/>
              </w:tabs>
              <w:spacing w:line="201" w:lineRule="exact"/>
              <w:ind w:left="494"/>
              <w:rPr>
                <w:sz w:val="18"/>
              </w:rPr>
            </w:pPr>
            <w:r>
              <w:rPr>
                <w:sz w:val="18"/>
              </w:rPr>
              <w:t>12</w:t>
              <w:tab/>
              <w:t>9.54</w:t>
            </w:r>
          </w:p>
        </w:tc>
        <w:tc>
          <w:tcPr>
            <w:tcW w:w="657" w:type="dxa"/>
            <w:tcBorders>
              <w:top w:val="single" w:sz="6" w:space="0" w:color="FFFFFF"/>
            </w:tcBorders>
            <w:shd w:val="clear" w:color="auto" w:fill="C5D9F0"/>
          </w:tcPr>
          <w:p>
            <w:pPr>
              <w:pStyle w:val="TableParagraph"/>
              <w:spacing w:line="201" w:lineRule="exact"/>
              <w:ind w:left="91" w:right="74"/>
              <w:jc w:val="center"/>
              <w:rPr>
                <w:sz w:val="18"/>
              </w:rPr>
            </w:pPr>
            <w:r>
              <w:rPr>
                <w:sz w:val="18"/>
              </w:rPr>
              <w:t>1.147</w:t>
            </w:r>
          </w:p>
        </w:tc>
        <w:tc>
          <w:tcPr>
            <w:tcW w:w="904" w:type="dxa"/>
            <w:tcBorders>
              <w:top w:val="single" w:sz="6" w:space="0" w:color="FFFFFF"/>
            </w:tcBorders>
            <w:shd w:val="clear" w:color="auto" w:fill="C5D9F0"/>
          </w:tcPr>
          <w:p>
            <w:pPr>
              <w:pStyle w:val="TableParagraph"/>
              <w:spacing w:line="201" w:lineRule="exact"/>
              <w:ind w:left="317" w:right="290"/>
              <w:jc w:val="center"/>
              <w:rPr>
                <w:sz w:val="18"/>
              </w:rPr>
            </w:pPr>
            <w:r>
              <w:rPr>
                <w:sz w:val="18"/>
              </w:rPr>
              <w:t>18</w:t>
            </w:r>
          </w:p>
        </w:tc>
        <w:tc>
          <w:tcPr>
            <w:tcW w:w="896" w:type="dxa"/>
            <w:tcBorders>
              <w:top w:val="single" w:sz="6" w:space="0" w:color="FFFFFF"/>
            </w:tcBorders>
            <w:shd w:val="clear" w:color="auto" w:fill="C5D9F0"/>
          </w:tcPr>
          <w:p>
            <w:pPr>
              <w:pStyle w:val="TableParagraph"/>
              <w:spacing w:line="201" w:lineRule="exact"/>
              <w:ind w:left="254" w:right="232"/>
              <w:jc w:val="center"/>
              <w:rPr>
                <w:sz w:val="18"/>
              </w:rPr>
            </w:pPr>
            <w:r>
              <w:rPr>
                <w:sz w:val="18"/>
              </w:rPr>
              <w:t>35</w:t>
            </w:r>
          </w:p>
        </w:tc>
        <w:tc>
          <w:tcPr>
            <w:tcW w:w="719" w:type="dxa"/>
            <w:tcBorders>
              <w:top w:val="single" w:sz="6" w:space="0" w:color="FFFFFF"/>
            </w:tcBorders>
            <w:shd w:val="clear" w:color="auto" w:fill="C5D9F0"/>
          </w:tcPr>
          <w:p>
            <w:pPr>
              <w:pStyle w:val="TableParagraph"/>
              <w:spacing w:line="201" w:lineRule="exact"/>
              <w:ind w:right="9"/>
              <w:jc w:val="right"/>
              <w:rPr>
                <w:sz w:val="18"/>
              </w:rPr>
            </w:pPr>
            <w:r>
              <w:rPr>
                <w:sz w:val="18"/>
              </w:rPr>
              <w:t>22.98</w:t>
            </w:r>
          </w:p>
        </w:tc>
        <w:tc>
          <w:tcPr>
            <w:tcW w:w="276" w:type="dxa"/>
            <w:tcBorders>
              <w:top w:val="single" w:sz="6" w:space="0" w:color="FFFFFF"/>
            </w:tcBorders>
            <w:shd w:val="clear" w:color="auto" w:fill="C5D9F0"/>
          </w:tcPr>
          <w:p>
            <w:pPr/>
          </w:p>
        </w:tc>
        <w:tc>
          <w:tcPr>
            <w:tcW w:w="639" w:type="dxa"/>
            <w:tcBorders>
              <w:top w:val="single" w:sz="6" w:space="0" w:color="FFFFFF"/>
            </w:tcBorders>
            <w:shd w:val="clear" w:color="auto" w:fill="C5D9F0"/>
          </w:tcPr>
          <w:p>
            <w:pPr>
              <w:pStyle w:val="TableParagraph"/>
              <w:spacing w:line="201" w:lineRule="exact"/>
              <w:ind w:left="46" w:right="101"/>
              <w:jc w:val="center"/>
              <w:rPr>
                <w:sz w:val="18"/>
              </w:rPr>
            </w:pPr>
            <w:r>
              <w:rPr>
                <w:sz w:val="18"/>
              </w:rPr>
              <w:t>3.617</w:t>
            </w:r>
          </w:p>
        </w:tc>
        <w:tc>
          <w:tcPr>
            <w:tcW w:w="1008" w:type="dxa"/>
            <w:tcBorders>
              <w:top w:val="single" w:sz="6" w:space="0" w:color="FFFFFF"/>
              <w:right w:val="single" w:sz="8" w:space="0" w:color="4F81BC"/>
            </w:tcBorders>
            <w:shd w:val="clear" w:color="auto" w:fill="C5D9F0"/>
          </w:tcPr>
          <w:p>
            <w:pPr>
              <w:pStyle w:val="TableParagraph"/>
              <w:spacing w:line="201" w:lineRule="exact"/>
              <w:ind w:left="154" w:right="142"/>
              <w:jc w:val="center"/>
              <w:rPr>
                <w:sz w:val="18"/>
              </w:rPr>
            </w:pPr>
            <w:r>
              <w:rPr>
                <w:sz w:val="18"/>
              </w:rPr>
              <w:t>0.000***</w:t>
            </w:r>
          </w:p>
        </w:tc>
      </w:tr>
      <w:tr>
        <w:trPr>
          <w:trHeight w:val="711" w:hRule="exact"/>
        </w:trPr>
        <w:tc>
          <w:tcPr>
            <w:tcW w:w="1998" w:type="dxa"/>
            <w:tcBorders>
              <w:left w:val="single" w:sz="8" w:space="0" w:color="4F81BC"/>
            </w:tcBorders>
          </w:tcPr>
          <w:p>
            <w:pPr>
              <w:pStyle w:val="TableParagraph"/>
              <w:spacing w:line="201" w:lineRule="exact"/>
              <w:ind w:left="201" w:right="128"/>
              <w:rPr>
                <w:b/>
                <w:sz w:val="18"/>
              </w:rPr>
            </w:pPr>
            <w:r>
              <w:rPr>
                <w:b/>
                <w:sz w:val="18"/>
              </w:rPr>
              <w:t>Number</w:t>
            </w:r>
          </w:p>
          <w:p>
            <w:pPr>
              <w:pStyle w:val="TableParagraph"/>
              <w:tabs>
                <w:tab w:pos="1637" w:val="right" w:leader="none"/>
              </w:tabs>
              <w:spacing w:before="28"/>
              <w:ind w:left="172"/>
              <w:rPr>
                <w:sz w:val="18"/>
              </w:rPr>
            </w:pPr>
            <w:r>
              <w:rPr>
                <w:b/>
                <w:sz w:val="18"/>
              </w:rPr>
              <w:t>of</w:t>
            </w:r>
            <w:r>
              <w:rPr>
                <w:b/>
                <w:spacing w:val="-1"/>
                <w:sz w:val="18"/>
              </w:rPr>
              <w:t> </w:t>
            </w:r>
            <w:r>
              <w:rPr>
                <w:b/>
                <w:sz w:val="18"/>
              </w:rPr>
              <w:t>meals</w:t>
            </w:r>
            <w:r>
              <w:rPr>
                <w:sz w:val="18"/>
              </w:rPr>
              <w:tab/>
              <w:t>2</w:t>
            </w:r>
          </w:p>
          <w:p>
            <w:pPr>
              <w:pStyle w:val="TableParagraph"/>
              <w:spacing w:before="33"/>
              <w:ind w:left="220" w:right="128"/>
              <w:rPr>
                <w:b/>
                <w:sz w:val="18"/>
              </w:rPr>
            </w:pPr>
            <w:r>
              <w:rPr>
                <w:b/>
                <w:sz w:val="18"/>
              </w:rPr>
              <w:t>per day</w:t>
            </w:r>
          </w:p>
        </w:tc>
        <w:tc>
          <w:tcPr>
            <w:tcW w:w="1960" w:type="dxa"/>
          </w:tcPr>
          <w:p>
            <w:pPr>
              <w:pStyle w:val="TableParagraph"/>
              <w:spacing w:before="11"/>
              <w:rPr>
                <w:b/>
                <w:sz w:val="19"/>
              </w:rPr>
            </w:pPr>
          </w:p>
          <w:p>
            <w:pPr>
              <w:pStyle w:val="TableParagraph"/>
              <w:tabs>
                <w:tab w:pos="1334" w:val="left" w:leader="none"/>
              </w:tabs>
              <w:ind w:left="542"/>
              <w:rPr>
                <w:sz w:val="18"/>
              </w:rPr>
            </w:pPr>
            <w:r>
              <w:rPr>
                <w:sz w:val="18"/>
              </w:rPr>
              <w:t>4</w:t>
              <w:tab/>
              <w:t>2.70</w:t>
            </w:r>
          </w:p>
        </w:tc>
        <w:tc>
          <w:tcPr>
            <w:tcW w:w="657" w:type="dxa"/>
          </w:tcPr>
          <w:p>
            <w:pPr>
              <w:pStyle w:val="TableParagraph"/>
              <w:spacing w:before="11"/>
              <w:rPr>
                <w:b/>
                <w:sz w:val="19"/>
              </w:rPr>
            </w:pPr>
          </w:p>
          <w:p>
            <w:pPr>
              <w:pStyle w:val="TableParagraph"/>
              <w:ind w:left="91" w:right="74"/>
              <w:jc w:val="center"/>
              <w:rPr>
                <w:sz w:val="18"/>
              </w:rPr>
            </w:pPr>
            <w:r>
              <w:rPr>
                <w:sz w:val="18"/>
              </w:rPr>
              <w:t>0.600</w:t>
            </w:r>
          </w:p>
        </w:tc>
        <w:tc>
          <w:tcPr>
            <w:tcW w:w="904" w:type="dxa"/>
          </w:tcPr>
          <w:p>
            <w:pPr>
              <w:pStyle w:val="TableParagraph"/>
              <w:spacing w:before="11"/>
              <w:rPr>
                <w:b/>
                <w:sz w:val="19"/>
              </w:rPr>
            </w:pPr>
          </w:p>
          <w:p>
            <w:pPr>
              <w:pStyle w:val="TableParagraph"/>
              <w:ind w:left="22"/>
              <w:jc w:val="center"/>
              <w:rPr>
                <w:sz w:val="18"/>
              </w:rPr>
            </w:pPr>
            <w:r>
              <w:rPr>
                <w:w w:val="101"/>
                <w:sz w:val="18"/>
              </w:rPr>
              <w:t>1</w:t>
            </w:r>
          </w:p>
        </w:tc>
        <w:tc>
          <w:tcPr>
            <w:tcW w:w="896" w:type="dxa"/>
          </w:tcPr>
          <w:p>
            <w:pPr>
              <w:pStyle w:val="TableParagraph"/>
              <w:spacing w:before="11"/>
              <w:rPr>
                <w:b/>
                <w:sz w:val="19"/>
              </w:rPr>
            </w:pPr>
          </w:p>
          <w:p>
            <w:pPr>
              <w:pStyle w:val="TableParagraph"/>
              <w:ind w:left="28"/>
              <w:jc w:val="center"/>
              <w:rPr>
                <w:sz w:val="18"/>
              </w:rPr>
            </w:pPr>
            <w:r>
              <w:rPr>
                <w:w w:val="101"/>
                <w:sz w:val="18"/>
              </w:rPr>
              <w:t>5</w:t>
            </w:r>
          </w:p>
        </w:tc>
        <w:tc>
          <w:tcPr>
            <w:tcW w:w="719" w:type="dxa"/>
          </w:tcPr>
          <w:p>
            <w:pPr>
              <w:pStyle w:val="TableParagraph"/>
              <w:spacing w:before="11"/>
              <w:rPr>
                <w:b/>
                <w:sz w:val="19"/>
              </w:rPr>
            </w:pPr>
          </w:p>
          <w:p>
            <w:pPr>
              <w:pStyle w:val="TableParagraph"/>
              <w:ind w:right="57"/>
              <w:jc w:val="right"/>
              <w:rPr>
                <w:sz w:val="18"/>
              </w:rPr>
            </w:pPr>
            <w:r>
              <w:rPr>
                <w:sz w:val="18"/>
              </w:rPr>
              <w:t>2.78</w:t>
            </w:r>
          </w:p>
        </w:tc>
        <w:tc>
          <w:tcPr>
            <w:tcW w:w="276" w:type="dxa"/>
          </w:tcPr>
          <w:p>
            <w:pPr/>
          </w:p>
        </w:tc>
        <w:tc>
          <w:tcPr>
            <w:tcW w:w="639" w:type="dxa"/>
          </w:tcPr>
          <w:p>
            <w:pPr>
              <w:pStyle w:val="TableParagraph"/>
              <w:spacing w:before="11"/>
              <w:rPr>
                <w:b/>
                <w:sz w:val="19"/>
              </w:rPr>
            </w:pPr>
          </w:p>
          <w:p>
            <w:pPr>
              <w:pStyle w:val="TableParagraph"/>
              <w:ind w:left="46" w:right="101"/>
              <w:jc w:val="center"/>
              <w:rPr>
                <w:sz w:val="18"/>
              </w:rPr>
            </w:pPr>
            <w:r>
              <w:rPr>
                <w:sz w:val="18"/>
              </w:rPr>
              <w:t>0.841</w:t>
            </w:r>
          </w:p>
        </w:tc>
        <w:tc>
          <w:tcPr>
            <w:tcW w:w="1008" w:type="dxa"/>
            <w:tcBorders>
              <w:right w:val="single" w:sz="8" w:space="0" w:color="4F81BC"/>
            </w:tcBorders>
          </w:tcPr>
          <w:p>
            <w:pPr>
              <w:pStyle w:val="TableParagraph"/>
              <w:spacing w:before="11"/>
              <w:rPr>
                <w:b/>
                <w:sz w:val="19"/>
              </w:rPr>
            </w:pPr>
          </w:p>
          <w:p>
            <w:pPr>
              <w:pStyle w:val="TableParagraph"/>
              <w:ind w:left="154" w:right="140"/>
              <w:jc w:val="center"/>
              <w:rPr>
                <w:sz w:val="18"/>
              </w:rPr>
            </w:pPr>
            <w:r>
              <w:rPr>
                <w:sz w:val="18"/>
              </w:rPr>
              <w:t>0.465</w:t>
            </w:r>
          </w:p>
        </w:tc>
      </w:tr>
      <w:tr>
        <w:trPr>
          <w:trHeight w:val="1431" w:hRule="exact"/>
        </w:trPr>
        <w:tc>
          <w:tcPr>
            <w:tcW w:w="1998" w:type="dxa"/>
            <w:tcBorders>
              <w:left w:val="single" w:sz="8" w:space="0" w:color="4F81BC"/>
            </w:tcBorders>
            <w:shd w:val="clear" w:color="auto" w:fill="C5D9F0"/>
          </w:tcPr>
          <w:p>
            <w:pPr>
              <w:pStyle w:val="TableParagraph"/>
              <w:spacing w:line="278" w:lineRule="auto"/>
              <w:ind w:left="142" w:right="1040"/>
              <w:jc w:val="center"/>
              <w:rPr>
                <w:b/>
                <w:sz w:val="18"/>
              </w:rPr>
            </w:pPr>
            <w:r>
              <w:rPr>
                <w:b/>
                <w:sz w:val="18"/>
              </w:rPr>
              <w:t>Number of</w:t>
            </w:r>
          </w:p>
          <w:p>
            <w:pPr>
              <w:pStyle w:val="TableParagraph"/>
              <w:tabs>
                <w:tab w:pos="1637" w:val="right" w:leader="none"/>
              </w:tabs>
              <w:spacing w:line="281" w:lineRule="exact" w:before="1"/>
              <w:ind w:left="124"/>
              <w:rPr>
                <w:sz w:val="18"/>
              </w:rPr>
            </w:pPr>
            <w:r>
              <w:rPr>
                <w:b/>
                <w:sz w:val="18"/>
              </w:rPr>
              <w:t>nutritious</w:t>
            </w:r>
            <w:r>
              <w:rPr>
                <w:position w:val="-11"/>
                <w:sz w:val="18"/>
              </w:rPr>
              <w:tab/>
              <w:t>1</w:t>
            </w:r>
          </w:p>
          <w:p>
            <w:pPr>
              <w:pStyle w:val="TableParagraph"/>
              <w:spacing w:line="161" w:lineRule="exact"/>
              <w:ind w:left="122" w:right="1023"/>
              <w:jc w:val="center"/>
              <w:rPr>
                <w:b/>
                <w:sz w:val="18"/>
              </w:rPr>
            </w:pPr>
            <w:r>
              <w:rPr>
                <w:b/>
                <w:sz w:val="18"/>
              </w:rPr>
              <w:t>food</w:t>
            </w:r>
          </w:p>
          <w:p>
            <w:pPr>
              <w:pStyle w:val="TableParagraph"/>
              <w:spacing w:line="273" w:lineRule="auto" w:before="33"/>
              <w:ind w:left="122" w:right="1023"/>
              <w:jc w:val="center"/>
              <w:rPr>
                <w:b/>
                <w:sz w:val="18"/>
              </w:rPr>
            </w:pPr>
            <w:r>
              <w:rPr>
                <w:b/>
                <w:sz w:val="18"/>
              </w:rPr>
              <w:t>containin g sugar</w:t>
            </w:r>
          </w:p>
        </w:tc>
        <w:tc>
          <w:tcPr>
            <w:tcW w:w="1960" w:type="dxa"/>
            <w:shd w:val="clear" w:color="auto" w:fill="C5D9F0"/>
          </w:tcPr>
          <w:p>
            <w:pPr>
              <w:pStyle w:val="TableParagraph"/>
              <w:rPr>
                <w:b/>
                <w:sz w:val="18"/>
              </w:rPr>
            </w:pPr>
          </w:p>
          <w:p>
            <w:pPr>
              <w:pStyle w:val="TableParagraph"/>
              <w:rPr>
                <w:b/>
                <w:sz w:val="18"/>
              </w:rPr>
            </w:pPr>
          </w:p>
          <w:p>
            <w:pPr>
              <w:pStyle w:val="TableParagraph"/>
              <w:spacing w:before="3"/>
              <w:rPr>
                <w:b/>
                <w:sz w:val="15"/>
              </w:rPr>
            </w:pPr>
          </w:p>
          <w:p>
            <w:pPr>
              <w:pStyle w:val="TableParagraph"/>
              <w:tabs>
                <w:tab w:pos="1334" w:val="left" w:leader="none"/>
              </w:tabs>
              <w:ind w:left="542"/>
              <w:rPr>
                <w:sz w:val="18"/>
              </w:rPr>
            </w:pPr>
            <w:r>
              <w:rPr>
                <w:sz w:val="18"/>
              </w:rPr>
              <w:t>4</w:t>
              <w:tab/>
              <w:t>1.61</w:t>
            </w:r>
          </w:p>
        </w:tc>
        <w:tc>
          <w:tcPr>
            <w:tcW w:w="657" w:type="dxa"/>
            <w:shd w:val="clear" w:color="auto" w:fill="C5D9F0"/>
          </w:tcPr>
          <w:p>
            <w:pPr>
              <w:pStyle w:val="TableParagraph"/>
              <w:rPr>
                <w:b/>
                <w:sz w:val="18"/>
              </w:rPr>
            </w:pPr>
          </w:p>
          <w:p>
            <w:pPr>
              <w:pStyle w:val="TableParagraph"/>
              <w:rPr>
                <w:b/>
                <w:sz w:val="18"/>
              </w:rPr>
            </w:pPr>
          </w:p>
          <w:p>
            <w:pPr>
              <w:pStyle w:val="TableParagraph"/>
              <w:spacing w:before="3"/>
              <w:rPr>
                <w:b/>
                <w:sz w:val="15"/>
              </w:rPr>
            </w:pPr>
          </w:p>
          <w:p>
            <w:pPr>
              <w:pStyle w:val="TableParagraph"/>
              <w:ind w:left="91" w:right="74"/>
              <w:jc w:val="center"/>
              <w:rPr>
                <w:sz w:val="18"/>
              </w:rPr>
            </w:pPr>
            <w:r>
              <w:rPr>
                <w:sz w:val="18"/>
              </w:rPr>
              <w:t>0.656</w:t>
            </w:r>
          </w:p>
        </w:tc>
        <w:tc>
          <w:tcPr>
            <w:tcW w:w="904" w:type="dxa"/>
            <w:shd w:val="clear" w:color="auto" w:fill="C5D9F0"/>
          </w:tcPr>
          <w:p>
            <w:pPr>
              <w:pStyle w:val="TableParagraph"/>
              <w:rPr>
                <w:b/>
                <w:sz w:val="18"/>
              </w:rPr>
            </w:pPr>
          </w:p>
          <w:p>
            <w:pPr>
              <w:pStyle w:val="TableParagraph"/>
              <w:rPr>
                <w:b/>
                <w:sz w:val="18"/>
              </w:rPr>
            </w:pPr>
          </w:p>
          <w:p>
            <w:pPr>
              <w:pStyle w:val="TableParagraph"/>
              <w:spacing w:before="3"/>
              <w:rPr>
                <w:b/>
                <w:sz w:val="15"/>
              </w:rPr>
            </w:pPr>
          </w:p>
          <w:p>
            <w:pPr>
              <w:pStyle w:val="TableParagraph"/>
              <w:ind w:left="322" w:right="290"/>
              <w:jc w:val="center"/>
              <w:rPr>
                <w:sz w:val="18"/>
              </w:rPr>
            </w:pPr>
            <w:r>
              <w:rPr>
                <w:sz w:val="18"/>
              </w:rPr>
              <w:t>.00</w:t>
            </w:r>
          </w:p>
        </w:tc>
        <w:tc>
          <w:tcPr>
            <w:tcW w:w="896" w:type="dxa"/>
            <w:shd w:val="clear" w:color="auto" w:fill="C5D9F0"/>
          </w:tcPr>
          <w:p>
            <w:pPr>
              <w:pStyle w:val="TableParagraph"/>
              <w:rPr>
                <w:b/>
                <w:sz w:val="18"/>
              </w:rPr>
            </w:pPr>
          </w:p>
          <w:p>
            <w:pPr>
              <w:pStyle w:val="TableParagraph"/>
              <w:rPr>
                <w:b/>
                <w:sz w:val="18"/>
              </w:rPr>
            </w:pPr>
          </w:p>
          <w:p>
            <w:pPr>
              <w:pStyle w:val="TableParagraph"/>
              <w:spacing w:before="3"/>
              <w:rPr>
                <w:b/>
                <w:sz w:val="15"/>
              </w:rPr>
            </w:pPr>
          </w:p>
          <w:p>
            <w:pPr>
              <w:pStyle w:val="TableParagraph"/>
              <w:ind w:left="262" w:right="229"/>
              <w:jc w:val="center"/>
              <w:rPr>
                <w:sz w:val="18"/>
              </w:rPr>
            </w:pPr>
            <w:r>
              <w:rPr>
                <w:sz w:val="18"/>
              </w:rPr>
              <w:t>6.67</w:t>
            </w:r>
          </w:p>
        </w:tc>
        <w:tc>
          <w:tcPr>
            <w:tcW w:w="719" w:type="dxa"/>
            <w:shd w:val="clear" w:color="auto" w:fill="C5D9F0"/>
          </w:tcPr>
          <w:p>
            <w:pPr>
              <w:pStyle w:val="TableParagraph"/>
              <w:rPr>
                <w:b/>
                <w:sz w:val="18"/>
              </w:rPr>
            </w:pPr>
          </w:p>
          <w:p>
            <w:pPr>
              <w:pStyle w:val="TableParagraph"/>
              <w:rPr>
                <w:b/>
                <w:sz w:val="18"/>
              </w:rPr>
            </w:pPr>
          </w:p>
          <w:p>
            <w:pPr>
              <w:pStyle w:val="TableParagraph"/>
              <w:spacing w:before="3"/>
              <w:rPr>
                <w:b/>
                <w:sz w:val="15"/>
              </w:rPr>
            </w:pPr>
          </w:p>
          <w:p>
            <w:pPr>
              <w:pStyle w:val="TableParagraph"/>
              <w:ind w:right="9"/>
              <w:jc w:val="right"/>
              <w:rPr>
                <w:sz w:val="18"/>
              </w:rPr>
            </w:pPr>
            <w:r>
              <w:rPr>
                <w:sz w:val="18"/>
              </w:rPr>
              <w:t>1.465</w:t>
            </w:r>
          </w:p>
        </w:tc>
        <w:tc>
          <w:tcPr>
            <w:tcW w:w="276" w:type="dxa"/>
            <w:shd w:val="clear" w:color="auto" w:fill="C5D9F0"/>
          </w:tcPr>
          <w:p>
            <w:pPr/>
          </w:p>
        </w:tc>
        <w:tc>
          <w:tcPr>
            <w:tcW w:w="639" w:type="dxa"/>
            <w:shd w:val="clear" w:color="auto" w:fill="C5D9F0"/>
          </w:tcPr>
          <w:p>
            <w:pPr>
              <w:pStyle w:val="TableParagraph"/>
              <w:rPr>
                <w:b/>
                <w:sz w:val="18"/>
              </w:rPr>
            </w:pPr>
          </w:p>
          <w:p>
            <w:pPr>
              <w:pStyle w:val="TableParagraph"/>
              <w:rPr>
                <w:b/>
                <w:sz w:val="18"/>
              </w:rPr>
            </w:pPr>
          </w:p>
          <w:p>
            <w:pPr>
              <w:pStyle w:val="TableParagraph"/>
              <w:spacing w:before="3"/>
              <w:rPr>
                <w:b/>
                <w:sz w:val="15"/>
              </w:rPr>
            </w:pPr>
          </w:p>
          <w:p>
            <w:pPr>
              <w:pStyle w:val="TableParagraph"/>
              <w:ind w:left="46" w:right="101"/>
              <w:jc w:val="center"/>
              <w:rPr>
                <w:sz w:val="18"/>
              </w:rPr>
            </w:pPr>
            <w:r>
              <w:rPr>
                <w:sz w:val="18"/>
              </w:rPr>
              <w:t>1.159</w:t>
            </w:r>
          </w:p>
        </w:tc>
        <w:tc>
          <w:tcPr>
            <w:tcW w:w="1008" w:type="dxa"/>
            <w:tcBorders>
              <w:right w:val="single" w:sz="8" w:space="0" w:color="4F81BC"/>
            </w:tcBorders>
            <w:shd w:val="clear" w:color="auto" w:fill="C5D9F0"/>
          </w:tcPr>
          <w:p>
            <w:pPr>
              <w:pStyle w:val="TableParagraph"/>
              <w:rPr>
                <w:b/>
                <w:sz w:val="18"/>
              </w:rPr>
            </w:pPr>
          </w:p>
          <w:p>
            <w:pPr>
              <w:pStyle w:val="TableParagraph"/>
              <w:rPr>
                <w:b/>
                <w:sz w:val="18"/>
              </w:rPr>
            </w:pPr>
          </w:p>
          <w:p>
            <w:pPr>
              <w:pStyle w:val="TableParagraph"/>
              <w:spacing w:before="3"/>
              <w:rPr>
                <w:b/>
                <w:sz w:val="15"/>
              </w:rPr>
            </w:pPr>
          </w:p>
          <w:p>
            <w:pPr>
              <w:pStyle w:val="TableParagraph"/>
              <w:ind w:left="154" w:right="140"/>
              <w:jc w:val="center"/>
              <w:rPr>
                <w:sz w:val="18"/>
              </w:rPr>
            </w:pPr>
            <w:r>
              <w:rPr>
                <w:sz w:val="18"/>
              </w:rPr>
              <w:t>0.509</w:t>
            </w:r>
          </w:p>
        </w:tc>
      </w:tr>
      <w:tr>
        <w:trPr>
          <w:trHeight w:val="1431" w:hRule="exact"/>
        </w:trPr>
        <w:tc>
          <w:tcPr>
            <w:tcW w:w="1998" w:type="dxa"/>
            <w:tcBorders>
              <w:left w:val="single" w:sz="8" w:space="0" w:color="4F81BC"/>
            </w:tcBorders>
          </w:tcPr>
          <w:p>
            <w:pPr>
              <w:pStyle w:val="TableParagraph"/>
              <w:spacing w:line="278" w:lineRule="auto"/>
              <w:ind w:left="142" w:right="1040"/>
              <w:jc w:val="center"/>
              <w:rPr>
                <w:b/>
                <w:sz w:val="18"/>
              </w:rPr>
            </w:pPr>
            <w:r>
              <w:rPr>
                <w:b/>
                <w:sz w:val="18"/>
              </w:rPr>
              <w:t>Number of non-</w:t>
            </w:r>
          </w:p>
          <w:p>
            <w:pPr>
              <w:pStyle w:val="TableParagraph"/>
              <w:tabs>
                <w:tab w:pos="1536" w:val="left" w:leader="none"/>
              </w:tabs>
              <w:spacing w:line="280" w:lineRule="exact"/>
              <w:ind w:left="124" w:right="128"/>
              <w:rPr>
                <w:sz w:val="18"/>
              </w:rPr>
            </w:pPr>
            <w:r>
              <w:rPr>
                <w:b/>
                <w:sz w:val="18"/>
              </w:rPr>
              <w:t>nutritious</w:t>
            </w:r>
            <w:r>
              <w:rPr>
                <w:position w:val="-11"/>
                <w:sz w:val="18"/>
              </w:rPr>
              <w:tab/>
              <w:t>0</w:t>
            </w:r>
          </w:p>
          <w:p>
            <w:pPr>
              <w:pStyle w:val="TableParagraph"/>
              <w:spacing w:line="163" w:lineRule="exact"/>
              <w:ind w:left="122" w:right="1023"/>
              <w:jc w:val="center"/>
              <w:rPr>
                <w:b/>
                <w:sz w:val="18"/>
              </w:rPr>
            </w:pPr>
            <w:r>
              <w:rPr>
                <w:b/>
                <w:sz w:val="18"/>
              </w:rPr>
              <w:t>food</w:t>
            </w:r>
          </w:p>
          <w:p>
            <w:pPr>
              <w:pStyle w:val="TableParagraph"/>
              <w:spacing w:line="278" w:lineRule="auto" w:before="28"/>
              <w:ind w:left="122" w:right="1023"/>
              <w:jc w:val="center"/>
              <w:rPr>
                <w:b/>
                <w:sz w:val="18"/>
              </w:rPr>
            </w:pPr>
            <w:r>
              <w:rPr>
                <w:b/>
                <w:sz w:val="18"/>
              </w:rPr>
              <w:t>containin g sugar</w:t>
            </w:r>
          </w:p>
        </w:tc>
        <w:tc>
          <w:tcPr>
            <w:tcW w:w="1960" w:type="dxa"/>
          </w:tcPr>
          <w:p>
            <w:pPr>
              <w:pStyle w:val="TableParagraph"/>
              <w:rPr>
                <w:b/>
                <w:sz w:val="18"/>
              </w:rPr>
            </w:pPr>
          </w:p>
          <w:p>
            <w:pPr>
              <w:pStyle w:val="TableParagraph"/>
              <w:rPr>
                <w:b/>
                <w:sz w:val="18"/>
              </w:rPr>
            </w:pPr>
          </w:p>
          <w:p>
            <w:pPr>
              <w:pStyle w:val="TableParagraph"/>
              <w:spacing w:before="3"/>
              <w:rPr>
                <w:b/>
                <w:sz w:val="15"/>
              </w:rPr>
            </w:pPr>
          </w:p>
          <w:p>
            <w:pPr>
              <w:pStyle w:val="TableParagraph"/>
              <w:tabs>
                <w:tab w:pos="1334" w:val="left" w:leader="none"/>
              </w:tabs>
              <w:ind w:left="542"/>
              <w:rPr>
                <w:sz w:val="18"/>
              </w:rPr>
            </w:pPr>
            <w:r>
              <w:rPr>
                <w:sz w:val="18"/>
              </w:rPr>
              <w:t>5</w:t>
              <w:tab/>
              <w:t>1.19</w:t>
            </w:r>
          </w:p>
        </w:tc>
        <w:tc>
          <w:tcPr>
            <w:tcW w:w="657" w:type="dxa"/>
          </w:tcPr>
          <w:p>
            <w:pPr>
              <w:pStyle w:val="TableParagraph"/>
              <w:rPr>
                <w:b/>
                <w:sz w:val="18"/>
              </w:rPr>
            </w:pPr>
          </w:p>
          <w:p>
            <w:pPr>
              <w:pStyle w:val="TableParagraph"/>
              <w:rPr>
                <w:b/>
                <w:sz w:val="18"/>
              </w:rPr>
            </w:pPr>
          </w:p>
          <w:p>
            <w:pPr>
              <w:pStyle w:val="TableParagraph"/>
              <w:spacing w:before="3"/>
              <w:rPr>
                <w:b/>
                <w:sz w:val="15"/>
              </w:rPr>
            </w:pPr>
          </w:p>
          <w:p>
            <w:pPr>
              <w:pStyle w:val="TableParagraph"/>
              <w:ind w:left="91" w:right="74"/>
              <w:jc w:val="center"/>
              <w:rPr>
                <w:sz w:val="18"/>
              </w:rPr>
            </w:pPr>
            <w:r>
              <w:rPr>
                <w:sz w:val="18"/>
              </w:rPr>
              <w:t>0.863</w:t>
            </w:r>
          </w:p>
        </w:tc>
        <w:tc>
          <w:tcPr>
            <w:tcW w:w="904" w:type="dxa"/>
          </w:tcPr>
          <w:p>
            <w:pPr>
              <w:pStyle w:val="TableParagraph"/>
              <w:rPr>
                <w:b/>
                <w:sz w:val="18"/>
              </w:rPr>
            </w:pPr>
          </w:p>
          <w:p>
            <w:pPr>
              <w:pStyle w:val="TableParagraph"/>
              <w:rPr>
                <w:b/>
                <w:sz w:val="18"/>
              </w:rPr>
            </w:pPr>
          </w:p>
          <w:p>
            <w:pPr>
              <w:pStyle w:val="TableParagraph"/>
              <w:spacing w:before="3"/>
              <w:rPr>
                <w:b/>
                <w:sz w:val="15"/>
              </w:rPr>
            </w:pPr>
          </w:p>
          <w:p>
            <w:pPr>
              <w:pStyle w:val="TableParagraph"/>
              <w:ind w:left="287"/>
              <w:rPr>
                <w:sz w:val="18"/>
              </w:rPr>
            </w:pPr>
            <w:r>
              <w:rPr>
                <w:sz w:val="18"/>
              </w:rPr>
              <w:t>0.00</w:t>
            </w:r>
          </w:p>
        </w:tc>
        <w:tc>
          <w:tcPr>
            <w:tcW w:w="896" w:type="dxa"/>
          </w:tcPr>
          <w:p>
            <w:pPr>
              <w:pStyle w:val="TableParagraph"/>
              <w:rPr>
                <w:b/>
                <w:sz w:val="18"/>
              </w:rPr>
            </w:pPr>
          </w:p>
          <w:p>
            <w:pPr>
              <w:pStyle w:val="TableParagraph"/>
              <w:rPr>
                <w:b/>
                <w:sz w:val="18"/>
              </w:rPr>
            </w:pPr>
          </w:p>
          <w:p>
            <w:pPr>
              <w:pStyle w:val="TableParagraph"/>
              <w:spacing w:before="3"/>
              <w:rPr>
                <w:b/>
                <w:sz w:val="15"/>
              </w:rPr>
            </w:pPr>
          </w:p>
          <w:p>
            <w:pPr>
              <w:pStyle w:val="TableParagraph"/>
              <w:ind w:left="262" w:right="229"/>
              <w:jc w:val="center"/>
              <w:rPr>
                <w:sz w:val="18"/>
              </w:rPr>
            </w:pPr>
            <w:r>
              <w:rPr>
                <w:sz w:val="18"/>
              </w:rPr>
              <w:t>5.00</w:t>
            </w:r>
          </w:p>
        </w:tc>
        <w:tc>
          <w:tcPr>
            <w:tcW w:w="719" w:type="dxa"/>
          </w:tcPr>
          <w:p>
            <w:pPr>
              <w:pStyle w:val="TableParagraph"/>
              <w:rPr>
                <w:b/>
                <w:sz w:val="18"/>
              </w:rPr>
            </w:pPr>
          </w:p>
          <w:p>
            <w:pPr>
              <w:pStyle w:val="TableParagraph"/>
              <w:rPr>
                <w:b/>
                <w:sz w:val="18"/>
              </w:rPr>
            </w:pPr>
          </w:p>
          <w:p>
            <w:pPr>
              <w:pStyle w:val="TableParagraph"/>
              <w:spacing w:before="3"/>
              <w:rPr>
                <w:b/>
                <w:sz w:val="15"/>
              </w:rPr>
            </w:pPr>
          </w:p>
          <w:p>
            <w:pPr>
              <w:pStyle w:val="TableParagraph"/>
              <w:ind w:right="9"/>
              <w:jc w:val="right"/>
              <w:rPr>
                <w:sz w:val="18"/>
              </w:rPr>
            </w:pPr>
            <w:r>
              <w:rPr>
                <w:sz w:val="18"/>
              </w:rPr>
              <w:t>1.732</w:t>
            </w:r>
          </w:p>
        </w:tc>
        <w:tc>
          <w:tcPr>
            <w:tcW w:w="276" w:type="dxa"/>
          </w:tcPr>
          <w:p>
            <w:pPr/>
          </w:p>
        </w:tc>
        <w:tc>
          <w:tcPr>
            <w:tcW w:w="639" w:type="dxa"/>
          </w:tcPr>
          <w:p>
            <w:pPr>
              <w:pStyle w:val="TableParagraph"/>
              <w:rPr>
                <w:b/>
                <w:sz w:val="18"/>
              </w:rPr>
            </w:pPr>
          </w:p>
          <w:p>
            <w:pPr>
              <w:pStyle w:val="TableParagraph"/>
              <w:rPr>
                <w:b/>
                <w:sz w:val="18"/>
              </w:rPr>
            </w:pPr>
          </w:p>
          <w:p>
            <w:pPr>
              <w:pStyle w:val="TableParagraph"/>
              <w:spacing w:before="3"/>
              <w:rPr>
                <w:b/>
                <w:sz w:val="15"/>
              </w:rPr>
            </w:pPr>
          </w:p>
          <w:p>
            <w:pPr>
              <w:pStyle w:val="TableParagraph"/>
              <w:ind w:left="46" w:right="101"/>
              <w:jc w:val="center"/>
              <w:rPr>
                <w:sz w:val="18"/>
              </w:rPr>
            </w:pPr>
            <w:r>
              <w:rPr>
                <w:sz w:val="18"/>
              </w:rPr>
              <w:t>1.347</w:t>
            </w:r>
          </w:p>
        </w:tc>
        <w:tc>
          <w:tcPr>
            <w:tcW w:w="1008" w:type="dxa"/>
            <w:tcBorders>
              <w:right w:val="single" w:sz="8" w:space="0" w:color="4F81BC"/>
            </w:tcBorders>
          </w:tcPr>
          <w:p>
            <w:pPr>
              <w:pStyle w:val="TableParagraph"/>
              <w:rPr>
                <w:b/>
                <w:sz w:val="18"/>
              </w:rPr>
            </w:pPr>
          </w:p>
          <w:p>
            <w:pPr>
              <w:pStyle w:val="TableParagraph"/>
              <w:rPr>
                <w:b/>
                <w:sz w:val="18"/>
              </w:rPr>
            </w:pPr>
          </w:p>
          <w:p>
            <w:pPr>
              <w:pStyle w:val="TableParagraph"/>
              <w:spacing w:before="3"/>
              <w:rPr>
                <w:b/>
                <w:sz w:val="15"/>
              </w:rPr>
            </w:pPr>
          </w:p>
          <w:p>
            <w:pPr>
              <w:pStyle w:val="TableParagraph"/>
              <w:ind w:left="154" w:right="137"/>
              <w:jc w:val="center"/>
              <w:rPr>
                <w:sz w:val="18"/>
              </w:rPr>
            </w:pPr>
            <w:r>
              <w:rPr>
                <w:sz w:val="18"/>
              </w:rPr>
              <w:t>0.022**</w:t>
            </w:r>
          </w:p>
        </w:tc>
      </w:tr>
      <w:tr>
        <w:trPr>
          <w:trHeight w:val="1911" w:hRule="exact"/>
        </w:trPr>
        <w:tc>
          <w:tcPr>
            <w:tcW w:w="1998" w:type="dxa"/>
            <w:tcBorders>
              <w:left w:val="single" w:sz="8" w:space="0" w:color="4F81BC"/>
              <w:bottom w:val="single" w:sz="8" w:space="0" w:color="4F81BC"/>
            </w:tcBorders>
            <w:shd w:val="clear" w:color="auto" w:fill="C5D9F0"/>
          </w:tcPr>
          <w:p>
            <w:pPr>
              <w:pStyle w:val="TableParagraph"/>
              <w:spacing w:line="276" w:lineRule="auto"/>
              <w:ind w:left="124" w:right="1026" w:firstLine="4"/>
              <w:jc w:val="center"/>
              <w:rPr>
                <w:b/>
                <w:sz w:val="18"/>
              </w:rPr>
            </w:pPr>
            <w:r>
              <w:rPr>
                <w:b/>
                <w:sz w:val="18"/>
              </w:rPr>
              <w:t>Number of    nutritious</w:t>
            </w:r>
          </w:p>
          <w:p>
            <w:pPr>
              <w:pStyle w:val="TableParagraph"/>
              <w:tabs>
                <w:tab w:pos="1536" w:val="left" w:leader="none"/>
              </w:tabs>
              <w:spacing w:line="282" w:lineRule="exact"/>
              <w:ind w:left="139" w:right="128"/>
              <w:rPr>
                <w:sz w:val="18"/>
              </w:rPr>
            </w:pPr>
            <w:r>
              <w:rPr>
                <w:b/>
                <w:sz w:val="18"/>
              </w:rPr>
              <w:t>food</w:t>
            </w:r>
            <w:r>
              <w:rPr>
                <w:b/>
                <w:spacing w:val="1"/>
                <w:sz w:val="18"/>
              </w:rPr>
              <w:t> </w:t>
            </w:r>
            <w:r>
              <w:rPr>
                <w:b/>
                <w:sz w:val="18"/>
              </w:rPr>
              <w:t>with</w:t>
            </w:r>
            <w:r>
              <w:rPr>
                <w:position w:val="-11"/>
                <w:sz w:val="18"/>
              </w:rPr>
              <w:tab/>
              <w:t>0</w:t>
            </w:r>
          </w:p>
          <w:p>
            <w:pPr>
              <w:pStyle w:val="TableParagraph"/>
              <w:spacing w:line="163" w:lineRule="exact"/>
              <w:ind w:left="122" w:right="1029"/>
              <w:jc w:val="center"/>
              <w:rPr>
                <w:b/>
                <w:sz w:val="18"/>
              </w:rPr>
            </w:pPr>
            <w:r>
              <w:rPr>
                <w:b/>
                <w:sz w:val="18"/>
              </w:rPr>
              <w:t>sugar</w:t>
            </w:r>
          </w:p>
          <w:p>
            <w:pPr>
              <w:pStyle w:val="TableParagraph"/>
              <w:spacing w:line="278" w:lineRule="auto" w:before="28"/>
              <w:ind w:left="122" w:right="1022"/>
              <w:jc w:val="center"/>
              <w:rPr>
                <w:b/>
                <w:sz w:val="18"/>
              </w:rPr>
            </w:pPr>
            <w:r>
              <w:rPr>
                <w:b/>
                <w:sz w:val="18"/>
              </w:rPr>
              <w:t>consume d before sleep</w:t>
            </w:r>
          </w:p>
        </w:tc>
        <w:tc>
          <w:tcPr>
            <w:tcW w:w="1960" w:type="dxa"/>
            <w:tcBorders>
              <w:bottom w:val="single" w:sz="8" w:space="0" w:color="4F81BC"/>
            </w:tcBorders>
            <w:shd w:val="clear" w:color="auto" w:fill="C5D9F0"/>
          </w:tcPr>
          <w:p>
            <w:pPr>
              <w:pStyle w:val="TableParagraph"/>
              <w:rPr>
                <w:b/>
                <w:sz w:val="18"/>
              </w:rPr>
            </w:pPr>
          </w:p>
          <w:p>
            <w:pPr>
              <w:pStyle w:val="TableParagraph"/>
              <w:rPr>
                <w:b/>
                <w:sz w:val="18"/>
              </w:rPr>
            </w:pPr>
          </w:p>
          <w:p>
            <w:pPr>
              <w:pStyle w:val="TableParagraph"/>
              <w:rPr>
                <w:b/>
                <w:sz w:val="18"/>
              </w:rPr>
            </w:pPr>
          </w:p>
          <w:p>
            <w:pPr>
              <w:pStyle w:val="TableParagraph"/>
              <w:spacing w:before="8"/>
              <w:rPr>
                <w:b/>
                <w:sz w:val="17"/>
              </w:rPr>
            </w:pPr>
          </w:p>
          <w:p>
            <w:pPr>
              <w:pStyle w:val="TableParagraph"/>
              <w:tabs>
                <w:tab w:pos="1334" w:val="left" w:leader="none"/>
              </w:tabs>
              <w:spacing w:before="1"/>
              <w:ind w:left="542"/>
              <w:rPr>
                <w:sz w:val="18"/>
              </w:rPr>
            </w:pPr>
            <w:r>
              <w:rPr>
                <w:sz w:val="18"/>
              </w:rPr>
              <w:t>9</w:t>
              <w:tab/>
              <w:t>0.30</w:t>
            </w:r>
          </w:p>
        </w:tc>
        <w:tc>
          <w:tcPr>
            <w:tcW w:w="657" w:type="dxa"/>
            <w:tcBorders>
              <w:bottom w:val="single" w:sz="8" w:space="0" w:color="4F81BC"/>
            </w:tcBorders>
            <w:shd w:val="clear" w:color="auto" w:fill="C5D9F0"/>
          </w:tcPr>
          <w:p>
            <w:pPr>
              <w:pStyle w:val="TableParagraph"/>
              <w:rPr>
                <w:b/>
                <w:sz w:val="18"/>
              </w:rPr>
            </w:pPr>
          </w:p>
          <w:p>
            <w:pPr>
              <w:pStyle w:val="TableParagraph"/>
              <w:rPr>
                <w:b/>
                <w:sz w:val="18"/>
              </w:rPr>
            </w:pPr>
          </w:p>
          <w:p>
            <w:pPr>
              <w:pStyle w:val="TableParagraph"/>
              <w:rPr>
                <w:b/>
                <w:sz w:val="18"/>
              </w:rPr>
            </w:pPr>
          </w:p>
          <w:p>
            <w:pPr>
              <w:pStyle w:val="TableParagraph"/>
              <w:spacing w:before="8"/>
              <w:rPr>
                <w:b/>
                <w:sz w:val="17"/>
              </w:rPr>
            </w:pPr>
          </w:p>
          <w:p>
            <w:pPr>
              <w:pStyle w:val="TableParagraph"/>
              <w:spacing w:before="1"/>
              <w:ind w:left="91" w:right="74"/>
              <w:jc w:val="center"/>
              <w:rPr>
                <w:sz w:val="18"/>
              </w:rPr>
            </w:pPr>
            <w:r>
              <w:rPr>
                <w:sz w:val="18"/>
              </w:rPr>
              <w:t>1.285</w:t>
            </w:r>
          </w:p>
        </w:tc>
        <w:tc>
          <w:tcPr>
            <w:tcW w:w="904" w:type="dxa"/>
            <w:tcBorders>
              <w:bottom w:val="single" w:sz="8" w:space="0" w:color="4F81BC"/>
            </w:tcBorders>
            <w:shd w:val="clear" w:color="auto" w:fill="C5D9F0"/>
          </w:tcPr>
          <w:p>
            <w:pPr>
              <w:pStyle w:val="TableParagraph"/>
              <w:rPr>
                <w:b/>
                <w:sz w:val="18"/>
              </w:rPr>
            </w:pPr>
          </w:p>
          <w:p>
            <w:pPr>
              <w:pStyle w:val="TableParagraph"/>
              <w:rPr>
                <w:b/>
                <w:sz w:val="18"/>
              </w:rPr>
            </w:pPr>
          </w:p>
          <w:p>
            <w:pPr>
              <w:pStyle w:val="TableParagraph"/>
              <w:rPr>
                <w:b/>
                <w:sz w:val="18"/>
              </w:rPr>
            </w:pPr>
          </w:p>
          <w:p>
            <w:pPr>
              <w:pStyle w:val="TableParagraph"/>
              <w:spacing w:before="8"/>
              <w:rPr>
                <w:b/>
                <w:sz w:val="17"/>
              </w:rPr>
            </w:pPr>
          </w:p>
          <w:p>
            <w:pPr>
              <w:pStyle w:val="TableParagraph"/>
              <w:spacing w:before="1"/>
              <w:ind w:left="287"/>
              <w:rPr>
                <w:sz w:val="18"/>
              </w:rPr>
            </w:pPr>
            <w:r>
              <w:rPr>
                <w:sz w:val="18"/>
              </w:rPr>
              <w:t>0.00</w:t>
            </w:r>
          </w:p>
        </w:tc>
        <w:tc>
          <w:tcPr>
            <w:tcW w:w="896" w:type="dxa"/>
            <w:tcBorders>
              <w:bottom w:val="single" w:sz="8" w:space="0" w:color="4F81BC"/>
            </w:tcBorders>
            <w:shd w:val="clear" w:color="auto" w:fill="C5D9F0"/>
          </w:tcPr>
          <w:p>
            <w:pPr>
              <w:pStyle w:val="TableParagraph"/>
              <w:rPr>
                <w:b/>
                <w:sz w:val="18"/>
              </w:rPr>
            </w:pPr>
          </w:p>
          <w:p>
            <w:pPr>
              <w:pStyle w:val="TableParagraph"/>
              <w:rPr>
                <w:b/>
                <w:sz w:val="18"/>
              </w:rPr>
            </w:pPr>
          </w:p>
          <w:p>
            <w:pPr>
              <w:pStyle w:val="TableParagraph"/>
              <w:rPr>
                <w:b/>
                <w:sz w:val="18"/>
              </w:rPr>
            </w:pPr>
          </w:p>
          <w:p>
            <w:pPr>
              <w:pStyle w:val="TableParagraph"/>
              <w:spacing w:before="8"/>
              <w:rPr>
                <w:b/>
                <w:sz w:val="17"/>
              </w:rPr>
            </w:pPr>
          </w:p>
          <w:p>
            <w:pPr>
              <w:pStyle w:val="TableParagraph"/>
              <w:spacing w:before="1"/>
              <w:ind w:left="28"/>
              <w:jc w:val="center"/>
              <w:rPr>
                <w:sz w:val="18"/>
              </w:rPr>
            </w:pPr>
            <w:r>
              <w:rPr>
                <w:w w:val="101"/>
                <w:sz w:val="18"/>
              </w:rPr>
              <w:t>1</w:t>
            </w:r>
          </w:p>
        </w:tc>
        <w:tc>
          <w:tcPr>
            <w:tcW w:w="719" w:type="dxa"/>
            <w:tcBorders>
              <w:bottom w:val="single" w:sz="8" w:space="0" w:color="4F81BC"/>
            </w:tcBorders>
            <w:shd w:val="clear" w:color="auto" w:fill="C5D9F0"/>
          </w:tcPr>
          <w:p>
            <w:pPr>
              <w:pStyle w:val="TableParagraph"/>
              <w:rPr>
                <w:b/>
                <w:sz w:val="18"/>
              </w:rPr>
            </w:pPr>
          </w:p>
          <w:p>
            <w:pPr>
              <w:pStyle w:val="TableParagraph"/>
              <w:rPr>
                <w:b/>
                <w:sz w:val="18"/>
              </w:rPr>
            </w:pPr>
          </w:p>
          <w:p>
            <w:pPr>
              <w:pStyle w:val="TableParagraph"/>
              <w:rPr>
                <w:b/>
                <w:sz w:val="18"/>
              </w:rPr>
            </w:pPr>
          </w:p>
          <w:p>
            <w:pPr>
              <w:pStyle w:val="TableParagraph"/>
              <w:spacing w:before="8"/>
              <w:rPr>
                <w:b/>
                <w:sz w:val="17"/>
              </w:rPr>
            </w:pPr>
          </w:p>
          <w:p>
            <w:pPr>
              <w:pStyle w:val="TableParagraph"/>
              <w:spacing w:before="1"/>
              <w:ind w:right="57"/>
              <w:jc w:val="right"/>
              <w:rPr>
                <w:sz w:val="18"/>
              </w:rPr>
            </w:pPr>
            <w:r>
              <w:rPr>
                <w:sz w:val="18"/>
              </w:rPr>
              <w:t>0.23</w:t>
            </w:r>
          </w:p>
        </w:tc>
        <w:tc>
          <w:tcPr>
            <w:tcW w:w="276" w:type="dxa"/>
            <w:tcBorders>
              <w:bottom w:val="single" w:sz="8" w:space="0" w:color="4F81BC"/>
            </w:tcBorders>
            <w:shd w:val="clear" w:color="auto" w:fill="C5D9F0"/>
          </w:tcPr>
          <w:p>
            <w:pPr/>
          </w:p>
        </w:tc>
        <w:tc>
          <w:tcPr>
            <w:tcW w:w="639" w:type="dxa"/>
            <w:tcBorders>
              <w:bottom w:val="single" w:sz="8" w:space="0" w:color="4F81BC"/>
            </w:tcBorders>
            <w:shd w:val="clear" w:color="auto" w:fill="C5D9F0"/>
          </w:tcPr>
          <w:p>
            <w:pPr>
              <w:pStyle w:val="TableParagraph"/>
              <w:rPr>
                <w:b/>
                <w:sz w:val="18"/>
              </w:rPr>
            </w:pPr>
          </w:p>
          <w:p>
            <w:pPr>
              <w:pStyle w:val="TableParagraph"/>
              <w:rPr>
                <w:b/>
                <w:sz w:val="18"/>
              </w:rPr>
            </w:pPr>
          </w:p>
          <w:p>
            <w:pPr>
              <w:pStyle w:val="TableParagraph"/>
              <w:rPr>
                <w:b/>
                <w:sz w:val="18"/>
              </w:rPr>
            </w:pPr>
          </w:p>
          <w:p>
            <w:pPr>
              <w:pStyle w:val="TableParagraph"/>
              <w:spacing w:before="8"/>
              <w:rPr>
                <w:b/>
                <w:sz w:val="17"/>
              </w:rPr>
            </w:pPr>
          </w:p>
          <w:p>
            <w:pPr>
              <w:pStyle w:val="TableParagraph"/>
              <w:spacing w:before="1"/>
              <w:ind w:left="46" w:right="101"/>
              <w:jc w:val="center"/>
              <w:rPr>
                <w:sz w:val="18"/>
              </w:rPr>
            </w:pPr>
            <w:r>
              <w:rPr>
                <w:sz w:val="18"/>
              </w:rPr>
              <w:t>0.423</w:t>
            </w:r>
          </w:p>
        </w:tc>
        <w:tc>
          <w:tcPr>
            <w:tcW w:w="1008" w:type="dxa"/>
            <w:tcBorders>
              <w:bottom w:val="single" w:sz="8" w:space="0" w:color="4F81BC"/>
              <w:right w:val="single" w:sz="8" w:space="0" w:color="4F81BC"/>
            </w:tcBorders>
            <w:shd w:val="clear" w:color="auto" w:fill="C5D9F0"/>
          </w:tcPr>
          <w:p>
            <w:pPr>
              <w:pStyle w:val="TableParagraph"/>
              <w:rPr>
                <w:b/>
                <w:sz w:val="18"/>
              </w:rPr>
            </w:pPr>
          </w:p>
          <w:p>
            <w:pPr>
              <w:pStyle w:val="TableParagraph"/>
              <w:rPr>
                <w:b/>
                <w:sz w:val="18"/>
              </w:rPr>
            </w:pPr>
          </w:p>
          <w:p>
            <w:pPr>
              <w:pStyle w:val="TableParagraph"/>
              <w:rPr>
                <w:b/>
                <w:sz w:val="18"/>
              </w:rPr>
            </w:pPr>
          </w:p>
          <w:p>
            <w:pPr>
              <w:pStyle w:val="TableParagraph"/>
              <w:spacing w:before="8"/>
              <w:rPr>
                <w:b/>
                <w:sz w:val="17"/>
              </w:rPr>
            </w:pPr>
          </w:p>
          <w:p>
            <w:pPr>
              <w:pStyle w:val="TableParagraph"/>
              <w:spacing w:before="1"/>
              <w:ind w:left="154" w:right="140"/>
              <w:jc w:val="center"/>
              <w:rPr>
                <w:sz w:val="18"/>
              </w:rPr>
            </w:pPr>
            <w:r>
              <w:rPr>
                <w:sz w:val="18"/>
              </w:rPr>
              <w:t>0.738</w:t>
            </w:r>
          </w:p>
        </w:tc>
      </w:tr>
    </w:tbl>
    <w:p>
      <w:pPr>
        <w:spacing w:line="183" w:lineRule="exact" w:before="0"/>
        <w:ind w:left="196" w:right="0" w:firstLine="0"/>
        <w:jc w:val="left"/>
        <w:rPr>
          <w:sz w:val="16"/>
        </w:rPr>
      </w:pPr>
      <w:r>
        <w:rPr>
          <w:sz w:val="16"/>
        </w:rPr>
        <w:t>S.D.=Standard Deviation</w:t>
      </w:r>
    </w:p>
    <w:p>
      <w:pPr>
        <w:spacing w:before="94"/>
        <w:ind w:left="196" w:right="0" w:firstLine="0"/>
        <w:jc w:val="left"/>
        <w:rPr>
          <w:sz w:val="16"/>
        </w:rPr>
      </w:pPr>
      <w:r>
        <w:rPr>
          <w:sz w:val="16"/>
        </w:rPr>
        <w:t>** p&lt;0.05, ***p&lt;0.001</w:t>
      </w:r>
    </w:p>
    <w:p>
      <w:pPr>
        <w:pStyle w:val="BodyText"/>
        <w:rPr>
          <w:sz w:val="16"/>
        </w:rPr>
      </w:pPr>
    </w:p>
    <w:p>
      <w:pPr>
        <w:pStyle w:val="BodyText"/>
        <w:spacing w:before="2"/>
        <w:rPr>
          <w:sz w:val="15"/>
        </w:rPr>
      </w:pPr>
    </w:p>
    <w:p>
      <w:pPr>
        <w:spacing w:before="1"/>
        <w:ind w:left="196" w:right="0" w:firstLine="0"/>
        <w:jc w:val="left"/>
        <w:rPr>
          <w:b/>
          <w:sz w:val="20"/>
        </w:rPr>
      </w:pPr>
      <w:r>
        <w:rPr>
          <w:b/>
          <w:sz w:val="20"/>
        </w:rPr>
        <w:t>Tooth decay</w:t>
      </w:r>
    </w:p>
    <w:p>
      <w:pPr>
        <w:spacing w:line="360" w:lineRule="auto" w:before="121"/>
        <w:ind w:left="196" w:right="0" w:firstLine="0"/>
        <w:jc w:val="left"/>
        <w:rPr>
          <w:sz w:val="20"/>
        </w:rPr>
      </w:pPr>
      <w:r>
        <w:rPr>
          <w:sz w:val="20"/>
        </w:rPr>
        <w:t>The mixed dentition group had an average demineralisation in the upper right quadrant of 12.52, in the upper left quadrant of 12.34, in the lower right quadrant of 13.01, and in the lower left quadrant of</w:t>
      </w:r>
    </w:p>
    <w:p>
      <w:pPr>
        <w:spacing w:line="229" w:lineRule="exact" w:before="0"/>
        <w:ind w:left="196" w:right="0" w:firstLine="0"/>
        <w:jc w:val="left"/>
        <w:rPr>
          <w:sz w:val="20"/>
        </w:rPr>
      </w:pPr>
      <w:r>
        <w:rPr>
          <w:sz w:val="20"/>
        </w:rPr>
        <w:t>13.82. The overall average demineralisation was 12.91 (Table 2).</w:t>
      </w:r>
    </w:p>
    <w:p>
      <w:pPr>
        <w:spacing w:after="0" w:line="229" w:lineRule="exact"/>
        <w:jc w:val="left"/>
        <w:rPr>
          <w:sz w:val="20"/>
        </w:rPr>
        <w:sectPr>
          <w:pgSz w:w="12240" w:h="15840"/>
          <w:pgMar w:header="726" w:footer="1031" w:top="1340" w:bottom="1220" w:left="1220" w:right="1420"/>
        </w:sectPr>
      </w:pPr>
    </w:p>
    <w:p>
      <w:pPr>
        <w:pStyle w:val="BodyText"/>
        <w:spacing w:before="7"/>
        <w:rPr>
          <w:sz w:val="22"/>
        </w:rPr>
      </w:pPr>
    </w:p>
    <w:p>
      <w:pPr>
        <w:spacing w:line="360" w:lineRule="auto" w:before="76"/>
        <w:ind w:left="236" w:right="277" w:firstLine="0"/>
        <w:jc w:val="both"/>
        <w:rPr>
          <w:sz w:val="20"/>
        </w:rPr>
      </w:pPr>
      <w:r>
        <w:rPr>
          <w:sz w:val="20"/>
        </w:rPr>
        <w:t>The group of permanent dentition had an average mineralisation in the upper right quadrant of 6.32, in the upper left quadrant of 10.59, in the lower right quadrant of 11.07, and in the lower left quadrant of</w:t>
      </w:r>
    </w:p>
    <w:p>
      <w:pPr>
        <w:spacing w:before="4"/>
        <w:ind w:left="236" w:right="0" w:firstLine="0"/>
        <w:jc w:val="both"/>
        <w:rPr>
          <w:sz w:val="20"/>
        </w:rPr>
      </w:pPr>
      <w:r>
        <w:rPr>
          <w:sz w:val="20"/>
        </w:rPr>
        <w:t>10.89. The overall average demineralisation was 9.69 (Table 2).</w:t>
      </w:r>
    </w:p>
    <w:p>
      <w:pPr>
        <w:pStyle w:val="BodyText"/>
        <w:spacing w:before="6"/>
        <w:rPr>
          <w:sz w:val="27"/>
        </w:rPr>
      </w:pPr>
    </w:p>
    <w:p>
      <w:pPr>
        <w:spacing w:line="357" w:lineRule="auto" w:before="0"/>
        <w:ind w:left="236" w:right="281" w:firstLine="0"/>
        <w:jc w:val="both"/>
        <w:rPr>
          <w:sz w:val="20"/>
        </w:rPr>
      </w:pPr>
      <w:r>
        <w:rPr>
          <w:sz w:val="20"/>
        </w:rPr>
        <w:t>Differences between the two groups were statistically significant for the demineralisation of the upper right quadrant (p&lt; 0.001) and the upper left quadrant (p=0.034) and the overall average demineralisation (p=0.001) (Table 2).</w:t>
      </w:r>
    </w:p>
    <w:p>
      <w:pPr>
        <w:pStyle w:val="BodyText"/>
        <w:spacing w:before="7"/>
        <w:rPr>
          <w:sz w:val="17"/>
        </w:rPr>
      </w:pPr>
    </w:p>
    <w:p>
      <w:pPr>
        <w:spacing w:before="1"/>
        <w:ind w:left="1404" w:right="1448" w:firstLine="0"/>
        <w:jc w:val="center"/>
        <w:rPr>
          <w:b/>
          <w:sz w:val="20"/>
        </w:rPr>
      </w:pPr>
      <w:r>
        <w:rPr>
          <w:b/>
          <w:sz w:val="20"/>
        </w:rPr>
        <w:t>Table 2. Overall caries and caries per quadrant in the two study groups</w:t>
      </w:r>
    </w:p>
    <w:p>
      <w:pPr>
        <w:pStyle w:val="BodyText"/>
        <w:spacing w:after="1"/>
        <w:rPr>
          <w:b/>
          <w:sz w:val="29"/>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27"/>
        <w:gridCol w:w="1450"/>
        <w:gridCol w:w="1437"/>
        <w:gridCol w:w="1117"/>
        <w:gridCol w:w="295"/>
        <w:gridCol w:w="1416"/>
      </w:tblGrid>
      <w:tr>
        <w:trPr>
          <w:trHeight w:val="1097" w:hRule="exact"/>
        </w:trPr>
        <w:tc>
          <w:tcPr>
            <w:tcW w:w="2927" w:type="dxa"/>
            <w:tcBorders>
              <w:bottom w:val="single" w:sz="8" w:space="0" w:color="FFFFFF"/>
            </w:tcBorders>
            <w:shd w:val="clear" w:color="auto" w:fill="4F81BC"/>
          </w:tcPr>
          <w:p>
            <w:pPr>
              <w:pStyle w:val="TableParagraph"/>
              <w:spacing w:before="4"/>
              <w:rPr>
                <w:b/>
                <w:sz w:val="24"/>
              </w:rPr>
            </w:pPr>
          </w:p>
          <w:p>
            <w:pPr>
              <w:pStyle w:val="TableParagraph"/>
              <w:spacing w:line="276" w:lineRule="auto"/>
              <w:ind w:left="816" w:right="268" w:hanging="611"/>
              <w:rPr>
                <w:b/>
                <w:sz w:val="20"/>
              </w:rPr>
            </w:pPr>
            <w:r>
              <w:rPr>
                <w:b/>
                <w:color w:val="FFFFFF"/>
                <w:sz w:val="20"/>
              </w:rPr>
              <w:t>Average demineralisation per quadrant</w:t>
            </w:r>
          </w:p>
        </w:tc>
        <w:tc>
          <w:tcPr>
            <w:tcW w:w="2887" w:type="dxa"/>
            <w:gridSpan w:val="2"/>
            <w:tcBorders>
              <w:bottom w:val="single" w:sz="8" w:space="0" w:color="FFFFFF"/>
            </w:tcBorders>
            <w:shd w:val="clear" w:color="auto" w:fill="4F81BC"/>
          </w:tcPr>
          <w:p>
            <w:pPr>
              <w:pStyle w:val="TableParagraph"/>
              <w:spacing w:before="7"/>
              <w:ind w:left="18" w:right="75"/>
              <w:jc w:val="center"/>
              <w:rPr>
                <w:b/>
                <w:sz w:val="20"/>
              </w:rPr>
            </w:pPr>
            <w:r>
              <w:rPr>
                <w:b/>
                <w:color w:val="FFFFFF"/>
                <w:sz w:val="20"/>
              </w:rPr>
              <w:t>Average</w:t>
            </w:r>
          </w:p>
          <w:p>
            <w:pPr>
              <w:pStyle w:val="TableParagraph"/>
              <w:tabs>
                <w:tab w:pos="1677" w:val="left" w:leader="none"/>
              </w:tabs>
              <w:spacing w:before="53"/>
              <w:ind w:left="419"/>
              <w:rPr>
                <w:b/>
                <w:sz w:val="20"/>
              </w:rPr>
            </w:pPr>
            <w:r>
              <w:rPr>
                <w:b/>
                <w:color w:val="FFFFFF"/>
                <w:sz w:val="20"/>
              </w:rPr>
              <w:t>Mixed</w:t>
              <w:tab/>
              <w:t>Permanent</w:t>
            </w:r>
          </w:p>
          <w:p>
            <w:pPr>
              <w:pStyle w:val="TableParagraph"/>
              <w:tabs>
                <w:tab w:pos="1507" w:val="left" w:leader="none"/>
              </w:tabs>
              <w:spacing w:before="34"/>
              <w:ind w:left="18"/>
              <w:jc w:val="center"/>
              <w:rPr>
                <w:b/>
                <w:sz w:val="20"/>
              </w:rPr>
            </w:pPr>
            <w:r>
              <w:rPr>
                <w:b/>
                <w:color w:val="FFFFFF"/>
                <w:sz w:val="20"/>
              </w:rPr>
              <w:t>dentition</w:t>
              <w:tab/>
              <w:t>dentition</w:t>
            </w:r>
          </w:p>
          <w:p>
            <w:pPr>
              <w:pStyle w:val="TableParagraph"/>
              <w:tabs>
                <w:tab w:pos="1510" w:val="left" w:leader="none"/>
              </w:tabs>
              <w:spacing w:before="34"/>
              <w:ind w:left="22"/>
              <w:jc w:val="center"/>
              <w:rPr>
                <w:b/>
                <w:sz w:val="20"/>
              </w:rPr>
            </w:pPr>
            <w:r>
              <w:rPr>
                <w:b/>
                <w:color w:val="FFFFFF"/>
                <w:sz w:val="20"/>
              </w:rPr>
              <w:t>n=50</w:t>
              <w:tab/>
              <w:t>n=50</w:t>
            </w:r>
          </w:p>
        </w:tc>
        <w:tc>
          <w:tcPr>
            <w:tcW w:w="1117" w:type="dxa"/>
            <w:tcBorders>
              <w:bottom w:val="single" w:sz="8" w:space="0" w:color="FFFFFF"/>
            </w:tcBorders>
            <w:shd w:val="clear" w:color="auto" w:fill="4F81BC"/>
          </w:tcPr>
          <w:p>
            <w:pPr>
              <w:pStyle w:val="TableParagraph"/>
              <w:spacing w:before="4"/>
              <w:rPr>
                <w:b/>
                <w:sz w:val="24"/>
              </w:rPr>
            </w:pPr>
          </w:p>
          <w:p>
            <w:pPr>
              <w:pStyle w:val="TableParagraph"/>
              <w:ind w:left="156" w:right="10"/>
              <w:jc w:val="center"/>
              <w:rPr>
                <w:b/>
                <w:sz w:val="20"/>
              </w:rPr>
            </w:pPr>
            <w:r>
              <w:rPr>
                <w:b/>
                <w:color w:val="FFFFFF"/>
                <w:sz w:val="20"/>
              </w:rPr>
              <w:t>Student’s</w:t>
            </w:r>
          </w:p>
          <w:p>
            <w:pPr>
              <w:pStyle w:val="TableParagraph"/>
              <w:spacing w:before="34"/>
              <w:ind w:left="338" w:right="10"/>
              <w:jc w:val="center"/>
              <w:rPr>
                <w:b/>
                <w:i/>
                <w:sz w:val="20"/>
              </w:rPr>
            </w:pPr>
            <w:r>
              <w:rPr>
                <w:b/>
                <w:i/>
                <w:color w:val="FFFFFF"/>
                <w:sz w:val="20"/>
              </w:rPr>
              <w:t>test</w:t>
            </w:r>
          </w:p>
        </w:tc>
        <w:tc>
          <w:tcPr>
            <w:tcW w:w="295" w:type="dxa"/>
            <w:tcBorders>
              <w:bottom w:val="single" w:sz="8" w:space="0" w:color="FFFFFF"/>
            </w:tcBorders>
            <w:shd w:val="clear" w:color="auto" w:fill="4F81BC"/>
          </w:tcPr>
          <w:p>
            <w:pPr>
              <w:pStyle w:val="TableParagraph"/>
              <w:spacing w:before="4"/>
              <w:rPr>
                <w:b/>
                <w:sz w:val="24"/>
              </w:rPr>
            </w:pPr>
          </w:p>
          <w:p>
            <w:pPr>
              <w:pStyle w:val="TableParagraph"/>
              <w:ind w:left="26"/>
              <w:rPr>
                <w:b/>
                <w:i/>
                <w:sz w:val="20"/>
              </w:rPr>
            </w:pPr>
            <w:r>
              <w:rPr>
                <w:b/>
                <w:i/>
                <w:color w:val="FFFFFF"/>
                <w:sz w:val="20"/>
              </w:rPr>
              <w:t>t-</w:t>
            </w:r>
          </w:p>
        </w:tc>
        <w:tc>
          <w:tcPr>
            <w:tcW w:w="1416" w:type="dxa"/>
            <w:tcBorders>
              <w:bottom w:val="single" w:sz="8" w:space="0" w:color="FFFFFF"/>
            </w:tcBorders>
            <w:shd w:val="clear" w:color="auto" w:fill="4F81BC"/>
          </w:tcPr>
          <w:p>
            <w:pPr>
              <w:pStyle w:val="TableParagraph"/>
              <w:rPr>
                <w:b/>
                <w:sz w:val="20"/>
              </w:rPr>
            </w:pPr>
          </w:p>
          <w:p>
            <w:pPr>
              <w:pStyle w:val="TableParagraph"/>
              <w:spacing w:before="7"/>
              <w:rPr>
                <w:b/>
                <w:sz w:val="15"/>
              </w:rPr>
            </w:pPr>
          </w:p>
          <w:p>
            <w:pPr>
              <w:pStyle w:val="TableParagraph"/>
              <w:ind w:left="134"/>
              <w:rPr>
                <w:b/>
                <w:sz w:val="20"/>
              </w:rPr>
            </w:pPr>
            <w:r>
              <w:rPr>
                <w:b/>
                <w:color w:val="FFFFFF"/>
                <w:sz w:val="20"/>
              </w:rPr>
              <w:t>Significance</w:t>
            </w:r>
          </w:p>
        </w:tc>
      </w:tr>
      <w:tr>
        <w:trPr>
          <w:trHeight w:val="274" w:hRule="exact"/>
        </w:trPr>
        <w:tc>
          <w:tcPr>
            <w:tcW w:w="2927" w:type="dxa"/>
            <w:tcBorders>
              <w:top w:val="single" w:sz="8" w:space="0" w:color="FFFFFF"/>
              <w:left w:val="single" w:sz="8" w:space="0" w:color="4F81BC"/>
            </w:tcBorders>
            <w:shd w:val="clear" w:color="auto" w:fill="C5D9F0"/>
          </w:tcPr>
          <w:p>
            <w:pPr>
              <w:pStyle w:val="TableParagraph"/>
              <w:spacing w:line="225" w:lineRule="exact"/>
              <w:ind w:left="878"/>
              <w:rPr>
                <w:b/>
                <w:sz w:val="20"/>
              </w:rPr>
            </w:pPr>
            <w:r>
              <w:rPr>
                <w:b/>
                <w:sz w:val="20"/>
              </w:rPr>
              <w:t>Upper right</w:t>
            </w:r>
          </w:p>
        </w:tc>
        <w:tc>
          <w:tcPr>
            <w:tcW w:w="1450" w:type="dxa"/>
            <w:tcBorders>
              <w:top w:val="single" w:sz="8" w:space="0" w:color="FFFFFF"/>
            </w:tcBorders>
            <w:shd w:val="clear" w:color="auto" w:fill="C5D9F0"/>
          </w:tcPr>
          <w:p>
            <w:pPr>
              <w:pStyle w:val="TableParagraph"/>
              <w:spacing w:line="230" w:lineRule="exact"/>
              <w:ind w:left="381" w:right="416"/>
              <w:jc w:val="center"/>
              <w:rPr>
                <w:sz w:val="20"/>
              </w:rPr>
            </w:pPr>
            <w:r>
              <w:rPr>
                <w:sz w:val="20"/>
              </w:rPr>
              <w:t>12.521</w:t>
            </w:r>
          </w:p>
        </w:tc>
        <w:tc>
          <w:tcPr>
            <w:tcW w:w="1437" w:type="dxa"/>
            <w:tcBorders>
              <w:top w:val="single" w:sz="8" w:space="0" w:color="FFFFFF"/>
            </w:tcBorders>
            <w:shd w:val="clear" w:color="auto" w:fill="C5D9F0"/>
          </w:tcPr>
          <w:p>
            <w:pPr>
              <w:pStyle w:val="TableParagraph"/>
              <w:spacing w:line="230" w:lineRule="exact"/>
              <w:ind w:left="548"/>
              <w:rPr>
                <w:sz w:val="20"/>
              </w:rPr>
            </w:pPr>
            <w:r>
              <w:rPr>
                <w:sz w:val="20"/>
              </w:rPr>
              <w:t>6.32</w:t>
            </w:r>
          </w:p>
        </w:tc>
        <w:tc>
          <w:tcPr>
            <w:tcW w:w="1117" w:type="dxa"/>
            <w:tcBorders>
              <w:top w:val="single" w:sz="8" w:space="0" w:color="FFFFFF"/>
            </w:tcBorders>
            <w:shd w:val="clear" w:color="auto" w:fill="C5D9F0"/>
          </w:tcPr>
          <w:p>
            <w:pPr>
              <w:pStyle w:val="TableParagraph"/>
              <w:spacing w:line="230" w:lineRule="exact"/>
              <w:ind w:right="138"/>
              <w:jc w:val="right"/>
              <w:rPr>
                <w:sz w:val="20"/>
              </w:rPr>
            </w:pPr>
            <w:r>
              <w:rPr>
                <w:sz w:val="20"/>
              </w:rPr>
              <w:t>6.205</w:t>
            </w:r>
          </w:p>
        </w:tc>
        <w:tc>
          <w:tcPr>
            <w:tcW w:w="1711" w:type="dxa"/>
            <w:gridSpan w:val="2"/>
            <w:tcBorders>
              <w:top w:val="single" w:sz="8" w:space="0" w:color="FFFFFF"/>
              <w:right w:val="single" w:sz="8" w:space="0" w:color="4F81BC"/>
            </w:tcBorders>
            <w:shd w:val="clear" w:color="auto" w:fill="C5D9F0"/>
          </w:tcPr>
          <w:p>
            <w:pPr>
              <w:pStyle w:val="TableParagraph"/>
              <w:spacing w:line="230" w:lineRule="exact"/>
              <w:ind w:left="650"/>
              <w:rPr>
                <w:sz w:val="20"/>
              </w:rPr>
            </w:pPr>
            <w:r>
              <w:rPr>
                <w:sz w:val="20"/>
              </w:rPr>
              <w:t>0.000***</w:t>
            </w:r>
          </w:p>
        </w:tc>
      </w:tr>
      <w:tr>
        <w:trPr>
          <w:trHeight w:val="269" w:hRule="exact"/>
        </w:trPr>
        <w:tc>
          <w:tcPr>
            <w:tcW w:w="2927" w:type="dxa"/>
            <w:tcBorders>
              <w:left w:val="single" w:sz="8" w:space="0" w:color="4F81BC"/>
            </w:tcBorders>
          </w:tcPr>
          <w:p>
            <w:pPr>
              <w:pStyle w:val="TableParagraph"/>
              <w:spacing w:line="225" w:lineRule="exact"/>
              <w:ind w:left="950"/>
              <w:rPr>
                <w:b/>
                <w:sz w:val="20"/>
              </w:rPr>
            </w:pPr>
            <w:r>
              <w:rPr>
                <w:b/>
                <w:sz w:val="20"/>
              </w:rPr>
              <w:t>Upper left</w:t>
            </w:r>
          </w:p>
        </w:tc>
        <w:tc>
          <w:tcPr>
            <w:tcW w:w="1450" w:type="dxa"/>
          </w:tcPr>
          <w:p>
            <w:pPr>
              <w:pStyle w:val="TableParagraph"/>
              <w:spacing w:line="230" w:lineRule="exact"/>
              <w:ind w:left="381" w:right="416"/>
              <w:jc w:val="center"/>
              <w:rPr>
                <w:sz w:val="20"/>
              </w:rPr>
            </w:pPr>
            <w:r>
              <w:rPr>
                <w:sz w:val="20"/>
              </w:rPr>
              <w:t>12.347</w:t>
            </w:r>
          </w:p>
        </w:tc>
        <w:tc>
          <w:tcPr>
            <w:tcW w:w="1437" w:type="dxa"/>
          </w:tcPr>
          <w:p>
            <w:pPr>
              <w:pStyle w:val="TableParagraph"/>
              <w:spacing w:line="230" w:lineRule="exact"/>
              <w:ind w:left="438"/>
              <w:rPr>
                <w:sz w:val="20"/>
              </w:rPr>
            </w:pPr>
            <w:r>
              <w:rPr>
                <w:sz w:val="20"/>
              </w:rPr>
              <w:t>10.591</w:t>
            </w:r>
          </w:p>
        </w:tc>
        <w:tc>
          <w:tcPr>
            <w:tcW w:w="1117" w:type="dxa"/>
          </w:tcPr>
          <w:p>
            <w:pPr>
              <w:pStyle w:val="TableParagraph"/>
              <w:spacing w:line="230" w:lineRule="exact"/>
              <w:ind w:right="138"/>
              <w:jc w:val="right"/>
              <w:rPr>
                <w:sz w:val="20"/>
              </w:rPr>
            </w:pPr>
            <w:r>
              <w:rPr>
                <w:sz w:val="20"/>
              </w:rPr>
              <w:t>1.755</w:t>
            </w:r>
          </w:p>
        </w:tc>
        <w:tc>
          <w:tcPr>
            <w:tcW w:w="1711" w:type="dxa"/>
            <w:gridSpan w:val="2"/>
            <w:tcBorders>
              <w:right w:val="single" w:sz="8" w:space="0" w:color="4F81BC"/>
            </w:tcBorders>
          </w:tcPr>
          <w:p>
            <w:pPr>
              <w:pStyle w:val="TableParagraph"/>
              <w:spacing w:line="230" w:lineRule="exact"/>
              <w:ind w:left="770"/>
              <w:rPr>
                <w:sz w:val="20"/>
              </w:rPr>
            </w:pPr>
            <w:r>
              <w:rPr>
                <w:sz w:val="20"/>
              </w:rPr>
              <w:t>0.322</w:t>
            </w:r>
          </w:p>
        </w:tc>
      </w:tr>
      <w:tr>
        <w:trPr>
          <w:trHeight w:val="264" w:hRule="exact"/>
        </w:trPr>
        <w:tc>
          <w:tcPr>
            <w:tcW w:w="2927" w:type="dxa"/>
            <w:tcBorders>
              <w:left w:val="single" w:sz="8" w:space="0" w:color="4F81BC"/>
            </w:tcBorders>
            <w:shd w:val="clear" w:color="auto" w:fill="C5D9F0"/>
          </w:tcPr>
          <w:p>
            <w:pPr>
              <w:pStyle w:val="TableParagraph"/>
              <w:spacing w:line="225" w:lineRule="exact"/>
              <w:ind w:left="874"/>
              <w:rPr>
                <w:b/>
                <w:sz w:val="20"/>
              </w:rPr>
            </w:pPr>
            <w:r>
              <w:rPr>
                <w:b/>
                <w:sz w:val="20"/>
              </w:rPr>
              <w:t>Lower right</w:t>
            </w:r>
          </w:p>
        </w:tc>
        <w:tc>
          <w:tcPr>
            <w:tcW w:w="1450" w:type="dxa"/>
            <w:shd w:val="clear" w:color="auto" w:fill="C5D9F0"/>
          </w:tcPr>
          <w:p>
            <w:pPr>
              <w:pStyle w:val="TableParagraph"/>
              <w:spacing w:line="230" w:lineRule="exact"/>
              <w:ind w:left="381" w:right="412"/>
              <w:jc w:val="center"/>
              <w:rPr>
                <w:sz w:val="20"/>
              </w:rPr>
            </w:pPr>
            <w:r>
              <w:rPr>
                <w:sz w:val="20"/>
              </w:rPr>
              <w:t>13.01</w:t>
            </w:r>
          </w:p>
        </w:tc>
        <w:tc>
          <w:tcPr>
            <w:tcW w:w="1437" w:type="dxa"/>
            <w:shd w:val="clear" w:color="auto" w:fill="C5D9F0"/>
          </w:tcPr>
          <w:p>
            <w:pPr>
              <w:pStyle w:val="TableParagraph"/>
              <w:spacing w:line="230" w:lineRule="exact"/>
              <w:ind w:left="438"/>
              <w:rPr>
                <w:sz w:val="20"/>
              </w:rPr>
            </w:pPr>
            <w:r>
              <w:rPr>
                <w:sz w:val="20"/>
              </w:rPr>
              <w:t>11.078</w:t>
            </w:r>
          </w:p>
        </w:tc>
        <w:tc>
          <w:tcPr>
            <w:tcW w:w="1117" w:type="dxa"/>
            <w:shd w:val="clear" w:color="auto" w:fill="C5D9F0"/>
          </w:tcPr>
          <w:p>
            <w:pPr>
              <w:pStyle w:val="TableParagraph"/>
              <w:spacing w:line="230" w:lineRule="exact"/>
              <w:ind w:right="138"/>
              <w:jc w:val="right"/>
              <w:rPr>
                <w:sz w:val="20"/>
              </w:rPr>
            </w:pPr>
            <w:r>
              <w:rPr>
                <w:sz w:val="20"/>
              </w:rPr>
              <w:t>1.933</w:t>
            </w:r>
          </w:p>
        </w:tc>
        <w:tc>
          <w:tcPr>
            <w:tcW w:w="1711" w:type="dxa"/>
            <w:gridSpan w:val="2"/>
            <w:tcBorders>
              <w:right w:val="single" w:sz="8" w:space="0" w:color="4F81BC"/>
            </w:tcBorders>
            <w:shd w:val="clear" w:color="auto" w:fill="C5D9F0"/>
          </w:tcPr>
          <w:p>
            <w:pPr>
              <w:pStyle w:val="TableParagraph"/>
              <w:spacing w:line="230" w:lineRule="exact"/>
              <w:ind w:left="770"/>
              <w:rPr>
                <w:sz w:val="20"/>
              </w:rPr>
            </w:pPr>
            <w:r>
              <w:rPr>
                <w:sz w:val="20"/>
              </w:rPr>
              <w:t>0.203</w:t>
            </w:r>
          </w:p>
        </w:tc>
      </w:tr>
      <w:tr>
        <w:trPr>
          <w:trHeight w:val="264" w:hRule="exact"/>
        </w:trPr>
        <w:tc>
          <w:tcPr>
            <w:tcW w:w="2927" w:type="dxa"/>
            <w:tcBorders>
              <w:left w:val="single" w:sz="8" w:space="0" w:color="4F81BC"/>
            </w:tcBorders>
          </w:tcPr>
          <w:p>
            <w:pPr>
              <w:pStyle w:val="TableParagraph"/>
              <w:spacing w:line="225" w:lineRule="exact"/>
              <w:ind w:left="946"/>
              <w:rPr>
                <w:b/>
                <w:sz w:val="20"/>
              </w:rPr>
            </w:pPr>
            <w:r>
              <w:rPr>
                <w:b/>
                <w:sz w:val="20"/>
              </w:rPr>
              <w:t>Lower left</w:t>
            </w:r>
          </w:p>
        </w:tc>
        <w:tc>
          <w:tcPr>
            <w:tcW w:w="1450" w:type="dxa"/>
          </w:tcPr>
          <w:p>
            <w:pPr>
              <w:pStyle w:val="TableParagraph"/>
              <w:spacing w:line="230" w:lineRule="exact"/>
              <w:ind w:left="381" w:right="416"/>
              <w:jc w:val="center"/>
              <w:rPr>
                <w:sz w:val="20"/>
              </w:rPr>
            </w:pPr>
            <w:r>
              <w:rPr>
                <w:sz w:val="20"/>
              </w:rPr>
              <w:t>13.820</w:t>
            </w:r>
          </w:p>
        </w:tc>
        <w:tc>
          <w:tcPr>
            <w:tcW w:w="1437" w:type="dxa"/>
          </w:tcPr>
          <w:p>
            <w:pPr>
              <w:pStyle w:val="TableParagraph"/>
              <w:spacing w:line="230" w:lineRule="exact"/>
              <w:ind w:left="438"/>
              <w:rPr>
                <w:sz w:val="20"/>
              </w:rPr>
            </w:pPr>
            <w:r>
              <w:rPr>
                <w:sz w:val="20"/>
              </w:rPr>
              <w:t>10.893</w:t>
            </w:r>
          </w:p>
        </w:tc>
        <w:tc>
          <w:tcPr>
            <w:tcW w:w="1117" w:type="dxa"/>
          </w:tcPr>
          <w:p>
            <w:pPr>
              <w:pStyle w:val="TableParagraph"/>
              <w:spacing w:line="230" w:lineRule="exact"/>
              <w:ind w:right="138"/>
              <w:jc w:val="right"/>
              <w:rPr>
                <w:sz w:val="20"/>
              </w:rPr>
            </w:pPr>
            <w:r>
              <w:rPr>
                <w:sz w:val="20"/>
              </w:rPr>
              <w:t>2.926</w:t>
            </w:r>
          </w:p>
        </w:tc>
        <w:tc>
          <w:tcPr>
            <w:tcW w:w="1711" w:type="dxa"/>
            <w:gridSpan w:val="2"/>
            <w:tcBorders>
              <w:right w:val="single" w:sz="8" w:space="0" w:color="4F81BC"/>
            </w:tcBorders>
          </w:tcPr>
          <w:p>
            <w:pPr>
              <w:pStyle w:val="TableParagraph"/>
              <w:spacing w:line="230" w:lineRule="exact"/>
              <w:ind w:left="688"/>
              <w:rPr>
                <w:sz w:val="20"/>
              </w:rPr>
            </w:pPr>
            <w:r>
              <w:rPr>
                <w:sz w:val="20"/>
              </w:rPr>
              <w:t>0.034**</w:t>
            </w:r>
          </w:p>
        </w:tc>
      </w:tr>
      <w:tr>
        <w:trPr>
          <w:trHeight w:val="274" w:hRule="exact"/>
        </w:trPr>
        <w:tc>
          <w:tcPr>
            <w:tcW w:w="2927" w:type="dxa"/>
            <w:tcBorders>
              <w:left w:val="single" w:sz="8" w:space="0" w:color="4F81BC"/>
              <w:bottom w:val="single" w:sz="8" w:space="0" w:color="4F81BC"/>
            </w:tcBorders>
            <w:shd w:val="clear" w:color="auto" w:fill="C5D9F0"/>
          </w:tcPr>
          <w:p>
            <w:pPr>
              <w:pStyle w:val="TableParagraph"/>
              <w:spacing w:line="225" w:lineRule="exact"/>
              <w:ind w:left="1003" w:right="1084"/>
              <w:jc w:val="center"/>
              <w:rPr>
                <w:b/>
                <w:sz w:val="20"/>
              </w:rPr>
            </w:pPr>
            <w:r>
              <w:rPr>
                <w:b/>
                <w:sz w:val="20"/>
              </w:rPr>
              <w:t>Average</w:t>
            </w:r>
          </w:p>
        </w:tc>
        <w:tc>
          <w:tcPr>
            <w:tcW w:w="1450" w:type="dxa"/>
            <w:tcBorders>
              <w:bottom w:val="single" w:sz="8" w:space="0" w:color="4F81BC"/>
            </w:tcBorders>
            <w:shd w:val="clear" w:color="auto" w:fill="C5D9F0"/>
          </w:tcPr>
          <w:p>
            <w:pPr>
              <w:pStyle w:val="TableParagraph"/>
              <w:spacing w:line="230" w:lineRule="exact"/>
              <w:ind w:left="381" w:right="416"/>
              <w:jc w:val="center"/>
              <w:rPr>
                <w:sz w:val="20"/>
              </w:rPr>
            </w:pPr>
            <w:r>
              <w:rPr>
                <w:sz w:val="20"/>
              </w:rPr>
              <w:t>12.911</w:t>
            </w:r>
          </w:p>
        </w:tc>
        <w:tc>
          <w:tcPr>
            <w:tcW w:w="1437" w:type="dxa"/>
            <w:tcBorders>
              <w:bottom w:val="single" w:sz="8" w:space="0" w:color="4F81BC"/>
            </w:tcBorders>
            <w:shd w:val="clear" w:color="auto" w:fill="C5D9F0"/>
          </w:tcPr>
          <w:p>
            <w:pPr>
              <w:pStyle w:val="TableParagraph"/>
              <w:spacing w:line="230" w:lineRule="exact"/>
              <w:ind w:left="496"/>
              <w:rPr>
                <w:sz w:val="20"/>
              </w:rPr>
            </w:pPr>
            <w:r>
              <w:rPr>
                <w:sz w:val="20"/>
              </w:rPr>
              <w:t>9.692</w:t>
            </w:r>
          </w:p>
        </w:tc>
        <w:tc>
          <w:tcPr>
            <w:tcW w:w="1117" w:type="dxa"/>
            <w:tcBorders>
              <w:bottom w:val="single" w:sz="8" w:space="0" w:color="4F81BC"/>
            </w:tcBorders>
            <w:shd w:val="clear" w:color="auto" w:fill="C5D9F0"/>
          </w:tcPr>
          <w:p>
            <w:pPr>
              <w:pStyle w:val="TableParagraph"/>
              <w:spacing w:line="230" w:lineRule="exact"/>
              <w:ind w:right="138"/>
              <w:jc w:val="right"/>
              <w:rPr>
                <w:sz w:val="20"/>
              </w:rPr>
            </w:pPr>
            <w:r>
              <w:rPr>
                <w:sz w:val="20"/>
              </w:rPr>
              <w:t>3.218</w:t>
            </w:r>
          </w:p>
        </w:tc>
        <w:tc>
          <w:tcPr>
            <w:tcW w:w="1711" w:type="dxa"/>
            <w:gridSpan w:val="2"/>
            <w:tcBorders>
              <w:bottom w:val="single" w:sz="8" w:space="0" w:color="4F81BC"/>
              <w:right w:val="single" w:sz="8" w:space="0" w:color="4F81BC"/>
            </w:tcBorders>
            <w:shd w:val="clear" w:color="auto" w:fill="C5D9F0"/>
          </w:tcPr>
          <w:p>
            <w:pPr>
              <w:pStyle w:val="TableParagraph"/>
              <w:spacing w:line="230" w:lineRule="exact"/>
              <w:ind w:left="650"/>
              <w:rPr>
                <w:sz w:val="20"/>
              </w:rPr>
            </w:pPr>
            <w:r>
              <w:rPr>
                <w:sz w:val="20"/>
              </w:rPr>
              <w:t>0.001***</w:t>
            </w:r>
          </w:p>
        </w:tc>
      </w:tr>
    </w:tbl>
    <w:p>
      <w:pPr>
        <w:spacing w:line="183" w:lineRule="exact" w:before="0"/>
        <w:ind w:left="236" w:right="0" w:firstLine="0"/>
        <w:jc w:val="both"/>
        <w:rPr>
          <w:sz w:val="16"/>
        </w:rPr>
      </w:pPr>
      <w:r>
        <w:rPr>
          <w:sz w:val="16"/>
        </w:rPr>
        <w:t>** p&lt;0.05, *** p≤0.001. The data are expressed in fluorescence units and were measured by DIAGNOdent Pen.</w:t>
      </w:r>
    </w:p>
    <w:p>
      <w:pPr>
        <w:pStyle w:val="BodyText"/>
        <w:rPr>
          <w:sz w:val="16"/>
        </w:rPr>
      </w:pPr>
    </w:p>
    <w:p>
      <w:pPr>
        <w:pStyle w:val="BodyText"/>
        <w:spacing w:before="1"/>
        <w:rPr>
          <w:sz w:val="21"/>
        </w:rPr>
      </w:pPr>
    </w:p>
    <w:p>
      <w:pPr>
        <w:spacing w:line="362" w:lineRule="auto" w:before="1"/>
        <w:ind w:left="236" w:right="275" w:firstLine="0"/>
        <w:jc w:val="both"/>
        <w:rPr>
          <w:b/>
          <w:sz w:val="20"/>
        </w:rPr>
      </w:pPr>
      <w:r>
        <w:rPr>
          <w:b/>
          <w:sz w:val="20"/>
        </w:rPr>
        <w:t>Genetic expression of the receptors for the immunoglobulins A, G, and M (Fc</w:t>
      </w:r>
      <w:r>
        <w:rPr>
          <w:rFonts w:ascii="Symbol" w:hAnsi="Symbol"/>
          <w:b/>
          <w:sz w:val="20"/>
        </w:rPr>
        <w:t></w:t>
      </w:r>
      <w:r>
        <w:rPr>
          <w:b/>
          <w:sz w:val="20"/>
        </w:rPr>
        <w:t>R, Fc</w:t>
      </w:r>
      <w:r>
        <w:rPr>
          <w:rFonts w:ascii="Symbol" w:hAnsi="Symbol"/>
          <w:b/>
          <w:sz w:val="20"/>
        </w:rPr>
        <w:t></w:t>
      </w:r>
      <w:r>
        <w:rPr>
          <w:b/>
          <w:sz w:val="20"/>
        </w:rPr>
        <w:t>RIIB, and Fc</w:t>
      </w:r>
      <w:r>
        <w:rPr>
          <w:rFonts w:ascii="Symbol" w:hAnsi="Symbol"/>
          <w:b/>
          <w:sz w:val="20"/>
        </w:rPr>
        <w:t></w:t>
      </w:r>
      <w:r>
        <w:rPr>
          <w:b/>
          <w:sz w:val="20"/>
        </w:rPr>
        <w:t>R)</w:t>
      </w:r>
    </w:p>
    <w:p>
      <w:pPr>
        <w:spacing w:line="357" w:lineRule="auto" w:before="5"/>
        <w:ind w:left="236" w:right="273" w:firstLine="0"/>
        <w:jc w:val="both"/>
        <w:rPr>
          <w:sz w:val="20"/>
        </w:rPr>
      </w:pPr>
      <w:r>
        <w:rPr>
          <w:sz w:val="20"/>
        </w:rPr>
        <w:t>In both groups, relative gene expression of the immunoglobulin receptors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compared with the housekeeping gene was calculated. The receptor for IgA (Fc</w:t>
      </w:r>
      <w:r>
        <w:rPr>
          <w:rFonts w:ascii="Symbol" w:hAnsi="Symbol"/>
          <w:sz w:val="20"/>
        </w:rPr>
        <w:t></w:t>
      </w:r>
      <w:r>
        <w:rPr>
          <w:sz w:val="20"/>
        </w:rPr>
        <w:t>R) was expressed in all samples, whereas the receptors for IgG (Fc</w:t>
      </w:r>
      <w:r>
        <w:rPr>
          <w:rFonts w:ascii="Symbol" w:hAnsi="Symbol"/>
          <w:sz w:val="20"/>
        </w:rPr>
        <w:t></w:t>
      </w:r>
      <w:r>
        <w:rPr>
          <w:sz w:val="20"/>
        </w:rPr>
        <w:t>RIIB) and IgM (Fc</w:t>
      </w:r>
      <w:r>
        <w:rPr>
          <w:rFonts w:ascii="Symbol" w:hAnsi="Symbol"/>
          <w:sz w:val="20"/>
        </w:rPr>
        <w:t></w:t>
      </w:r>
      <w:r>
        <w:rPr>
          <w:sz w:val="20"/>
        </w:rPr>
        <w:t>R) were expressed only in some cases (regarding calibrated sample and constitutive gene) (Table 3).</w:t>
      </w:r>
    </w:p>
    <w:p>
      <w:pPr>
        <w:pStyle w:val="BodyText"/>
        <w:spacing w:before="8"/>
        <w:rPr>
          <w:sz w:val="17"/>
        </w:rPr>
      </w:pPr>
    </w:p>
    <w:p>
      <w:pPr>
        <w:spacing w:before="1"/>
        <w:ind w:left="2085" w:right="0" w:firstLine="0"/>
        <w:jc w:val="left"/>
        <w:rPr>
          <w:b/>
          <w:sz w:val="20"/>
        </w:rPr>
      </w:pPr>
      <w:r>
        <w:rPr>
          <w:b/>
          <w:sz w:val="20"/>
        </w:rPr>
        <w:t>Table 3. Genetic expression of Fc</w:t>
      </w:r>
      <w:r>
        <w:rPr>
          <w:rFonts w:ascii="Symbol" w:hAnsi="Symbol"/>
          <w:b/>
          <w:sz w:val="20"/>
        </w:rPr>
        <w:t></w:t>
      </w:r>
      <w:r>
        <w:rPr>
          <w:b/>
          <w:sz w:val="20"/>
        </w:rPr>
        <w:t>R, Fc</w:t>
      </w:r>
      <w:r>
        <w:rPr>
          <w:rFonts w:ascii="Symbol" w:hAnsi="Symbol"/>
          <w:b/>
          <w:sz w:val="20"/>
        </w:rPr>
        <w:t></w:t>
      </w:r>
      <w:r>
        <w:rPr>
          <w:b/>
          <w:sz w:val="20"/>
        </w:rPr>
        <w:t>RIIB, and Fc</w:t>
      </w:r>
      <w:r>
        <w:rPr>
          <w:rFonts w:ascii="Symbol" w:hAnsi="Symbol"/>
          <w:b/>
          <w:sz w:val="20"/>
        </w:rPr>
        <w:t></w:t>
      </w:r>
      <w:r>
        <w:rPr>
          <w:b/>
          <w:sz w:val="20"/>
        </w:rPr>
        <w:t>R</w:t>
      </w:r>
    </w:p>
    <w:p>
      <w:pPr>
        <w:pStyle w:val="BodyText"/>
        <w:spacing w:before="2"/>
        <w:rPr>
          <w:b/>
          <w:sz w:val="21"/>
        </w:rPr>
      </w:pPr>
    </w:p>
    <w:tbl>
      <w:tblPr>
        <w:tblW w:w="0" w:type="auto"/>
        <w:jc w:val="left"/>
        <w:tblInd w:w="33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28"/>
        <w:gridCol w:w="1351"/>
        <w:gridCol w:w="1306"/>
        <w:gridCol w:w="1198"/>
        <w:gridCol w:w="1076"/>
        <w:gridCol w:w="1025"/>
        <w:gridCol w:w="1118"/>
      </w:tblGrid>
      <w:tr>
        <w:trPr>
          <w:trHeight w:val="269" w:hRule="exact"/>
        </w:trPr>
        <w:tc>
          <w:tcPr>
            <w:tcW w:w="1828" w:type="dxa"/>
            <w:shd w:val="clear" w:color="auto" w:fill="4F81BC"/>
          </w:tcPr>
          <w:p>
            <w:pPr>
              <w:pStyle w:val="TableParagraph"/>
              <w:spacing w:before="13"/>
              <w:ind w:left="353" w:right="294"/>
              <w:jc w:val="center"/>
              <w:rPr>
                <w:b/>
                <w:sz w:val="18"/>
              </w:rPr>
            </w:pPr>
            <w:r>
              <w:rPr>
                <w:b/>
                <w:color w:val="FFFFFF"/>
                <w:sz w:val="18"/>
              </w:rPr>
              <w:t>Fc Receptors</w:t>
            </w:r>
          </w:p>
        </w:tc>
        <w:tc>
          <w:tcPr>
            <w:tcW w:w="1351" w:type="dxa"/>
            <w:shd w:val="clear" w:color="auto" w:fill="4F81BC"/>
          </w:tcPr>
          <w:p>
            <w:pPr>
              <w:pStyle w:val="TableParagraph"/>
              <w:spacing w:before="13"/>
              <w:ind w:left="157" w:right="182"/>
              <w:jc w:val="center"/>
              <w:rPr>
                <w:b/>
                <w:sz w:val="18"/>
              </w:rPr>
            </w:pPr>
            <w:r>
              <w:rPr>
                <w:b/>
                <w:color w:val="FFFFFF"/>
                <w:sz w:val="18"/>
              </w:rPr>
              <w:t>Expression</w:t>
            </w:r>
          </w:p>
        </w:tc>
        <w:tc>
          <w:tcPr>
            <w:tcW w:w="2504" w:type="dxa"/>
            <w:gridSpan w:val="2"/>
            <w:shd w:val="clear" w:color="auto" w:fill="4F81BC"/>
          </w:tcPr>
          <w:p>
            <w:pPr>
              <w:pStyle w:val="TableParagraph"/>
              <w:tabs>
                <w:tab w:pos="1598" w:val="left" w:leader="none"/>
              </w:tabs>
              <w:spacing w:before="13"/>
              <w:ind w:left="71"/>
              <w:rPr>
                <w:b/>
                <w:sz w:val="18"/>
              </w:rPr>
            </w:pPr>
            <w:r>
              <w:rPr>
                <w:b/>
                <w:color w:val="FFFFFF"/>
                <w:sz w:val="18"/>
              </w:rPr>
              <w:t>No expression</w:t>
              <w:tab/>
              <w:t>Minimum</w:t>
            </w:r>
          </w:p>
        </w:tc>
        <w:tc>
          <w:tcPr>
            <w:tcW w:w="1076" w:type="dxa"/>
            <w:shd w:val="clear" w:color="auto" w:fill="4F81BC"/>
          </w:tcPr>
          <w:p>
            <w:pPr>
              <w:pStyle w:val="TableParagraph"/>
              <w:spacing w:before="13"/>
              <w:ind w:left="118" w:right="87"/>
              <w:jc w:val="center"/>
              <w:rPr>
                <w:b/>
                <w:sz w:val="18"/>
              </w:rPr>
            </w:pPr>
            <w:r>
              <w:rPr>
                <w:b/>
                <w:color w:val="FFFFFF"/>
                <w:sz w:val="18"/>
              </w:rPr>
              <w:t>Maximum</w:t>
            </w:r>
          </w:p>
        </w:tc>
        <w:tc>
          <w:tcPr>
            <w:tcW w:w="1025" w:type="dxa"/>
            <w:shd w:val="clear" w:color="auto" w:fill="4F81BC"/>
          </w:tcPr>
          <w:p>
            <w:pPr>
              <w:pStyle w:val="TableParagraph"/>
              <w:spacing w:before="13"/>
              <w:ind w:left="143" w:right="131"/>
              <w:jc w:val="center"/>
              <w:rPr>
                <w:b/>
                <w:sz w:val="18"/>
              </w:rPr>
            </w:pPr>
            <w:r>
              <w:rPr>
                <w:b/>
                <w:color w:val="FFFFFF"/>
                <w:sz w:val="18"/>
              </w:rPr>
              <w:t>Average</w:t>
            </w:r>
          </w:p>
        </w:tc>
        <w:tc>
          <w:tcPr>
            <w:tcW w:w="1118" w:type="dxa"/>
            <w:shd w:val="clear" w:color="auto" w:fill="4F81BC"/>
          </w:tcPr>
          <w:p>
            <w:pPr>
              <w:pStyle w:val="TableParagraph"/>
              <w:spacing w:before="13"/>
              <w:ind w:left="361" w:right="366"/>
              <w:jc w:val="center"/>
              <w:rPr>
                <w:b/>
                <w:sz w:val="18"/>
              </w:rPr>
            </w:pPr>
            <w:r>
              <w:rPr>
                <w:b/>
                <w:color w:val="FFFFFF"/>
                <w:sz w:val="18"/>
              </w:rPr>
              <w:t>S.D.</w:t>
            </w:r>
          </w:p>
        </w:tc>
      </w:tr>
      <w:tr>
        <w:trPr>
          <w:trHeight w:val="519" w:hRule="exact"/>
        </w:trPr>
        <w:tc>
          <w:tcPr>
            <w:tcW w:w="8903" w:type="dxa"/>
            <w:gridSpan w:val="7"/>
            <w:tcBorders>
              <w:top w:val="single" w:sz="8" w:space="0" w:color="4F81BC"/>
              <w:left w:val="single" w:sz="8" w:space="0" w:color="4F81BC"/>
              <w:bottom w:val="single" w:sz="4" w:space="0" w:color="4F81BC"/>
              <w:right w:val="single" w:sz="8" w:space="0" w:color="4F81BC"/>
            </w:tcBorders>
            <w:shd w:val="clear" w:color="auto" w:fill="C5D9F0"/>
          </w:tcPr>
          <w:p>
            <w:pPr>
              <w:pStyle w:val="TableParagraph"/>
              <w:spacing w:line="201" w:lineRule="exact"/>
              <w:ind w:left="3553" w:right="3544"/>
              <w:jc w:val="center"/>
              <w:rPr>
                <w:b/>
                <w:sz w:val="18"/>
              </w:rPr>
            </w:pPr>
            <w:r>
              <w:rPr>
                <w:b/>
                <w:sz w:val="18"/>
              </w:rPr>
              <w:t>Mixed dentition</w:t>
            </w:r>
          </w:p>
          <w:p>
            <w:pPr>
              <w:pStyle w:val="TableParagraph"/>
              <w:spacing w:before="33"/>
              <w:ind w:left="3553" w:right="3547"/>
              <w:jc w:val="center"/>
              <w:rPr>
                <w:b/>
                <w:sz w:val="20"/>
              </w:rPr>
            </w:pPr>
            <w:r>
              <w:rPr>
                <w:b/>
                <w:sz w:val="20"/>
              </w:rPr>
              <w:t>n=50</w:t>
            </w:r>
          </w:p>
        </w:tc>
      </w:tr>
      <w:tr>
        <w:trPr>
          <w:trHeight w:val="259" w:hRule="exact"/>
        </w:trPr>
        <w:tc>
          <w:tcPr>
            <w:tcW w:w="1828" w:type="dxa"/>
            <w:tcBorders>
              <w:top w:val="single" w:sz="4" w:space="0" w:color="4F81BC"/>
              <w:left w:val="single" w:sz="8" w:space="0" w:color="4F81BC"/>
            </w:tcBorders>
          </w:tcPr>
          <w:p>
            <w:pPr>
              <w:pStyle w:val="TableParagraph"/>
              <w:spacing w:line="212" w:lineRule="exact"/>
              <w:ind w:left="592" w:right="541"/>
              <w:jc w:val="center"/>
              <w:rPr>
                <w:b/>
                <w:sz w:val="18"/>
              </w:rPr>
            </w:pPr>
            <w:r>
              <w:rPr>
                <w:b/>
                <w:sz w:val="18"/>
              </w:rPr>
              <w:t>Fc</w:t>
            </w:r>
            <w:r>
              <w:rPr>
                <w:rFonts w:ascii="Symbol" w:hAnsi="Symbol"/>
                <w:b/>
                <w:sz w:val="18"/>
              </w:rPr>
              <w:t></w:t>
            </w:r>
            <w:r>
              <w:rPr>
                <w:b/>
                <w:sz w:val="18"/>
              </w:rPr>
              <w:t>R</w:t>
            </w:r>
          </w:p>
        </w:tc>
        <w:tc>
          <w:tcPr>
            <w:tcW w:w="1351" w:type="dxa"/>
            <w:tcBorders>
              <w:top w:val="single" w:sz="4" w:space="0" w:color="4F81BC"/>
            </w:tcBorders>
          </w:tcPr>
          <w:p>
            <w:pPr>
              <w:pStyle w:val="TableParagraph"/>
              <w:spacing w:line="206" w:lineRule="exact"/>
              <w:ind w:left="152" w:right="182"/>
              <w:jc w:val="center"/>
              <w:rPr>
                <w:sz w:val="18"/>
              </w:rPr>
            </w:pPr>
            <w:r>
              <w:rPr>
                <w:sz w:val="18"/>
              </w:rPr>
              <w:t>50</w:t>
            </w:r>
          </w:p>
        </w:tc>
        <w:tc>
          <w:tcPr>
            <w:tcW w:w="1306" w:type="dxa"/>
            <w:tcBorders>
              <w:top w:val="single" w:sz="4" w:space="0" w:color="4F81BC"/>
            </w:tcBorders>
          </w:tcPr>
          <w:p>
            <w:pPr>
              <w:pStyle w:val="TableParagraph"/>
              <w:spacing w:line="206" w:lineRule="exact"/>
              <w:ind w:left="72"/>
              <w:jc w:val="center"/>
              <w:rPr>
                <w:sz w:val="18"/>
              </w:rPr>
            </w:pPr>
            <w:r>
              <w:rPr>
                <w:w w:val="101"/>
                <w:sz w:val="18"/>
              </w:rPr>
              <w:t>0</w:t>
            </w:r>
          </w:p>
        </w:tc>
        <w:tc>
          <w:tcPr>
            <w:tcW w:w="1198" w:type="dxa"/>
            <w:tcBorders>
              <w:top w:val="single" w:sz="4" w:space="0" w:color="4F81BC"/>
            </w:tcBorders>
          </w:tcPr>
          <w:p>
            <w:pPr>
              <w:pStyle w:val="TableParagraph"/>
              <w:spacing w:line="206" w:lineRule="exact"/>
              <w:ind w:left="495" w:right="311"/>
              <w:jc w:val="center"/>
              <w:rPr>
                <w:sz w:val="18"/>
              </w:rPr>
            </w:pPr>
            <w:r>
              <w:rPr>
                <w:sz w:val="18"/>
              </w:rPr>
              <w:t>0.00</w:t>
            </w:r>
          </w:p>
        </w:tc>
        <w:tc>
          <w:tcPr>
            <w:tcW w:w="1076" w:type="dxa"/>
            <w:tcBorders>
              <w:top w:val="single" w:sz="4" w:space="0" w:color="4F81BC"/>
            </w:tcBorders>
          </w:tcPr>
          <w:p>
            <w:pPr>
              <w:pStyle w:val="TableParagraph"/>
              <w:spacing w:line="206" w:lineRule="exact"/>
              <w:ind w:left="118" w:right="80"/>
              <w:jc w:val="center"/>
              <w:rPr>
                <w:sz w:val="18"/>
              </w:rPr>
            </w:pPr>
            <w:r>
              <w:rPr>
                <w:sz w:val="18"/>
              </w:rPr>
              <w:t>41.99</w:t>
            </w:r>
          </w:p>
        </w:tc>
        <w:tc>
          <w:tcPr>
            <w:tcW w:w="1025" w:type="dxa"/>
            <w:tcBorders>
              <w:top w:val="single" w:sz="4" w:space="0" w:color="4F81BC"/>
            </w:tcBorders>
          </w:tcPr>
          <w:p>
            <w:pPr>
              <w:pStyle w:val="TableParagraph"/>
              <w:spacing w:line="206" w:lineRule="exact"/>
              <w:ind w:left="143" w:right="131"/>
              <w:jc w:val="center"/>
              <w:rPr>
                <w:sz w:val="18"/>
              </w:rPr>
            </w:pPr>
            <w:r>
              <w:rPr>
                <w:sz w:val="18"/>
              </w:rPr>
              <w:t>1.914</w:t>
            </w:r>
          </w:p>
        </w:tc>
        <w:tc>
          <w:tcPr>
            <w:tcW w:w="1118" w:type="dxa"/>
            <w:tcBorders>
              <w:top w:val="single" w:sz="4" w:space="0" w:color="4F81BC"/>
              <w:right w:val="single" w:sz="8" w:space="0" w:color="4F81BC"/>
            </w:tcBorders>
          </w:tcPr>
          <w:p>
            <w:pPr>
              <w:pStyle w:val="TableParagraph"/>
              <w:spacing w:line="206" w:lineRule="exact"/>
              <w:ind w:left="256" w:right="256"/>
              <w:jc w:val="center"/>
              <w:rPr>
                <w:sz w:val="18"/>
              </w:rPr>
            </w:pPr>
            <w:r>
              <w:rPr>
                <w:sz w:val="18"/>
              </w:rPr>
              <w:t>6.451</w:t>
            </w:r>
          </w:p>
        </w:tc>
      </w:tr>
      <w:tr>
        <w:trPr>
          <w:trHeight w:val="250" w:hRule="exact"/>
        </w:trPr>
        <w:tc>
          <w:tcPr>
            <w:tcW w:w="1828" w:type="dxa"/>
            <w:tcBorders>
              <w:left w:val="single" w:sz="8" w:space="0" w:color="4F81BC"/>
            </w:tcBorders>
            <w:shd w:val="clear" w:color="auto" w:fill="C5D9F0"/>
          </w:tcPr>
          <w:p>
            <w:pPr>
              <w:pStyle w:val="TableParagraph"/>
              <w:spacing w:line="212" w:lineRule="exact"/>
              <w:ind w:left="592" w:right="541"/>
              <w:jc w:val="center"/>
              <w:rPr>
                <w:b/>
                <w:sz w:val="18"/>
              </w:rPr>
            </w:pPr>
            <w:r>
              <w:rPr>
                <w:b/>
                <w:sz w:val="18"/>
              </w:rPr>
              <w:t>Fc</w:t>
            </w:r>
            <w:r>
              <w:rPr>
                <w:rFonts w:ascii="Symbol" w:hAnsi="Symbol"/>
                <w:b/>
                <w:sz w:val="18"/>
              </w:rPr>
              <w:t></w:t>
            </w:r>
            <w:r>
              <w:rPr>
                <w:b/>
                <w:sz w:val="18"/>
              </w:rPr>
              <w:t>RIIB</w:t>
            </w:r>
          </w:p>
        </w:tc>
        <w:tc>
          <w:tcPr>
            <w:tcW w:w="1351" w:type="dxa"/>
            <w:shd w:val="clear" w:color="auto" w:fill="C5D9F0"/>
          </w:tcPr>
          <w:p>
            <w:pPr>
              <w:pStyle w:val="TableParagraph"/>
              <w:spacing w:line="206" w:lineRule="exact"/>
              <w:ind w:left="152" w:right="182"/>
              <w:jc w:val="center"/>
              <w:rPr>
                <w:sz w:val="18"/>
              </w:rPr>
            </w:pPr>
            <w:r>
              <w:rPr>
                <w:sz w:val="18"/>
              </w:rPr>
              <w:t>29</w:t>
            </w:r>
          </w:p>
        </w:tc>
        <w:tc>
          <w:tcPr>
            <w:tcW w:w="1306" w:type="dxa"/>
            <w:shd w:val="clear" w:color="auto" w:fill="C5D9F0"/>
          </w:tcPr>
          <w:p>
            <w:pPr>
              <w:pStyle w:val="TableParagraph"/>
              <w:spacing w:line="206" w:lineRule="exact"/>
              <w:ind w:left="570" w:right="494"/>
              <w:jc w:val="center"/>
              <w:rPr>
                <w:sz w:val="18"/>
              </w:rPr>
            </w:pPr>
            <w:r>
              <w:rPr>
                <w:sz w:val="18"/>
              </w:rPr>
              <w:t>21</w:t>
            </w:r>
          </w:p>
        </w:tc>
        <w:tc>
          <w:tcPr>
            <w:tcW w:w="1198" w:type="dxa"/>
            <w:shd w:val="clear" w:color="auto" w:fill="C5D9F0"/>
          </w:tcPr>
          <w:p>
            <w:pPr>
              <w:pStyle w:val="TableParagraph"/>
              <w:spacing w:line="206" w:lineRule="exact"/>
              <w:ind w:left="495" w:right="311"/>
              <w:jc w:val="center"/>
              <w:rPr>
                <w:sz w:val="18"/>
              </w:rPr>
            </w:pPr>
            <w:r>
              <w:rPr>
                <w:sz w:val="18"/>
              </w:rPr>
              <w:t>0.00</w:t>
            </w:r>
          </w:p>
        </w:tc>
        <w:tc>
          <w:tcPr>
            <w:tcW w:w="1076" w:type="dxa"/>
            <w:shd w:val="clear" w:color="auto" w:fill="C5D9F0"/>
          </w:tcPr>
          <w:p>
            <w:pPr>
              <w:pStyle w:val="TableParagraph"/>
              <w:spacing w:line="206" w:lineRule="exact"/>
              <w:ind w:left="118" w:right="80"/>
              <w:jc w:val="center"/>
              <w:rPr>
                <w:sz w:val="18"/>
              </w:rPr>
            </w:pPr>
            <w:r>
              <w:rPr>
                <w:sz w:val="18"/>
              </w:rPr>
              <w:t>26.52</w:t>
            </w:r>
          </w:p>
        </w:tc>
        <w:tc>
          <w:tcPr>
            <w:tcW w:w="1025" w:type="dxa"/>
            <w:shd w:val="clear" w:color="auto" w:fill="C5D9F0"/>
          </w:tcPr>
          <w:p>
            <w:pPr>
              <w:pStyle w:val="TableParagraph"/>
              <w:spacing w:line="206" w:lineRule="exact"/>
              <w:ind w:left="143" w:right="131"/>
              <w:jc w:val="center"/>
              <w:rPr>
                <w:sz w:val="18"/>
              </w:rPr>
            </w:pPr>
            <w:r>
              <w:rPr>
                <w:sz w:val="18"/>
              </w:rPr>
              <w:t>2.863</w:t>
            </w:r>
          </w:p>
        </w:tc>
        <w:tc>
          <w:tcPr>
            <w:tcW w:w="1118" w:type="dxa"/>
            <w:tcBorders>
              <w:right w:val="single" w:sz="8" w:space="0" w:color="4F81BC"/>
            </w:tcBorders>
            <w:shd w:val="clear" w:color="auto" w:fill="C5D9F0"/>
          </w:tcPr>
          <w:p>
            <w:pPr>
              <w:pStyle w:val="TableParagraph"/>
              <w:spacing w:line="206" w:lineRule="exact"/>
              <w:ind w:left="256" w:right="256"/>
              <w:jc w:val="center"/>
              <w:rPr>
                <w:sz w:val="18"/>
              </w:rPr>
            </w:pPr>
            <w:r>
              <w:rPr>
                <w:sz w:val="18"/>
              </w:rPr>
              <w:t>6.109</w:t>
            </w:r>
          </w:p>
        </w:tc>
      </w:tr>
      <w:tr>
        <w:trPr>
          <w:trHeight w:val="259" w:hRule="exact"/>
        </w:trPr>
        <w:tc>
          <w:tcPr>
            <w:tcW w:w="1828" w:type="dxa"/>
            <w:tcBorders>
              <w:left w:val="single" w:sz="8" w:space="0" w:color="4F81BC"/>
              <w:bottom w:val="single" w:sz="4" w:space="0" w:color="4F81BC"/>
            </w:tcBorders>
          </w:tcPr>
          <w:p>
            <w:pPr>
              <w:pStyle w:val="TableParagraph"/>
              <w:spacing w:line="212" w:lineRule="exact"/>
              <w:ind w:left="592" w:right="541"/>
              <w:jc w:val="center"/>
              <w:rPr>
                <w:b/>
                <w:sz w:val="18"/>
              </w:rPr>
            </w:pPr>
            <w:r>
              <w:rPr>
                <w:b/>
                <w:sz w:val="18"/>
              </w:rPr>
              <w:t>Fc</w:t>
            </w:r>
            <w:r>
              <w:rPr>
                <w:rFonts w:ascii="Symbol" w:hAnsi="Symbol"/>
                <w:b/>
                <w:sz w:val="18"/>
              </w:rPr>
              <w:t></w:t>
            </w:r>
            <w:r>
              <w:rPr>
                <w:b/>
                <w:sz w:val="18"/>
              </w:rPr>
              <w:t>R</w:t>
            </w:r>
          </w:p>
        </w:tc>
        <w:tc>
          <w:tcPr>
            <w:tcW w:w="1351" w:type="dxa"/>
            <w:tcBorders>
              <w:bottom w:val="single" w:sz="4" w:space="0" w:color="4F81BC"/>
            </w:tcBorders>
          </w:tcPr>
          <w:p>
            <w:pPr>
              <w:pStyle w:val="TableParagraph"/>
              <w:spacing w:before="4"/>
              <w:ind w:right="34"/>
              <w:jc w:val="center"/>
              <w:rPr>
                <w:sz w:val="18"/>
              </w:rPr>
            </w:pPr>
            <w:r>
              <w:rPr>
                <w:w w:val="101"/>
                <w:sz w:val="18"/>
              </w:rPr>
              <w:t>2</w:t>
            </w:r>
          </w:p>
        </w:tc>
        <w:tc>
          <w:tcPr>
            <w:tcW w:w="1306" w:type="dxa"/>
            <w:tcBorders>
              <w:bottom w:val="single" w:sz="4" w:space="0" w:color="4F81BC"/>
            </w:tcBorders>
          </w:tcPr>
          <w:p>
            <w:pPr>
              <w:pStyle w:val="TableParagraph"/>
              <w:spacing w:before="4"/>
              <w:ind w:left="570" w:right="494"/>
              <w:jc w:val="center"/>
              <w:rPr>
                <w:sz w:val="18"/>
              </w:rPr>
            </w:pPr>
            <w:r>
              <w:rPr>
                <w:sz w:val="18"/>
              </w:rPr>
              <w:t>48</w:t>
            </w:r>
          </w:p>
        </w:tc>
        <w:tc>
          <w:tcPr>
            <w:tcW w:w="1198" w:type="dxa"/>
            <w:tcBorders>
              <w:bottom w:val="single" w:sz="4" w:space="0" w:color="4F81BC"/>
            </w:tcBorders>
          </w:tcPr>
          <w:p>
            <w:pPr>
              <w:pStyle w:val="TableParagraph"/>
              <w:spacing w:before="4"/>
              <w:ind w:left="495" w:right="311"/>
              <w:jc w:val="center"/>
              <w:rPr>
                <w:sz w:val="18"/>
              </w:rPr>
            </w:pPr>
            <w:r>
              <w:rPr>
                <w:sz w:val="18"/>
              </w:rPr>
              <w:t>0.04</w:t>
            </w:r>
          </w:p>
        </w:tc>
        <w:tc>
          <w:tcPr>
            <w:tcW w:w="1076" w:type="dxa"/>
            <w:tcBorders>
              <w:bottom w:val="single" w:sz="4" w:space="0" w:color="4F81BC"/>
            </w:tcBorders>
          </w:tcPr>
          <w:p>
            <w:pPr>
              <w:pStyle w:val="TableParagraph"/>
              <w:spacing w:before="4"/>
              <w:ind w:left="118" w:right="85"/>
              <w:jc w:val="center"/>
              <w:rPr>
                <w:sz w:val="18"/>
              </w:rPr>
            </w:pPr>
            <w:r>
              <w:rPr>
                <w:sz w:val="18"/>
              </w:rPr>
              <w:t>0.06</w:t>
            </w:r>
          </w:p>
        </w:tc>
        <w:tc>
          <w:tcPr>
            <w:tcW w:w="1025" w:type="dxa"/>
            <w:tcBorders>
              <w:bottom w:val="single" w:sz="4" w:space="0" w:color="4F81BC"/>
            </w:tcBorders>
          </w:tcPr>
          <w:p>
            <w:pPr>
              <w:pStyle w:val="TableParagraph"/>
              <w:spacing w:before="4"/>
              <w:ind w:left="143" w:right="131"/>
              <w:jc w:val="center"/>
              <w:rPr>
                <w:sz w:val="18"/>
              </w:rPr>
            </w:pPr>
            <w:r>
              <w:rPr>
                <w:sz w:val="18"/>
              </w:rPr>
              <w:t>0.050</w:t>
            </w:r>
          </w:p>
        </w:tc>
        <w:tc>
          <w:tcPr>
            <w:tcW w:w="1118" w:type="dxa"/>
            <w:tcBorders>
              <w:bottom w:val="single" w:sz="4" w:space="0" w:color="4F81BC"/>
              <w:right w:val="single" w:sz="8" w:space="0" w:color="4F81BC"/>
            </w:tcBorders>
          </w:tcPr>
          <w:p>
            <w:pPr>
              <w:pStyle w:val="TableParagraph"/>
              <w:spacing w:before="4"/>
              <w:ind w:left="261" w:right="256"/>
              <w:jc w:val="center"/>
              <w:rPr>
                <w:sz w:val="18"/>
              </w:rPr>
            </w:pPr>
            <w:r>
              <w:rPr>
                <w:sz w:val="18"/>
              </w:rPr>
              <w:t>0.0141</w:t>
            </w:r>
          </w:p>
        </w:tc>
      </w:tr>
      <w:tr>
        <w:trPr>
          <w:trHeight w:val="514" w:hRule="exact"/>
        </w:trPr>
        <w:tc>
          <w:tcPr>
            <w:tcW w:w="8903" w:type="dxa"/>
            <w:gridSpan w:val="7"/>
            <w:tcBorders>
              <w:top w:val="single" w:sz="4" w:space="0" w:color="4F81BC"/>
              <w:left w:val="single" w:sz="8" w:space="0" w:color="4F81BC"/>
              <w:bottom w:val="single" w:sz="4" w:space="0" w:color="4F81BC"/>
              <w:right w:val="single" w:sz="8" w:space="0" w:color="4F81BC"/>
            </w:tcBorders>
            <w:shd w:val="clear" w:color="auto" w:fill="C5D9F0"/>
          </w:tcPr>
          <w:p>
            <w:pPr>
              <w:pStyle w:val="TableParagraph"/>
              <w:spacing w:line="201" w:lineRule="exact"/>
              <w:ind w:left="3553" w:right="3549"/>
              <w:jc w:val="center"/>
              <w:rPr>
                <w:b/>
                <w:sz w:val="18"/>
              </w:rPr>
            </w:pPr>
            <w:r>
              <w:rPr>
                <w:b/>
                <w:sz w:val="18"/>
              </w:rPr>
              <w:t>Permanent dentition</w:t>
            </w:r>
          </w:p>
          <w:p>
            <w:pPr>
              <w:pStyle w:val="TableParagraph"/>
              <w:spacing w:before="33"/>
              <w:ind w:left="3553" w:right="3547"/>
              <w:jc w:val="center"/>
              <w:rPr>
                <w:b/>
                <w:sz w:val="20"/>
              </w:rPr>
            </w:pPr>
            <w:r>
              <w:rPr>
                <w:b/>
                <w:sz w:val="20"/>
              </w:rPr>
              <w:t>n=50</w:t>
            </w:r>
          </w:p>
        </w:tc>
      </w:tr>
      <w:tr>
        <w:trPr>
          <w:trHeight w:val="248" w:hRule="exact"/>
        </w:trPr>
        <w:tc>
          <w:tcPr>
            <w:tcW w:w="1828" w:type="dxa"/>
            <w:tcBorders>
              <w:top w:val="single" w:sz="4" w:space="0" w:color="4F81BC"/>
              <w:left w:val="single" w:sz="8" w:space="0" w:color="4F81BC"/>
            </w:tcBorders>
          </w:tcPr>
          <w:p>
            <w:pPr>
              <w:pStyle w:val="TableParagraph"/>
              <w:spacing w:line="212" w:lineRule="exact"/>
              <w:ind w:left="592" w:right="541"/>
              <w:jc w:val="center"/>
              <w:rPr>
                <w:b/>
                <w:sz w:val="18"/>
              </w:rPr>
            </w:pPr>
            <w:r>
              <w:rPr>
                <w:b/>
                <w:sz w:val="18"/>
              </w:rPr>
              <w:t>Fc</w:t>
            </w:r>
            <w:r>
              <w:rPr>
                <w:rFonts w:ascii="Symbol" w:hAnsi="Symbol"/>
                <w:b/>
                <w:sz w:val="18"/>
              </w:rPr>
              <w:t></w:t>
            </w:r>
            <w:r>
              <w:rPr>
                <w:b/>
                <w:sz w:val="18"/>
              </w:rPr>
              <w:t>R</w:t>
            </w:r>
          </w:p>
        </w:tc>
        <w:tc>
          <w:tcPr>
            <w:tcW w:w="1351" w:type="dxa"/>
            <w:tcBorders>
              <w:top w:val="single" w:sz="4" w:space="0" w:color="4F81BC"/>
            </w:tcBorders>
          </w:tcPr>
          <w:p>
            <w:pPr>
              <w:pStyle w:val="TableParagraph"/>
              <w:spacing w:before="4"/>
              <w:ind w:left="152" w:right="182"/>
              <w:jc w:val="center"/>
              <w:rPr>
                <w:sz w:val="18"/>
              </w:rPr>
            </w:pPr>
            <w:r>
              <w:rPr>
                <w:sz w:val="18"/>
              </w:rPr>
              <w:t>50</w:t>
            </w:r>
          </w:p>
        </w:tc>
        <w:tc>
          <w:tcPr>
            <w:tcW w:w="1306" w:type="dxa"/>
            <w:tcBorders>
              <w:top w:val="single" w:sz="4" w:space="0" w:color="4F81BC"/>
            </w:tcBorders>
          </w:tcPr>
          <w:p>
            <w:pPr>
              <w:pStyle w:val="TableParagraph"/>
              <w:spacing w:before="4"/>
              <w:ind w:left="72"/>
              <w:jc w:val="center"/>
              <w:rPr>
                <w:sz w:val="18"/>
              </w:rPr>
            </w:pPr>
            <w:r>
              <w:rPr>
                <w:w w:val="101"/>
                <w:sz w:val="18"/>
              </w:rPr>
              <w:t>0</w:t>
            </w:r>
          </w:p>
        </w:tc>
        <w:tc>
          <w:tcPr>
            <w:tcW w:w="1198" w:type="dxa"/>
            <w:tcBorders>
              <w:top w:val="single" w:sz="4" w:space="0" w:color="4F81BC"/>
            </w:tcBorders>
          </w:tcPr>
          <w:p>
            <w:pPr>
              <w:pStyle w:val="TableParagraph"/>
              <w:spacing w:before="4"/>
              <w:ind w:left="495" w:right="311"/>
              <w:jc w:val="center"/>
              <w:rPr>
                <w:sz w:val="18"/>
              </w:rPr>
            </w:pPr>
            <w:r>
              <w:rPr>
                <w:sz w:val="18"/>
              </w:rPr>
              <w:t>0.00</w:t>
            </w:r>
          </w:p>
        </w:tc>
        <w:tc>
          <w:tcPr>
            <w:tcW w:w="1076" w:type="dxa"/>
            <w:tcBorders>
              <w:top w:val="single" w:sz="4" w:space="0" w:color="4F81BC"/>
            </w:tcBorders>
          </w:tcPr>
          <w:p>
            <w:pPr>
              <w:pStyle w:val="TableParagraph"/>
              <w:spacing w:before="4"/>
              <w:ind w:left="118" w:right="80"/>
              <w:jc w:val="center"/>
              <w:rPr>
                <w:sz w:val="18"/>
              </w:rPr>
            </w:pPr>
            <w:r>
              <w:rPr>
                <w:sz w:val="18"/>
              </w:rPr>
              <w:t>36.73</w:t>
            </w:r>
          </w:p>
        </w:tc>
        <w:tc>
          <w:tcPr>
            <w:tcW w:w="1025" w:type="dxa"/>
            <w:tcBorders>
              <w:top w:val="single" w:sz="4" w:space="0" w:color="4F81BC"/>
            </w:tcBorders>
          </w:tcPr>
          <w:p>
            <w:pPr>
              <w:pStyle w:val="TableParagraph"/>
              <w:spacing w:before="4"/>
              <w:ind w:left="143" w:right="131"/>
              <w:jc w:val="center"/>
              <w:rPr>
                <w:sz w:val="18"/>
              </w:rPr>
            </w:pPr>
            <w:r>
              <w:rPr>
                <w:sz w:val="18"/>
              </w:rPr>
              <w:t>4.152</w:t>
            </w:r>
          </w:p>
        </w:tc>
        <w:tc>
          <w:tcPr>
            <w:tcW w:w="1118" w:type="dxa"/>
            <w:tcBorders>
              <w:top w:val="single" w:sz="4" w:space="0" w:color="4F81BC"/>
              <w:right w:val="single" w:sz="8" w:space="0" w:color="4F81BC"/>
            </w:tcBorders>
          </w:tcPr>
          <w:p>
            <w:pPr>
              <w:pStyle w:val="TableParagraph"/>
              <w:spacing w:before="4"/>
              <w:ind w:left="256" w:right="256"/>
              <w:jc w:val="center"/>
              <w:rPr>
                <w:sz w:val="18"/>
              </w:rPr>
            </w:pPr>
            <w:r>
              <w:rPr>
                <w:sz w:val="18"/>
              </w:rPr>
              <w:t>9.537</w:t>
            </w:r>
          </w:p>
        </w:tc>
      </w:tr>
      <w:tr>
        <w:trPr>
          <w:trHeight w:val="253" w:hRule="exact"/>
        </w:trPr>
        <w:tc>
          <w:tcPr>
            <w:tcW w:w="1828" w:type="dxa"/>
            <w:tcBorders>
              <w:left w:val="single" w:sz="8" w:space="0" w:color="4F81BC"/>
            </w:tcBorders>
          </w:tcPr>
          <w:p>
            <w:pPr>
              <w:pStyle w:val="TableParagraph"/>
              <w:tabs>
                <w:tab w:pos="610" w:val="left" w:leader="none"/>
                <w:tab w:pos="1877" w:val="left" w:leader="none"/>
              </w:tabs>
              <w:spacing w:before="4"/>
              <w:ind w:left="4" w:right="-60"/>
              <w:jc w:val="center"/>
              <w:rPr>
                <w:b/>
                <w:sz w:val="18"/>
              </w:rPr>
            </w:pPr>
            <w:r>
              <w:rPr>
                <w:b/>
                <w:w w:val="101"/>
                <w:sz w:val="18"/>
                <w:shd w:fill="C5D9F0" w:color="auto" w:val="clear"/>
              </w:rPr>
              <w:t> </w:t>
            </w:r>
            <w:r>
              <w:rPr>
                <w:b/>
                <w:sz w:val="18"/>
                <w:shd w:fill="C5D9F0" w:color="auto" w:val="clear"/>
              </w:rPr>
              <w:tab/>
              <w:t>Fc</w:t>
            </w:r>
            <w:r>
              <w:rPr>
                <w:rFonts w:ascii="Symbol" w:hAnsi="Symbol"/>
                <w:b/>
                <w:sz w:val="18"/>
                <w:shd w:fill="C5D9F0" w:color="auto" w:val="clear"/>
              </w:rPr>
              <w:t></w:t>
            </w:r>
            <w:r>
              <w:rPr>
                <w:b/>
                <w:sz w:val="18"/>
                <w:shd w:fill="C5D9F0" w:color="auto" w:val="clear"/>
              </w:rPr>
              <w:t>RIIB</w:t>
              <w:tab/>
            </w:r>
          </w:p>
        </w:tc>
        <w:tc>
          <w:tcPr>
            <w:tcW w:w="1351" w:type="dxa"/>
          </w:tcPr>
          <w:p>
            <w:pPr>
              <w:pStyle w:val="TableParagraph"/>
              <w:spacing w:before="16"/>
              <w:ind w:left="152" w:right="182"/>
              <w:jc w:val="center"/>
              <w:rPr>
                <w:sz w:val="18"/>
              </w:rPr>
            </w:pPr>
            <w:r>
              <w:rPr>
                <w:sz w:val="18"/>
              </w:rPr>
              <w:t>26</w:t>
            </w:r>
          </w:p>
        </w:tc>
        <w:tc>
          <w:tcPr>
            <w:tcW w:w="1306" w:type="dxa"/>
          </w:tcPr>
          <w:p>
            <w:pPr>
              <w:pStyle w:val="TableParagraph"/>
              <w:spacing w:before="16"/>
              <w:ind w:left="570" w:right="494"/>
              <w:jc w:val="center"/>
              <w:rPr>
                <w:sz w:val="18"/>
              </w:rPr>
            </w:pPr>
            <w:r>
              <w:rPr>
                <w:sz w:val="18"/>
              </w:rPr>
              <w:t>24</w:t>
            </w:r>
          </w:p>
        </w:tc>
        <w:tc>
          <w:tcPr>
            <w:tcW w:w="1198" w:type="dxa"/>
          </w:tcPr>
          <w:p>
            <w:pPr>
              <w:pStyle w:val="TableParagraph"/>
              <w:spacing w:before="16"/>
              <w:ind w:left="180"/>
              <w:jc w:val="center"/>
              <w:rPr>
                <w:sz w:val="18"/>
              </w:rPr>
            </w:pPr>
            <w:r>
              <w:rPr>
                <w:w w:val="101"/>
                <w:sz w:val="18"/>
              </w:rPr>
              <w:t>0</w:t>
            </w:r>
          </w:p>
        </w:tc>
        <w:tc>
          <w:tcPr>
            <w:tcW w:w="1076" w:type="dxa"/>
          </w:tcPr>
          <w:p>
            <w:pPr>
              <w:pStyle w:val="TableParagraph"/>
              <w:spacing w:before="16"/>
              <w:ind w:left="118" w:right="86"/>
              <w:jc w:val="center"/>
              <w:rPr>
                <w:sz w:val="18"/>
              </w:rPr>
            </w:pPr>
            <w:r>
              <w:rPr>
                <w:sz w:val="18"/>
              </w:rPr>
              <w:t>56</w:t>
            </w:r>
          </w:p>
        </w:tc>
        <w:tc>
          <w:tcPr>
            <w:tcW w:w="1025" w:type="dxa"/>
          </w:tcPr>
          <w:p>
            <w:pPr>
              <w:pStyle w:val="TableParagraph"/>
              <w:spacing w:before="16"/>
              <w:ind w:left="143" w:right="131"/>
              <w:jc w:val="center"/>
              <w:rPr>
                <w:sz w:val="18"/>
              </w:rPr>
            </w:pPr>
            <w:r>
              <w:rPr>
                <w:sz w:val="18"/>
              </w:rPr>
              <w:t>15.05</w:t>
            </w:r>
          </w:p>
        </w:tc>
        <w:tc>
          <w:tcPr>
            <w:tcW w:w="1118" w:type="dxa"/>
            <w:tcBorders>
              <w:right w:val="single" w:sz="8" w:space="0" w:color="4F81BC"/>
            </w:tcBorders>
          </w:tcPr>
          <w:p>
            <w:pPr>
              <w:pStyle w:val="TableParagraph"/>
              <w:spacing w:before="16"/>
              <w:ind w:left="261" w:right="256"/>
              <w:jc w:val="center"/>
              <w:rPr>
                <w:sz w:val="18"/>
              </w:rPr>
            </w:pPr>
            <w:r>
              <w:rPr>
                <w:sz w:val="18"/>
              </w:rPr>
              <w:t>15.593</w:t>
            </w:r>
          </w:p>
        </w:tc>
      </w:tr>
      <w:tr>
        <w:trPr>
          <w:trHeight w:val="277" w:hRule="exact"/>
        </w:trPr>
        <w:tc>
          <w:tcPr>
            <w:tcW w:w="1828" w:type="dxa"/>
            <w:tcBorders>
              <w:left w:val="single" w:sz="8" w:space="0" w:color="4F81BC"/>
              <w:bottom w:val="single" w:sz="8" w:space="0" w:color="4F81BC"/>
            </w:tcBorders>
          </w:tcPr>
          <w:p>
            <w:pPr>
              <w:pStyle w:val="TableParagraph"/>
              <w:spacing w:before="5"/>
              <w:ind w:left="592" w:right="541"/>
              <w:jc w:val="center"/>
              <w:rPr>
                <w:b/>
                <w:sz w:val="18"/>
              </w:rPr>
            </w:pPr>
            <w:r>
              <w:rPr>
                <w:b/>
                <w:sz w:val="18"/>
              </w:rPr>
              <w:t>Fc</w:t>
            </w:r>
            <w:r>
              <w:rPr>
                <w:rFonts w:ascii="Symbol" w:hAnsi="Symbol"/>
                <w:b/>
                <w:sz w:val="18"/>
              </w:rPr>
              <w:t></w:t>
            </w:r>
            <w:r>
              <w:rPr>
                <w:b/>
                <w:sz w:val="18"/>
              </w:rPr>
              <w:t>R</w:t>
            </w:r>
          </w:p>
        </w:tc>
        <w:tc>
          <w:tcPr>
            <w:tcW w:w="1351" w:type="dxa"/>
            <w:tcBorders>
              <w:bottom w:val="single" w:sz="8" w:space="0" w:color="4F81BC"/>
            </w:tcBorders>
          </w:tcPr>
          <w:p>
            <w:pPr>
              <w:pStyle w:val="TableParagraph"/>
              <w:spacing w:before="12"/>
              <w:ind w:right="34"/>
              <w:jc w:val="center"/>
              <w:rPr>
                <w:sz w:val="18"/>
              </w:rPr>
            </w:pPr>
            <w:r>
              <w:rPr>
                <w:w w:val="101"/>
                <w:sz w:val="18"/>
              </w:rPr>
              <w:t>1</w:t>
            </w:r>
          </w:p>
        </w:tc>
        <w:tc>
          <w:tcPr>
            <w:tcW w:w="1306" w:type="dxa"/>
            <w:tcBorders>
              <w:bottom w:val="single" w:sz="8" w:space="0" w:color="4F81BC"/>
            </w:tcBorders>
          </w:tcPr>
          <w:p>
            <w:pPr>
              <w:pStyle w:val="TableParagraph"/>
              <w:spacing w:before="12"/>
              <w:ind w:left="570" w:right="494"/>
              <w:jc w:val="center"/>
              <w:rPr>
                <w:sz w:val="18"/>
              </w:rPr>
            </w:pPr>
            <w:r>
              <w:rPr>
                <w:sz w:val="18"/>
              </w:rPr>
              <w:t>49</w:t>
            </w:r>
          </w:p>
        </w:tc>
        <w:tc>
          <w:tcPr>
            <w:tcW w:w="1198" w:type="dxa"/>
            <w:tcBorders>
              <w:bottom w:val="single" w:sz="8" w:space="0" w:color="4F81BC"/>
            </w:tcBorders>
          </w:tcPr>
          <w:p>
            <w:pPr>
              <w:pStyle w:val="TableParagraph"/>
              <w:spacing w:before="12"/>
              <w:ind w:left="495" w:right="311"/>
              <w:jc w:val="center"/>
              <w:rPr>
                <w:sz w:val="18"/>
              </w:rPr>
            </w:pPr>
            <w:r>
              <w:rPr>
                <w:sz w:val="18"/>
              </w:rPr>
              <w:t>22</w:t>
            </w:r>
          </w:p>
        </w:tc>
        <w:tc>
          <w:tcPr>
            <w:tcW w:w="1076" w:type="dxa"/>
            <w:tcBorders>
              <w:bottom w:val="single" w:sz="8" w:space="0" w:color="4F81BC"/>
            </w:tcBorders>
          </w:tcPr>
          <w:p>
            <w:pPr>
              <w:pStyle w:val="TableParagraph"/>
              <w:spacing w:before="12"/>
              <w:ind w:left="118" w:right="86"/>
              <w:jc w:val="center"/>
              <w:rPr>
                <w:sz w:val="18"/>
              </w:rPr>
            </w:pPr>
            <w:r>
              <w:rPr>
                <w:sz w:val="18"/>
              </w:rPr>
              <w:t>22</w:t>
            </w:r>
          </w:p>
        </w:tc>
        <w:tc>
          <w:tcPr>
            <w:tcW w:w="1025" w:type="dxa"/>
            <w:tcBorders>
              <w:bottom w:val="single" w:sz="8" w:space="0" w:color="4F81BC"/>
            </w:tcBorders>
          </w:tcPr>
          <w:p>
            <w:pPr>
              <w:pStyle w:val="TableParagraph"/>
              <w:spacing w:before="12"/>
              <w:ind w:left="143" w:right="131"/>
              <w:jc w:val="center"/>
              <w:rPr>
                <w:sz w:val="18"/>
              </w:rPr>
            </w:pPr>
            <w:r>
              <w:rPr>
                <w:sz w:val="18"/>
              </w:rPr>
              <w:t>21.89</w:t>
            </w:r>
          </w:p>
        </w:tc>
        <w:tc>
          <w:tcPr>
            <w:tcW w:w="1118" w:type="dxa"/>
            <w:tcBorders>
              <w:bottom w:val="single" w:sz="8" w:space="0" w:color="4F81BC"/>
              <w:right w:val="single" w:sz="8" w:space="0" w:color="4F81BC"/>
            </w:tcBorders>
          </w:tcPr>
          <w:p>
            <w:pPr>
              <w:pStyle w:val="TableParagraph"/>
              <w:spacing w:before="12"/>
              <w:ind w:right="1"/>
              <w:jc w:val="center"/>
              <w:rPr>
                <w:sz w:val="18"/>
              </w:rPr>
            </w:pPr>
            <w:r>
              <w:rPr>
                <w:w w:val="101"/>
                <w:sz w:val="18"/>
              </w:rPr>
              <w:t>-</w:t>
            </w:r>
          </w:p>
        </w:tc>
      </w:tr>
    </w:tbl>
    <w:p>
      <w:pPr>
        <w:pStyle w:val="ListParagraph"/>
        <w:numPr>
          <w:ilvl w:val="1"/>
          <w:numId w:val="36"/>
        </w:numPr>
        <w:tabs>
          <w:tab w:pos="501" w:val="left" w:leader="none"/>
        </w:tabs>
        <w:spacing w:line="183" w:lineRule="exact" w:before="0" w:after="0"/>
        <w:ind w:left="500" w:right="0" w:hanging="264"/>
        <w:jc w:val="left"/>
        <w:rPr>
          <w:sz w:val="16"/>
        </w:rPr>
      </w:pPr>
      <w:r>
        <w:rPr/>
        <w:pict>
          <v:group style="position:absolute;margin-left:170.460007pt;margin-top:-28.32pt;width:350.8pt;height:16.6pt;mso-position-horizontal-relative:page;mso-position-vertical-relative:paragraph;z-index:-174760" coordorigin="3409,-566" coordsize="7016,332">
            <v:line style="position:absolute" from="3414,-523" to="4615,-523" stroked="true" strokeweight=".47998pt" strokecolor="#c5d9f0"/>
            <v:shape style="position:absolute;left:3414;top:-518;width:1201;height:236" coordorigin="3414,-518" coordsize="1201,236" path="m3520,-518l3414,-518,3414,-283,3520,-283,3520,-518m4615,-518l4509,-518,4509,-283,4615,-283,4615,-518e" filled="true" fillcolor="#c5d9f0" stroked="false">
              <v:path arrowok="t"/>
              <v:fill type="solid"/>
            </v:shape>
            <v:line style="position:absolute" from="3414,-278" to="4615,-278" stroked="true" strokeweight=".47998pt" strokecolor="#c5d9f0"/>
            <v:rect style="position:absolute;left:3520;top:-518;width:989;height:235" filled="true" fillcolor="#c5d9f0" stroked="false">
              <v:fill type="solid"/>
            </v:rect>
            <v:line style="position:absolute" from="4615,-523" to="6175,-523" stroked="true" strokeweight=".47998pt" strokecolor="#c5d9f0"/>
            <v:shape style="position:absolute;left:4615;top:-518;width:1561;height:236" coordorigin="4615,-518" coordsize="1561,236" path="m4725,-518l4615,-518,4615,-283,4725,-283,4725,-518m6175,-518l6070,-518,6070,-283,6175,-283,6175,-518e" filled="true" fillcolor="#c5d9f0" stroked="false">
              <v:path arrowok="t"/>
              <v:fill type="solid"/>
            </v:shape>
            <v:line style="position:absolute" from="4615,-278" to="6175,-278" stroked="true" strokeweight=".47998pt" strokecolor="#c5d9f0"/>
            <v:rect style="position:absolute;left:4725;top:-518;width:1344;height:235" filled="true" fillcolor="#c5d9f0" stroked="false">
              <v:fill type="solid"/>
            </v:rect>
            <v:line style="position:absolute" from="6175,-523" to="7227,-523" stroked="true" strokeweight=".47998pt" strokecolor="#c5d9f0"/>
            <v:shape style="position:absolute;left:6175;top:-518;width:1052;height:236" coordorigin="6175,-518" coordsize="1052,236" path="m6286,-518l6175,-518,6175,-283,6286,-283,6286,-518m7227,-518l7116,-518,7116,-283,7227,-283,7227,-518e" filled="true" fillcolor="#c5d9f0" stroked="false">
              <v:path arrowok="t"/>
              <v:fill type="solid"/>
            </v:shape>
            <v:line style="position:absolute" from="6175,-278" to="7227,-278" stroked="true" strokeweight=".47998pt" strokecolor="#c5d9f0"/>
            <v:rect style="position:absolute;left:6286;top:-518;width:831;height:235" filled="true" fillcolor="#c5d9f0" stroked="false">
              <v:fill type="solid"/>
            </v:rect>
            <v:line style="position:absolute" from="7227,-523" to="8302,-523" stroked="true" strokeweight=".47998pt" strokecolor="#c5d9f0"/>
            <v:shape style="position:absolute;left:7227;top:-518;width:1076;height:236" coordorigin="7227,-518" coordsize="1076,236" path="m7332,-518l7227,-518,7227,-283,7332,-283,7332,-518m8303,-518l8197,-518,8197,-283,8303,-283,8303,-518e" filled="true" fillcolor="#c5d9f0" stroked="false">
              <v:path arrowok="t"/>
              <v:fill type="solid"/>
            </v:shape>
            <v:line style="position:absolute" from="7227,-278" to="8302,-278" stroked="true" strokeweight=".47998pt" strokecolor="#c5d9f0"/>
            <v:rect style="position:absolute;left:7332;top:-518;width:864;height:235" filled="true" fillcolor="#c5d9f0" stroked="false">
              <v:fill type="solid"/>
            </v:rect>
            <v:line style="position:absolute" from="8303,-523" to="9296,-523" stroked="true" strokeweight=".47998pt" strokecolor="#c5d9f0"/>
            <v:shape style="position:absolute;left:8303;top:-518;width:994;height:236" coordorigin="8303,-518" coordsize="994,236" path="m8413,-518l8303,-518,8303,-283,8413,-283,8413,-518m9296,-518l9191,-518,9191,-283,9296,-283,9296,-518e" filled="true" fillcolor="#c5d9f0" stroked="false">
              <v:path arrowok="t"/>
              <v:fill type="solid"/>
            </v:shape>
            <v:line style="position:absolute" from="8303,-278" to="9296,-278" stroked="true" strokeweight=".47998pt" strokecolor="#c5d9f0"/>
            <v:rect style="position:absolute;left:8413;top:-518;width:778;height:235" filled="true" fillcolor="#c5d9f0" stroked="false">
              <v:fill type="solid"/>
            </v:rect>
            <v:line style="position:absolute" from="9296,-523" to="10420,-523" stroked="true" strokeweight=".47998pt" strokecolor="#c5d9f0"/>
            <v:rect style="position:absolute;left:9296;top:-518;width:111;height:235" filled="true" fillcolor="#c5d9f0" stroked="false">
              <v:fill type="solid"/>
            </v:rect>
            <v:line style="position:absolute" from="10372,-518" to="10372,-283" stroked="true" strokeweight="4.8pt" strokecolor="#c5d9f0"/>
            <v:line style="position:absolute" from="9296,-278" to="10420,-278" stroked="true" strokeweight=".47998pt" strokecolor="#c5d9f0"/>
            <v:rect style="position:absolute;left:9407;top:-518;width:917;height:235" filled="true" fillcolor="#c5d9f0" stroked="false">
              <v:fill type="solid"/>
            </v:rect>
            <w10:wrap type="none"/>
          </v:group>
        </w:pict>
      </w:r>
      <w:r>
        <w:rPr>
          <w:sz w:val="16"/>
        </w:rPr>
        <w:t>.=Standard</w:t>
      </w:r>
      <w:r>
        <w:rPr>
          <w:spacing w:val="-7"/>
          <w:sz w:val="16"/>
        </w:rPr>
        <w:t> </w:t>
      </w:r>
      <w:r>
        <w:rPr>
          <w:sz w:val="16"/>
        </w:rPr>
        <w:t>Deviation</w:t>
      </w:r>
    </w:p>
    <w:p>
      <w:pPr>
        <w:spacing w:before="84"/>
        <w:ind w:left="236" w:right="0" w:firstLine="0"/>
        <w:jc w:val="left"/>
        <w:rPr>
          <w:sz w:val="16"/>
        </w:rPr>
      </w:pPr>
      <w:r>
        <w:rPr>
          <w:sz w:val="16"/>
        </w:rPr>
        <w:t>The data obtained using the            method are expressed in relative expression units.</w:t>
      </w:r>
    </w:p>
    <w:p>
      <w:pPr>
        <w:spacing w:after="0"/>
        <w:jc w:val="left"/>
        <w:rPr>
          <w:sz w:val="16"/>
        </w:rPr>
        <w:sectPr>
          <w:pgSz w:w="12240" w:h="15840"/>
          <w:pgMar w:header="726" w:footer="1031" w:top="1340" w:bottom="1220" w:left="1180" w:right="1420"/>
        </w:sectPr>
      </w:pPr>
    </w:p>
    <w:p>
      <w:pPr>
        <w:pStyle w:val="BodyText"/>
        <w:spacing w:before="8"/>
        <w:rPr>
          <w:sz w:val="23"/>
        </w:rPr>
      </w:pPr>
    </w:p>
    <w:p>
      <w:pPr>
        <w:spacing w:line="362" w:lineRule="auto" w:before="64"/>
        <w:ind w:left="196" w:right="279" w:firstLine="0"/>
        <w:jc w:val="both"/>
        <w:rPr>
          <w:sz w:val="20"/>
        </w:rPr>
      </w:pPr>
      <w:r>
        <w:rPr>
          <w:sz w:val="20"/>
        </w:rPr>
        <w:t>The differences in expression of the IgG receptor (Fc</w:t>
      </w:r>
      <w:r>
        <w:rPr>
          <w:rFonts w:ascii="Symbol" w:hAnsi="Symbol"/>
          <w:sz w:val="20"/>
        </w:rPr>
        <w:t></w:t>
      </w:r>
      <w:r>
        <w:rPr>
          <w:sz w:val="20"/>
        </w:rPr>
        <w:t>RIIB) (p = 0.025) were statistically significant, whereas the differences in expression of the IgA (Fc</w:t>
      </w:r>
      <w:r>
        <w:rPr>
          <w:rFonts w:ascii="Symbol" w:hAnsi="Symbol"/>
          <w:sz w:val="20"/>
        </w:rPr>
        <w:t></w:t>
      </w:r>
      <w:r>
        <w:rPr>
          <w:sz w:val="20"/>
        </w:rPr>
        <w:t>R) and IgM (Fc</w:t>
      </w:r>
      <w:r>
        <w:rPr>
          <w:rFonts w:ascii="Symbol" w:hAnsi="Symbol"/>
          <w:sz w:val="20"/>
        </w:rPr>
        <w:t></w:t>
      </w:r>
      <w:r>
        <w:rPr>
          <w:sz w:val="20"/>
        </w:rPr>
        <w:t>R) receptors were not significantly different (Table 4).</w:t>
      </w:r>
    </w:p>
    <w:p>
      <w:pPr>
        <w:pStyle w:val="BodyText"/>
        <w:spacing w:before="10"/>
        <w:rPr>
          <w:sz w:val="16"/>
        </w:rPr>
      </w:pPr>
    </w:p>
    <w:p>
      <w:pPr>
        <w:spacing w:line="276" w:lineRule="auto" w:before="0"/>
        <w:ind w:left="3318" w:right="383" w:hanging="3007"/>
        <w:jc w:val="left"/>
        <w:rPr>
          <w:b/>
          <w:sz w:val="20"/>
        </w:rPr>
      </w:pPr>
      <w:r>
        <w:rPr>
          <w:b/>
          <w:sz w:val="20"/>
        </w:rPr>
        <w:t>Table 4. Differences in immunoglobulin receptor (Fc</w:t>
      </w:r>
      <w:r>
        <w:rPr>
          <w:rFonts w:ascii="Symbol" w:hAnsi="Symbol"/>
          <w:b/>
          <w:sz w:val="20"/>
        </w:rPr>
        <w:t></w:t>
      </w:r>
      <w:r>
        <w:rPr>
          <w:b/>
          <w:sz w:val="20"/>
        </w:rPr>
        <w:t>R, Fc</w:t>
      </w:r>
      <w:r>
        <w:rPr>
          <w:rFonts w:ascii="Symbol" w:hAnsi="Symbol"/>
          <w:b/>
          <w:sz w:val="20"/>
        </w:rPr>
        <w:t></w:t>
      </w:r>
      <w:r>
        <w:rPr>
          <w:b/>
          <w:sz w:val="20"/>
        </w:rPr>
        <w:t>RIIB, and Fc</w:t>
      </w:r>
      <w:r>
        <w:rPr>
          <w:rFonts w:ascii="Symbol" w:hAnsi="Symbol"/>
          <w:b/>
          <w:sz w:val="20"/>
        </w:rPr>
        <w:t></w:t>
      </w:r>
      <w:r>
        <w:rPr>
          <w:b/>
          <w:sz w:val="20"/>
        </w:rPr>
        <w:t>R) gene expression between the two study groups</w:t>
      </w:r>
    </w:p>
    <w:p>
      <w:pPr>
        <w:pStyle w:val="BodyText"/>
        <w:spacing w:before="5"/>
        <w:rPr>
          <w:b/>
          <w:sz w:val="18"/>
        </w:rPr>
      </w:pPr>
    </w:p>
    <w:tbl>
      <w:tblPr>
        <w:tblW w:w="0" w:type="auto"/>
        <w:jc w:val="left"/>
        <w:tblInd w:w="8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1"/>
        <w:gridCol w:w="1136"/>
        <w:gridCol w:w="1743"/>
        <w:gridCol w:w="1753"/>
        <w:gridCol w:w="1706"/>
      </w:tblGrid>
      <w:tr>
        <w:trPr>
          <w:trHeight w:val="718" w:hRule="exact"/>
        </w:trPr>
        <w:tc>
          <w:tcPr>
            <w:tcW w:w="2577" w:type="dxa"/>
            <w:gridSpan w:val="2"/>
            <w:tcBorders>
              <w:bottom w:val="single" w:sz="10" w:space="0" w:color="FFFFFF"/>
            </w:tcBorders>
            <w:shd w:val="clear" w:color="auto" w:fill="4F81BC"/>
          </w:tcPr>
          <w:p>
            <w:pPr>
              <w:pStyle w:val="TableParagraph"/>
              <w:spacing w:before="10"/>
              <w:rPr>
                <w:b/>
                <w:sz w:val="20"/>
              </w:rPr>
            </w:pPr>
          </w:p>
          <w:p>
            <w:pPr>
              <w:pStyle w:val="TableParagraph"/>
              <w:ind w:left="585"/>
              <w:rPr>
                <w:b/>
                <w:sz w:val="20"/>
              </w:rPr>
            </w:pPr>
            <w:r>
              <w:rPr>
                <w:b/>
                <w:color w:val="FFFFFF"/>
                <w:sz w:val="20"/>
              </w:rPr>
              <w:t>Fc Receptors</w:t>
            </w:r>
          </w:p>
        </w:tc>
        <w:tc>
          <w:tcPr>
            <w:tcW w:w="1743" w:type="dxa"/>
            <w:tcBorders>
              <w:bottom w:val="single" w:sz="10" w:space="0" w:color="FFFFFF"/>
            </w:tcBorders>
            <w:shd w:val="clear" w:color="auto" w:fill="4F81BC"/>
          </w:tcPr>
          <w:p>
            <w:pPr>
              <w:pStyle w:val="TableParagraph"/>
              <w:spacing w:before="10"/>
              <w:rPr>
                <w:b/>
                <w:sz w:val="20"/>
              </w:rPr>
            </w:pPr>
          </w:p>
          <w:p>
            <w:pPr>
              <w:pStyle w:val="TableParagraph"/>
              <w:ind w:left="448" w:right="465"/>
              <w:jc w:val="center"/>
              <w:rPr>
                <w:b/>
                <w:sz w:val="20"/>
              </w:rPr>
            </w:pPr>
            <w:r>
              <w:rPr>
                <w:b/>
                <w:color w:val="FFFFFF"/>
                <w:sz w:val="20"/>
              </w:rPr>
              <w:t>Average</w:t>
            </w:r>
          </w:p>
        </w:tc>
        <w:tc>
          <w:tcPr>
            <w:tcW w:w="1753" w:type="dxa"/>
            <w:tcBorders>
              <w:bottom w:val="single" w:sz="10" w:space="0" w:color="FFFFFF"/>
            </w:tcBorders>
            <w:shd w:val="clear" w:color="auto" w:fill="4F81BC"/>
          </w:tcPr>
          <w:p>
            <w:pPr>
              <w:pStyle w:val="TableParagraph"/>
              <w:spacing w:before="125"/>
              <w:ind w:left="486" w:right="290" w:firstLine="81"/>
              <w:rPr>
                <w:b/>
                <w:sz w:val="20"/>
              </w:rPr>
            </w:pPr>
            <w:r>
              <w:rPr>
                <w:b/>
                <w:color w:val="FFFFFF"/>
                <w:sz w:val="20"/>
              </w:rPr>
              <w:t>Average difference</w:t>
            </w:r>
          </w:p>
        </w:tc>
        <w:tc>
          <w:tcPr>
            <w:tcW w:w="1706" w:type="dxa"/>
            <w:tcBorders>
              <w:bottom w:val="single" w:sz="10" w:space="0" w:color="FFFFFF"/>
            </w:tcBorders>
            <w:shd w:val="clear" w:color="auto" w:fill="4F81BC"/>
          </w:tcPr>
          <w:p>
            <w:pPr>
              <w:pStyle w:val="TableParagraph"/>
              <w:spacing w:before="9"/>
              <w:ind w:left="304" w:right="242" w:firstLine="4"/>
              <w:jc w:val="center"/>
              <w:rPr>
                <w:b/>
                <w:sz w:val="20"/>
              </w:rPr>
            </w:pPr>
            <w:r>
              <w:rPr>
                <w:b/>
                <w:color w:val="FFFFFF"/>
                <w:sz w:val="20"/>
              </w:rPr>
              <w:t>Student’s </w:t>
            </w:r>
            <w:r>
              <w:rPr>
                <w:b/>
                <w:i/>
                <w:color w:val="FFFFFF"/>
                <w:sz w:val="20"/>
              </w:rPr>
              <w:t>t</w:t>
            </w:r>
            <w:r>
              <w:rPr>
                <w:b/>
                <w:color w:val="FFFFFF"/>
                <w:sz w:val="20"/>
              </w:rPr>
              <w:t>- test significance</w:t>
            </w:r>
          </w:p>
        </w:tc>
      </w:tr>
      <w:tr>
        <w:trPr>
          <w:trHeight w:val="331" w:hRule="exact"/>
        </w:trPr>
        <w:tc>
          <w:tcPr>
            <w:tcW w:w="1441" w:type="dxa"/>
            <w:tcBorders>
              <w:top w:val="single" w:sz="10" w:space="0" w:color="FFFFFF"/>
              <w:left w:val="single" w:sz="8" w:space="0" w:color="4F81BC"/>
            </w:tcBorders>
            <w:shd w:val="clear" w:color="auto" w:fill="C5D9F0"/>
          </w:tcPr>
          <w:p>
            <w:pPr/>
          </w:p>
        </w:tc>
        <w:tc>
          <w:tcPr>
            <w:tcW w:w="1136" w:type="dxa"/>
            <w:tcBorders>
              <w:top w:val="single" w:sz="10" w:space="0" w:color="FFFFFF"/>
            </w:tcBorders>
            <w:shd w:val="clear" w:color="auto" w:fill="C5D9F0"/>
          </w:tcPr>
          <w:p>
            <w:pPr>
              <w:pStyle w:val="TableParagraph"/>
              <w:spacing w:before="86"/>
              <w:ind w:left="354"/>
              <w:rPr>
                <w:sz w:val="20"/>
              </w:rPr>
            </w:pPr>
            <w:r>
              <w:rPr>
                <w:sz w:val="20"/>
              </w:rPr>
              <w:t>MD</w:t>
            </w:r>
          </w:p>
        </w:tc>
        <w:tc>
          <w:tcPr>
            <w:tcW w:w="1743" w:type="dxa"/>
            <w:tcBorders>
              <w:top w:val="single" w:sz="10" w:space="0" w:color="FFFFFF"/>
            </w:tcBorders>
            <w:shd w:val="clear" w:color="auto" w:fill="C5D9F0"/>
          </w:tcPr>
          <w:p>
            <w:pPr>
              <w:pStyle w:val="TableParagraph"/>
              <w:spacing w:before="86"/>
              <w:ind w:left="448" w:right="464"/>
              <w:jc w:val="center"/>
              <w:rPr>
                <w:sz w:val="20"/>
              </w:rPr>
            </w:pPr>
            <w:r>
              <w:rPr>
                <w:sz w:val="20"/>
              </w:rPr>
              <w:t>1.914</w:t>
            </w:r>
          </w:p>
        </w:tc>
        <w:tc>
          <w:tcPr>
            <w:tcW w:w="1753" w:type="dxa"/>
            <w:tcBorders>
              <w:top w:val="single" w:sz="10" w:space="0" w:color="FFFFFF"/>
            </w:tcBorders>
            <w:shd w:val="clear" w:color="auto" w:fill="C5D9F0"/>
          </w:tcPr>
          <w:p>
            <w:pPr/>
          </w:p>
        </w:tc>
        <w:tc>
          <w:tcPr>
            <w:tcW w:w="1706" w:type="dxa"/>
            <w:tcBorders>
              <w:top w:val="single" w:sz="10" w:space="0" w:color="FFFFFF"/>
              <w:right w:val="single" w:sz="8" w:space="0" w:color="4F81BC"/>
            </w:tcBorders>
            <w:shd w:val="clear" w:color="auto" w:fill="C5D9F0"/>
          </w:tcPr>
          <w:p>
            <w:pPr/>
          </w:p>
        </w:tc>
      </w:tr>
      <w:tr>
        <w:trPr>
          <w:trHeight w:val="218" w:hRule="exact"/>
        </w:trPr>
        <w:tc>
          <w:tcPr>
            <w:tcW w:w="1441" w:type="dxa"/>
            <w:tcBorders>
              <w:left w:val="single" w:sz="8" w:space="0" w:color="4F81BC"/>
            </w:tcBorders>
            <w:shd w:val="clear" w:color="auto" w:fill="C5D9F0"/>
          </w:tcPr>
          <w:p>
            <w:pPr>
              <w:pStyle w:val="TableParagraph"/>
              <w:spacing w:line="219" w:lineRule="exact"/>
              <w:ind w:left="337" w:right="337"/>
              <w:jc w:val="center"/>
              <w:rPr>
                <w:b/>
                <w:sz w:val="20"/>
              </w:rPr>
            </w:pPr>
            <w:r>
              <w:rPr>
                <w:b/>
                <w:sz w:val="20"/>
              </w:rPr>
              <w:t>Fc</w:t>
            </w:r>
            <w:r>
              <w:rPr>
                <w:rFonts w:ascii="Symbol" w:hAnsi="Symbol"/>
                <w:b/>
                <w:sz w:val="20"/>
              </w:rPr>
              <w:t></w:t>
            </w:r>
            <w:r>
              <w:rPr>
                <w:b/>
                <w:sz w:val="20"/>
              </w:rPr>
              <w:t>R</w:t>
            </w:r>
          </w:p>
        </w:tc>
        <w:tc>
          <w:tcPr>
            <w:tcW w:w="1136" w:type="dxa"/>
            <w:shd w:val="clear" w:color="auto" w:fill="C5D9F0"/>
          </w:tcPr>
          <w:p>
            <w:pPr/>
          </w:p>
        </w:tc>
        <w:tc>
          <w:tcPr>
            <w:tcW w:w="1743" w:type="dxa"/>
            <w:shd w:val="clear" w:color="auto" w:fill="C5D9F0"/>
          </w:tcPr>
          <w:p>
            <w:pPr/>
          </w:p>
        </w:tc>
        <w:tc>
          <w:tcPr>
            <w:tcW w:w="1753" w:type="dxa"/>
            <w:shd w:val="clear" w:color="auto" w:fill="C5D9F0"/>
          </w:tcPr>
          <w:p>
            <w:pPr>
              <w:pStyle w:val="TableParagraph"/>
              <w:spacing w:line="213" w:lineRule="exact"/>
              <w:ind w:right="503"/>
              <w:jc w:val="right"/>
              <w:rPr>
                <w:sz w:val="20"/>
              </w:rPr>
            </w:pPr>
            <w:r>
              <w:rPr>
                <w:sz w:val="20"/>
              </w:rPr>
              <w:t>-2.238</w:t>
            </w:r>
          </w:p>
        </w:tc>
        <w:tc>
          <w:tcPr>
            <w:tcW w:w="1706" w:type="dxa"/>
            <w:tcBorders>
              <w:right w:val="single" w:sz="8" w:space="0" w:color="4F81BC"/>
            </w:tcBorders>
            <w:shd w:val="clear" w:color="auto" w:fill="C5D9F0"/>
          </w:tcPr>
          <w:p>
            <w:pPr>
              <w:pStyle w:val="TableParagraph"/>
              <w:spacing w:line="213" w:lineRule="exact"/>
              <w:ind w:left="532" w:right="457"/>
              <w:jc w:val="center"/>
              <w:rPr>
                <w:sz w:val="20"/>
              </w:rPr>
            </w:pPr>
            <w:r>
              <w:rPr>
                <w:sz w:val="20"/>
              </w:rPr>
              <w:t>0.188</w:t>
            </w:r>
          </w:p>
        </w:tc>
      </w:tr>
      <w:tr>
        <w:trPr>
          <w:trHeight w:val="317" w:hRule="exact"/>
        </w:trPr>
        <w:tc>
          <w:tcPr>
            <w:tcW w:w="1441" w:type="dxa"/>
            <w:tcBorders>
              <w:left w:val="single" w:sz="8" w:space="0" w:color="4F81BC"/>
              <w:bottom w:val="single" w:sz="8" w:space="0" w:color="4F81BC"/>
            </w:tcBorders>
            <w:shd w:val="clear" w:color="auto" w:fill="C5D9F0"/>
          </w:tcPr>
          <w:p>
            <w:pPr/>
          </w:p>
        </w:tc>
        <w:tc>
          <w:tcPr>
            <w:tcW w:w="1136" w:type="dxa"/>
            <w:tcBorders>
              <w:bottom w:val="single" w:sz="8" w:space="0" w:color="4F81BC"/>
            </w:tcBorders>
            <w:shd w:val="clear" w:color="auto" w:fill="C5D9F0"/>
          </w:tcPr>
          <w:p>
            <w:pPr>
              <w:pStyle w:val="TableParagraph"/>
              <w:spacing w:line="211" w:lineRule="exact"/>
              <w:ind w:left="374"/>
              <w:rPr>
                <w:sz w:val="20"/>
              </w:rPr>
            </w:pPr>
            <w:r>
              <w:rPr>
                <w:sz w:val="20"/>
              </w:rPr>
              <w:t>PD</w:t>
            </w:r>
          </w:p>
        </w:tc>
        <w:tc>
          <w:tcPr>
            <w:tcW w:w="1743" w:type="dxa"/>
            <w:tcBorders>
              <w:bottom w:val="single" w:sz="8" w:space="0" w:color="4F81BC"/>
            </w:tcBorders>
            <w:shd w:val="clear" w:color="auto" w:fill="C5D9F0"/>
          </w:tcPr>
          <w:p>
            <w:pPr>
              <w:pStyle w:val="TableParagraph"/>
              <w:spacing w:line="211" w:lineRule="exact"/>
              <w:ind w:left="448" w:right="464"/>
              <w:jc w:val="center"/>
              <w:rPr>
                <w:sz w:val="20"/>
              </w:rPr>
            </w:pPr>
            <w:r>
              <w:rPr>
                <w:sz w:val="20"/>
              </w:rPr>
              <w:t>4.152</w:t>
            </w:r>
          </w:p>
        </w:tc>
        <w:tc>
          <w:tcPr>
            <w:tcW w:w="1753" w:type="dxa"/>
            <w:tcBorders>
              <w:bottom w:val="single" w:sz="8" w:space="0" w:color="4F81BC"/>
            </w:tcBorders>
            <w:shd w:val="clear" w:color="auto" w:fill="C5D9F0"/>
          </w:tcPr>
          <w:p>
            <w:pPr/>
          </w:p>
        </w:tc>
        <w:tc>
          <w:tcPr>
            <w:tcW w:w="1706" w:type="dxa"/>
            <w:tcBorders>
              <w:bottom w:val="single" w:sz="8" w:space="0" w:color="4F81BC"/>
              <w:right w:val="single" w:sz="8" w:space="0" w:color="4F81BC"/>
            </w:tcBorders>
            <w:shd w:val="clear" w:color="auto" w:fill="C5D9F0"/>
          </w:tcPr>
          <w:p>
            <w:pPr/>
          </w:p>
        </w:tc>
      </w:tr>
      <w:tr>
        <w:trPr>
          <w:trHeight w:val="334" w:hRule="exact"/>
        </w:trPr>
        <w:tc>
          <w:tcPr>
            <w:tcW w:w="1441" w:type="dxa"/>
            <w:tcBorders>
              <w:top w:val="single" w:sz="8" w:space="0" w:color="4F81BC"/>
              <w:left w:val="single" w:sz="8" w:space="0" w:color="4F81BC"/>
            </w:tcBorders>
          </w:tcPr>
          <w:p>
            <w:pPr/>
          </w:p>
        </w:tc>
        <w:tc>
          <w:tcPr>
            <w:tcW w:w="1136" w:type="dxa"/>
            <w:tcBorders>
              <w:top w:val="single" w:sz="8" w:space="0" w:color="4F81BC"/>
            </w:tcBorders>
          </w:tcPr>
          <w:p>
            <w:pPr>
              <w:pStyle w:val="TableParagraph"/>
              <w:spacing w:before="91"/>
              <w:ind w:left="354"/>
              <w:rPr>
                <w:sz w:val="20"/>
              </w:rPr>
            </w:pPr>
            <w:r>
              <w:rPr>
                <w:sz w:val="20"/>
              </w:rPr>
              <w:t>MD</w:t>
            </w:r>
          </w:p>
        </w:tc>
        <w:tc>
          <w:tcPr>
            <w:tcW w:w="1743" w:type="dxa"/>
            <w:tcBorders>
              <w:top w:val="single" w:sz="8" w:space="0" w:color="4F81BC"/>
            </w:tcBorders>
          </w:tcPr>
          <w:p>
            <w:pPr>
              <w:pStyle w:val="TableParagraph"/>
              <w:spacing w:before="91"/>
              <w:ind w:left="448" w:right="464"/>
              <w:jc w:val="center"/>
              <w:rPr>
                <w:sz w:val="20"/>
              </w:rPr>
            </w:pPr>
            <w:r>
              <w:rPr>
                <w:sz w:val="20"/>
              </w:rPr>
              <w:t>2.863</w:t>
            </w:r>
          </w:p>
        </w:tc>
        <w:tc>
          <w:tcPr>
            <w:tcW w:w="1753" w:type="dxa"/>
            <w:tcBorders>
              <w:top w:val="single" w:sz="8" w:space="0" w:color="4F81BC"/>
            </w:tcBorders>
          </w:tcPr>
          <w:p>
            <w:pPr/>
          </w:p>
        </w:tc>
        <w:tc>
          <w:tcPr>
            <w:tcW w:w="1706" w:type="dxa"/>
            <w:tcBorders>
              <w:top w:val="single" w:sz="8" w:space="0" w:color="4F81BC"/>
              <w:right w:val="single" w:sz="8" w:space="0" w:color="4F81BC"/>
            </w:tcBorders>
          </w:tcPr>
          <w:p>
            <w:pPr/>
          </w:p>
        </w:tc>
      </w:tr>
      <w:tr>
        <w:trPr>
          <w:trHeight w:val="218" w:hRule="exact"/>
        </w:trPr>
        <w:tc>
          <w:tcPr>
            <w:tcW w:w="1441" w:type="dxa"/>
            <w:tcBorders>
              <w:left w:val="single" w:sz="8" w:space="0" w:color="4F81BC"/>
            </w:tcBorders>
          </w:tcPr>
          <w:p>
            <w:pPr>
              <w:pStyle w:val="TableParagraph"/>
              <w:spacing w:line="219" w:lineRule="exact"/>
              <w:ind w:left="337" w:right="337"/>
              <w:jc w:val="center"/>
              <w:rPr>
                <w:b/>
                <w:sz w:val="20"/>
              </w:rPr>
            </w:pPr>
            <w:r>
              <w:rPr>
                <w:b/>
                <w:sz w:val="20"/>
              </w:rPr>
              <w:t>Fc</w:t>
            </w:r>
            <w:r>
              <w:rPr>
                <w:rFonts w:ascii="Symbol" w:hAnsi="Symbol"/>
                <w:b/>
                <w:sz w:val="20"/>
              </w:rPr>
              <w:t></w:t>
            </w:r>
            <w:r>
              <w:rPr>
                <w:b/>
                <w:sz w:val="20"/>
              </w:rPr>
              <w:t>RIIB</w:t>
            </w:r>
          </w:p>
        </w:tc>
        <w:tc>
          <w:tcPr>
            <w:tcW w:w="1136" w:type="dxa"/>
          </w:tcPr>
          <w:p>
            <w:pPr/>
          </w:p>
        </w:tc>
        <w:tc>
          <w:tcPr>
            <w:tcW w:w="1743" w:type="dxa"/>
          </w:tcPr>
          <w:p>
            <w:pPr/>
          </w:p>
        </w:tc>
        <w:tc>
          <w:tcPr>
            <w:tcW w:w="1753" w:type="dxa"/>
          </w:tcPr>
          <w:p>
            <w:pPr>
              <w:pStyle w:val="TableParagraph"/>
              <w:spacing w:line="213" w:lineRule="exact"/>
              <w:ind w:right="445"/>
              <w:jc w:val="right"/>
              <w:rPr>
                <w:sz w:val="20"/>
              </w:rPr>
            </w:pPr>
            <w:r>
              <w:rPr>
                <w:sz w:val="20"/>
              </w:rPr>
              <w:t>-12.186</w:t>
            </w:r>
          </w:p>
        </w:tc>
        <w:tc>
          <w:tcPr>
            <w:tcW w:w="1706" w:type="dxa"/>
            <w:tcBorders>
              <w:right w:val="single" w:sz="8" w:space="0" w:color="4F81BC"/>
            </w:tcBorders>
          </w:tcPr>
          <w:p>
            <w:pPr>
              <w:pStyle w:val="TableParagraph"/>
              <w:spacing w:line="213" w:lineRule="exact"/>
              <w:ind w:left="532" w:right="467"/>
              <w:jc w:val="center"/>
              <w:rPr>
                <w:sz w:val="20"/>
              </w:rPr>
            </w:pPr>
            <w:r>
              <w:rPr>
                <w:sz w:val="20"/>
              </w:rPr>
              <w:t>0.025**</w:t>
            </w:r>
          </w:p>
        </w:tc>
      </w:tr>
      <w:tr>
        <w:trPr>
          <w:trHeight w:val="317" w:hRule="exact"/>
        </w:trPr>
        <w:tc>
          <w:tcPr>
            <w:tcW w:w="1441" w:type="dxa"/>
            <w:tcBorders>
              <w:left w:val="single" w:sz="8" w:space="0" w:color="4F81BC"/>
              <w:bottom w:val="single" w:sz="8" w:space="0" w:color="4F81BC"/>
            </w:tcBorders>
          </w:tcPr>
          <w:p>
            <w:pPr/>
          </w:p>
        </w:tc>
        <w:tc>
          <w:tcPr>
            <w:tcW w:w="1136" w:type="dxa"/>
            <w:tcBorders>
              <w:bottom w:val="single" w:sz="8" w:space="0" w:color="4F81BC"/>
            </w:tcBorders>
          </w:tcPr>
          <w:p>
            <w:pPr>
              <w:pStyle w:val="TableParagraph"/>
              <w:spacing w:line="211" w:lineRule="exact"/>
              <w:ind w:left="374"/>
              <w:rPr>
                <w:sz w:val="20"/>
              </w:rPr>
            </w:pPr>
            <w:r>
              <w:rPr>
                <w:sz w:val="20"/>
              </w:rPr>
              <w:t>PD</w:t>
            </w:r>
          </w:p>
        </w:tc>
        <w:tc>
          <w:tcPr>
            <w:tcW w:w="1743" w:type="dxa"/>
            <w:tcBorders>
              <w:bottom w:val="single" w:sz="8" w:space="0" w:color="4F81BC"/>
            </w:tcBorders>
          </w:tcPr>
          <w:p>
            <w:pPr>
              <w:pStyle w:val="TableParagraph"/>
              <w:spacing w:line="211" w:lineRule="exact"/>
              <w:ind w:left="448" w:right="464"/>
              <w:jc w:val="center"/>
              <w:rPr>
                <w:sz w:val="20"/>
              </w:rPr>
            </w:pPr>
            <w:r>
              <w:rPr>
                <w:sz w:val="20"/>
              </w:rPr>
              <w:t>15.05</w:t>
            </w:r>
          </w:p>
        </w:tc>
        <w:tc>
          <w:tcPr>
            <w:tcW w:w="1753" w:type="dxa"/>
            <w:tcBorders>
              <w:bottom w:val="single" w:sz="8" w:space="0" w:color="4F81BC"/>
            </w:tcBorders>
          </w:tcPr>
          <w:p>
            <w:pPr/>
          </w:p>
        </w:tc>
        <w:tc>
          <w:tcPr>
            <w:tcW w:w="1706" w:type="dxa"/>
            <w:tcBorders>
              <w:bottom w:val="single" w:sz="8" w:space="0" w:color="4F81BC"/>
              <w:right w:val="single" w:sz="8" w:space="0" w:color="4F81BC"/>
            </w:tcBorders>
          </w:tcPr>
          <w:p>
            <w:pPr/>
          </w:p>
        </w:tc>
      </w:tr>
      <w:tr>
        <w:trPr>
          <w:trHeight w:val="331" w:hRule="exact"/>
        </w:trPr>
        <w:tc>
          <w:tcPr>
            <w:tcW w:w="1441" w:type="dxa"/>
            <w:tcBorders>
              <w:top w:val="single" w:sz="8" w:space="0" w:color="4F81BC"/>
              <w:left w:val="single" w:sz="8" w:space="0" w:color="4F81BC"/>
            </w:tcBorders>
            <w:shd w:val="clear" w:color="auto" w:fill="C5D9F0"/>
          </w:tcPr>
          <w:p>
            <w:pPr/>
          </w:p>
        </w:tc>
        <w:tc>
          <w:tcPr>
            <w:tcW w:w="1136" w:type="dxa"/>
            <w:tcBorders>
              <w:top w:val="single" w:sz="8" w:space="0" w:color="4F81BC"/>
            </w:tcBorders>
            <w:shd w:val="clear" w:color="auto" w:fill="C5D9F0"/>
          </w:tcPr>
          <w:p>
            <w:pPr>
              <w:pStyle w:val="TableParagraph"/>
              <w:spacing w:before="86"/>
              <w:ind w:left="354"/>
              <w:rPr>
                <w:sz w:val="20"/>
              </w:rPr>
            </w:pPr>
            <w:r>
              <w:rPr>
                <w:sz w:val="20"/>
              </w:rPr>
              <w:t>MD</w:t>
            </w:r>
          </w:p>
        </w:tc>
        <w:tc>
          <w:tcPr>
            <w:tcW w:w="1743" w:type="dxa"/>
            <w:tcBorders>
              <w:top w:val="single" w:sz="8" w:space="0" w:color="4F81BC"/>
            </w:tcBorders>
            <w:shd w:val="clear" w:color="auto" w:fill="C5D9F0"/>
          </w:tcPr>
          <w:p>
            <w:pPr>
              <w:pStyle w:val="TableParagraph"/>
              <w:spacing w:before="86"/>
              <w:ind w:left="448" w:right="464"/>
              <w:jc w:val="center"/>
              <w:rPr>
                <w:sz w:val="20"/>
              </w:rPr>
            </w:pPr>
            <w:r>
              <w:rPr>
                <w:sz w:val="20"/>
              </w:rPr>
              <w:t>0.050</w:t>
            </w:r>
          </w:p>
        </w:tc>
        <w:tc>
          <w:tcPr>
            <w:tcW w:w="1753" w:type="dxa"/>
            <w:tcBorders>
              <w:top w:val="single" w:sz="8" w:space="0" w:color="4F81BC"/>
            </w:tcBorders>
            <w:shd w:val="clear" w:color="auto" w:fill="C5D9F0"/>
          </w:tcPr>
          <w:p>
            <w:pPr/>
          </w:p>
        </w:tc>
        <w:tc>
          <w:tcPr>
            <w:tcW w:w="1706" w:type="dxa"/>
            <w:tcBorders>
              <w:top w:val="single" w:sz="8" w:space="0" w:color="4F81BC"/>
              <w:right w:val="single" w:sz="8" w:space="0" w:color="4F81BC"/>
            </w:tcBorders>
            <w:shd w:val="clear" w:color="auto" w:fill="C5D9F0"/>
          </w:tcPr>
          <w:p>
            <w:pPr/>
          </w:p>
        </w:tc>
      </w:tr>
      <w:tr>
        <w:trPr>
          <w:trHeight w:val="221" w:hRule="exact"/>
        </w:trPr>
        <w:tc>
          <w:tcPr>
            <w:tcW w:w="1441" w:type="dxa"/>
            <w:tcBorders>
              <w:left w:val="single" w:sz="8" w:space="0" w:color="4F81BC"/>
            </w:tcBorders>
            <w:shd w:val="clear" w:color="auto" w:fill="C5D9F0"/>
          </w:tcPr>
          <w:p>
            <w:pPr>
              <w:pStyle w:val="TableParagraph"/>
              <w:spacing w:line="222" w:lineRule="exact"/>
              <w:ind w:left="337" w:right="337"/>
              <w:jc w:val="center"/>
              <w:rPr>
                <w:b/>
                <w:sz w:val="20"/>
              </w:rPr>
            </w:pPr>
            <w:r>
              <w:rPr>
                <w:b/>
                <w:sz w:val="20"/>
              </w:rPr>
              <w:t>Fc</w:t>
            </w:r>
            <w:r>
              <w:rPr>
                <w:rFonts w:ascii="Symbol" w:hAnsi="Symbol"/>
                <w:b/>
                <w:sz w:val="20"/>
              </w:rPr>
              <w:t></w:t>
            </w:r>
            <w:r>
              <w:rPr>
                <w:b/>
                <w:sz w:val="20"/>
              </w:rPr>
              <w:t>R</w:t>
            </w:r>
          </w:p>
        </w:tc>
        <w:tc>
          <w:tcPr>
            <w:tcW w:w="1136" w:type="dxa"/>
            <w:shd w:val="clear" w:color="auto" w:fill="C5D9F0"/>
          </w:tcPr>
          <w:p>
            <w:pPr/>
          </w:p>
        </w:tc>
        <w:tc>
          <w:tcPr>
            <w:tcW w:w="1743" w:type="dxa"/>
            <w:shd w:val="clear" w:color="auto" w:fill="C5D9F0"/>
          </w:tcPr>
          <w:p>
            <w:pPr/>
          </w:p>
        </w:tc>
        <w:tc>
          <w:tcPr>
            <w:tcW w:w="1753" w:type="dxa"/>
            <w:shd w:val="clear" w:color="auto" w:fill="C5D9F0"/>
          </w:tcPr>
          <w:p>
            <w:pPr>
              <w:pStyle w:val="TableParagraph"/>
              <w:spacing w:line="215" w:lineRule="exact"/>
              <w:ind w:left="178"/>
              <w:jc w:val="center"/>
              <w:rPr>
                <w:sz w:val="20"/>
              </w:rPr>
            </w:pPr>
            <w:r>
              <w:rPr>
                <w:w w:val="100"/>
                <w:sz w:val="20"/>
              </w:rPr>
              <w:t>_</w:t>
            </w:r>
          </w:p>
        </w:tc>
        <w:tc>
          <w:tcPr>
            <w:tcW w:w="1706" w:type="dxa"/>
            <w:tcBorders>
              <w:right w:val="single" w:sz="8" w:space="0" w:color="4F81BC"/>
            </w:tcBorders>
            <w:shd w:val="clear" w:color="auto" w:fill="C5D9F0"/>
          </w:tcPr>
          <w:p>
            <w:pPr>
              <w:pStyle w:val="TableParagraph"/>
              <w:spacing w:line="215" w:lineRule="exact"/>
              <w:ind w:left="70"/>
              <w:jc w:val="center"/>
              <w:rPr>
                <w:sz w:val="20"/>
              </w:rPr>
            </w:pPr>
            <w:r>
              <w:rPr>
                <w:w w:val="100"/>
                <w:sz w:val="20"/>
              </w:rPr>
              <w:t>_</w:t>
            </w:r>
          </w:p>
        </w:tc>
      </w:tr>
      <w:tr>
        <w:trPr>
          <w:trHeight w:val="317" w:hRule="exact"/>
        </w:trPr>
        <w:tc>
          <w:tcPr>
            <w:tcW w:w="1441" w:type="dxa"/>
            <w:tcBorders>
              <w:left w:val="single" w:sz="8" w:space="0" w:color="4F81BC"/>
              <w:bottom w:val="single" w:sz="8" w:space="0" w:color="4F81BC"/>
            </w:tcBorders>
            <w:shd w:val="clear" w:color="auto" w:fill="C5D9F0"/>
          </w:tcPr>
          <w:p>
            <w:pPr/>
          </w:p>
        </w:tc>
        <w:tc>
          <w:tcPr>
            <w:tcW w:w="1136" w:type="dxa"/>
            <w:tcBorders>
              <w:bottom w:val="single" w:sz="8" w:space="0" w:color="4F81BC"/>
            </w:tcBorders>
            <w:shd w:val="clear" w:color="auto" w:fill="C5D9F0"/>
          </w:tcPr>
          <w:p>
            <w:pPr>
              <w:pStyle w:val="TableParagraph"/>
              <w:spacing w:line="211" w:lineRule="exact"/>
              <w:ind w:left="374"/>
              <w:rPr>
                <w:sz w:val="20"/>
              </w:rPr>
            </w:pPr>
            <w:r>
              <w:rPr>
                <w:sz w:val="20"/>
              </w:rPr>
              <w:t>PD</w:t>
            </w:r>
          </w:p>
        </w:tc>
        <w:tc>
          <w:tcPr>
            <w:tcW w:w="1743" w:type="dxa"/>
            <w:tcBorders>
              <w:bottom w:val="single" w:sz="8" w:space="0" w:color="4F81BC"/>
            </w:tcBorders>
            <w:shd w:val="clear" w:color="auto" w:fill="C5D9F0"/>
          </w:tcPr>
          <w:p>
            <w:pPr>
              <w:pStyle w:val="TableParagraph"/>
              <w:spacing w:line="211" w:lineRule="exact"/>
              <w:ind w:left="448" w:right="464"/>
              <w:jc w:val="center"/>
              <w:rPr>
                <w:sz w:val="20"/>
              </w:rPr>
            </w:pPr>
            <w:r>
              <w:rPr>
                <w:sz w:val="20"/>
              </w:rPr>
              <w:t>21.89</w:t>
            </w:r>
          </w:p>
        </w:tc>
        <w:tc>
          <w:tcPr>
            <w:tcW w:w="1753" w:type="dxa"/>
            <w:tcBorders>
              <w:bottom w:val="single" w:sz="8" w:space="0" w:color="4F81BC"/>
            </w:tcBorders>
            <w:shd w:val="clear" w:color="auto" w:fill="C5D9F0"/>
          </w:tcPr>
          <w:p>
            <w:pPr/>
          </w:p>
        </w:tc>
        <w:tc>
          <w:tcPr>
            <w:tcW w:w="1706" w:type="dxa"/>
            <w:tcBorders>
              <w:bottom w:val="single" w:sz="8" w:space="0" w:color="4F81BC"/>
              <w:right w:val="single" w:sz="8" w:space="0" w:color="4F81BC"/>
            </w:tcBorders>
            <w:shd w:val="clear" w:color="auto" w:fill="C5D9F0"/>
          </w:tcPr>
          <w:p>
            <w:pPr/>
          </w:p>
        </w:tc>
      </w:tr>
    </w:tbl>
    <w:p>
      <w:pPr>
        <w:spacing w:line="183" w:lineRule="exact" w:before="0"/>
        <w:ind w:left="763" w:right="0" w:firstLine="0"/>
        <w:jc w:val="left"/>
        <w:rPr>
          <w:sz w:val="16"/>
        </w:rPr>
      </w:pPr>
      <w:r>
        <w:rPr>
          <w:sz w:val="16"/>
        </w:rPr>
        <w:t>** p&lt;0.05</w:t>
      </w:r>
    </w:p>
    <w:p>
      <w:pPr>
        <w:spacing w:before="94"/>
        <w:ind w:left="763" w:right="0" w:firstLine="0"/>
        <w:jc w:val="left"/>
        <w:rPr>
          <w:sz w:val="16"/>
        </w:rPr>
      </w:pPr>
      <w:r>
        <w:rPr>
          <w:sz w:val="16"/>
        </w:rPr>
        <w:t>MD=mixed dentition. PD=permanent dentition.</w:t>
      </w:r>
    </w:p>
    <w:p>
      <w:pPr>
        <w:spacing w:before="85"/>
        <w:ind w:left="763" w:right="0" w:firstLine="0"/>
        <w:jc w:val="left"/>
        <w:rPr>
          <w:sz w:val="16"/>
        </w:rPr>
      </w:pPr>
      <w:r>
        <w:rPr>
          <w:sz w:val="16"/>
        </w:rPr>
        <w:t>The data obtained using the            method are expressed in relative expression units.</w:t>
      </w:r>
    </w:p>
    <w:p>
      <w:pPr>
        <w:pStyle w:val="BodyText"/>
        <w:rPr>
          <w:sz w:val="18"/>
        </w:rPr>
      </w:pPr>
    </w:p>
    <w:p>
      <w:pPr>
        <w:pStyle w:val="BodyText"/>
        <w:spacing w:before="5"/>
        <w:rPr>
          <w:sz w:val="14"/>
        </w:rPr>
      </w:pPr>
    </w:p>
    <w:p>
      <w:pPr>
        <w:spacing w:line="362" w:lineRule="auto" w:before="0"/>
        <w:ind w:left="196" w:right="282" w:firstLine="0"/>
        <w:jc w:val="both"/>
        <w:rPr>
          <w:sz w:val="20"/>
        </w:rPr>
      </w:pPr>
      <w:r>
        <w:rPr>
          <w:sz w:val="20"/>
        </w:rPr>
        <w:t>Multiple linear regression analysis showed that there was no significant association between caries  and gene expression of immunoglobulin receptors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for both the mixed and permanent dentitions (Table</w:t>
      </w:r>
      <w:r>
        <w:rPr>
          <w:spacing w:val="-7"/>
          <w:sz w:val="20"/>
        </w:rPr>
        <w:t> </w:t>
      </w:r>
      <w:r>
        <w:rPr>
          <w:sz w:val="20"/>
        </w:rPr>
        <w:t>5).</w:t>
      </w:r>
    </w:p>
    <w:p>
      <w:pPr>
        <w:pStyle w:val="BodyText"/>
        <w:spacing w:before="3"/>
        <w:rPr>
          <w:sz w:val="17"/>
        </w:rPr>
      </w:pPr>
    </w:p>
    <w:p>
      <w:pPr>
        <w:spacing w:line="271" w:lineRule="auto" w:before="0"/>
        <w:ind w:left="3399" w:right="364" w:hanging="3108"/>
        <w:jc w:val="left"/>
        <w:rPr>
          <w:b/>
          <w:sz w:val="20"/>
        </w:rPr>
      </w:pPr>
      <w:r>
        <w:rPr>
          <w:b/>
          <w:sz w:val="20"/>
        </w:rPr>
        <w:t>Table 5. Multiple linear regression to test the association between caries and gene expression of Fc</w:t>
      </w:r>
      <w:r>
        <w:rPr>
          <w:rFonts w:ascii="Symbol" w:hAnsi="Symbol"/>
          <w:b/>
          <w:sz w:val="20"/>
        </w:rPr>
        <w:t></w:t>
      </w:r>
      <w:r>
        <w:rPr>
          <w:b/>
          <w:sz w:val="20"/>
        </w:rPr>
        <w:t>R, Fc</w:t>
      </w:r>
      <w:r>
        <w:rPr>
          <w:rFonts w:ascii="Symbol" w:hAnsi="Symbol"/>
          <w:b/>
          <w:sz w:val="20"/>
        </w:rPr>
        <w:t></w:t>
      </w:r>
      <w:r>
        <w:rPr>
          <w:b/>
          <w:sz w:val="20"/>
        </w:rPr>
        <w:t>RIIB, and Fc</w:t>
      </w:r>
      <w:r>
        <w:rPr>
          <w:rFonts w:ascii="Symbol" w:hAnsi="Symbol"/>
          <w:b/>
          <w:sz w:val="20"/>
        </w:rPr>
        <w:t></w:t>
      </w:r>
      <w:r>
        <w:rPr>
          <w:b/>
          <w:sz w:val="20"/>
        </w:rPr>
        <w:t>R</w:t>
      </w:r>
    </w:p>
    <w:p>
      <w:pPr>
        <w:pStyle w:val="BodyText"/>
        <w:spacing w:before="10"/>
        <w:rPr>
          <w:b/>
          <w:sz w:val="18"/>
        </w:rPr>
      </w:pPr>
    </w:p>
    <w:tbl>
      <w:tblPr>
        <w:tblW w:w="0" w:type="auto"/>
        <w:jc w:val="left"/>
        <w:tblInd w:w="10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09"/>
        <w:gridCol w:w="1842"/>
        <w:gridCol w:w="2183"/>
        <w:gridCol w:w="2318"/>
      </w:tblGrid>
      <w:tr>
        <w:trPr>
          <w:trHeight w:val="259" w:hRule="exact"/>
        </w:trPr>
        <w:tc>
          <w:tcPr>
            <w:tcW w:w="1109" w:type="dxa"/>
            <w:tcBorders>
              <w:bottom w:val="single" w:sz="8" w:space="0" w:color="FFFFFF"/>
            </w:tcBorders>
            <w:shd w:val="clear" w:color="auto" w:fill="4F81BC"/>
          </w:tcPr>
          <w:p>
            <w:pPr>
              <w:pStyle w:val="TableParagraph"/>
              <w:spacing w:before="9"/>
              <w:ind w:left="92" w:right="87"/>
              <w:jc w:val="center"/>
              <w:rPr>
                <w:b/>
                <w:sz w:val="20"/>
              </w:rPr>
            </w:pPr>
            <w:r>
              <w:rPr>
                <w:b/>
                <w:color w:val="FFFFFF"/>
                <w:sz w:val="20"/>
              </w:rPr>
              <w:t>Variables</w:t>
            </w:r>
          </w:p>
        </w:tc>
        <w:tc>
          <w:tcPr>
            <w:tcW w:w="6343" w:type="dxa"/>
            <w:gridSpan w:val="3"/>
            <w:tcBorders>
              <w:bottom w:val="single" w:sz="8" w:space="0" w:color="FFFFFF"/>
            </w:tcBorders>
            <w:shd w:val="clear" w:color="auto" w:fill="4F81BC"/>
          </w:tcPr>
          <w:p>
            <w:pPr>
              <w:pStyle w:val="TableParagraph"/>
              <w:tabs>
                <w:tab w:pos="2300" w:val="left" w:leader="none"/>
                <w:tab w:pos="4551" w:val="left" w:leader="none"/>
              </w:tabs>
              <w:spacing w:before="9"/>
              <w:ind w:left="777"/>
              <w:rPr>
                <w:b/>
                <w:sz w:val="20"/>
              </w:rPr>
            </w:pPr>
            <w:r>
              <w:rPr>
                <w:b/>
                <w:color w:val="FFFFFF"/>
                <w:sz w:val="20"/>
              </w:rPr>
              <w:t>Β</w:t>
              <w:tab/>
              <w:t>Coefficient</w:t>
              <w:tab/>
              <w:t>Significance</w:t>
            </w:r>
          </w:p>
        </w:tc>
      </w:tr>
      <w:tr>
        <w:trPr>
          <w:trHeight w:val="475" w:hRule="exact"/>
        </w:trPr>
        <w:tc>
          <w:tcPr>
            <w:tcW w:w="7452" w:type="dxa"/>
            <w:gridSpan w:val="4"/>
            <w:tcBorders>
              <w:top w:val="single" w:sz="8" w:space="0" w:color="FFFFFF"/>
              <w:left w:val="single" w:sz="8" w:space="0" w:color="4F81BC"/>
              <w:bottom w:val="single" w:sz="4" w:space="0" w:color="4F81BC"/>
              <w:right w:val="single" w:sz="8" w:space="0" w:color="4F81BC"/>
            </w:tcBorders>
            <w:shd w:val="clear" w:color="auto" w:fill="C5D9F0"/>
          </w:tcPr>
          <w:p>
            <w:pPr>
              <w:pStyle w:val="TableParagraph"/>
              <w:ind w:left="2986" w:right="2978"/>
              <w:jc w:val="center"/>
              <w:rPr>
                <w:b/>
                <w:sz w:val="20"/>
              </w:rPr>
            </w:pPr>
            <w:r>
              <w:rPr>
                <w:b/>
                <w:sz w:val="20"/>
              </w:rPr>
              <w:t>Mixed dentition n=50</w:t>
            </w:r>
          </w:p>
        </w:tc>
      </w:tr>
      <w:tr>
        <w:trPr>
          <w:trHeight w:val="259" w:hRule="exact"/>
        </w:trPr>
        <w:tc>
          <w:tcPr>
            <w:tcW w:w="1109" w:type="dxa"/>
            <w:tcBorders>
              <w:top w:val="single" w:sz="4" w:space="0" w:color="4F81BC"/>
              <w:left w:val="single" w:sz="8" w:space="0" w:color="4F81BC"/>
            </w:tcBorders>
          </w:tcPr>
          <w:p>
            <w:pPr>
              <w:pStyle w:val="TableParagraph"/>
              <w:ind w:left="177" w:right="183"/>
              <w:jc w:val="center"/>
              <w:rPr>
                <w:sz w:val="20"/>
              </w:rPr>
            </w:pPr>
            <w:r>
              <w:rPr>
                <w:sz w:val="20"/>
              </w:rPr>
              <w:t>Fc</w:t>
            </w:r>
            <w:r>
              <w:rPr>
                <w:rFonts w:ascii="Symbol" w:hAnsi="Symbol"/>
                <w:sz w:val="20"/>
              </w:rPr>
              <w:t></w:t>
            </w:r>
            <w:r>
              <w:rPr>
                <w:sz w:val="20"/>
              </w:rPr>
              <w:t>R</w:t>
            </w:r>
          </w:p>
        </w:tc>
        <w:tc>
          <w:tcPr>
            <w:tcW w:w="1842" w:type="dxa"/>
            <w:tcBorders>
              <w:top w:val="single" w:sz="4" w:space="0" w:color="4F81BC"/>
              <w:bottom w:val="single" w:sz="4" w:space="0" w:color="C5D9F0"/>
            </w:tcBorders>
          </w:tcPr>
          <w:p>
            <w:pPr>
              <w:pStyle w:val="TableParagraph"/>
              <w:spacing w:line="230" w:lineRule="exact"/>
              <w:ind w:left="465" w:right="604"/>
              <w:jc w:val="center"/>
              <w:rPr>
                <w:sz w:val="20"/>
              </w:rPr>
            </w:pPr>
            <w:r>
              <w:rPr>
                <w:sz w:val="20"/>
              </w:rPr>
              <w:t>-0.378</w:t>
            </w:r>
          </w:p>
        </w:tc>
        <w:tc>
          <w:tcPr>
            <w:tcW w:w="2183" w:type="dxa"/>
            <w:tcBorders>
              <w:top w:val="single" w:sz="4" w:space="0" w:color="4F81BC"/>
              <w:bottom w:val="single" w:sz="4" w:space="0" w:color="C5D9F0"/>
            </w:tcBorders>
          </w:tcPr>
          <w:p>
            <w:pPr>
              <w:pStyle w:val="TableParagraph"/>
              <w:spacing w:line="230" w:lineRule="exact"/>
              <w:ind w:left="617" w:right="847"/>
              <w:jc w:val="center"/>
              <w:rPr>
                <w:sz w:val="20"/>
              </w:rPr>
            </w:pPr>
            <w:r>
              <w:rPr>
                <w:sz w:val="20"/>
              </w:rPr>
              <w:t>[-0.178]</w:t>
            </w:r>
          </w:p>
        </w:tc>
        <w:tc>
          <w:tcPr>
            <w:tcW w:w="2318" w:type="dxa"/>
            <w:tcBorders>
              <w:top w:val="single" w:sz="4" w:space="0" w:color="4F81BC"/>
              <w:bottom w:val="single" w:sz="4" w:space="0" w:color="C5D9F0"/>
              <w:right w:val="single" w:sz="8" w:space="0" w:color="4F81BC"/>
            </w:tcBorders>
          </w:tcPr>
          <w:p>
            <w:pPr>
              <w:pStyle w:val="TableParagraph"/>
              <w:spacing w:line="230" w:lineRule="exact"/>
              <w:ind w:left="849" w:right="918"/>
              <w:jc w:val="center"/>
              <w:rPr>
                <w:sz w:val="20"/>
              </w:rPr>
            </w:pPr>
            <w:r>
              <w:rPr>
                <w:sz w:val="20"/>
              </w:rPr>
              <w:t>0.358</w:t>
            </w:r>
          </w:p>
        </w:tc>
      </w:tr>
      <w:tr>
        <w:trPr>
          <w:trHeight w:val="226" w:hRule="exact"/>
        </w:trPr>
        <w:tc>
          <w:tcPr>
            <w:tcW w:w="1109" w:type="dxa"/>
            <w:tcBorders>
              <w:left w:val="single" w:sz="8" w:space="0" w:color="4F81BC"/>
            </w:tcBorders>
            <w:shd w:val="clear" w:color="auto" w:fill="C5D9F0"/>
          </w:tcPr>
          <w:p>
            <w:pPr>
              <w:pStyle w:val="TableParagraph"/>
              <w:spacing w:line="236" w:lineRule="exact"/>
              <w:ind w:left="183" w:right="183"/>
              <w:jc w:val="center"/>
              <w:rPr>
                <w:sz w:val="20"/>
              </w:rPr>
            </w:pPr>
            <w:r>
              <w:rPr>
                <w:sz w:val="20"/>
              </w:rPr>
              <w:t>Fc</w:t>
            </w:r>
            <w:r>
              <w:rPr>
                <w:rFonts w:ascii="Symbol" w:hAnsi="Symbol"/>
                <w:sz w:val="20"/>
              </w:rPr>
              <w:t></w:t>
            </w:r>
            <w:r>
              <w:rPr>
                <w:sz w:val="20"/>
              </w:rPr>
              <w:t>RIIB</w:t>
            </w:r>
          </w:p>
        </w:tc>
        <w:tc>
          <w:tcPr>
            <w:tcW w:w="1842" w:type="dxa"/>
            <w:shd w:val="clear" w:color="auto" w:fill="C5D9F0"/>
          </w:tcPr>
          <w:p>
            <w:pPr>
              <w:pStyle w:val="TableParagraph"/>
              <w:spacing w:line="225" w:lineRule="exact"/>
              <w:ind w:left="465" w:right="604"/>
              <w:jc w:val="center"/>
              <w:rPr>
                <w:sz w:val="20"/>
              </w:rPr>
            </w:pPr>
            <w:r>
              <w:rPr>
                <w:sz w:val="20"/>
              </w:rPr>
              <w:t>-0.178</w:t>
            </w:r>
          </w:p>
        </w:tc>
        <w:tc>
          <w:tcPr>
            <w:tcW w:w="2183" w:type="dxa"/>
            <w:shd w:val="clear" w:color="auto" w:fill="C5D9F0"/>
          </w:tcPr>
          <w:p>
            <w:pPr>
              <w:pStyle w:val="TableParagraph"/>
              <w:spacing w:line="225" w:lineRule="exact"/>
              <w:ind w:left="617" w:right="847"/>
              <w:jc w:val="center"/>
              <w:rPr>
                <w:sz w:val="20"/>
              </w:rPr>
            </w:pPr>
            <w:r>
              <w:rPr>
                <w:sz w:val="20"/>
              </w:rPr>
              <w:t>[-0.157]</w:t>
            </w:r>
          </w:p>
        </w:tc>
        <w:tc>
          <w:tcPr>
            <w:tcW w:w="2318" w:type="dxa"/>
            <w:tcBorders>
              <w:right w:val="single" w:sz="8" w:space="0" w:color="4F81BC"/>
            </w:tcBorders>
            <w:shd w:val="clear" w:color="auto" w:fill="C5D9F0"/>
          </w:tcPr>
          <w:p>
            <w:pPr>
              <w:pStyle w:val="TableParagraph"/>
              <w:spacing w:line="225" w:lineRule="exact"/>
              <w:ind w:left="849" w:right="918"/>
              <w:jc w:val="center"/>
              <w:rPr>
                <w:sz w:val="20"/>
              </w:rPr>
            </w:pPr>
            <w:r>
              <w:rPr>
                <w:sz w:val="20"/>
              </w:rPr>
              <w:t>0.419</w:t>
            </w:r>
          </w:p>
        </w:tc>
      </w:tr>
      <w:tr>
        <w:trPr>
          <w:trHeight w:val="260" w:hRule="exact"/>
        </w:trPr>
        <w:tc>
          <w:tcPr>
            <w:tcW w:w="1109" w:type="dxa"/>
            <w:tcBorders>
              <w:left w:val="single" w:sz="8" w:space="0" w:color="4F81BC"/>
              <w:bottom w:val="single" w:sz="4" w:space="0" w:color="4F81BC"/>
            </w:tcBorders>
          </w:tcPr>
          <w:p>
            <w:pPr>
              <w:pStyle w:val="TableParagraph"/>
              <w:spacing w:before="10"/>
              <w:ind w:left="177" w:right="183"/>
              <w:jc w:val="center"/>
              <w:rPr>
                <w:sz w:val="20"/>
              </w:rPr>
            </w:pPr>
            <w:r>
              <w:rPr>
                <w:sz w:val="20"/>
              </w:rPr>
              <w:t>Fc</w:t>
            </w:r>
            <w:r>
              <w:rPr>
                <w:rFonts w:ascii="Symbol" w:hAnsi="Symbol"/>
                <w:sz w:val="20"/>
              </w:rPr>
              <w:t></w:t>
            </w:r>
            <w:r>
              <w:rPr>
                <w:sz w:val="20"/>
              </w:rPr>
              <w:t>R</w:t>
            </w:r>
          </w:p>
        </w:tc>
        <w:tc>
          <w:tcPr>
            <w:tcW w:w="1842" w:type="dxa"/>
            <w:tcBorders>
              <w:top w:val="single" w:sz="4" w:space="0" w:color="C5D9F0"/>
              <w:bottom w:val="single" w:sz="4" w:space="0" w:color="4F81BC"/>
            </w:tcBorders>
          </w:tcPr>
          <w:p>
            <w:pPr>
              <w:pStyle w:val="TableParagraph"/>
              <w:spacing w:before="9"/>
              <w:ind w:left="465" w:right="613"/>
              <w:jc w:val="center"/>
              <w:rPr>
                <w:sz w:val="20"/>
              </w:rPr>
            </w:pPr>
            <w:r>
              <w:rPr>
                <w:sz w:val="20"/>
              </w:rPr>
              <w:t>161.079</w:t>
            </w:r>
          </w:p>
        </w:tc>
        <w:tc>
          <w:tcPr>
            <w:tcW w:w="2183" w:type="dxa"/>
            <w:tcBorders>
              <w:top w:val="single" w:sz="4" w:space="0" w:color="C5D9F0"/>
              <w:bottom w:val="single" w:sz="4" w:space="0" w:color="4F81BC"/>
            </w:tcBorders>
          </w:tcPr>
          <w:p>
            <w:pPr>
              <w:pStyle w:val="TableParagraph"/>
              <w:spacing w:before="9"/>
              <w:ind w:left="617" w:right="847"/>
              <w:jc w:val="center"/>
              <w:rPr>
                <w:sz w:val="20"/>
              </w:rPr>
            </w:pPr>
            <w:r>
              <w:rPr>
                <w:sz w:val="20"/>
              </w:rPr>
              <w:t>[0.306]</w:t>
            </w:r>
          </w:p>
        </w:tc>
        <w:tc>
          <w:tcPr>
            <w:tcW w:w="2318" w:type="dxa"/>
            <w:tcBorders>
              <w:top w:val="single" w:sz="4" w:space="0" w:color="C5D9F0"/>
              <w:bottom w:val="single" w:sz="4" w:space="0" w:color="4F81BC"/>
              <w:right w:val="single" w:sz="8" w:space="0" w:color="4F81BC"/>
            </w:tcBorders>
          </w:tcPr>
          <w:p>
            <w:pPr>
              <w:pStyle w:val="TableParagraph"/>
              <w:spacing w:before="9"/>
              <w:ind w:left="849" w:right="918"/>
              <w:jc w:val="center"/>
              <w:rPr>
                <w:sz w:val="20"/>
              </w:rPr>
            </w:pPr>
            <w:r>
              <w:rPr>
                <w:sz w:val="20"/>
              </w:rPr>
              <w:t>0.104</w:t>
            </w:r>
          </w:p>
        </w:tc>
      </w:tr>
      <w:tr>
        <w:trPr>
          <w:trHeight w:val="314" w:hRule="exact"/>
        </w:trPr>
        <w:tc>
          <w:tcPr>
            <w:tcW w:w="7452" w:type="dxa"/>
            <w:gridSpan w:val="4"/>
            <w:tcBorders>
              <w:top w:val="single" w:sz="4" w:space="0" w:color="4F81BC"/>
              <w:left w:val="single" w:sz="8" w:space="0" w:color="4F81BC"/>
              <w:bottom w:val="single" w:sz="8" w:space="0" w:color="4F81BC"/>
              <w:right w:val="single" w:sz="8" w:space="0" w:color="4F81BC"/>
            </w:tcBorders>
          </w:tcPr>
          <w:p>
            <w:pPr>
              <w:pStyle w:val="TableParagraph"/>
              <w:spacing w:line="220" w:lineRule="exact"/>
              <w:ind w:left="2986" w:right="2976"/>
              <w:jc w:val="center"/>
              <w:rPr>
                <w:b/>
                <w:sz w:val="20"/>
              </w:rPr>
            </w:pPr>
            <w:r>
              <w:rPr>
                <w:b/>
                <w:sz w:val="20"/>
              </w:rPr>
              <w:t>R</w:t>
            </w:r>
            <w:r>
              <w:rPr>
                <w:b/>
                <w:position w:val="10"/>
                <w:sz w:val="13"/>
              </w:rPr>
              <w:t>2</w:t>
            </w:r>
            <w:r>
              <w:rPr>
                <w:b/>
                <w:sz w:val="20"/>
              </w:rPr>
              <w:t>= 0.191</w:t>
            </w:r>
          </w:p>
        </w:tc>
      </w:tr>
      <w:tr>
        <w:trPr>
          <w:trHeight w:val="478" w:hRule="exact"/>
        </w:trPr>
        <w:tc>
          <w:tcPr>
            <w:tcW w:w="7452" w:type="dxa"/>
            <w:gridSpan w:val="4"/>
            <w:tcBorders>
              <w:top w:val="single" w:sz="8" w:space="0" w:color="4F81BC"/>
              <w:left w:val="single" w:sz="8" w:space="0" w:color="4F81BC"/>
              <w:bottom w:val="single" w:sz="8" w:space="0" w:color="4F81BC"/>
              <w:right w:val="single" w:sz="8" w:space="0" w:color="4F81BC"/>
            </w:tcBorders>
            <w:shd w:val="clear" w:color="auto" w:fill="C5D9F0"/>
          </w:tcPr>
          <w:p>
            <w:pPr>
              <w:pStyle w:val="TableParagraph"/>
              <w:ind w:left="2751" w:right="2743"/>
              <w:jc w:val="center"/>
              <w:rPr>
                <w:b/>
                <w:sz w:val="20"/>
              </w:rPr>
            </w:pPr>
            <w:r>
              <w:rPr>
                <w:b/>
                <w:sz w:val="20"/>
              </w:rPr>
              <w:t>Permanent dentition n=50</w:t>
            </w:r>
          </w:p>
        </w:tc>
      </w:tr>
      <w:tr>
        <w:trPr>
          <w:trHeight w:val="259" w:hRule="exact"/>
        </w:trPr>
        <w:tc>
          <w:tcPr>
            <w:tcW w:w="1109" w:type="dxa"/>
            <w:tcBorders>
              <w:top w:val="single" w:sz="8" w:space="0" w:color="4F81BC"/>
              <w:left w:val="single" w:sz="8" w:space="0" w:color="4F81BC"/>
            </w:tcBorders>
          </w:tcPr>
          <w:p>
            <w:pPr>
              <w:pStyle w:val="TableParagraph"/>
              <w:spacing w:before="5"/>
              <w:ind w:left="177" w:right="183"/>
              <w:jc w:val="center"/>
              <w:rPr>
                <w:sz w:val="20"/>
              </w:rPr>
            </w:pPr>
            <w:r>
              <w:rPr>
                <w:sz w:val="20"/>
              </w:rPr>
              <w:t>Fc</w:t>
            </w:r>
            <w:r>
              <w:rPr>
                <w:rFonts w:ascii="Symbol" w:hAnsi="Symbol"/>
                <w:sz w:val="20"/>
              </w:rPr>
              <w:t></w:t>
            </w:r>
            <w:r>
              <w:rPr>
                <w:sz w:val="20"/>
              </w:rPr>
              <w:t>R</w:t>
            </w:r>
          </w:p>
        </w:tc>
        <w:tc>
          <w:tcPr>
            <w:tcW w:w="1842" w:type="dxa"/>
            <w:tcBorders>
              <w:top w:val="single" w:sz="8" w:space="0" w:color="4F81BC"/>
              <w:bottom w:val="single" w:sz="2" w:space="0" w:color="C5D9F0"/>
            </w:tcBorders>
          </w:tcPr>
          <w:p>
            <w:pPr>
              <w:pStyle w:val="TableParagraph"/>
              <w:spacing w:before="4"/>
              <w:ind w:left="465" w:right="604"/>
              <w:jc w:val="center"/>
              <w:rPr>
                <w:sz w:val="20"/>
              </w:rPr>
            </w:pPr>
            <w:r>
              <w:rPr>
                <w:sz w:val="20"/>
              </w:rPr>
              <w:t>-0.016</w:t>
            </w:r>
          </w:p>
        </w:tc>
        <w:tc>
          <w:tcPr>
            <w:tcW w:w="2183" w:type="dxa"/>
            <w:tcBorders>
              <w:top w:val="single" w:sz="8" w:space="0" w:color="4F81BC"/>
              <w:bottom w:val="single" w:sz="2" w:space="0" w:color="C5D9F0"/>
            </w:tcBorders>
          </w:tcPr>
          <w:p>
            <w:pPr>
              <w:pStyle w:val="TableParagraph"/>
              <w:spacing w:before="4"/>
              <w:ind w:left="617" w:right="847"/>
              <w:jc w:val="center"/>
              <w:rPr>
                <w:sz w:val="20"/>
              </w:rPr>
            </w:pPr>
            <w:r>
              <w:rPr>
                <w:sz w:val="20"/>
              </w:rPr>
              <w:t>[-0.040]</w:t>
            </w:r>
          </w:p>
        </w:tc>
        <w:tc>
          <w:tcPr>
            <w:tcW w:w="2318" w:type="dxa"/>
            <w:tcBorders>
              <w:top w:val="single" w:sz="8" w:space="0" w:color="4F81BC"/>
              <w:bottom w:val="single" w:sz="2" w:space="0" w:color="C5D9F0"/>
              <w:right w:val="single" w:sz="8" w:space="0" w:color="4F81BC"/>
            </w:tcBorders>
          </w:tcPr>
          <w:p>
            <w:pPr>
              <w:pStyle w:val="TableParagraph"/>
              <w:spacing w:before="4"/>
              <w:ind w:left="849" w:right="918"/>
              <w:jc w:val="center"/>
              <w:rPr>
                <w:sz w:val="20"/>
              </w:rPr>
            </w:pPr>
            <w:r>
              <w:rPr>
                <w:sz w:val="20"/>
              </w:rPr>
              <w:t>0.785</w:t>
            </w:r>
          </w:p>
        </w:tc>
      </w:tr>
      <w:tr>
        <w:trPr>
          <w:trHeight w:val="245" w:hRule="exact"/>
        </w:trPr>
        <w:tc>
          <w:tcPr>
            <w:tcW w:w="1109" w:type="dxa"/>
            <w:tcBorders>
              <w:left w:val="single" w:sz="8" w:space="0" w:color="4F81BC"/>
            </w:tcBorders>
            <w:shd w:val="clear" w:color="auto" w:fill="C5D9F0"/>
          </w:tcPr>
          <w:p>
            <w:pPr>
              <w:pStyle w:val="TableParagraph"/>
              <w:ind w:left="183" w:right="183"/>
              <w:jc w:val="center"/>
              <w:rPr>
                <w:sz w:val="20"/>
              </w:rPr>
            </w:pPr>
            <w:r>
              <w:rPr>
                <w:sz w:val="20"/>
              </w:rPr>
              <w:t>Fc</w:t>
            </w:r>
            <w:r>
              <w:rPr>
                <w:rFonts w:ascii="Symbol" w:hAnsi="Symbol"/>
                <w:sz w:val="20"/>
              </w:rPr>
              <w:t></w:t>
            </w:r>
            <w:r>
              <w:rPr>
                <w:sz w:val="20"/>
              </w:rPr>
              <w:t>RIIB</w:t>
            </w:r>
          </w:p>
        </w:tc>
        <w:tc>
          <w:tcPr>
            <w:tcW w:w="1842" w:type="dxa"/>
            <w:shd w:val="clear" w:color="auto" w:fill="C5D9F0"/>
          </w:tcPr>
          <w:p>
            <w:pPr>
              <w:pStyle w:val="TableParagraph"/>
              <w:spacing w:line="230" w:lineRule="exact"/>
              <w:ind w:left="465" w:right="604"/>
              <w:jc w:val="center"/>
              <w:rPr>
                <w:sz w:val="20"/>
              </w:rPr>
            </w:pPr>
            <w:r>
              <w:rPr>
                <w:sz w:val="20"/>
              </w:rPr>
              <w:t>-0.067</w:t>
            </w:r>
          </w:p>
        </w:tc>
        <w:tc>
          <w:tcPr>
            <w:tcW w:w="2183" w:type="dxa"/>
            <w:shd w:val="clear" w:color="auto" w:fill="C5D9F0"/>
          </w:tcPr>
          <w:p>
            <w:pPr>
              <w:pStyle w:val="TableParagraph"/>
              <w:spacing w:line="230" w:lineRule="exact"/>
              <w:ind w:left="617" w:right="847"/>
              <w:jc w:val="center"/>
              <w:rPr>
                <w:sz w:val="20"/>
              </w:rPr>
            </w:pPr>
            <w:r>
              <w:rPr>
                <w:sz w:val="20"/>
              </w:rPr>
              <w:t>[-0.269]</w:t>
            </w:r>
          </w:p>
        </w:tc>
        <w:tc>
          <w:tcPr>
            <w:tcW w:w="2318" w:type="dxa"/>
            <w:tcBorders>
              <w:right w:val="single" w:sz="8" w:space="0" w:color="4F81BC"/>
            </w:tcBorders>
            <w:shd w:val="clear" w:color="auto" w:fill="C5D9F0"/>
          </w:tcPr>
          <w:p>
            <w:pPr>
              <w:pStyle w:val="TableParagraph"/>
              <w:spacing w:line="230" w:lineRule="exact"/>
              <w:ind w:left="849" w:right="918"/>
              <w:jc w:val="center"/>
              <w:rPr>
                <w:sz w:val="20"/>
              </w:rPr>
            </w:pPr>
            <w:r>
              <w:rPr>
                <w:sz w:val="20"/>
              </w:rPr>
              <w:t>0.185</w:t>
            </w:r>
          </w:p>
        </w:tc>
      </w:tr>
      <w:tr>
        <w:trPr>
          <w:trHeight w:val="255" w:hRule="exact"/>
        </w:trPr>
        <w:tc>
          <w:tcPr>
            <w:tcW w:w="1109" w:type="dxa"/>
            <w:tcBorders>
              <w:left w:val="single" w:sz="8" w:space="0" w:color="4F81BC"/>
              <w:bottom w:val="single" w:sz="8" w:space="0" w:color="4F81BC"/>
            </w:tcBorders>
          </w:tcPr>
          <w:p>
            <w:pPr>
              <w:pStyle w:val="TableParagraph"/>
              <w:spacing w:before="1"/>
              <w:ind w:left="177" w:right="183"/>
              <w:jc w:val="center"/>
              <w:rPr>
                <w:sz w:val="20"/>
              </w:rPr>
            </w:pPr>
            <w:r>
              <w:rPr>
                <w:sz w:val="20"/>
              </w:rPr>
              <w:t>Fc</w:t>
            </w:r>
            <w:r>
              <w:rPr>
                <w:rFonts w:ascii="Symbol" w:hAnsi="Symbol"/>
                <w:sz w:val="20"/>
              </w:rPr>
              <w:t></w:t>
            </w:r>
            <w:r>
              <w:rPr>
                <w:sz w:val="20"/>
              </w:rPr>
              <w:t>R</w:t>
            </w:r>
          </w:p>
        </w:tc>
        <w:tc>
          <w:tcPr>
            <w:tcW w:w="1842" w:type="dxa"/>
            <w:tcBorders>
              <w:top w:val="single" w:sz="4" w:space="0" w:color="C5D9F0"/>
              <w:bottom w:val="single" w:sz="8" w:space="0" w:color="4F81BC"/>
            </w:tcBorders>
          </w:tcPr>
          <w:p>
            <w:pPr>
              <w:pStyle w:val="TableParagraph"/>
              <w:spacing w:line="225" w:lineRule="exact"/>
              <w:ind w:right="142"/>
              <w:jc w:val="center"/>
              <w:rPr>
                <w:sz w:val="20"/>
              </w:rPr>
            </w:pPr>
            <w:r>
              <w:rPr>
                <w:w w:val="100"/>
                <w:sz w:val="20"/>
              </w:rPr>
              <w:t>.</w:t>
            </w:r>
          </w:p>
        </w:tc>
        <w:tc>
          <w:tcPr>
            <w:tcW w:w="2183" w:type="dxa"/>
            <w:tcBorders>
              <w:top w:val="single" w:sz="4" w:space="0" w:color="C5D9F0"/>
              <w:bottom w:val="single" w:sz="8" w:space="0" w:color="4F81BC"/>
            </w:tcBorders>
          </w:tcPr>
          <w:p>
            <w:pPr>
              <w:pStyle w:val="TableParagraph"/>
              <w:spacing w:line="225" w:lineRule="exact"/>
              <w:ind w:right="230"/>
              <w:jc w:val="center"/>
              <w:rPr>
                <w:sz w:val="20"/>
              </w:rPr>
            </w:pPr>
            <w:r>
              <w:rPr>
                <w:w w:val="100"/>
                <w:sz w:val="20"/>
              </w:rPr>
              <w:t>.</w:t>
            </w:r>
          </w:p>
        </w:tc>
        <w:tc>
          <w:tcPr>
            <w:tcW w:w="2318" w:type="dxa"/>
            <w:tcBorders>
              <w:top w:val="single" w:sz="4" w:space="0" w:color="C5D9F0"/>
              <w:bottom w:val="single" w:sz="8" w:space="0" w:color="4F81BC"/>
              <w:right w:val="single" w:sz="8" w:space="0" w:color="4F81BC"/>
            </w:tcBorders>
          </w:tcPr>
          <w:p>
            <w:pPr>
              <w:pStyle w:val="TableParagraph"/>
              <w:spacing w:line="225" w:lineRule="exact"/>
              <w:ind w:right="73"/>
              <w:jc w:val="center"/>
              <w:rPr>
                <w:sz w:val="20"/>
              </w:rPr>
            </w:pPr>
            <w:r>
              <w:rPr>
                <w:w w:val="100"/>
                <w:sz w:val="20"/>
              </w:rPr>
              <w:t>.</w:t>
            </w:r>
          </w:p>
        </w:tc>
      </w:tr>
      <w:tr>
        <w:trPr>
          <w:trHeight w:val="250" w:hRule="exact"/>
        </w:trPr>
        <w:tc>
          <w:tcPr>
            <w:tcW w:w="7452" w:type="dxa"/>
            <w:gridSpan w:val="4"/>
            <w:tcBorders>
              <w:top w:val="single" w:sz="8" w:space="0" w:color="4F81BC"/>
              <w:left w:val="single" w:sz="8" w:space="0" w:color="4F81BC"/>
              <w:bottom w:val="single" w:sz="8" w:space="0" w:color="4F81BC"/>
              <w:right w:val="single" w:sz="8" w:space="0" w:color="4F81BC"/>
            </w:tcBorders>
          </w:tcPr>
          <w:p>
            <w:pPr>
              <w:pStyle w:val="TableParagraph"/>
              <w:spacing w:line="220" w:lineRule="exact"/>
              <w:ind w:left="2986" w:right="2976"/>
              <w:jc w:val="center"/>
              <w:rPr>
                <w:b/>
                <w:sz w:val="20"/>
              </w:rPr>
            </w:pPr>
            <w:r>
              <w:rPr>
                <w:b/>
                <w:sz w:val="20"/>
              </w:rPr>
              <w:t>R</w:t>
            </w:r>
            <w:r>
              <w:rPr>
                <w:b/>
                <w:position w:val="10"/>
                <w:sz w:val="13"/>
              </w:rPr>
              <w:t>2</w:t>
            </w:r>
            <w:r>
              <w:rPr>
                <w:b/>
                <w:sz w:val="20"/>
              </w:rPr>
              <w:t>= 0.037</w:t>
            </w:r>
          </w:p>
        </w:tc>
      </w:tr>
    </w:tbl>
    <w:p>
      <w:pPr>
        <w:spacing w:after="0" w:line="220" w:lineRule="exact"/>
        <w:jc w:val="center"/>
        <w:rPr>
          <w:sz w:val="20"/>
        </w:rPr>
        <w:sectPr>
          <w:pgSz w:w="12240" w:h="15840"/>
          <w:pgMar w:header="726" w:footer="1031" w:top="1340" w:bottom="1220" w:left="1220" w:right="1420"/>
        </w:sectPr>
      </w:pPr>
    </w:p>
    <w:p>
      <w:pPr>
        <w:pStyle w:val="BodyText"/>
        <w:spacing w:before="2"/>
        <w:rPr>
          <w:b/>
          <w:sz w:val="22"/>
        </w:rPr>
      </w:pPr>
    </w:p>
    <w:p>
      <w:pPr>
        <w:spacing w:before="76"/>
        <w:ind w:left="196" w:right="0" w:firstLine="0"/>
        <w:jc w:val="both"/>
        <w:rPr>
          <w:b/>
          <w:sz w:val="20"/>
        </w:rPr>
      </w:pPr>
      <w:r>
        <w:rPr>
          <w:b/>
          <w:sz w:val="20"/>
        </w:rPr>
        <w:t>DISCUSSION</w:t>
      </w:r>
    </w:p>
    <w:p>
      <w:pPr>
        <w:pStyle w:val="BodyText"/>
        <w:rPr>
          <w:b/>
          <w:sz w:val="28"/>
        </w:rPr>
      </w:pPr>
    </w:p>
    <w:p>
      <w:pPr>
        <w:spacing w:line="324" w:lineRule="auto" w:before="0"/>
        <w:ind w:left="196" w:right="271" w:firstLine="0"/>
        <w:jc w:val="both"/>
        <w:rPr>
          <w:sz w:val="20"/>
        </w:rPr>
      </w:pPr>
      <w:r>
        <w:rPr>
          <w:sz w:val="20"/>
        </w:rPr>
        <w:t>Saliva is a bodily fluid that is useful for molecular diagnostics. It contains components found in serum, and simple collection is efficient, secure, easy, and non-invasive.</w:t>
      </w:r>
      <w:r>
        <w:rPr>
          <w:position w:val="10"/>
          <w:sz w:val="13"/>
        </w:rPr>
        <w:t>36 </w:t>
      </w:r>
      <w:r>
        <w:rPr>
          <w:sz w:val="20"/>
        </w:rPr>
        <w:t>Proteins present in saliva can be </w:t>
      </w:r>
      <w:r>
        <w:rPr>
          <w:spacing w:val="-3"/>
          <w:sz w:val="20"/>
        </w:rPr>
        <w:t>used </w:t>
      </w:r>
      <w:r>
        <w:rPr>
          <w:sz w:val="20"/>
        </w:rPr>
        <w:t>as biomarkers for the study of diseases such as autoimmune  disorders</w:t>
      </w:r>
      <w:r>
        <w:rPr>
          <w:position w:val="10"/>
          <w:sz w:val="13"/>
        </w:rPr>
        <w:t>37</w:t>
      </w:r>
      <w:r>
        <w:rPr>
          <w:sz w:val="20"/>
        </w:rPr>
        <w:t>,  cancer</w:t>
      </w:r>
      <w:r>
        <w:rPr>
          <w:position w:val="10"/>
          <w:sz w:val="13"/>
        </w:rPr>
        <w:t>38</w:t>
      </w:r>
      <w:r>
        <w:rPr>
          <w:sz w:val="20"/>
        </w:rPr>
        <w:t>, cardiovascular diseases</w:t>
      </w:r>
      <w:r>
        <w:rPr>
          <w:position w:val="10"/>
          <w:sz w:val="13"/>
        </w:rPr>
        <w:t>39</w:t>
      </w:r>
      <w:r>
        <w:rPr>
          <w:sz w:val="20"/>
        </w:rPr>
        <w:t>, and metabolic diseases</w:t>
      </w:r>
      <w:r>
        <w:rPr>
          <w:position w:val="10"/>
          <w:sz w:val="13"/>
        </w:rPr>
        <w:t>40 </w:t>
      </w:r>
      <w:r>
        <w:rPr>
          <w:sz w:val="20"/>
        </w:rPr>
        <w:t>as well as viral</w:t>
      </w:r>
      <w:r>
        <w:rPr>
          <w:position w:val="10"/>
          <w:sz w:val="13"/>
        </w:rPr>
        <w:t>41 </w:t>
      </w:r>
      <w:r>
        <w:rPr>
          <w:sz w:val="20"/>
        </w:rPr>
        <w:t>and bacterial infections.</w:t>
      </w:r>
      <w:r>
        <w:rPr>
          <w:position w:val="10"/>
          <w:sz w:val="13"/>
        </w:rPr>
        <w:t>42 </w:t>
      </w:r>
      <w:r>
        <w:rPr>
          <w:sz w:val="20"/>
        </w:rPr>
        <w:t>In odontology, saliva has been used for the diagnostic </w:t>
      </w:r>
      <w:r>
        <w:rPr>
          <w:spacing w:val="-4"/>
          <w:sz w:val="20"/>
        </w:rPr>
        <w:t>of </w:t>
      </w:r>
      <w:r>
        <w:rPr>
          <w:sz w:val="20"/>
        </w:rPr>
        <w:t>oral diseases such as periodontal diseases</w:t>
      </w:r>
      <w:r>
        <w:rPr>
          <w:position w:val="10"/>
          <w:sz w:val="13"/>
        </w:rPr>
        <w:t>43  </w:t>
      </w:r>
      <w:r>
        <w:rPr>
          <w:sz w:val="20"/>
        </w:rPr>
        <w:t>and</w:t>
      </w:r>
      <w:r>
        <w:rPr>
          <w:spacing w:val="29"/>
          <w:sz w:val="20"/>
        </w:rPr>
        <w:t> </w:t>
      </w:r>
      <w:r>
        <w:rPr>
          <w:sz w:val="20"/>
        </w:rPr>
        <w:t>to</w:t>
      </w:r>
      <w:r>
        <w:rPr>
          <w:spacing w:val="29"/>
          <w:sz w:val="20"/>
        </w:rPr>
        <w:t> </w:t>
      </w:r>
      <w:r>
        <w:rPr>
          <w:sz w:val="20"/>
        </w:rPr>
        <w:t>evaluate</w:t>
      </w:r>
      <w:r>
        <w:rPr>
          <w:spacing w:val="24"/>
          <w:sz w:val="20"/>
        </w:rPr>
        <w:t> </w:t>
      </w:r>
      <w:r>
        <w:rPr>
          <w:sz w:val="20"/>
        </w:rPr>
        <w:t>the</w:t>
      </w:r>
      <w:r>
        <w:rPr>
          <w:spacing w:val="29"/>
          <w:sz w:val="20"/>
        </w:rPr>
        <w:t> </w:t>
      </w:r>
      <w:r>
        <w:rPr>
          <w:sz w:val="20"/>
        </w:rPr>
        <w:t>risk</w:t>
      </w:r>
      <w:r>
        <w:rPr>
          <w:spacing w:val="31"/>
          <w:sz w:val="20"/>
        </w:rPr>
        <w:t> </w:t>
      </w:r>
      <w:r>
        <w:rPr>
          <w:spacing w:val="-4"/>
          <w:sz w:val="20"/>
        </w:rPr>
        <w:t>of</w:t>
      </w:r>
      <w:r>
        <w:rPr>
          <w:spacing w:val="32"/>
          <w:sz w:val="20"/>
        </w:rPr>
        <w:t> </w:t>
      </w:r>
      <w:r>
        <w:rPr>
          <w:sz w:val="20"/>
        </w:rPr>
        <w:t>caries.</w:t>
      </w:r>
      <w:r>
        <w:rPr>
          <w:position w:val="10"/>
          <w:sz w:val="13"/>
        </w:rPr>
        <w:t>44 </w:t>
      </w:r>
      <w:r>
        <w:rPr>
          <w:spacing w:val="9"/>
          <w:position w:val="10"/>
          <w:sz w:val="13"/>
        </w:rPr>
        <w:t> </w:t>
      </w:r>
      <w:r>
        <w:rPr>
          <w:sz w:val="20"/>
        </w:rPr>
        <w:t>In</w:t>
      </w:r>
      <w:r>
        <w:rPr>
          <w:spacing w:val="29"/>
          <w:sz w:val="20"/>
        </w:rPr>
        <w:t> </w:t>
      </w:r>
      <w:r>
        <w:rPr>
          <w:sz w:val="20"/>
        </w:rPr>
        <w:t>this</w:t>
      </w:r>
      <w:r>
        <w:rPr>
          <w:spacing w:val="25"/>
          <w:sz w:val="20"/>
        </w:rPr>
        <w:t> </w:t>
      </w:r>
      <w:r>
        <w:rPr>
          <w:sz w:val="20"/>
        </w:rPr>
        <w:t>study,</w:t>
      </w:r>
      <w:r>
        <w:rPr>
          <w:spacing w:val="27"/>
          <w:sz w:val="20"/>
        </w:rPr>
        <w:t> </w:t>
      </w:r>
      <w:r>
        <w:rPr>
          <w:sz w:val="20"/>
        </w:rPr>
        <w:t>mixed</w:t>
      </w:r>
      <w:r>
        <w:rPr>
          <w:spacing w:val="29"/>
          <w:sz w:val="20"/>
        </w:rPr>
        <w:t> </w:t>
      </w:r>
      <w:r>
        <w:rPr>
          <w:sz w:val="20"/>
        </w:rPr>
        <w:t>saliva</w:t>
      </w:r>
      <w:r>
        <w:rPr>
          <w:spacing w:val="29"/>
          <w:sz w:val="20"/>
        </w:rPr>
        <w:t> </w:t>
      </w:r>
      <w:r>
        <w:rPr>
          <w:spacing w:val="-3"/>
          <w:sz w:val="20"/>
        </w:rPr>
        <w:t>was</w:t>
      </w:r>
      <w:r>
        <w:rPr>
          <w:spacing w:val="25"/>
          <w:sz w:val="20"/>
        </w:rPr>
        <w:t> </w:t>
      </w:r>
      <w:r>
        <w:rPr>
          <w:sz w:val="20"/>
        </w:rPr>
        <w:t>used</w:t>
      </w:r>
      <w:r>
        <w:rPr>
          <w:spacing w:val="29"/>
          <w:sz w:val="20"/>
        </w:rPr>
        <w:t> </w:t>
      </w:r>
      <w:r>
        <w:rPr>
          <w:sz w:val="20"/>
        </w:rPr>
        <w:t>to</w:t>
      </w:r>
      <w:r>
        <w:rPr>
          <w:spacing w:val="29"/>
          <w:sz w:val="20"/>
        </w:rPr>
        <w:t> </w:t>
      </w:r>
      <w:r>
        <w:rPr>
          <w:sz w:val="20"/>
        </w:rPr>
        <w:t>determine</w:t>
      </w:r>
      <w:r>
        <w:rPr>
          <w:spacing w:val="24"/>
          <w:sz w:val="20"/>
        </w:rPr>
        <w:t> </w:t>
      </w:r>
      <w:r>
        <w:rPr>
          <w:sz w:val="20"/>
        </w:rPr>
        <w:t>the</w:t>
      </w:r>
      <w:r>
        <w:rPr>
          <w:spacing w:val="24"/>
          <w:sz w:val="20"/>
        </w:rPr>
        <w:t> </w:t>
      </w:r>
      <w:r>
        <w:rPr>
          <w:sz w:val="20"/>
        </w:rPr>
        <w:t>levels</w:t>
      </w:r>
      <w:r>
        <w:rPr>
          <w:spacing w:val="25"/>
          <w:sz w:val="20"/>
        </w:rPr>
        <w:t> </w:t>
      </w:r>
      <w:r>
        <w:rPr>
          <w:spacing w:val="-4"/>
          <w:sz w:val="20"/>
        </w:rPr>
        <w:t>of</w:t>
      </w:r>
    </w:p>
    <w:p>
      <w:pPr>
        <w:spacing w:line="360" w:lineRule="auto" w:before="25"/>
        <w:ind w:left="196" w:right="274" w:firstLine="0"/>
        <w:jc w:val="both"/>
        <w:rPr>
          <w:sz w:val="20"/>
        </w:rPr>
      </w:pPr>
      <w:r>
        <w:rPr>
          <w:sz w:val="20"/>
        </w:rPr>
        <w:t>expression of the receptors for the Fc fractions of immunoglobulins A (Fc</w:t>
      </w:r>
      <w:r>
        <w:rPr>
          <w:rFonts w:ascii="Symbol" w:hAnsi="Symbol"/>
          <w:sz w:val="20"/>
        </w:rPr>
        <w:t></w:t>
      </w:r>
      <w:r>
        <w:rPr>
          <w:sz w:val="20"/>
        </w:rPr>
        <w:t>R), G (Fc</w:t>
      </w:r>
      <w:r>
        <w:rPr>
          <w:rFonts w:ascii="Symbol" w:hAnsi="Symbol"/>
          <w:sz w:val="20"/>
        </w:rPr>
        <w:t></w:t>
      </w:r>
      <w:r>
        <w:rPr>
          <w:sz w:val="20"/>
        </w:rPr>
        <w:t>RIIB), and M (Fc</w:t>
      </w:r>
      <w:r>
        <w:rPr>
          <w:rFonts w:ascii="Symbol" w:hAnsi="Symbol"/>
          <w:sz w:val="20"/>
        </w:rPr>
        <w:t></w:t>
      </w:r>
      <w:r>
        <w:rPr>
          <w:sz w:val="20"/>
        </w:rPr>
        <w:t>R). This work was conducted to determine whether there are differences between the two groups studied, one with mixed dentition and the other with permanent dentition, and to evaluate whether gene expression of these receptors is associated with caries.</w:t>
      </w:r>
    </w:p>
    <w:p>
      <w:pPr>
        <w:pStyle w:val="BodyText"/>
        <w:spacing w:before="10"/>
        <w:rPr>
          <w:sz w:val="17"/>
        </w:rPr>
      </w:pPr>
    </w:p>
    <w:p>
      <w:pPr>
        <w:spacing w:line="360" w:lineRule="auto" w:before="0"/>
        <w:ind w:left="196" w:right="282" w:firstLine="0"/>
        <w:jc w:val="both"/>
        <w:rPr>
          <w:sz w:val="20"/>
        </w:rPr>
      </w:pPr>
      <w:r>
        <w:rPr>
          <w:sz w:val="20"/>
        </w:rPr>
        <w:t>First, the statistical analysis of the sociodemographic characteristics of the population studied allowed determination of the similarities between the groups studied as the variables of sex, marital status, occupation, and age differences. As for hygienic and dietary habits, the use of secondary hygiene was found to be more common in the permanent dentition group than in the mixed dentition group, suggesting a deficiency in the oral hygiene of the mixed dentition group.</w:t>
      </w:r>
    </w:p>
    <w:p>
      <w:pPr>
        <w:pStyle w:val="BodyText"/>
        <w:spacing w:before="10"/>
        <w:rPr>
          <w:sz w:val="17"/>
        </w:rPr>
      </w:pPr>
    </w:p>
    <w:p>
      <w:pPr>
        <w:spacing w:line="348" w:lineRule="auto" w:before="1"/>
        <w:ind w:left="196" w:right="277" w:firstLine="0"/>
        <w:jc w:val="both"/>
        <w:rPr>
          <w:sz w:val="20"/>
        </w:rPr>
      </w:pPr>
      <w:r>
        <w:rPr>
          <w:sz w:val="20"/>
        </w:rPr>
        <w:t>Relative gene expression indicated that the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receptors are expressed in saliva. It is noteworthy that Fc</w:t>
      </w:r>
      <w:r>
        <w:rPr>
          <w:rFonts w:ascii="Symbol" w:hAnsi="Symbol"/>
          <w:sz w:val="20"/>
        </w:rPr>
        <w:t></w:t>
      </w:r>
      <w:r>
        <w:rPr>
          <w:sz w:val="20"/>
        </w:rPr>
        <w:t>R was expressed in the subjects of both groups. These results may be due to the presence of secretory IgA produced by plasmatic cells present in the oral cavity.</w:t>
      </w:r>
      <w:r>
        <w:rPr>
          <w:position w:val="10"/>
          <w:sz w:val="13"/>
        </w:rPr>
        <w:t>45 </w:t>
      </w:r>
      <w:r>
        <w:rPr>
          <w:sz w:val="20"/>
        </w:rPr>
        <w:t>It is worth mentioning that several studies have linked immunoglobulin concentration in saliva with the   presence</w:t>
      </w:r>
    </w:p>
    <w:p>
      <w:pPr>
        <w:spacing w:line="348" w:lineRule="auto" w:before="15"/>
        <w:ind w:left="196" w:right="280" w:firstLine="0"/>
        <w:jc w:val="both"/>
        <w:rPr>
          <w:sz w:val="20"/>
        </w:rPr>
      </w:pPr>
      <w:r>
        <w:rPr>
          <w:sz w:val="20"/>
        </w:rPr>
        <w:t>of caries. Levels of salivary IgA and IgG were significantly higher in children with caries in early childhood than in children with no caries, suggesting that the high concentration of salivary immunoglobulin may be associated with increased antigen content, leading to a high production of antibodies.</w:t>
      </w:r>
      <w:r>
        <w:rPr>
          <w:position w:val="10"/>
          <w:sz w:val="13"/>
        </w:rPr>
        <w:t>46  </w:t>
      </w:r>
      <w:r>
        <w:rPr>
          <w:sz w:val="20"/>
        </w:rPr>
        <w:t>Furthermore, another study showed a significant correlation between the concentration of</w:t>
      </w:r>
    </w:p>
    <w:p>
      <w:pPr>
        <w:spacing w:line="343" w:lineRule="auto" w:before="0"/>
        <w:ind w:left="196" w:right="282" w:firstLine="0"/>
        <w:jc w:val="both"/>
        <w:rPr>
          <w:sz w:val="20"/>
        </w:rPr>
      </w:pPr>
      <w:r>
        <w:rPr>
          <w:sz w:val="20"/>
        </w:rPr>
        <w:t>salivary IgA and the presence of caries in early childhood, but no correlation was found between salivary IgA and the decayed, missing, and filled teeth index (DMFT).</w:t>
      </w:r>
      <w:r>
        <w:rPr>
          <w:position w:val="10"/>
          <w:sz w:val="13"/>
        </w:rPr>
        <w:t>47 </w:t>
      </w:r>
      <w:r>
        <w:rPr>
          <w:sz w:val="20"/>
        </w:rPr>
        <w:t>However, a study has reported that IgA levels in the saliva of children with rampant caries were significantly lower than in the saliva  of</w:t>
      </w:r>
    </w:p>
    <w:p>
      <w:pPr>
        <w:spacing w:line="250" w:lineRule="exact" w:before="0"/>
        <w:ind w:left="196" w:right="0" w:firstLine="0"/>
        <w:jc w:val="both"/>
        <w:rPr>
          <w:sz w:val="13"/>
        </w:rPr>
      </w:pPr>
      <w:r>
        <w:rPr>
          <w:sz w:val="20"/>
        </w:rPr>
        <w:t>children resistant to caries.</w:t>
      </w:r>
      <w:r>
        <w:rPr>
          <w:position w:val="10"/>
          <w:sz w:val="13"/>
        </w:rPr>
        <w:t>48</w:t>
      </w:r>
    </w:p>
    <w:p>
      <w:pPr>
        <w:pStyle w:val="BodyText"/>
        <w:spacing w:before="2"/>
        <w:rPr>
          <w:sz w:val="27"/>
        </w:rPr>
      </w:pPr>
    </w:p>
    <w:p>
      <w:pPr>
        <w:spacing w:line="343" w:lineRule="auto" w:before="1"/>
        <w:ind w:left="196" w:right="274" w:firstLine="0"/>
        <w:jc w:val="both"/>
        <w:rPr>
          <w:sz w:val="20"/>
        </w:rPr>
      </w:pPr>
      <w:r>
        <w:rPr>
          <w:sz w:val="20"/>
        </w:rPr>
        <w:t>Fc</w:t>
      </w:r>
      <w:r>
        <w:rPr>
          <w:rFonts w:ascii="Symbol" w:hAnsi="Symbol"/>
          <w:sz w:val="20"/>
        </w:rPr>
        <w:t></w:t>
      </w:r>
      <w:r>
        <w:rPr>
          <w:sz w:val="20"/>
        </w:rPr>
        <w:t>RIIB was detected in approximately half of the subjects in both groups. This result might be due to the presence of polymorphonuclear neutrophils (PMNs) in crevicular fluid. PMNs are the first line of defence in the gingival sulcus</w:t>
      </w:r>
      <w:r>
        <w:rPr>
          <w:position w:val="10"/>
          <w:sz w:val="13"/>
        </w:rPr>
        <w:t>49  </w:t>
      </w:r>
      <w:r>
        <w:rPr>
          <w:sz w:val="20"/>
        </w:rPr>
        <w:t>and express low-affinity receptors for the IgG Fc    domain.</w:t>
      </w:r>
      <w:r>
        <w:rPr>
          <w:position w:val="10"/>
          <w:sz w:val="13"/>
        </w:rPr>
        <w:t>50  </w:t>
      </w:r>
      <w:r>
        <w:rPr>
          <w:sz w:val="20"/>
        </w:rPr>
        <w:t>However,</w:t>
      </w:r>
    </w:p>
    <w:p>
      <w:pPr>
        <w:spacing w:line="343" w:lineRule="auto" w:before="0"/>
        <w:ind w:left="196" w:right="281" w:firstLine="0"/>
        <w:jc w:val="both"/>
        <w:rPr>
          <w:sz w:val="20"/>
        </w:rPr>
      </w:pPr>
      <w:r>
        <w:rPr>
          <w:sz w:val="20"/>
        </w:rPr>
        <w:t>the expression of Fc</w:t>
      </w:r>
      <w:r>
        <w:rPr>
          <w:rFonts w:ascii="Symbol" w:hAnsi="Symbol"/>
          <w:sz w:val="20"/>
        </w:rPr>
        <w:t></w:t>
      </w:r>
      <w:r>
        <w:rPr>
          <w:sz w:val="20"/>
        </w:rPr>
        <w:t>RIIB was greater in the group with permanent dentition, and the difference between the two groups was statistically significant. PMNs have been reported to be predominant in saliva.</w:t>
      </w:r>
      <w:r>
        <w:rPr>
          <w:position w:val="10"/>
          <w:sz w:val="13"/>
        </w:rPr>
        <w:t>51   </w:t>
      </w:r>
      <w:r>
        <w:rPr>
          <w:sz w:val="20"/>
        </w:rPr>
        <w:t>These  immune  cells  are  the  main  agent  responsible  for  the  progression  of  periodontal</w:t>
      </w:r>
    </w:p>
    <w:p>
      <w:pPr>
        <w:spacing w:after="0" w:line="343" w:lineRule="auto"/>
        <w:jc w:val="both"/>
        <w:rPr>
          <w:sz w:val="20"/>
        </w:rPr>
        <w:sectPr>
          <w:footerReference w:type="default" r:id="rId74"/>
          <w:pgSz w:w="12240" w:h="15840"/>
          <w:pgMar w:footer="1031" w:header="726" w:top="1340" w:bottom="1220" w:left="1220" w:right="1420"/>
        </w:sectPr>
      </w:pPr>
    </w:p>
    <w:p>
      <w:pPr>
        <w:pStyle w:val="BodyText"/>
        <w:spacing w:before="2"/>
        <w:rPr>
          <w:sz w:val="20"/>
        </w:rPr>
      </w:pPr>
    </w:p>
    <w:p>
      <w:pPr>
        <w:spacing w:line="362" w:lineRule="auto" w:before="84"/>
        <w:ind w:left="196" w:right="274" w:firstLine="0"/>
        <w:jc w:val="both"/>
        <w:rPr>
          <w:sz w:val="20"/>
        </w:rPr>
      </w:pPr>
      <w:r>
        <w:rPr>
          <w:sz w:val="20"/>
        </w:rPr>
        <w:t>disease.</w:t>
      </w:r>
      <w:r>
        <w:rPr>
          <w:position w:val="10"/>
          <w:sz w:val="13"/>
        </w:rPr>
        <w:t>52, 53 </w:t>
      </w:r>
      <w:r>
        <w:rPr>
          <w:sz w:val="20"/>
        </w:rPr>
        <w:t>This suggests that the expression of Fc</w:t>
      </w:r>
      <w:r>
        <w:rPr>
          <w:rFonts w:ascii="Symbol" w:hAnsi="Symbol"/>
          <w:sz w:val="20"/>
        </w:rPr>
        <w:t></w:t>
      </w:r>
      <w:r>
        <w:rPr>
          <w:sz w:val="20"/>
        </w:rPr>
        <w:t>RIIB could be related to the presence of gingival or periodontal disease in subjects with both mixed and permanent dentition. However, it is important to mention that these data correspond to periodontal disease and that no reports are available on the association between Fc</w:t>
      </w:r>
      <w:r>
        <w:rPr>
          <w:rFonts w:ascii="Symbol" w:hAnsi="Symbol"/>
          <w:sz w:val="20"/>
        </w:rPr>
        <w:t></w:t>
      </w:r>
      <w:r>
        <w:rPr>
          <w:sz w:val="20"/>
        </w:rPr>
        <w:t>RIIB expression and tooth decay.</w:t>
      </w:r>
    </w:p>
    <w:p>
      <w:pPr>
        <w:spacing w:line="348" w:lineRule="auto" w:before="175"/>
        <w:ind w:left="196" w:right="281" w:firstLine="0"/>
        <w:jc w:val="both"/>
        <w:rPr>
          <w:sz w:val="20"/>
        </w:rPr>
      </w:pPr>
      <w:r>
        <w:rPr>
          <w:sz w:val="20"/>
        </w:rPr>
        <w:t>Fc</w:t>
      </w:r>
      <w:r>
        <w:rPr>
          <w:rFonts w:ascii="Symbol" w:hAnsi="Symbol"/>
          <w:sz w:val="20"/>
        </w:rPr>
        <w:t></w:t>
      </w:r>
      <w:r>
        <w:rPr>
          <w:sz w:val="20"/>
        </w:rPr>
        <w:t>R expression was minimal. IgM has an affinity for multiple antigens</w:t>
      </w:r>
      <w:r>
        <w:rPr>
          <w:position w:val="10"/>
          <w:sz w:val="13"/>
        </w:rPr>
        <w:t>54</w:t>
      </w:r>
      <w:r>
        <w:rPr>
          <w:sz w:val="20"/>
        </w:rPr>
        <w:t>, is the first class of immunoglobulins produced during infection, and acts as an early defence mechanisms against systemic and mucosal pathogens.</w:t>
      </w:r>
      <w:r>
        <w:rPr>
          <w:position w:val="10"/>
          <w:sz w:val="13"/>
        </w:rPr>
        <w:t>55 </w:t>
      </w:r>
      <w:r>
        <w:rPr>
          <w:sz w:val="20"/>
        </w:rPr>
        <w:t>This suggests that the majority of the subjects in this study had no infection.</w:t>
      </w:r>
    </w:p>
    <w:p>
      <w:pPr>
        <w:pStyle w:val="BodyText"/>
        <w:spacing w:before="9"/>
        <w:rPr>
          <w:sz w:val="18"/>
        </w:rPr>
      </w:pPr>
    </w:p>
    <w:p>
      <w:pPr>
        <w:spacing w:line="360" w:lineRule="auto" w:before="0"/>
        <w:ind w:left="196" w:right="278" w:firstLine="0"/>
        <w:jc w:val="both"/>
        <w:rPr>
          <w:sz w:val="20"/>
        </w:rPr>
      </w:pPr>
      <w:r>
        <w:rPr>
          <w:sz w:val="20"/>
        </w:rPr>
        <w:t>The analysis of the data using a multiple linear regression showed no significant correlation between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expression and the presence of caries. However, these observations cannot be compared with other studies due to the lack thereof.</w:t>
      </w:r>
    </w:p>
    <w:p>
      <w:pPr>
        <w:pStyle w:val="BodyText"/>
        <w:spacing w:before="10"/>
        <w:rPr>
          <w:sz w:val="17"/>
        </w:rPr>
      </w:pPr>
    </w:p>
    <w:p>
      <w:pPr>
        <w:spacing w:line="343" w:lineRule="auto" w:before="0"/>
        <w:ind w:left="196" w:right="273" w:firstLine="0"/>
        <w:jc w:val="both"/>
        <w:rPr>
          <w:sz w:val="20"/>
        </w:rPr>
      </w:pPr>
      <w:r>
        <w:rPr>
          <w:sz w:val="20"/>
        </w:rPr>
        <w:t>It is worth noting that this study could be complemented by the quantification of immunoglobulin concentration. The lack of such analysis is a limitation of this study. Likewise, the observations regarding the expression of Fc</w:t>
      </w:r>
      <w:r>
        <w:rPr>
          <w:rFonts w:ascii="Symbol" w:hAnsi="Symbol"/>
          <w:sz w:val="20"/>
        </w:rPr>
        <w:t></w:t>
      </w:r>
      <w:r>
        <w:rPr>
          <w:sz w:val="20"/>
        </w:rPr>
        <w:t>RIIB cannot be inferred to represent the population studied because neither was PMN identification performed nor periodontal disease diagnosed; habits such as smoking</w:t>
      </w:r>
      <w:r>
        <w:rPr>
          <w:position w:val="10"/>
          <w:sz w:val="13"/>
        </w:rPr>
        <w:t>49 </w:t>
      </w:r>
      <w:r>
        <w:rPr>
          <w:sz w:val="20"/>
        </w:rPr>
        <w:t>or alcohol intake</w:t>
      </w:r>
      <w:r>
        <w:rPr>
          <w:position w:val="10"/>
          <w:sz w:val="13"/>
        </w:rPr>
        <w:t>31</w:t>
      </w:r>
      <w:r>
        <w:rPr>
          <w:sz w:val="20"/>
        </w:rPr>
        <w:t>, which influence PMN counts in saliva, were also not considered.</w:t>
      </w:r>
    </w:p>
    <w:p>
      <w:pPr>
        <w:spacing w:line="360" w:lineRule="auto" w:before="201"/>
        <w:ind w:left="196" w:right="272" w:firstLine="0"/>
        <w:jc w:val="both"/>
        <w:rPr>
          <w:sz w:val="20"/>
        </w:rPr>
      </w:pPr>
      <w:r>
        <w:rPr>
          <w:sz w:val="20"/>
        </w:rPr>
        <w:t>Was elected as calibrator sample for   method, gene expression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in a  subject with no caries in each group because the expression of cDNA Raji, even though proportional, was greater than that obtained from subjects with no</w:t>
      </w:r>
      <w:r>
        <w:rPr>
          <w:spacing w:val="-20"/>
          <w:sz w:val="20"/>
        </w:rPr>
        <w:t> </w:t>
      </w:r>
      <w:r>
        <w:rPr>
          <w:sz w:val="20"/>
        </w:rPr>
        <w:t>caries.</w:t>
      </w:r>
    </w:p>
    <w:p>
      <w:pPr>
        <w:pStyle w:val="BodyText"/>
        <w:spacing w:before="10"/>
        <w:rPr>
          <w:sz w:val="17"/>
        </w:rPr>
      </w:pPr>
    </w:p>
    <w:p>
      <w:pPr>
        <w:spacing w:line="348" w:lineRule="auto" w:before="1"/>
        <w:ind w:left="196" w:right="271" w:firstLine="0"/>
        <w:jc w:val="both"/>
        <w:rPr>
          <w:sz w:val="20"/>
        </w:rPr>
      </w:pPr>
      <w:r>
        <w:rPr>
          <w:sz w:val="20"/>
        </w:rPr>
        <w:t>The </w:t>
      </w:r>
      <w:r>
        <w:rPr>
          <w:spacing w:val="-3"/>
          <w:sz w:val="20"/>
        </w:rPr>
        <w:t>use </w:t>
      </w:r>
      <w:r>
        <w:rPr>
          <w:spacing w:val="-4"/>
          <w:sz w:val="20"/>
        </w:rPr>
        <w:t>of </w:t>
      </w:r>
      <w:r>
        <w:rPr>
          <w:sz w:val="20"/>
        </w:rPr>
        <w:t>the equation        method suggests that the efficiency </w:t>
      </w:r>
      <w:r>
        <w:rPr>
          <w:spacing w:val="-4"/>
          <w:sz w:val="20"/>
        </w:rPr>
        <w:t>of </w:t>
      </w:r>
      <w:r>
        <w:rPr>
          <w:sz w:val="20"/>
        </w:rPr>
        <w:t>the reaction for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and 18S is optimal and identical and gave a fast and relative gene expression. However, the </w:t>
      </w:r>
      <w:r>
        <w:rPr>
          <w:spacing w:val="-3"/>
          <w:sz w:val="20"/>
        </w:rPr>
        <w:t>use </w:t>
      </w:r>
      <w:r>
        <w:rPr>
          <w:sz w:val="20"/>
        </w:rPr>
        <w:t>of a single gene as a housekeeping gene can introduce errors in the interpretation </w:t>
      </w:r>
      <w:r>
        <w:rPr>
          <w:spacing w:val="-4"/>
          <w:sz w:val="20"/>
        </w:rPr>
        <w:t>of </w:t>
      </w:r>
      <w:r>
        <w:rPr>
          <w:sz w:val="20"/>
        </w:rPr>
        <w:t>RT-qPCR results</w:t>
      </w:r>
      <w:r>
        <w:rPr>
          <w:position w:val="10"/>
          <w:sz w:val="13"/>
        </w:rPr>
        <w:t>56  </w:t>
      </w:r>
      <w:r>
        <w:rPr>
          <w:sz w:val="20"/>
        </w:rPr>
        <w:t>and is therefore another limitation </w:t>
      </w:r>
      <w:r>
        <w:rPr>
          <w:spacing w:val="-4"/>
          <w:sz w:val="20"/>
        </w:rPr>
        <w:t>of </w:t>
      </w:r>
      <w:r>
        <w:rPr>
          <w:sz w:val="20"/>
        </w:rPr>
        <w:t>the</w:t>
      </w:r>
      <w:r>
        <w:rPr>
          <w:spacing w:val="-21"/>
          <w:sz w:val="20"/>
        </w:rPr>
        <w:t> </w:t>
      </w:r>
      <w:r>
        <w:rPr>
          <w:sz w:val="20"/>
        </w:rPr>
        <w:t>study.</w:t>
      </w:r>
    </w:p>
    <w:p>
      <w:pPr>
        <w:spacing w:line="360" w:lineRule="auto" w:before="195"/>
        <w:ind w:left="196" w:right="272" w:firstLine="0"/>
        <w:jc w:val="both"/>
        <w:rPr>
          <w:sz w:val="20"/>
        </w:rPr>
      </w:pPr>
      <w:r>
        <w:rPr>
          <w:sz w:val="20"/>
        </w:rPr>
        <w:t>In summary, the </w:t>
      </w:r>
      <w:r>
        <w:rPr>
          <w:spacing w:val="-3"/>
          <w:sz w:val="20"/>
        </w:rPr>
        <w:t>use </w:t>
      </w:r>
      <w:r>
        <w:rPr>
          <w:spacing w:val="-4"/>
          <w:sz w:val="20"/>
        </w:rPr>
        <w:t>of </w:t>
      </w:r>
      <w:r>
        <w:rPr>
          <w:sz w:val="20"/>
        </w:rPr>
        <w:t>saliva as a </w:t>
      </w:r>
      <w:r>
        <w:rPr>
          <w:spacing w:val="-3"/>
          <w:sz w:val="20"/>
        </w:rPr>
        <w:t>host </w:t>
      </w:r>
      <w:r>
        <w:rPr>
          <w:sz w:val="20"/>
        </w:rPr>
        <w:t>factor associated with the development </w:t>
      </w:r>
      <w:r>
        <w:rPr>
          <w:spacing w:val="-4"/>
          <w:sz w:val="20"/>
        </w:rPr>
        <w:t>of </w:t>
      </w:r>
      <w:r>
        <w:rPr>
          <w:sz w:val="20"/>
        </w:rPr>
        <w:t>caries is suitable for the study of elements related to the </w:t>
      </w:r>
      <w:r>
        <w:rPr>
          <w:spacing w:val="-3"/>
          <w:sz w:val="20"/>
        </w:rPr>
        <w:t>oral </w:t>
      </w:r>
      <w:r>
        <w:rPr>
          <w:sz w:val="20"/>
        </w:rPr>
        <w:t>environment. These studies can be performed using Taqman probes, which provide an advantage for RT-qPCR. Although the expression Fc</w:t>
      </w:r>
      <w:r>
        <w:rPr>
          <w:rFonts w:ascii="Symbol" w:hAnsi="Symbol"/>
          <w:sz w:val="20"/>
        </w:rPr>
        <w:t></w:t>
      </w:r>
      <w:r>
        <w:rPr>
          <w:sz w:val="20"/>
        </w:rPr>
        <w:t>R, Fc</w:t>
      </w:r>
      <w:r>
        <w:rPr>
          <w:rFonts w:ascii="Symbol" w:hAnsi="Symbol"/>
          <w:sz w:val="20"/>
        </w:rPr>
        <w:t></w:t>
      </w:r>
      <w:r>
        <w:rPr>
          <w:sz w:val="20"/>
        </w:rPr>
        <w:t>RIIB, and  Fc</w:t>
      </w:r>
      <w:r>
        <w:rPr>
          <w:rFonts w:ascii="Symbol" w:hAnsi="Symbol"/>
          <w:sz w:val="20"/>
        </w:rPr>
        <w:t></w:t>
      </w:r>
      <w:r>
        <w:rPr>
          <w:sz w:val="20"/>
        </w:rPr>
        <w:t>R in saliva </w:t>
      </w:r>
      <w:r>
        <w:rPr>
          <w:spacing w:val="-3"/>
          <w:sz w:val="20"/>
        </w:rPr>
        <w:t>was </w:t>
      </w:r>
      <w:r>
        <w:rPr>
          <w:sz w:val="20"/>
        </w:rPr>
        <w:t>confirmed, no association </w:t>
      </w:r>
      <w:r>
        <w:rPr>
          <w:spacing w:val="-3"/>
          <w:sz w:val="20"/>
        </w:rPr>
        <w:t>was </w:t>
      </w:r>
      <w:r>
        <w:rPr>
          <w:sz w:val="20"/>
        </w:rPr>
        <w:t>found between the expression </w:t>
      </w:r>
      <w:r>
        <w:rPr>
          <w:spacing w:val="-4"/>
          <w:sz w:val="20"/>
        </w:rPr>
        <w:t>of </w:t>
      </w:r>
      <w:r>
        <w:rPr>
          <w:sz w:val="20"/>
        </w:rPr>
        <w:t>immunoglobulin receptors and tooth</w:t>
      </w:r>
      <w:r>
        <w:rPr>
          <w:spacing w:val="-4"/>
          <w:sz w:val="20"/>
        </w:rPr>
        <w:t> </w:t>
      </w:r>
      <w:r>
        <w:rPr>
          <w:sz w:val="20"/>
        </w:rPr>
        <w:t>decay.</w:t>
      </w:r>
    </w:p>
    <w:p>
      <w:pPr>
        <w:pStyle w:val="BodyText"/>
        <w:spacing w:before="10"/>
        <w:rPr>
          <w:sz w:val="17"/>
        </w:rPr>
      </w:pPr>
    </w:p>
    <w:p>
      <w:pPr>
        <w:spacing w:line="357" w:lineRule="auto" w:before="0"/>
        <w:ind w:left="196" w:right="281" w:firstLine="0"/>
        <w:jc w:val="both"/>
        <w:rPr>
          <w:sz w:val="20"/>
        </w:rPr>
      </w:pPr>
      <w:r>
        <w:rPr>
          <w:sz w:val="20"/>
        </w:rPr>
        <w:t>We suggest the development of future studies involving protein quantification and the measurement of immunoglobulin gene expression in saliva to increase our knowledge of humoral immunity and its relation to dental caries in different types of dentition.</w:t>
      </w:r>
    </w:p>
    <w:p>
      <w:pPr>
        <w:spacing w:after="0" w:line="357" w:lineRule="auto"/>
        <w:jc w:val="both"/>
        <w:rPr>
          <w:sz w:val="20"/>
        </w:rPr>
        <w:sectPr>
          <w:footerReference w:type="default" r:id="rId75"/>
          <w:pgSz w:w="12240" w:h="15840"/>
          <w:pgMar w:footer="1031" w:header="726" w:top="1340" w:bottom="1220" w:left="1220" w:right="1420"/>
          <w:pgNumType w:start="91"/>
        </w:sectPr>
      </w:pPr>
    </w:p>
    <w:p>
      <w:pPr>
        <w:pStyle w:val="BodyText"/>
        <w:spacing w:before="2"/>
        <w:rPr>
          <w:sz w:val="22"/>
        </w:rPr>
      </w:pPr>
    </w:p>
    <w:p>
      <w:pPr>
        <w:spacing w:before="76"/>
        <w:ind w:left="196" w:right="0" w:firstLine="0"/>
        <w:jc w:val="both"/>
        <w:rPr>
          <w:b/>
          <w:sz w:val="20"/>
        </w:rPr>
      </w:pPr>
      <w:r>
        <w:rPr>
          <w:b/>
          <w:sz w:val="20"/>
        </w:rPr>
        <w:t>ACKNOWLEDGMENTS</w:t>
      </w:r>
    </w:p>
    <w:p>
      <w:pPr>
        <w:spacing w:line="360" w:lineRule="auto" w:before="120"/>
        <w:ind w:left="196" w:right="277" w:firstLine="0"/>
        <w:jc w:val="both"/>
        <w:rPr>
          <w:sz w:val="20"/>
        </w:rPr>
      </w:pPr>
      <w:r>
        <w:rPr>
          <w:sz w:val="20"/>
        </w:rPr>
        <w:t>The authors would like to thank the Centre for Research in Medical Sciences (Centro de Investigaciones en Ciencias Médicas - CICMED) of the Autonomous University of the State of Mexico (Universidad Autónoma del Estado de México - UAEM) for technical support and access  to  the facilities to perform this study.</w:t>
      </w:r>
    </w:p>
    <w:p>
      <w:pPr>
        <w:spacing w:line="357" w:lineRule="auto" w:before="4"/>
        <w:ind w:left="196" w:right="279" w:firstLine="0"/>
        <w:jc w:val="both"/>
        <w:rPr>
          <w:sz w:val="20"/>
        </w:rPr>
      </w:pPr>
      <w:r>
        <w:rPr>
          <w:sz w:val="20"/>
        </w:rPr>
        <w:t>This </w:t>
      </w:r>
      <w:r>
        <w:rPr>
          <w:spacing w:val="-3"/>
          <w:sz w:val="20"/>
        </w:rPr>
        <w:t>work </w:t>
      </w:r>
      <w:r>
        <w:rPr>
          <w:sz w:val="20"/>
        </w:rPr>
        <w:t>was funded by the Program for the improvement </w:t>
      </w:r>
      <w:r>
        <w:rPr>
          <w:spacing w:val="-4"/>
          <w:sz w:val="20"/>
        </w:rPr>
        <w:t>of </w:t>
      </w:r>
      <w:r>
        <w:rPr>
          <w:sz w:val="20"/>
        </w:rPr>
        <w:t>teaching (Programa para el  Mejoramiento del Profesorado - PROMEP/103.5/12/3510). The authors declare that they have no conflict </w:t>
      </w:r>
      <w:r>
        <w:rPr>
          <w:spacing w:val="-4"/>
          <w:sz w:val="20"/>
        </w:rPr>
        <w:t>of </w:t>
      </w:r>
      <w:r>
        <w:rPr>
          <w:sz w:val="20"/>
        </w:rPr>
        <w:t>interests associated with this</w:t>
      </w:r>
      <w:r>
        <w:rPr>
          <w:spacing w:val="-3"/>
          <w:sz w:val="20"/>
        </w:rPr>
        <w:t> </w:t>
      </w:r>
      <w:r>
        <w:rPr>
          <w:sz w:val="20"/>
        </w:rPr>
        <w:t>work.</w:t>
      </w:r>
    </w:p>
    <w:p>
      <w:pPr>
        <w:pStyle w:val="BodyText"/>
        <w:spacing w:before="7"/>
        <w:rPr>
          <w:sz w:val="17"/>
        </w:rPr>
      </w:pPr>
    </w:p>
    <w:p>
      <w:pPr>
        <w:spacing w:before="0"/>
        <w:ind w:left="196" w:right="0" w:firstLine="0"/>
        <w:jc w:val="both"/>
        <w:rPr>
          <w:b/>
          <w:sz w:val="20"/>
        </w:rPr>
      </w:pPr>
      <w:r>
        <w:rPr>
          <w:b/>
          <w:sz w:val="20"/>
        </w:rPr>
        <w:t>REFERENCES</w:t>
      </w:r>
    </w:p>
    <w:p>
      <w:pPr>
        <w:pStyle w:val="BodyText"/>
        <w:rPr>
          <w:b/>
          <w:sz w:val="28"/>
        </w:rPr>
      </w:pPr>
    </w:p>
    <w:p>
      <w:pPr>
        <w:pStyle w:val="ListParagraph"/>
        <w:numPr>
          <w:ilvl w:val="2"/>
          <w:numId w:val="36"/>
        </w:numPr>
        <w:tabs>
          <w:tab w:pos="917" w:val="left" w:leader="none"/>
        </w:tabs>
        <w:spacing w:line="355" w:lineRule="auto" w:before="0" w:after="0"/>
        <w:ind w:left="917" w:right="278" w:hanging="361"/>
        <w:jc w:val="both"/>
        <w:rPr>
          <w:sz w:val="20"/>
        </w:rPr>
      </w:pPr>
      <w:r>
        <w:rPr>
          <w:sz w:val="20"/>
        </w:rPr>
        <w:t>Henostroza HG. Tooth decay, principles and procedures for diagnosis. Lima Peru: Ed. Ripano, 2007.</w:t>
      </w:r>
    </w:p>
    <w:p>
      <w:pPr>
        <w:pStyle w:val="ListParagraph"/>
        <w:numPr>
          <w:ilvl w:val="2"/>
          <w:numId w:val="36"/>
        </w:numPr>
        <w:tabs>
          <w:tab w:pos="917" w:val="left" w:leader="none"/>
        </w:tabs>
        <w:spacing w:line="240" w:lineRule="auto" w:before="8" w:after="0"/>
        <w:ind w:left="917" w:right="0" w:hanging="361"/>
        <w:jc w:val="left"/>
        <w:rPr>
          <w:sz w:val="20"/>
        </w:rPr>
      </w:pPr>
      <w:r>
        <w:rPr>
          <w:sz w:val="20"/>
        </w:rPr>
        <w:t>Lujan HE, Sexto M. Risk factors for tooth decay in children. MediSur.  2007;</w:t>
      </w:r>
      <w:r>
        <w:rPr>
          <w:spacing w:val="-16"/>
          <w:sz w:val="20"/>
        </w:rPr>
        <w:t> </w:t>
      </w:r>
      <w:r>
        <w:rPr>
          <w:sz w:val="20"/>
        </w:rPr>
        <w:t>5(2):16-21.</w:t>
      </w:r>
    </w:p>
    <w:p>
      <w:pPr>
        <w:pStyle w:val="ListParagraph"/>
        <w:numPr>
          <w:ilvl w:val="2"/>
          <w:numId w:val="36"/>
        </w:numPr>
        <w:tabs>
          <w:tab w:pos="917" w:val="left" w:leader="none"/>
        </w:tabs>
        <w:spacing w:line="360" w:lineRule="auto" w:before="115" w:after="0"/>
        <w:ind w:left="917" w:right="277" w:hanging="361"/>
        <w:jc w:val="both"/>
        <w:rPr>
          <w:sz w:val="20"/>
        </w:rPr>
      </w:pPr>
      <w:r>
        <w:rPr>
          <w:sz w:val="20"/>
        </w:rPr>
        <w:t>Irigoyen-Camacho ME. Tooth decay in school children of the Federal District. Salud Pública Mex. 1997;</w:t>
      </w:r>
      <w:r>
        <w:rPr>
          <w:spacing w:val="-3"/>
          <w:sz w:val="20"/>
        </w:rPr>
        <w:t> </w:t>
      </w:r>
      <w:r>
        <w:rPr>
          <w:sz w:val="20"/>
        </w:rPr>
        <w:t>39:133-6.</w:t>
      </w:r>
    </w:p>
    <w:p>
      <w:pPr>
        <w:pStyle w:val="ListParagraph"/>
        <w:numPr>
          <w:ilvl w:val="2"/>
          <w:numId w:val="36"/>
        </w:numPr>
        <w:tabs>
          <w:tab w:pos="917" w:val="left" w:leader="none"/>
        </w:tabs>
        <w:spacing w:line="360" w:lineRule="auto" w:before="4" w:after="0"/>
        <w:ind w:left="917" w:right="278" w:hanging="361"/>
        <w:jc w:val="both"/>
        <w:rPr>
          <w:sz w:val="20"/>
        </w:rPr>
      </w:pPr>
      <w:r>
        <w:rPr>
          <w:sz w:val="20"/>
        </w:rPr>
        <w:t>Moreno-Altamirano A, Carreón-García J, Alvear-Galindo G, López-Moreno S, Vega-Franco L. (2001) Caries risks in school children from the Official Schools </w:t>
      </w:r>
      <w:r>
        <w:rPr>
          <w:spacing w:val="-4"/>
          <w:sz w:val="20"/>
        </w:rPr>
        <w:t>of </w:t>
      </w:r>
      <w:r>
        <w:rPr>
          <w:sz w:val="20"/>
        </w:rPr>
        <w:t>Mexico City. </w:t>
      </w:r>
      <w:r>
        <w:rPr>
          <w:spacing w:val="-3"/>
          <w:sz w:val="20"/>
        </w:rPr>
        <w:t>Rev  Mex </w:t>
      </w:r>
      <w:r>
        <w:rPr>
          <w:sz w:val="20"/>
        </w:rPr>
        <w:t>Pediatr</w:t>
      </w:r>
      <w:r>
        <w:rPr>
          <w:spacing w:val="-8"/>
          <w:sz w:val="20"/>
        </w:rPr>
        <w:t> </w:t>
      </w:r>
      <w:r>
        <w:rPr>
          <w:sz w:val="20"/>
        </w:rPr>
        <w:t>68:228-33.</w:t>
      </w:r>
    </w:p>
    <w:p>
      <w:pPr>
        <w:pStyle w:val="ListParagraph"/>
        <w:numPr>
          <w:ilvl w:val="2"/>
          <w:numId w:val="36"/>
        </w:numPr>
        <w:tabs>
          <w:tab w:pos="917" w:val="left" w:leader="none"/>
        </w:tabs>
        <w:spacing w:line="360" w:lineRule="auto" w:before="0" w:after="0"/>
        <w:ind w:left="917" w:right="275" w:hanging="361"/>
        <w:jc w:val="both"/>
        <w:rPr>
          <w:sz w:val="20"/>
        </w:rPr>
      </w:pPr>
      <w:r>
        <w:rPr>
          <w:sz w:val="20"/>
        </w:rPr>
        <w:t>Casanova–Rosado AJ, Medina–Solís CE, Casanova–Rosado JF, Vallejos–Sánchez AA, Maupomé G, Avila–Burgos L. </w:t>
      </w:r>
      <w:r>
        <w:rPr>
          <w:spacing w:val="-2"/>
          <w:sz w:val="20"/>
        </w:rPr>
        <w:t>Dental </w:t>
      </w:r>
      <w:r>
        <w:rPr>
          <w:sz w:val="20"/>
        </w:rPr>
        <w:t>caries and associated factor in Mexican schoolchildren aged 6–13 years. Acta Odontol Scand. 2005; 63: </w:t>
      </w:r>
      <w:r>
        <w:rPr>
          <w:spacing w:val="-3"/>
          <w:sz w:val="20"/>
        </w:rPr>
        <w:t>245–51. </w:t>
      </w:r>
      <w:r>
        <w:rPr>
          <w:sz w:val="20"/>
        </w:rPr>
        <w:t>[Pubmed:</w:t>
      </w:r>
      <w:r>
        <w:rPr>
          <w:spacing w:val="-2"/>
          <w:sz w:val="20"/>
        </w:rPr>
        <w:t> </w:t>
      </w:r>
      <w:r>
        <w:rPr>
          <w:sz w:val="20"/>
        </w:rPr>
        <w:t>16040448]</w:t>
      </w:r>
    </w:p>
    <w:p>
      <w:pPr>
        <w:pStyle w:val="ListParagraph"/>
        <w:numPr>
          <w:ilvl w:val="2"/>
          <w:numId w:val="36"/>
        </w:numPr>
        <w:tabs>
          <w:tab w:pos="917" w:val="left" w:leader="none"/>
        </w:tabs>
        <w:spacing w:line="360" w:lineRule="auto" w:before="4" w:after="0"/>
        <w:ind w:left="917" w:right="273" w:hanging="361"/>
        <w:jc w:val="both"/>
        <w:rPr>
          <w:sz w:val="20"/>
        </w:rPr>
      </w:pPr>
      <w:r>
        <w:rPr>
          <w:sz w:val="20"/>
        </w:rPr>
        <w:t>Vallejos-Sánchez AA, Medina-Solís CE, Casanova-Rosado JF, Maupomé G, Casanova- Rosado AJ, Miyana-Sánchez M. Enamel defects, caries in primary dentition, fluoride sources and their association with the presence of caries in permanent teeth. Gac Sanit. 2007; 21:227- </w:t>
      </w:r>
      <w:r>
        <w:rPr>
          <w:spacing w:val="-2"/>
          <w:sz w:val="20"/>
        </w:rPr>
        <w:t>34.</w:t>
      </w:r>
    </w:p>
    <w:p>
      <w:pPr>
        <w:pStyle w:val="ListParagraph"/>
        <w:numPr>
          <w:ilvl w:val="2"/>
          <w:numId w:val="36"/>
        </w:numPr>
        <w:tabs>
          <w:tab w:pos="917" w:val="left" w:leader="none"/>
        </w:tabs>
        <w:spacing w:line="357" w:lineRule="auto" w:before="4" w:after="0"/>
        <w:ind w:left="917" w:right="276" w:hanging="361"/>
        <w:jc w:val="both"/>
        <w:rPr>
          <w:sz w:val="20"/>
        </w:rPr>
      </w:pPr>
      <w:r>
        <w:rPr>
          <w:sz w:val="20"/>
        </w:rPr>
        <w:t>Guerrero RV, Godínez MA, Melchor SC, Rodríguez GM, Luengas QE. Epidemiology </w:t>
      </w:r>
      <w:r>
        <w:rPr>
          <w:spacing w:val="-4"/>
          <w:sz w:val="20"/>
        </w:rPr>
        <w:t>of </w:t>
      </w:r>
      <w:r>
        <w:rPr>
          <w:spacing w:val="-2"/>
          <w:sz w:val="20"/>
        </w:rPr>
        <w:t>dental </w:t>
      </w:r>
      <w:r>
        <w:rPr>
          <w:sz w:val="20"/>
        </w:rPr>
        <w:t>caries and associated risk factors in the primary dentition </w:t>
      </w:r>
      <w:r>
        <w:rPr>
          <w:spacing w:val="-4"/>
          <w:sz w:val="20"/>
        </w:rPr>
        <w:t>of </w:t>
      </w:r>
      <w:r>
        <w:rPr>
          <w:sz w:val="20"/>
        </w:rPr>
        <w:t>pre-schoolers.  Review ADM. 2009;</w:t>
      </w:r>
      <w:r>
        <w:rPr>
          <w:spacing w:val="-8"/>
          <w:sz w:val="20"/>
        </w:rPr>
        <w:t> </w:t>
      </w:r>
      <w:r>
        <w:rPr>
          <w:sz w:val="20"/>
        </w:rPr>
        <w:t>65(3):10-20.</w:t>
      </w:r>
    </w:p>
    <w:p>
      <w:pPr>
        <w:pStyle w:val="ListParagraph"/>
        <w:numPr>
          <w:ilvl w:val="2"/>
          <w:numId w:val="36"/>
        </w:numPr>
        <w:tabs>
          <w:tab w:pos="917" w:val="left" w:leader="none"/>
        </w:tabs>
        <w:spacing w:line="360" w:lineRule="auto" w:before="6" w:after="0"/>
        <w:ind w:left="917" w:right="273" w:hanging="361"/>
        <w:jc w:val="both"/>
        <w:rPr>
          <w:sz w:val="20"/>
        </w:rPr>
      </w:pPr>
      <w:r>
        <w:rPr>
          <w:sz w:val="20"/>
        </w:rPr>
        <w:t>Kruger E, Thomson </w:t>
      </w:r>
      <w:r>
        <w:rPr>
          <w:spacing w:val="3"/>
          <w:sz w:val="20"/>
        </w:rPr>
        <w:t>WM, </w:t>
      </w:r>
      <w:r>
        <w:rPr>
          <w:sz w:val="20"/>
        </w:rPr>
        <w:t>Poulton R, DDavies S, </w:t>
      </w:r>
      <w:r>
        <w:rPr>
          <w:spacing w:val="-3"/>
          <w:sz w:val="20"/>
        </w:rPr>
        <w:t>Brown </w:t>
      </w:r>
      <w:r>
        <w:rPr>
          <w:sz w:val="20"/>
        </w:rPr>
        <w:t>RH, Silva PA. </w:t>
      </w:r>
      <w:r>
        <w:rPr>
          <w:spacing w:val="-2"/>
          <w:sz w:val="20"/>
        </w:rPr>
        <w:t>Dental </w:t>
      </w:r>
      <w:r>
        <w:rPr>
          <w:sz w:val="20"/>
        </w:rPr>
        <w:t>caries and changes in dental anxiety in late adolescence. Community Dent Oral Epidemiol. 1998; 26:355- 9. [Pubmed:</w:t>
      </w:r>
      <w:r>
        <w:rPr>
          <w:spacing w:val="-9"/>
          <w:sz w:val="20"/>
        </w:rPr>
        <w:t> </w:t>
      </w:r>
      <w:r>
        <w:rPr>
          <w:sz w:val="20"/>
        </w:rPr>
        <w:t>9792129]</w:t>
      </w:r>
    </w:p>
    <w:p>
      <w:pPr>
        <w:pStyle w:val="ListParagraph"/>
        <w:numPr>
          <w:ilvl w:val="2"/>
          <w:numId w:val="36"/>
        </w:numPr>
        <w:tabs>
          <w:tab w:pos="917" w:val="left" w:leader="none"/>
        </w:tabs>
        <w:spacing w:line="360" w:lineRule="auto" w:before="4" w:after="0"/>
        <w:ind w:left="917" w:right="274" w:hanging="361"/>
        <w:jc w:val="both"/>
        <w:rPr>
          <w:sz w:val="20"/>
        </w:rPr>
      </w:pPr>
      <w:r>
        <w:rPr>
          <w:sz w:val="20"/>
        </w:rPr>
        <w:t>Medina-Solís CE, Maupomé G, Pelcastre-Villafuerte </w:t>
      </w:r>
      <w:r>
        <w:rPr>
          <w:spacing w:val="-3"/>
          <w:sz w:val="20"/>
        </w:rPr>
        <w:t>B, </w:t>
      </w:r>
      <w:r>
        <w:rPr>
          <w:sz w:val="20"/>
        </w:rPr>
        <w:t>Ávila-Burgos L, Vallejos-Sánchez AA, Casanova-Rosado AJ. Socioeconomic inequalities in </w:t>
      </w:r>
      <w:r>
        <w:rPr>
          <w:spacing w:val="-3"/>
          <w:sz w:val="20"/>
        </w:rPr>
        <w:t>oral </w:t>
      </w:r>
      <w:r>
        <w:rPr>
          <w:sz w:val="20"/>
        </w:rPr>
        <w:t>health: </w:t>
      </w:r>
      <w:r>
        <w:rPr>
          <w:spacing w:val="-2"/>
          <w:sz w:val="20"/>
        </w:rPr>
        <w:t>dental </w:t>
      </w:r>
      <w:r>
        <w:rPr>
          <w:sz w:val="20"/>
        </w:rPr>
        <w:t>caries in 6 to 12 years old children. </w:t>
      </w:r>
      <w:r>
        <w:rPr>
          <w:spacing w:val="-3"/>
          <w:sz w:val="20"/>
        </w:rPr>
        <w:t>Rev </w:t>
      </w:r>
      <w:r>
        <w:rPr>
          <w:sz w:val="20"/>
        </w:rPr>
        <w:t>Invest Clin. 2006; 58:296-304.[Pubmed:</w:t>
      </w:r>
      <w:r>
        <w:rPr>
          <w:spacing w:val="-14"/>
          <w:sz w:val="20"/>
        </w:rPr>
        <w:t> </w:t>
      </w:r>
      <w:r>
        <w:rPr>
          <w:sz w:val="20"/>
        </w:rPr>
        <w:t>17146941]</w:t>
      </w:r>
    </w:p>
    <w:p>
      <w:pPr>
        <w:pStyle w:val="ListParagraph"/>
        <w:numPr>
          <w:ilvl w:val="2"/>
          <w:numId w:val="36"/>
        </w:numPr>
        <w:tabs>
          <w:tab w:pos="917" w:val="left" w:leader="none"/>
        </w:tabs>
        <w:spacing w:line="360" w:lineRule="auto" w:before="0" w:after="0"/>
        <w:ind w:left="917" w:right="276" w:hanging="361"/>
        <w:jc w:val="both"/>
        <w:rPr>
          <w:sz w:val="20"/>
        </w:rPr>
      </w:pPr>
      <w:r>
        <w:rPr>
          <w:sz w:val="20"/>
        </w:rPr>
        <w:t>Martínez-Pérez KM, Monjarás-Ávila AJ, Patiño-Marín N, Loyola-Rodríguez JP, Mandeville PB, Medina-Solís  CE,  el  al.  Epidemiologic  study  on  dental  caries  and  treatment  needs     </w:t>
      </w:r>
      <w:r>
        <w:rPr>
          <w:spacing w:val="52"/>
          <w:sz w:val="20"/>
        </w:rPr>
        <w:t> </w:t>
      </w:r>
      <w:r>
        <w:rPr>
          <w:sz w:val="20"/>
        </w:rPr>
        <w:t>in</w:t>
      </w:r>
    </w:p>
    <w:p>
      <w:pPr>
        <w:spacing w:after="0" w:line="360" w:lineRule="auto"/>
        <w:jc w:val="both"/>
        <w:rPr>
          <w:sz w:val="20"/>
        </w:rPr>
        <w:sectPr>
          <w:pgSz w:w="12240" w:h="15840"/>
          <w:pgMar w:header="726" w:footer="1031" w:top="1340" w:bottom="1220" w:left="1220" w:right="1420"/>
        </w:sectPr>
      </w:pPr>
    </w:p>
    <w:p>
      <w:pPr>
        <w:pStyle w:val="BodyText"/>
        <w:spacing w:before="7"/>
        <w:rPr>
          <w:sz w:val="22"/>
        </w:rPr>
      </w:pPr>
    </w:p>
    <w:p>
      <w:pPr>
        <w:spacing w:line="360" w:lineRule="auto" w:before="76"/>
        <w:ind w:left="916" w:right="281" w:firstLine="0"/>
        <w:jc w:val="left"/>
        <w:rPr>
          <w:sz w:val="20"/>
        </w:rPr>
      </w:pPr>
      <w:r>
        <w:rPr>
          <w:sz w:val="20"/>
        </w:rPr>
        <w:t>schoolchildren aged six to twelve years from San Luis Potosi. Rev Invest Clin. 2010; 62(3):206-13. [Pubmed: 20815125]</w:t>
      </w:r>
    </w:p>
    <w:p>
      <w:pPr>
        <w:pStyle w:val="ListParagraph"/>
        <w:numPr>
          <w:ilvl w:val="2"/>
          <w:numId w:val="36"/>
        </w:numPr>
        <w:tabs>
          <w:tab w:pos="917" w:val="left" w:leader="none"/>
        </w:tabs>
        <w:spacing w:line="360" w:lineRule="auto" w:before="4" w:after="0"/>
        <w:ind w:left="917" w:right="273" w:hanging="361"/>
        <w:jc w:val="both"/>
        <w:rPr>
          <w:sz w:val="20"/>
        </w:rPr>
      </w:pPr>
      <w:r>
        <w:rPr>
          <w:sz w:val="20"/>
        </w:rPr>
        <w:t>Pontigo-Loyola AP, Medina-Solís CE, Borges-Yáñez SA, Patiño-Marín N, Islas-Márquez A, Maupone T. Prevalence and severity </w:t>
      </w:r>
      <w:r>
        <w:rPr>
          <w:spacing w:val="-4"/>
          <w:sz w:val="20"/>
        </w:rPr>
        <w:t>of </w:t>
      </w:r>
      <w:r>
        <w:rPr>
          <w:sz w:val="20"/>
        </w:rPr>
        <w:t>dental caries in adolescents ages 12 and 15 living in communities with various fluoride concentrations. J Public Health Dent. 2007; 67:8-13. [Pubmed:</w:t>
      </w:r>
      <w:r>
        <w:rPr>
          <w:spacing w:val="-7"/>
          <w:sz w:val="20"/>
        </w:rPr>
        <w:t> </w:t>
      </w:r>
      <w:r>
        <w:rPr>
          <w:sz w:val="20"/>
        </w:rPr>
        <w:t>17436973]</w:t>
      </w:r>
    </w:p>
    <w:p>
      <w:pPr>
        <w:pStyle w:val="ListParagraph"/>
        <w:numPr>
          <w:ilvl w:val="2"/>
          <w:numId w:val="36"/>
        </w:numPr>
        <w:tabs>
          <w:tab w:pos="917" w:val="left" w:leader="none"/>
        </w:tabs>
        <w:spacing w:line="357" w:lineRule="auto" w:before="4" w:after="0"/>
        <w:ind w:left="917" w:right="274" w:hanging="361"/>
        <w:jc w:val="both"/>
        <w:rPr>
          <w:sz w:val="20"/>
        </w:rPr>
      </w:pPr>
      <w:r>
        <w:rPr>
          <w:sz w:val="20"/>
        </w:rPr>
        <w:t>García-Cortés JO, Medina-Solís CE, Loyola-Rodriguez JP, Mejía-Cruz JA, Medina-Cerda E, Patiño-Marín N, et al. Dental caries experience, prevalence and severity in Mexican adolescents and young adults. </w:t>
      </w:r>
      <w:r>
        <w:rPr>
          <w:spacing w:val="-3"/>
          <w:sz w:val="20"/>
        </w:rPr>
        <w:t>Rev </w:t>
      </w:r>
      <w:r>
        <w:rPr>
          <w:sz w:val="20"/>
        </w:rPr>
        <w:t>Salud Pública. </w:t>
      </w:r>
      <w:r>
        <w:rPr>
          <w:spacing w:val="-3"/>
          <w:sz w:val="20"/>
        </w:rPr>
        <w:t>2009;</w:t>
      </w:r>
      <w:r>
        <w:rPr>
          <w:spacing w:val="8"/>
          <w:sz w:val="20"/>
        </w:rPr>
        <w:t> </w:t>
      </w:r>
      <w:r>
        <w:rPr>
          <w:sz w:val="20"/>
        </w:rPr>
        <w:t>11(1):82-91.</w:t>
      </w:r>
    </w:p>
    <w:p>
      <w:pPr>
        <w:pStyle w:val="ListParagraph"/>
        <w:numPr>
          <w:ilvl w:val="2"/>
          <w:numId w:val="36"/>
        </w:numPr>
        <w:tabs>
          <w:tab w:pos="917" w:val="left" w:leader="none"/>
        </w:tabs>
        <w:spacing w:line="360" w:lineRule="auto" w:before="6" w:after="0"/>
        <w:ind w:left="917" w:right="285" w:hanging="361"/>
        <w:jc w:val="both"/>
        <w:rPr>
          <w:sz w:val="20"/>
        </w:rPr>
      </w:pPr>
      <w:r>
        <w:rPr>
          <w:sz w:val="20"/>
        </w:rPr>
        <w:t>Keyes PH. Present and future measures for dental caries control. J </w:t>
      </w:r>
      <w:r>
        <w:rPr>
          <w:spacing w:val="-3"/>
          <w:sz w:val="20"/>
        </w:rPr>
        <w:t>Am </w:t>
      </w:r>
      <w:r>
        <w:rPr>
          <w:sz w:val="20"/>
        </w:rPr>
        <w:t>Dent Assoc. 1969; 79(6):1395-404. [Pubmed:</w:t>
      </w:r>
      <w:r>
        <w:rPr>
          <w:spacing w:val="-11"/>
          <w:sz w:val="20"/>
        </w:rPr>
        <w:t> </w:t>
      </w:r>
      <w:r>
        <w:rPr>
          <w:sz w:val="20"/>
        </w:rPr>
        <w:t>4902885]</w:t>
      </w:r>
    </w:p>
    <w:p>
      <w:pPr>
        <w:pStyle w:val="ListParagraph"/>
        <w:numPr>
          <w:ilvl w:val="2"/>
          <w:numId w:val="36"/>
        </w:numPr>
        <w:tabs>
          <w:tab w:pos="917" w:val="left" w:leader="none"/>
        </w:tabs>
        <w:spacing w:line="360" w:lineRule="auto" w:before="4" w:after="0"/>
        <w:ind w:left="917" w:right="274" w:hanging="361"/>
        <w:jc w:val="both"/>
        <w:rPr>
          <w:sz w:val="20"/>
        </w:rPr>
      </w:pPr>
      <w:r>
        <w:rPr>
          <w:sz w:val="20"/>
        </w:rPr>
        <w:t>Seif </w:t>
      </w:r>
      <w:r>
        <w:rPr>
          <w:spacing w:val="-2"/>
          <w:sz w:val="20"/>
        </w:rPr>
        <w:t>RT. </w:t>
      </w:r>
      <w:r>
        <w:rPr>
          <w:sz w:val="20"/>
        </w:rPr>
        <w:t>Cariology. Prevention, diagnosis and contemporary treatment </w:t>
      </w:r>
      <w:r>
        <w:rPr>
          <w:spacing w:val="-4"/>
          <w:sz w:val="20"/>
        </w:rPr>
        <w:t>of </w:t>
      </w:r>
      <w:r>
        <w:rPr>
          <w:sz w:val="20"/>
        </w:rPr>
        <w:t>dental caries. Colombia: Ed. Actualidades Médico Odontológicas Latinoamérica,</w:t>
      </w:r>
      <w:r>
        <w:rPr>
          <w:spacing w:val="-20"/>
          <w:sz w:val="20"/>
        </w:rPr>
        <w:t> </w:t>
      </w:r>
      <w:r>
        <w:rPr>
          <w:sz w:val="20"/>
        </w:rPr>
        <w:t>1997.</w:t>
      </w:r>
    </w:p>
    <w:p>
      <w:pPr>
        <w:pStyle w:val="ListParagraph"/>
        <w:numPr>
          <w:ilvl w:val="2"/>
          <w:numId w:val="36"/>
        </w:numPr>
        <w:tabs>
          <w:tab w:pos="917" w:val="left" w:leader="none"/>
        </w:tabs>
        <w:spacing w:line="240" w:lineRule="auto" w:before="4" w:after="0"/>
        <w:ind w:left="917" w:right="0" w:hanging="361"/>
        <w:jc w:val="left"/>
        <w:rPr>
          <w:sz w:val="20"/>
        </w:rPr>
      </w:pPr>
      <w:r>
        <w:rPr>
          <w:sz w:val="20"/>
        </w:rPr>
        <w:t>Newbrun E. Cariology. 3rd ed. Chicago: Quintessence,</w:t>
      </w:r>
      <w:r>
        <w:rPr>
          <w:spacing w:val="-17"/>
          <w:sz w:val="20"/>
        </w:rPr>
        <w:t> </w:t>
      </w:r>
      <w:r>
        <w:rPr>
          <w:sz w:val="20"/>
        </w:rPr>
        <w:t>1989.</w:t>
      </w:r>
    </w:p>
    <w:p>
      <w:pPr>
        <w:pStyle w:val="ListParagraph"/>
        <w:numPr>
          <w:ilvl w:val="2"/>
          <w:numId w:val="36"/>
        </w:numPr>
        <w:tabs>
          <w:tab w:pos="917" w:val="left" w:leader="none"/>
        </w:tabs>
        <w:spacing w:line="355" w:lineRule="auto" w:before="115" w:after="0"/>
        <w:ind w:left="917" w:right="275" w:hanging="361"/>
        <w:jc w:val="both"/>
        <w:rPr>
          <w:sz w:val="20"/>
        </w:rPr>
      </w:pPr>
      <w:r>
        <w:rPr>
          <w:sz w:val="20"/>
        </w:rPr>
        <w:t>Reich E, </w:t>
      </w:r>
      <w:r>
        <w:rPr>
          <w:spacing w:val="-3"/>
          <w:sz w:val="20"/>
        </w:rPr>
        <w:t>Lussi </w:t>
      </w:r>
      <w:r>
        <w:rPr>
          <w:sz w:val="20"/>
        </w:rPr>
        <w:t>A, </w:t>
      </w:r>
      <w:r>
        <w:rPr>
          <w:spacing w:val="-3"/>
          <w:sz w:val="20"/>
        </w:rPr>
        <w:t>Newbrun </w:t>
      </w:r>
      <w:r>
        <w:rPr>
          <w:sz w:val="20"/>
        </w:rPr>
        <w:t>E (1999) Caries-risk assessment. Int Dent J 49:15-26. doi: 10.1111/j.1875-595X.1999.tb00503.x</w:t>
      </w:r>
    </w:p>
    <w:p>
      <w:pPr>
        <w:pStyle w:val="ListParagraph"/>
        <w:numPr>
          <w:ilvl w:val="2"/>
          <w:numId w:val="36"/>
        </w:numPr>
        <w:tabs>
          <w:tab w:pos="917" w:val="left" w:leader="none"/>
        </w:tabs>
        <w:spacing w:line="360" w:lineRule="auto" w:before="8" w:after="0"/>
        <w:ind w:left="917" w:right="277" w:hanging="361"/>
        <w:jc w:val="both"/>
        <w:rPr>
          <w:sz w:val="20"/>
        </w:rPr>
      </w:pPr>
      <w:r>
        <w:rPr>
          <w:sz w:val="20"/>
        </w:rPr>
        <w:t>Negroni M. </w:t>
      </w:r>
      <w:r>
        <w:rPr>
          <w:spacing w:val="-2"/>
          <w:sz w:val="20"/>
        </w:rPr>
        <w:t>Dental </w:t>
      </w:r>
      <w:r>
        <w:rPr>
          <w:sz w:val="20"/>
        </w:rPr>
        <w:t>microbiology. Fundamentals and practical guide. Argentina: Editorial Panamericana,</w:t>
      </w:r>
      <w:r>
        <w:rPr>
          <w:spacing w:val="-3"/>
          <w:sz w:val="20"/>
        </w:rPr>
        <w:t> </w:t>
      </w:r>
      <w:r>
        <w:rPr>
          <w:sz w:val="20"/>
        </w:rPr>
        <w:t>2005.</w:t>
      </w:r>
    </w:p>
    <w:p>
      <w:pPr>
        <w:pStyle w:val="ListParagraph"/>
        <w:numPr>
          <w:ilvl w:val="2"/>
          <w:numId w:val="36"/>
        </w:numPr>
        <w:tabs>
          <w:tab w:pos="917" w:val="left" w:leader="none"/>
        </w:tabs>
        <w:spacing w:line="360" w:lineRule="auto" w:before="4" w:after="0"/>
        <w:ind w:left="917" w:right="278" w:hanging="361"/>
        <w:jc w:val="both"/>
        <w:rPr>
          <w:sz w:val="20"/>
        </w:rPr>
      </w:pPr>
      <w:r>
        <w:rPr>
          <w:sz w:val="20"/>
        </w:rPr>
        <w:t>Salazar LA, Vásquez C, Almuna A, Oporto O, Santana R, Herrera CL, et al. Detección molecular de estreptococos cariogénicos en saliva. Int J Morphol. 2008;</w:t>
      </w:r>
      <w:r>
        <w:rPr>
          <w:spacing w:val="-20"/>
          <w:sz w:val="20"/>
        </w:rPr>
        <w:t> </w:t>
      </w:r>
      <w:r>
        <w:rPr>
          <w:sz w:val="20"/>
        </w:rPr>
        <w:t>26(4):951-58.</w:t>
      </w:r>
    </w:p>
    <w:p>
      <w:pPr>
        <w:pStyle w:val="ListParagraph"/>
        <w:numPr>
          <w:ilvl w:val="2"/>
          <w:numId w:val="36"/>
        </w:numPr>
        <w:tabs>
          <w:tab w:pos="917" w:val="left" w:leader="none"/>
        </w:tabs>
        <w:spacing w:line="240" w:lineRule="auto" w:before="4" w:after="0"/>
        <w:ind w:left="917" w:right="0" w:hanging="361"/>
        <w:jc w:val="left"/>
        <w:rPr>
          <w:sz w:val="20"/>
        </w:rPr>
      </w:pPr>
      <w:r>
        <w:rPr>
          <w:sz w:val="20"/>
        </w:rPr>
        <w:t>Thylstrup </w:t>
      </w:r>
      <w:r>
        <w:rPr>
          <w:spacing w:val="-3"/>
          <w:sz w:val="20"/>
        </w:rPr>
        <w:t>A, </w:t>
      </w:r>
      <w:r>
        <w:rPr>
          <w:sz w:val="20"/>
        </w:rPr>
        <w:t>Fejerskov O. Caries. Barcelona, Spain: </w:t>
      </w:r>
      <w:r>
        <w:rPr>
          <w:spacing w:val="-3"/>
          <w:sz w:val="20"/>
        </w:rPr>
        <w:t>Ed. </w:t>
      </w:r>
      <w:r>
        <w:rPr>
          <w:sz w:val="20"/>
        </w:rPr>
        <w:t>Doyma,</w:t>
      </w:r>
      <w:r>
        <w:rPr>
          <w:spacing w:val="1"/>
          <w:sz w:val="20"/>
        </w:rPr>
        <w:t> </w:t>
      </w:r>
      <w:r>
        <w:rPr>
          <w:sz w:val="20"/>
        </w:rPr>
        <w:t>1986.</w:t>
      </w:r>
    </w:p>
    <w:p>
      <w:pPr>
        <w:pStyle w:val="ListParagraph"/>
        <w:numPr>
          <w:ilvl w:val="2"/>
          <w:numId w:val="36"/>
        </w:numPr>
        <w:tabs>
          <w:tab w:pos="917" w:val="left" w:leader="none"/>
        </w:tabs>
        <w:spacing w:line="355" w:lineRule="auto" w:before="115" w:after="0"/>
        <w:ind w:left="917" w:right="276" w:hanging="361"/>
        <w:jc w:val="both"/>
        <w:rPr>
          <w:sz w:val="20"/>
        </w:rPr>
      </w:pPr>
      <w:r>
        <w:rPr>
          <w:sz w:val="20"/>
        </w:rPr>
        <w:t>Pereira AG, Neves AM, Trindade AC. Immunology of dental caries. Acta Med Port. 2010;  23(4): 663-668. [Pubmed:</w:t>
      </w:r>
      <w:r>
        <w:rPr>
          <w:spacing w:val="-15"/>
          <w:sz w:val="20"/>
        </w:rPr>
        <w:t> </w:t>
      </w:r>
      <w:r>
        <w:rPr>
          <w:sz w:val="20"/>
        </w:rPr>
        <w:t>20687995]</w:t>
      </w:r>
    </w:p>
    <w:p>
      <w:pPr>
        <w:pStyle w:val="ListParagraph"/>
        <w:numPr>
          <w:ilvl w:val="2"/>
          <w:numId w:val="36"/>
        </w:numPr>
        <w:tabs>
          <w:tab w:pos="917" w:val="left" w:leader="none"/>
        </w:tabs>
        <w:spacing w:line="362" w:lineRule="auto" w:before="8" w:after="0"/>
        <w:ind w:left="917" w:right="281" w:hanging="361"/>
        <w:jc w:val="both"/>
        <w:rPr>
          <w:sz w:val="20"/>
        </w:rPr>
      </w:pPr>
      <w:r>
        <w:rPr>
          <w:sz w:val="20"/>
        </w:rPr>
        <w:t>Wan AK, Seow WK, Purdie </w:t>
      </w:r>
      <w:r>
        <w:rPr>
          <w:spacing w:val="-3"/>
          <w:sz w:val="20"/>
        </w:rPr>
        <w:t>DM, </w:t>
      </w:r>
      <w:r>
        <w:rPr>
          <w:sz w:val="20"/>
        </w:rPr>
        <w:t>Bird PS, Walsh LJ, Tudehope DI. Immunoglobulins in saliva </w:t>
      </w:r>
      <w:r>
        <w:rPr>
          <w:spacing w:val="-4"/>
          <w:sz w:val="20"/>
        </w:rPr>
        <w:t>of </w:t>
      </w:r>
      <w:r>
        <w:rPr>
          <w:sz w:val="20"/>
        </w:rPr>
        <w:t>preterm and full-term infants. Oral Micro Immunol. </w:t>
      </w:r>
      <w:r>
        <w:rPr>
          <w:spacing w:val="-3"/>
          <w:sz w:val="20"/>
        </w:rPr>
        <w:t>2003; </w:t>
      </w:r>
      <w:r>
        <w:rPr>
          <w:sz w:val="20"/>
        </w:rPr>
        <w:t>18:72-8. [Pubmed:</w:t>
      </w:r>
      <w:r>
        <w:rPr>
          <w:spacing w:val="-13"/>
          <w:sz w:val="20"/>
        </w:rPr>
        <w:t> </w:t>
      </w:r>
      <w:r>
        <w:rPr>
          <w:sz w:val="20"/>
        </w:rPr>
        <w:t>12654094]</w:t>
      </w:r>
    </w:p>
    <w:p>
      <w:pPr>
        <w:pStyle w:val="ListParagraph"/>
        <w:numPr>
          <w:ilvl w:val="2"/>
          <w:numId w:val="36"/>
        </w:numPr>
        <w:tabs>
          <w:tab w:pos="917" w:val="left" w:leader="none"/>
        </w:tabs>
        <w:spacing w:line="360" w:lineRule="auto" w:before="1" w:after="0"/>
        <w:ind w:left="917" w:right="277" w:hanging="361"/>
        <w:jc w:val="both"/>
        <w:rPr>
          <w:sz w:val="20"/>
        </w:rPr>
      </w:pPr>
      <w:r>
        <w:rPr>
          <w:sz w:val="20"/>
        </w:rPr>
        <w:t>Walsh LJ, Tsang AK. Tests for cariogenic bacteria in offices: current concepts and clinical strategies. J Minim Interv Dent. 2008;</w:t>
      </w:r>
      <w:r>
        <w:rPr>
          <w:spacing w:val="-17"/>
          <w:sz w:val="20"/>
        </w:rPr>
        <w:t> </w:t>
      </w:r>
      <w:r>
        <w:rPr>
          <w:sz w:val="20"/>
        </w:rPr>
        <w:t>1(2):128-53.</w:t>
      </w:r>
    </w:p>
    <w:p>
      <w:pPr>
        <w:pStyle w:val="ListParagraph"/>
        <w:numPr>
          <w:ilvl w:val="2"/>
          <w:numId w:val="36"/>
        </w:numPr>
        <w:tabs>
          <w:tab w:pos="917" w:val="left" w:leader="none"/>
        </w:tabs>
        <w:spacing w:line="360" w:lineRule="auto" w:before="4" w:after="0"/>
        <w:ind w:left="917" w:right="273" w:hanging="361"/>
        <w:jc w:val="both"/>
        <w:rPr>
          <w:sz w:val="20"/>
        </w:rPr>
      </w:pPr>
      <w:r>
        <w:rPr>
          <w:sz w:val="20"/>
        </w:rPr>
        <w:t>Liljemark WF, Bloomquist CG, Ofstehage JC. Aggregation and adherence of Streptococcus sanguis: role </w:t>
      </w:r>
      <w:r>
        <w:rPr>
          <w:spacing w:val="-4"/>
          <w:sz w:val="20"/>
        </w:rPr>
        <w:t>of </w:t>
      </w:r>
      <w:r>
        <w:rPr>
          <w:sz w:val="20"/>
        </w:rPr>
        <w:t>human salivary immunoglobulin A. Infect Immun. 1979; 26:1004–1110. [Pubmed:</w:t>
      </w:r>
      <w:r>
        <w:rPr>
          <w:spacing w:val="-8"/>
          <w:sz w:val="20"/>
        </w:rPr>
        <w:t> </w:t>
      </w:r>
      <w:r>
        <w:rPr>
          <w:sz w:val="20"/>
        </w:rPr>
        <w:t>PMC414734]</w:t>
      </w:r>
    </w:p>
    <w:p>
      <w:pPr>
        <w:pStyle w:val="ListParagraph"/>
        <w:numPr>
          <w:ilvl w:val="2"/>
          <w:numId w:val="36"/>
        </w:numPr>
        <w:tabs>
          <w:tab w:pos="917" w:val="left" w:leader="none"/>
        </w:tabs>
        <w:spacing w:line="360" w:lineRule="auto" w:before="0" w:after="0"/>
        <w:ind w:left="917" w:right="280" w:hanging="361"/>
        <w:jc w:val="both"/>
        <w:rPr>
          <w:sz w:val="20"/>
        </w:rPr>
      </w:pPr>
      <w:r>
        <w:rPr>
          <w:sz w:val="20"/>
        </w:rPr>
        <w:t>Klein JP, Schöller M, Frank RM. Inhibition </w:t>
      </w:r>
      <w:r>
        <w:rPr>
          <w:spacing w:val="-4"/>
          <w:sz w:val="20"/>
        </w:rPr>
        <w:t>of </w:t>
      </w:r>
      <w:r>
        <w:rPr>
          <w:sz w:val="20"/>
        </w:rPr>
        <w:t>glucosyltransferase by human salivary immunoglobulin A. Infect Immun. 1977; 15:329–331. [Pubmed:</w:t>
      </w:r>
      <w:r>
        <w:rPr>
          <w:spacing w:val="-21"/>
          <w:sz w:val="20"/>
        </w:rPr>
        <w:t> </w:t>
      </w:r>
      <w:r>
        <w:rPr>
          <w:sz w:val="20"/>
        </w:rPr>
        <w:t>PMC421366]</w:t>
      </w:r>
    </w:p>
    <w:p>
      <w:pPr>
        <w:pStyle w:val="ListParagraph"/>
        <w:numPr>
          <w:ilvl w:val="2"/>
          <w:numId w:val="36"/>
        </w:numPr>
        <w:tabs>
          <w:tab w:pos="917" w:val="left" w:leader="none"/>
        </w:tabs>
        <w:spacing w:line="360" w:lineRule="auto" w:before="4" w:after="0"/>
        <w:ind w:left="917" w:right="277" w:hanging="361"/>
        <w:jc w:val="both"/>
        <w:rPr>
          <w:sz w:val="20"/>
        </w:rPr>
      </w:pPr>
      <w:r>
        <w:rPr>
          <w:sz w:val="20"/>
        </w:rPr>
        <w:t>Kilian M, Mestecky J, Russell MW. Defense mechanisms involving Fc-dependent functions of immunoglobulin A and their subversion by bacterial immunoglobulin A </w:t>
      </w:r>
      <w:r>
        <w:rPr>
          <w:spacing w:val="-3"/>
          <w:sz w:val="20"/>
        </w:rPr>
        <w:t>proteases.  </w:t>
      </w:r>
      <w:r>
        <w:rPr>
          <w:sz w:val="20"/>
        </w:rPr>
        <w:t>Microbiol Rev. 1988; 52:296–303. [Pubmed:</w:t>
      </w:r>
      <w:r>
        <w:rPr>
          <w:spacing w:val="-14"/>
          <w:sz w:val="20"/>
        </w:rPr>
        <w:t> </w:t>
      </w:r>
      <w:r>
        <w:rPr>
          <w:sz w:val="20"/>
        </w:rPr>
        <w:t>PMC373140]</w:t>
      </w:r>
    </w:p>
    <w:p>
      <w:pPr>
        <w:spacing w:after="0" w:line="360" w:lineRule="auto"/>
        <w:jc w:val="both"/>
        <w:rPr>
          <w:sz w:val="20"/>
        </w:rPr>
        <w:sectPr>
          <w:pgSz w:w="12240" w:h="15840"/>
          <w:pgMar w:header="726" w:footer="1031" w:top="1340" w:bottom="1220" w:left="1220" w:right="1420"/>
        </w:sectPr>
      </w:pPr>
    </w:p>
    <w:p>
      <w:pPr>
        <w:pStyle w:val="BodyText"/>
        <w:spacing w:before="7"/>
        <w:rPr>
          <w:sz w:val="22"/>
        </w:rPr>
      </w:pPr>
    </w:p>
    <w:p>
      <w:pPr>
        <w:pStyle w:val="ListParagraph"/>
        <w:numPr>
          <w:ilvl w:val="2"/>
          <w:numId w:val="36"/>
        </w:numPr>
        <w:tabs>
          <w:tab w:pos="917" w:val="left" w:leader="none"/>
        </w:tabs>
        <w:spacing w:line="360" w:lineRule="auto" w:before="76" w:after="0"/>
        <w:ind w:left="917" w:right="280" w:hanging="361"/>
        <w:jc w:val="both"/>
        <w:rPr>
          <w:sz w:val="20"/>
        </w:rPr>
      </w:pPr>
      <w:r>
        <w:rPr>
          <w:sz w:val="20"/>
        </w:rPr>
        <w:t>McGhee </w:t>
      </w:r>
      <w:r>
        <w:rPr>
          <w:spacing w:val="-3"/>
          <w:sz w:val="20"/>
        </w:rPr>
        <w:t>JR, </w:t>
      </w:r>
      <w:r>
        <w:rPr>
          <w:sz w:val="20"/>
        </w:rPr>
        <w:t>Mestecky J, Dertzbaugh MT, Eldridge </w:t>
      </w:r>
      <w:r>
        <w:rPr>
          <w:spacing w:val="-3"/>
          <w:sz w:val="20"/>
        </w:rPr>
        <w:t>JH, </w:t>
      </w:r>
      <w:r>
        <w:rPr>
          <w:sz w:val="20"/>
        </w:rPr>
        <w:t>Hirasawa M, Kiyono H. The mucosal immune system: from fundamental concepts to vaccine development. Vaccine. 1992; 10(2):75–88. [Pubmed:</w:t>
      </w:r>
      <w:r>
        <w:rPr>
          <w:spacing w:val="-10"/>
          <w:sz w:val="20"/>
        </w:rPr>
        <w:t> </w:t>
      </w:r>
      <w:r>
        <w:rPr>
          <w:sz w:val="20"/>
        </w:rPr>
        <w:t>1539467]</w:t>
      </w:r>
    </w:p>
    <w:p>
      <w:pPr>
        <w:pStyle w:val="ListParagraph"/>
        <w:numPr>
          <w:ilvl w:val="2"/>
          <w:numId w:val="36"/>
        </w:numPr>
        <w:tabs>
          <w:tab w:pos="917" w:val="left" w:leader="none"/>
        </w:tabs>
        <w:spacing w:line="360" w:lineRule="auto" w:before="4" w:after="0"/>
        <w:ind w:left="917" w:right="275" w:hanging="361"/>
        <w:jc w:val="both"/>
        <w:rPr>
          <w:sz w:val="20"/>
        </w:rPr>
      </w:pPr>
      <w:r>
        <w:rPr>
          <w:sz w:val="20"/>
        </w:rPr>
        <w:t>Dowd FJ. Saliva and dental caries. Dent Clin North Am. 1999; 43: 579–597. [Pubmed: 10553245]</w:t>
      </w:r>
    </w:p>
    <w:p>
      <w:pPr>
        <w:pStyle w:val="ListParagraph"/>
        <w:numPr>
          <w:ilvl w:val="2"/>
          <w:numId w:val="36"/>
        </w:numPr>
        <w:tabs>
          <w:tab w:pos="917" w:val="left" w:leader="none"/>
        </w:tabs>
        <w:spacing w:line="357" w:lineRule="auto" w:before="4" w:after="0"/>
        <w:ind w:left="917" w:right="278" w:hanging="361"/>
        <w:jc w:val="both"/>
        <w:rPr>
          <w:sz w:val="20"/>
        </w:rPr>
      </w:pPr>
      <w:r>
        <w:rPr>
          <w:sz w:val="20"/>
        </w:rPr>
        <w:t>Rocha DM, Zenóbio EG, Van DT, Silva KS, Costa FO, Soares RV. Differential expression </w:t>
      </w:r>
      <w:r>
        <w:rPr>
          <w:spacing w:val="-4"/>
          <w:sz w:val="20"/>
        </w:rPr>
        <w:t>of </w:t>
      </w:r>
      <w:r>
        <w:rPr>
          <w:sz w:val="20"/>
        </w:rPr>
        <w:t>salivary glycoproteins in aggressive and chronic periodontitis. J Appl Oral Sci. 2012; 20(2):180- 5. [Pubmed:</w:t>
      </w:r>
      <w:r>
        <w:rPr>
          <w:spacing w:val="-10"/>
          <w:sz w:val="20"/>
        </w:rPr>
        <w:t> </w:t>
      </w:r>
      <w:r>
        <w:rPr>
          <w:sz w:val="20"/>
        </w:rPr>
        <w:t>22666834]</w:t>
      </w:r>
    </w:p>
    <w:p>
      <w:pPr>
        <w:pStyle w:val="ListParagraph"/>
        <w:numPr>
          <w:ilvl w:val="2"/>
          <w:numId w:val="36"/>
        </w:numPr>
        <w:tabs>
          <w:tab w:pos="917" w:val="left" w:leader="none"/>
        </w:tabs>
        <w:spacing w:line="360" w:lineRule="auto" w:before="6" w:after="0"/>
        <w:ind w:left="917" w:right="271" w:hanging="361"/>
        <w:jc w:val="both"/>
        <w:rPr>
          <w:sz w:val="20"/>
        </w:rPr>
      </w:pPr>
      <w:r>
        <w:rPr>
          <w:sz w:val="20"/>
        </w:rPr>
        <w:t>Taniguchi M, Iizuka J, Murata </w:t>
      </w:r>
      <w:r>
        <w:rPr>
          <w:spacing w:val="-3"/>
          <w:sz w:val="20"/>
        </w:rPr>
        <w:t>Y, </w:t>
      </w:r>
      <w:r>
        <w:rPr>
          <w:sz w:val="20"/>
        </w:rPr>
        <w:t>Ito Y, Iwamiya M, Mori H, </w:t>
      </w:r>
      <w:r>
        <w:rPr>
          <w:spacing w:val="-4"/>
          <w:sz w:val="20"/>
        </w:rPr>
        <w:t>et </w:t>
      </w:r>
      <w:r>
        <w:rPr>
          <w:sz w:val="20"/>
        </w:rPr>
        <w:t>al. Multimolecular salivary mucin complex is altered in saliva </w:t>
      </w:r>
      <w:r>
        <w:rPr>
          <w:spacing w:val="-4"/>
          <w:sz w:val="20"/>
        </w:rPr>
        <w:t>of </w:t>
      </w:r>
      <w:r>
        <w:rPr>
          <w:sz w:val="20"/>
        </w:rPr>
        <w:t>cigarette smokers: detection of disulfide bridges by Raman spectroscopy. Biomed Res Int. 2013:168765. doi: 10.1155/2013/168765. [Pubmed:</w:t>
      </w:r>
      <w:r>
        <w:rPr>
          <w:spacing w:val="-32"/>
          <w:sz w:val="20"/>
        </w:rPr>
        <w:t> </w:t>
      </w:r>
      <w:r>
        <w:rPr>
          <w:sz w:val="20"/>
        </w:rPr>
        <w:t>23509686]</w:t>
      </w:r>
    </w:p>
    <w:p>
      <w:pPr>
        <w:pStyle w:val="ListParagraph"/>
        <w:numPr>
          <w:ilvl w:val="2"/>
          <w:numId w:val="36"/>
        </w:numPr>
        <w:tabs>
          <w:tab w:pos="917" w:val="left" w:leader="none"/>
        </w:tabs>
        <w:spacing w:line="360" w:lineRule="auto" w:before="4" w:after="0"/>
        <w:ind w:left="917" w:right="283" w:hanging="361"/>
        <w:jc w:val="both"/>
        <w:rPr>
          <w:sz w:val="20"/>
        </w:rPr>
      </w:pPr>
      <w:r>
        <w:rPr>
          <w:sz w:val="20"/>
        </w:rPr>
        <w:t>Ihalin R, Loimaranta V, Tenovuo J. Origin, structure, and biological activities of peroxidases in human saliva. Arch Biochem Biophys. 2006; 445:261–268. [Pubmed:</w:t>
      </w:r>
      <w:r>
        <w:rPr>
          <w:spacing w:val="-23"/>
          <w:sz w:val="20"/>
        </w:rPr>
        <w:t> </w:t>
      </w:r>
      <w:r>
        <w:rPr>
          <w:sz w:val="20"/>
        </w:rPr>
        <w:t>16111647]</w:t>
      </w:r>
    </w:p>
    <w:p>
      <w:pPr>
        <w:pStyle w:val="ListParagraph"/>
        <w:numPr>
          <w:ilvl w:val="2"/>
          <w:numId w:val="36"/>
        </w:numPr>
        <w:tabs>
          <w:tab w:pos="917" w:val="left" w:leader="none"/>
        </w:tabs>
        <w:spacing w:line="357" w:lineRule="auto" w:before="4" w:after="0"/>
        <w:ind w:left="917" w:right="275" w:hanging="361"/>
        <w:jc w:val="both"/>
        <w:rPr>
          <w:sz w:val="20"/>
        </w:rPr>
      </w:pPr>
      <w:r>
        <w:rPr>
          <w:sz w:val="20"/>
        </w:rPr>
        <w:t>Waszkiewicz N, Zalewska-Szajda B, </w:t>
      </w:r>
      <w:r>
        <w:rPr>
          <w:spacing w:val="-3"/>
          <w:sz w:val="20"/>
        </w:rPr>
        <w:t>Zalewska </w:t>
      </w:r>
      <w:r>
        <w:rPr>
          <w:sz w:val="20"/>
        </w:rPr>
        <w:t>A, Waszkiewicz M, Szajda </w:t>
      </w:r>
      <w:r>
        <w:rPr>
          <w:spacing w:val="-3"/>
          <w:sz w:val="20"/>
        </w:rPr>
        <w:t>SD, </w:t>
      </w:r>
      <w:r>
        <w:rPr>
          <w:sz w:val="20"/>
        </w:rPr>
        <w:t>Repka </w:t>
      </w:r>
      <w:r>
        <w:rPr>
          <w:spacing w:val="-3"/>
          <w:sz w:val="20"/>
        </w:rPr>
        <w:t>B, </w:t>
      </w:r>
      <w:r>
        <w:rPr>
          <w:sz w:val="20"/>
        </w:rPr>
        <w:t>et al. Decrease in salivary lactoferrin output in chronically intoxicated alcohol-dependent patients. Folia Histochem Cytobiol. 2012; 50(2):248-54. [Pubmed:</w:t>
      </w:r>
      <w:r>
        <w:rPr>
          <w:spacing w:val="-23"/>
          <w:sz w:val="20"/>
        </w:rPr>
        <w:t> </w:t>
      </w:r>
      <w:r>
        <w:rPr>
          <w:sz w:val="20"/>
        </w:rPr>
        <w:t>22763972]</w:t>
      </w:r>
    </w:p>
    <w:p>
      <w:pPr>
        <w:pStyle w:val="ListParagraph"/>
        <w:numPr>
          <w:ilvl w:val="2"/>
          <w:numId w:val="36"/>
        </w:numPr>
        <w:tabs>
          <w:tab w:pos="917" w:val="left" w:leader="none"/>
        </w:tabs>
        <w:spacing w:line="360" w:lineRule="auto" w:before="6" w:after="0"/>
        <w:ind w:left="917" w:right="282" w:hanging="361"/>
        <w:jc w:val="both"/>
        <w:rPr>
          <w:sz w:val="20"/>
        </w:rPr>
      </w:pPr>
      <w:r>
        <w:rPr>
          <w:sz w:val="20"/>
        </w:rPr>
        <w:t>Marcotte </w:t>
      </w:r>
      <w:r>
        <w:rPr>
          <w:spacing w:val="-4"/>
          <w:sz w:val="20"/>
        </w:rPr>
        <w:t>H, </w:t>
      </w:r>
      <w:r>
        <w:rPr>
          <w:sz w:val="20"/>
        </w:rPr>
        <w:t>Lavoie </w:t>
      </w:r>
      <w:r>
        <w:rPr>
          <w:spacing w:val="-3"/>
          <w:sz w:val="20"/>
        </w:rPr>
        <w:t>MC. </w:t>
      </w:r>
      <w:r>
        <w:rPr>
          <w:sz w:val="20"/>
        </w:rPr>
        <w:t>Oral microbial ecology and the role </w:t>
      </w:r>
      <w:r>
        <w:rPr>
          <w:spacing w:val="-4"/>
          <w:sz w:val="20"/>
        </w:rPr>
        <w:t>of </w:t>
      </w:r>
      <w:r>
        <w:rPr>
          <w:sz w:val="20"/>
        </w:rPr>
        <w:t>salivary immunoglobulin </w:t>
      </w:r>
      <w:r>
        <w:rPr>
          <w:spacing w:val="-3"/>
          <w:sz w:val="20"/>
        </w:rPr>
        <w:t>A. </w:t>
      </w:r>
      <w:r>
        <w:rPr>
          <w:sz w:val="20"/>
        </w:rPr>
        <w:t>Microbiol. </w:t>
      </w:r>
      <w:r>
        <w:rPr>
          <w:spacing w:val="-3"/>
          <w:sz w:val="20"/>
        </w:rPr>
        <w:t>Mol </w:t>
      </w:r>
      <w:r>
        <w:rPr>
          <w:sz w:val="20"/>
        </w:rPr>
        <w:t>Biol Rev. 1998; 62(1):71-109. [Pubmed:</w:t>
      </w:r>
      <w:r>
        <w:rPr>
          <w:spacing w:val="-12"/>
          <w:sz w:val="20"/>
        </w:rPr>
        <w:t> </w:t>
      </w:r>
      <w:r>
        <w:rPr>
          <w:sz w:val="20"/>
        </w:rPr>
        <w:t>9529888]</w:t>
      </w:r>
    </w:p>
    <w:p>
      <w:pPr>
        <w:pStyle w:val="ListParagraph"/>
        <w:numPr>
          <w:ilvl w:val="2"/>
          <w:numId w:val="36"/>
        </w:numPr>
        <w:tabs>
          <w:tab w:pos="917" w:val="left" w:leader="none"/>
        </w:tabs>
        <w:spacing w:line="360" w:lineRule="auto" w:before="4" w:after="0"/>
        <w:ind w:left="917" w:right="280" w:hanging="361"/>
        <w:jc w:val="both"/>
        <w:rPr>
          <w:sz w:val="20"/>
        </w:rPr>
      </w:pPr>
      <w:r>
        <w:rPr>
          <w:sz w:val="20"/>
        </w:rPr>
        <w:t>Lussi A, Imwinkelried S, Pitts NB, Longbottom C, Reich E. Performance and reproducibility </w:t>
      </w:r>
      <w:r>
        <w:rPr>
          <w:spacing w:val="-4"/>
          <w:sz w:val="20"/>
        </w:rPr>
        <w:t>of  </w:t>
      </w:r>
      <w:r>
        <w:rPr>
          <w:sz w:val="20"/>
        </w:rPr>
        <w:t>a laser fluorescence system for detection </w:t>
      </w:r>
      <w:r>
        <w:rPr>
          <w:spacing w:val="-4"/>
          <w:sz w:val="20"/>
        </w:rPr>
        <w:t>of </w:t>
      </w:r>
      <w:r>
        <w:rPr>
          <w:sz w:val="20"/>
        </w:rPr>
        <w:t>occlusal caries in vitro. Caries </w:t>
      </w:r>
      <w:r>
        <w:rPr>
          <w:spacing w:val="-3"/>
          <w:sz w:val="20"/>
        </w:rPr>
        <w:t>Res. </w:t>
      </w:r>
      <w:r>
        <w:rPr>
          <w:sz w:val="20"/>
        </w:rPr>
        <w:t>1999; 33:261– 266.</w:t>
      </w:r>
      <w:r>
        <w:rPr>
          <w:spacing w:val="-9"/>
          <w:sz w:val="20"/>
        </w:rPr>
        <w:t> </w:t>
      </w:r>
      <w:r>
        <w:rPr>
          <w:sz w:val="20"/>
        </w:rPr>
        <w:t>[Pubmed:10343088]</w:t>
      </w:r>
    </w:p>
    <w:p>
      <w:pPr>
        <w:pStyle w:val="ListParagraph"/>
        <w:numPr>
          <w:ilvl w:val="2"/>
          <w:numId w:val="36"/>
        </w:numPr>
        <w:tabs>
          <w:tab w:pos="917" w:val="left" w:leader="none"/>
        </w:tabs>
        <w:spacing w:line="357" w:lineRule="auto" w:before="4" w:after="0"/>
        <w:ind w:left="917" w:right="278" w:hanging="361"/>
        <w:jc w:val="both"/>
        <w:rPr>
          <w:sz w:val="20"/>
        </w:rPr>
      </w:pPr>
      <w:r>
        <w:rPr>
          <w:sz w:val="20"/>
        </w:rPr>
        <w:t>Kouchaji C. Comparison between a laser fluorescence device and visual examination in the detection </w:t>
      </w:r>
      <w:r>
        <w:rPr>
          <w:spacing w:val="-4"/>
          <w:sz w:val="20"/>
        </w:rPr>
        <w:t>of </w:t>
      </w:r>
      <w:r>
        <w:rPr>
          <w:sz w:val="20"/>
        </w:rPr>
        <w:t>occlusal caries in children. Saudi Dent J. 2012; 24(3-4):169-74. doi: 10.1016/j.sdentj.2012.07.002 [Pubmed:</w:t>
      </w:r>
      <w:r>
        <w:rPr>
          <w:spacing w:val="-17"/>
          <w:sz w:val="20"/>
        </w:rPr>
        <w:t> </w:t>
      </w:r>
      <w:r>
        <w:rPr>
          <w:sz w:val="20"/>
        </w:rPr>
        <w:t>23960547]</w:t>
      </w:r>
    </w:p>
    <w:p>
      <w:pPr>
        <w:pStyle w:val="ListParagraph"/>
        <w:numPr>
          <w:ilvl w:val="2"/>
          <w:numId w:val="36"/>
        </w:numPr>
        <w:tabs>
          <w:tab w:pos="917" w:val="left" w:leader="none"/>
        </w:tabs>
        <w:spacing w:line="360" w:lineRule="auto" w:before="6" w:after="0"/>
        <w:ind w:left="917" w:right="273" w:hanging="361"/>
        <w:jc w:val="both"/>
        <w:rPr>
          <w:sz w:val="20"/>
        </w:rPr>
      </w:pPr>
      <w:r>
        <w:rPr>
          <w:sz w:val="20"/>
        </w:rPr>
        <w:t>Pfaffl </w:t>
      </w:r>
      <w:r>
        <w:rPr>
          <w:spacing w:val="-3"/>
          <w:sz w:val="20"/>
        </w:rPr>
        <w:t>M. </w:t>
      </w:r>
      <w:r>
        <w:rPr>
          <w:sz w:val="20"/>
        </w:rPr>
        <w:t>A new mathematical model for relative quantification in real-time RT-PCR. Nucleic Acids </w:t>
      </w:r>
      <w:r>
        <w:rPr>
          <w:spacing w:val="-3"/>
          <w:sz w:val="20"/>
        </w:rPr>
        <w:t>Res. </w:t>
      </w:r>
      <w:r>
        <w:rPr>
          <w:sz w:val="20"/>
        </w:rPr>
        <w:t>2001;</w:t>
      </w:r>
      <w:r>
        <w:rPr>
          <w:spacing w:val="-1"/>
          <w:sz w:val="20"/>
        </w:rPr>
        <w:t> </w:t>
      </w:r>
      <w:r>
        <w:rPr>
          <w:sz w:val="20"/>
        </w:rPr>
        <w:t>29(9):2000-7.[Pubmed:11328886]</w:t>
      </w:r>
    </w:p>
    <w:p>
      <w:pPr>
        <w:pStyle w:val="ListParagraph"/>
        <w:numPr>
          <w:ilvl w:val="2"/>
          <w:numId w:val="36"/>
        </w:numPr>
        <w:tabs>
          <w:tab w:pos="917" w:val="left" w:leader="none"/>
        </w:tabs>
        <w:spacing w:line="360" w:lineRule="auto" w:before="4" w:after="0"/>
        <w:ind w:left="917" w:right="274" w:hanging="361"/>
        <w:jc w:val="both"/>
        <w:rPr>
          <w:sz w:val="20"/>
        </w:rPr>
      </w:pPr>
      <w:r>
        <w:rPr>
          <w:sz w:val="20"/>
        </w:rPr>
        <w:t>Spielmann N, Wong </w:t>
      </w:r>
      <w:r>
        <w:rPr>
          <w:spacing w:val="-2"/>
          <w:sz w:val="20"/>
        </w:rPr>
        <w:t>DT. </w:t>
      </w:r>
      <w:r>
        <w:rPr>
          <w:sz w:val="20"/>
        </w:rPr>
        <w:t>Saliva: diagnostics and therapeutic perspectives. Oral Dis 2011; 17(4):345-54. doi: 10.1111/j.1601-0825.2010.01773.x. [Pubmed:</w:t>
      </w:r>
      <w:r>
        <w:rPr>
          <w:spacing w:val="-29"/>
          <w:sz w:val="20"/>
        </w:rPr>
        <w:t> </w:t>
      </w:r>
      <w:r>
        <w:rPr>
          <w:sz w:val="20"/>
        </w:rPr>
        <w:t>21122035]</w:t>
      </w:r>
    </w:p>
    <w:p>
      <w:pPr>
        <w:pStyle w:val="ListParagraph"/>
        <w:numPr>
          <w:ilvl w:val="2"/>
          <w:numId w:val="36"/>
        </w:numPr>
        <w:tabs>
          <w:tab w:pos="917" w:val="left" w:leader="none"/>
        </w:tabs>
        <w:spacing w:line="357" w:lineRule="auto" w:before="4" w:after="0"/>
        <w:ind w:left="917" w:right="275" w:hanging="361"/>
        <w:jc w:val="both"/>
        <w:rPr>
          <w:sz w:val="20"/>
        </w:rPr>
      </w:pPr>
      <w:r>
        <w:rPr>
          <w:sz w:val="20"/>
        </w:rPr>
        <w:t>Hu S, Wang J, Meijer J, Ieong S, Xie Y, Yu T, </w:t>
      </w:r>
      <w:r>
        <w:rPr>
          <w:spacing w:val="-4"/>
          <w:sz w:val="20"/>
        </w:rPr>
        <w:t>et </w:t>
      </w:r>
      <w:r>
        <w:rPr>
          <w:sz w:val="20"/>
        </w:rPr>
        <w:t>al. Salivary proteomic and genomic biomarkers for primary Sjögren’s syndrome. Arthritis Rheum. 2007; 56:3588–600. [Pubmed: 17968930]</w:t>
      </w:r>
    </w:p>
    <w:p>
      <w:pPr>
        <w:pStyle w:val="ListParagraph"/>
        <w:numPr>
          <w:ilvl w:val="2"/>
          <w:numId w:val="36"/>
        </w:numPr>
        <w:tabs>
          <w:tab w:pos="917" w:val="left" w:leader="none"/>
        </w:tabs>
        <w:spacing w:line="360" w:lineRule="auto" w:before="6" w:after="0"/>
        <w:ind w:left="917" w:right="276" w:hanging="361"/>
        <w:jc w:val="both"/>
        <w:rPr>
          <w:sz w:val="20"/>
        </w:rPr>
      </w:pPr>
      <w:r>
        <w:rPr>
          <w:sz w:val="20"/>
        </w:rPr>
        <w:t>Zhang L, Farrell JJ, Zhou H, Elashoff D, Akin D, Parque NH, et al. Salivary transcriptomic biomarkers for detection </w:t>
      </w:r>
      <w:r>
        <w:rPr>
          <w:spacing w:val="-4"/>
          <w:sz w:val="20"/>
        </w:rPr>
        <w:t>of </w:t>
      </w:r>
      <w:r>
        <w:rPr>
          <w:sz w:val="20"/>
        </w:rPr>
        <w:t>resectable pancreatic cancer. Gastroenterology. 2010; 138:949– 57. [Pubmed:</w:t>
      </w:r>
      <w:r>
        <w:rPr>
          <w:spacing w:val="-11"/>
          <w:sz w:val="20"/>
        </w:rPr>
        <w:t> </w:t>
      </w:r>
      <w:r>
        <w:rPr>
          <w:sz w:val="20"/>
        </w:rPr>
        <w:t>19931263]</w:t>
      </w:r>
    </w:p>
    <w:p>
      <w:pPr>
        <w:pStyle w:val="ListParagraph"/>
        <w:numPr>
          <w:ilvl w:val="2"/>
          <w:numId w:val="36"/>
        </w:numPr>
        <w:tabs>
          <w:tab w:pos="917" w:val="left" w:leader="none"/>
        </w:tabs>
        <w:spacing w:line="360" w:lineRule="auto" w:before="4" w:after="0"/>
        <w:ind w:left="917" w:right="274" w:hanging="361"/>
        <w:jc w:val="both"/>
        <w:rPr>
          <w:sz w:val="20"/>
        </w:rPr>
      </w:pPr>
      <w:r>
        <w:rPr>
          <w:sz w:val="20"/>
        </w:rPr>
        <w:t>Adam DJ, Milne AA, Evans SM, Roulston JE, Lee AJ, Ruckley </w:t>
      </w:r>
      <w:r>
        <w:rPr>
          <w:spacing w:val="-3"/>
          <w:sz w:val="20"/>
        </w:rPr>
        <w:t>CV, </w:t>
      </w:r>
      <w:r>
        <w:rPr>
          <w:spacing w:val="-4"/>
          <w:sz w:val="20"/>
        </w:rPr>
        <w:t>et </w:t>
      </w:r>
      <w:r>
        <w:rPr>
          <w:sz w:val="20"/>
        </w:rPr>
        <w:t>al. Serum amylase isoenzymes in patients undergoing operation for ruptured and non-ruptured abdominal aortic aneurysm. J Vasc Surg. 1999; 30:229–35. [Pubmed:</w:t>
      </w:r>
      <w:r>
        <w:rPr>
          <w:spacing w:val="5"/>
          <w:sz w:val="20"/>
        </w:rPr>
        <w:t> </w:t>
      </w:r>
      <w:r>
        <w:rPr>
          <w:spacing w:val="-3"/>
          <w:sz w:val="20"/>
        </w:rPr>
        <w:t>10436442]</w:t>
      </w:r>
    </w:p>
    <w:p>
      <w:pPr>
        <w:spacing w:after="0" w:line="360" w:lineRule="auto"/>
        <w:jc w:val="both"/>
        <w:rPr>
          <w:sz w:val="20"/>
        </w:rPr>
        <w:sectPr>
          <w:pgSz w:w="12240" w:h="15840"/>
          <w:pgMar w:header="726" w:footer="1031" w:top="1340" w:bottom="1220" w:left="1220" w:right="1420"/>
        </w:sectPr>
      </w:pPr>
    </w:p>
    <w:p>
      <w:pPr>
        <w:pStyle w:val="BodyText"/>
        <w:spacing w:before="7"/>
        <w:rPr>
          <w:sz w:val="22"/>
        </w:rPr>
      </w:pPr>
    </w:p>
    <w:p>
      <w:pPr>
        <w:pStyle w:val="ListParagraph"/>
        <w:numPr>
          <w:ilvl w:val="2"/>
          <w:numId w:val="36"/>
        </w:numPr>
        <w:tabs>
          <w:tab w:pos="917" w:val="left" w:leader="none"/>
        </w:tabs>
        <w:spacing w:line="360" w:lineRule="auto" w:before="76" w:after="0"/>
        <w:ind w:left="917" w:right="285" w:hanging="361"/>
        <w:jc w:val="both"/>
        <w:rPr>
          <w:sz w:val="20"/>
        </w:rPr>
      </w:pPr>
      <w:r>
        <w:rPr>
          <w:sz w:val="20"/>
        </w:rPr>
        <w:t>Walt DR, Blicharz TM, Hayman </w:t>
      </w:r>
      <w:r>
        <w:rPr>
          <w:spacing w:val="-3"/>
          <w:sz w:val="20"/>
        </w:rPr>
        <w:t>RB, </w:t>
      </w:r>
      <w:r>
        <w:rPr>
          <w:sz w:val="20"/>
        </w:rPr>
        <w:t>Rissin DM, Bowden M, Siqueira WL, et al. Microsensor arrays for saliva diagnostics. Ann N Y Acad Sci. 2007; 1098:389–400. [Pubmed:</w:t>
      </w:r>
      <w:r>
        <w:rPr>
          <w:spacing w:val="-29"/>
          <w:sz w:val="20"/>
        </w:rPr>
        <w:t> </w:t>
      </w:r>
      <w:r>
        <w:rPr>
          <w:sz w:val="20"/>
        </w:rPr>
        <w:t>17435144]</w:t>
      </w:r>
    </w:p>
    <w:p>
      <w:pPr>
        <w:pStyle w:val="ListParagraph"/>
        <w:numPr>
          <w:ilvl w:val="2"/>
          <w:numId w:val="36"/>
        </w:numPr>
        <w:tabs>
          <w:tab w:pos="917" w:val="left" w:leader="none"/>
        </w:tabs>
        <w:spacing w:line="360" w:lineRule="auto" w:before="4" w:after="0"/>
        <w:ind w:left="917" w:right="273" w:hanging="361"/>
        <w:jc w:val="both"/>
        <w:rPr>
          <w:sz w:val="20"/>
        </w:rPr>
      </w:pPr>
      <w:r>
        <w:rPr>
          <w:sz w:val="20"/>
        </w:rPr>
        <w:t>Ochnio JJ, Scheifele DW, Ho M, Mitchell LA. </w:t>
      </w:r>
      <w:r>
        <w:rPr>
          <w:spacing w:val="-3"/>
          <w:sz w:val="20"/>
        </w:rPr>
        <w:t>New, </w:t>
      </w:r>
      <w:r>
        <w:rPr>
          <w:sz w:val="20"/>
        </w:rPr>
        <w:t>ultrasensitive enzyme immunoassay for detecting vaccine- and disease-induced hepatitis A virus-specific immunoglobulin G in saliva. J Clin Microbiol. 1997; 35:98–101. [Pubmed:</w:t>
      </w:r>
      <w:r>
        <w:rPr>
          <w:spacing w:val="-15"/>
          <w:sz w:val="20"/>
        </w:rPr>
        <w:t> </w:t>
      </w:r>
      <w:r>
        <w:rPr>
          <w:sz w:val="20"/>
        </w:rPr>
        <w:t>8968887]</w:t>
      </w:r>
    </w:p>
    <w:p>
      <w:pPr>
        <w:pStyle w:val="ListParagraph"/>
        <w:numPr>
          <w:ilvl w:val="2"/>
          <w:numId w:val="36"/>
        </w:numPr>
        <w:tabs>
          <w:tab w:pos="917" w:val="left" w:leader="none"/>
        </w:tabs>
        <w:spacing w:line="360" w:lineRule="auto" w:before="4" w:after="0"/>
        <w:ind w:left="917" w:right="280" w:hanging="361"/>
        <w:jc w:val="both"/>
        <w:rPr>
          <w:sz w:val="20"/>
        </w:rPr>
      </w:pPr>
      <w:r>
        <w:rPr>
          <w:sz w:val="20"/>
        </w:rPr>
        <w:t>Lendenmann U, Grogan J, Oppenheim FG. Saliva and dental pellicle-a review. </w:t>
      </w:r>
      <w:r>
        <w:rPr>
          <w:spacing w:val="-3"/>
          <w:sz w:val="20"/>
        </w:rPr>
        <w:t>Adv </w:t>
      </w:r>
      <w:r>
        <w:rPr>
          <w:sz w:val="20"/>
        </w:rPr>
        <w:t>Dent </w:t>
      </w:r>
      <w:r>
        <w:rPr>
          <w:spacing w:val="-3"/>
          <w:sz w:val="20"/>
        </w:rPr>
        <w:t>Res. </w:t>
      </w:r>
      <w:r>
        <w:rPr>
          <w:sz w:val="20"/>
        </w:rPr>
        <w:t>2000; 14:22–8. [Pubmed:</w:t>
      </w:r>
      <w:r>
        <w:rPr>
          <w:spacing w:val="-15"/>
          <w:sz w:val="20"/>
        </w:rPr>
        <w:t> </w:t>
      </w:r>
      <w:r>
        <w:rPr>
          <w:sz w:val="20"/>
        </w:rPr>
        <w:t>11842920]</w:t>
      </w:r>
    </w:p>
    <w:p>
      <w:pPr>
        <w:pStyle w:val="ListParagraph"/>
        <w:numPr>
          <w:ilvl w:val="2"/>
          <w:numId w:val="36"/>
        </w:numPr>
        <w:tabs>
          <w:tab w:pos="917" w:val="left" w:leader="none"/>
        </w:tabs>
        <w:spacing w:line="360" w:lineRule="auto" w:before="0" w:after="0"/>
        <w:ind w:left="917" w:right="276" w:hanging="361"/>
        <w:jc w:val="both"/>
        <w:rPr>
          <w:sz w:val="20"/>
        </w:rPr>
      </w:pPr>
      <w:r>
        <w:rPr>
          <w:sz w:val="20"/>
        </w:rPr>
        <w:t>Masunaga H, Tsutae </w:t>
      </w:r>
      <w:r>
        <w:rPr>
          <w:spacing w:val="3"/>
          <w:sz w:val="20"/>
        </w:rPr>
        <w:t>W, </w:t>
      </w:r>
      <w:r>
        <w:rPr>
          <w:sz w:val="20"/>
        </w:rPr>
        <w:t>Oh H, Shinozuka N, Kishimoto N, Ogata Y. </w:t>
      </w:r>
      <w:r>
        <w:rPr>
          <w:spacing w:val="-3"/>
          <w:sz w:val="20"/>
        </w:rPr>
        <w:t>Use </w:t>
      </w:r>
      <w:r>
        <w:rPr>
          <w:sz w:val="20"/>
        </w:rPr>
        <w:t>of quantitative PCR  to evaluate methods of bacteria sampling in periodontal patients. J Oral Sci. 2010; 52(4):615- 21. [Pubmed:</w:t>
      </w:r>
      <w:r>
        <w:rPr>
          <w:spacing w:val="-11"/>
          <w:sz w:val="20"/>
        </w:rPr>
        <w:t> </w:t>
      </w:r>
      <w:r>
        <w:rPr>
          <w:sz w:val="20"/>
        </w:rPr>
        <w:t>21206165]</w:t>
      </w:r>
    </w:p>
    <w:p>
      <w:pPr>
        <w:pStyle w:val="ListParagraph"/>
        <w:numPr>
          <w:ilvl w:val="2"/>
          <w:numId w:val="36"/>
        </w:numPr>
        <w:tabs>
          <w:tab w:pos="917" w:val="left" w:leader="none"/>
        </w:tabs>
        <w:spacing w:line="360" w:lineRule="auto" w:before="4" w:after="0"/>
        <w:ind w:left="917" w:right="274" w:hanging="361"/>
        <w:jc w:val="both"/>
        <w:rPr>
          <w:sz w:val="20"/>
        </w:rPr>
      </w:pPr>
      <w:r>
        <w:rPr>
          <w:sz w:val="20"/>
        </w:rPr>
        <w:t>Sánchez-Acedo M, Montiel-Company JM, Dasí-Fernández F, Almerich-Silla JM. Streptococcus mutants and Streptococcus sobrinus detection by Polymerase Chain Reaction and their relation to </w:t>
      </w:r>
      <w:r>
        <w:rPr>
          <w:spacing w:val="-2"/>
          <w:sz w:val="20"/>
        </w:rPr>
        <w:t>dental </w:t>
      </w:r>
      <w:r>
        <w:rPr>
          <w:sz w:val="20"/>
        </w:rPr>
        <w:t>caries in 12- and 15-year-old schoolchildren in Valencia (Spain). Med Oral Patol Oral Cir Bucal. 2013; 18 (6):e839-45. [Pubmed:</w:t>
      </w:r>
      <w:r>
        <w:rPr>
          <w:spacing w:val="2"/>
          <w:sz w:val="20"/>
        </w:rPr>
        <w:t> </w:t>
      </w:r>
      <w:r>
        <w:rPr>
          <w:spacing w:val="-3"/>
          <w:sz w:val="20"/>
        </w:rPr>
        <w:t>23722138]</w:t>
      </w:r>
    </w:p>
    <w:p>
      <w:pPr>
        <w:pStyle w:val="ListParagraph"/>
        <w:numPr>
          <w:ilvl w:val="2"/>
          <w:numId w:val="36"/>
        </w:numPr>
        <w:tabs>
          <w:tab w:pos="917" w:val="left" w:leader="none"/>
        </w:tabs>
        <w:spacing w:line="355" w:lineRule="auto" w:before="4" w:after="0"/>
        <w:ind w:left="917" w:right="279" w:hanging="361"/>
        <w:jc w:val="both"/>
        <w:rPr>
          <w:sz w:val="20"/>
        </w:rPr>
      </w:pPr>
      <w:r>
        <w:rPr>
          <w:sz w:val="20"/>
        </w:rPr>
        <w:t>Monteiro RC, Van De Winkel JG. IgA Fc receptors. Annu </w:t>
      </w:r>
      <w:r>
        <w:rPr>
          <w:spacing w:val="-3"/>
          <w:sz w:val="20"/>
        </w:rPr>
        <w:t>Rev </w:t>
      </w:r>
      <w:r>
        <w:rPr>
          <w:sz w:val="20"/>
        </w:rPr>
        <w:t>Immunol. 2003; 21:177-204. [Pubmed:</w:t>
      </w:r>
      <w:r>
        <w:rPr>
          <w:spacing w:val="-7"/>
          <w:sz w:val="20"/>
        </w:rPr>
        <w:t> </w:t>
      </w:r>
      <w:r>
        <w:rPr>
          <w:sz w:val="20"/>
        </w:rPr>
        <w:t>12524384]</w:t>
      </w:r>
    </w:p>
    <w:p>
      <w:pPr>
        <w:pStyle w:val="ListParagraph"/>
        <w:numPr>
          <w:ilvl w:val="2"/>
          <w:numId w:val="36"/>
        </w:numPr>
        <w:tabs>
          <w:tab w:pos="917" w:val="left" w:leader="none"/>
        </w:tabs>
        <w:spacing w:line="360" w:lineRule="auto" w:before="8" w:after="0"/>
        <w:ind w:left="917" w:right="274" w:hanging="361"/>
        <w:jc w:val="both"/>
        <w:rPr>
          <w:sz w:val="20"/>
        </w:rPr>
      </w:pPr>
      <w:r>
        <w:rPr>
          <w:sz w:val="20"/>
        </w:rPr>
        <w:t>Bagherian A, Jafarzadeh A, Rezaeian </w:t>
      </w:r>
      <w:r>
        <w:rPr>
          <w:spacing w:val="-3"/>
          <w:sz w:val="20"/>
        </w:rPr>
        <w:t>M, </w:t>
      </w:r>
      <w:r>
        <w:rPr>
          <w:sz w:val="20"/>
        </w:rPr>
        <w:t>Ahmadi </w:t>
      </w:r>
      <w:r>
        <w:rPr>
          <w:spacing w:val="-3"/>
          <w:sz w:val="20"/>
        </w:rPr>
        <w:t>S, </w:t>
      </w:r>
      <w:r>
        <w:rPr>
          <w:sz w:val="20"/>
        </w:rPr>
        <w:t>Rezaity MT. Comparison of the salivary immunoglobulin concentration levels between children with early childhood caries and caries- free children. Iran. J Immunol. 2008; 5(4): 217-221. doi: IJIv5i4A5. [Pubmed:</w:t>
      </w:r>
      <w:r>
        <w:rPr>
          <w:spacing w:val="-28"/>
          <w:sz w:val="20"/>
        </w:rPr>
        <w:t> </w:t>
      </w:r>
      <w:r>
        <w:rPr>
          <w:sz w:val="20"/>
        </w:rPr>
        <w:t>19098366]</w:t>
      </w:r>
    </w:p>
    <w:p>
      <w:pPr>
        <w:pStyle w:val="ListParagraph"/>
        <w:numPr>
          <w:ilvl w:val="2"/>
          <w:numId w:val="36"/>
        </w:numPr>
        <w:tabs>
          <w:tab w:pos="917" w:val="left" w:leader="none"/>
        </w:tabs>
        <w:spacing w:line="360" w:lineRule="auto" w:before="4" w:after="0"/>
        <w:ind w:left="917" w:right="275" w:hanging="361"/>
        <w:jc w:val="both"/>
        <w:rPr>
          <w:sz w:val="20"/>
        </w:rPr>
      </w:pPr>
      <w:r>
        <w:rPr>
          <w:sz w:val="20"/>
        </w:rPr>
        <w:t>Bagherian A, Asadikaram G. Comparison of some salivary characteristics between children with and without early childhood caries. Indian J Dent </w:t>
      </w:r>
      <w:r>
        <w:rPr>
          <w:spacing w:val="-3"/>
          <w:sz w:val="20"/>
        </w:rPr>
        <w:t>Res. </w:t>
      </w:r>
      <w:r>
        <w:rPr>
          <w:sz w:val="20"/>
        </w:rPr>
        <w:t>2012; 23:628-32. doi: 10.4103/0970-9290.107380. [Pubmed:</w:t>
      </w:r>
      <w:r>
        <w:rPr>
          <w:spacing w:val="-18"/>
          <w:sz w:val="20"/>
        </w:rPr>
        <w:t> </w:t>
      </w:r>
      <w:r>
        <w:rPr>
          <w:sz w:val="20"/>
        </w:rPr>
        <w:t>23422609]</w:t>
      </w:r>
    </w:p>
    <w:p>
      <w:pPr>
        <w:pStyle w:val="ListParagraph"/>
        <w:numPr>
          <w:ilvl w:val="2"/>
          <w:numId w:val="36"/>
        </w:numPr>
        <w:tabs>
          <w:tab w:pos="917" w:val="left" w:leader="none"/>
        </w:tabs>
        <w:spacing w:line="360" w:lineRule="auto" w:before="0" w:after="0"/>
        <w:ind w:left="917" w:right="275" w:hanging="361"/>
        <w:jc w:val="both"/>
        <w:rPr>
          <w:sz w:val="20"/>
        </w:rPr>
      </w:pPr>
      <w:r>
        <w:rPr>
          <w:sz w:val="20"/>
        </w:rPr>
        <w:t>Kuriakose S, Sundaresan C, Mathai V, Khosla E, Gaffoor FM. A comparative study of salivary buffering capacity, flow rate, resting pH, and salivary Immunoglobulin A in children with rampant caries and caries-resistant children. J Indian Soc Pedod Prev Dent. 2013; 31:69-73. doi: 10.4103/0970-4388.115697. [Pubmed:</w:t>
      </w:r>
      <w:r>
        <w:rPr>
          <w:spacing w:val="-17"/>
          <w:sz w:val="20"/>
        </w:rPr>
        <w:t> </w:t>
      </w:r>
      <w:r>
        <w:rPr>
          <w:sz w:val="20"/>
        </w:rPr>
        <w:t>23886715]</w:t>
      </w:r>
    </w:p>
    <w:p>
      <w:pPr>
        <w:pStyle w:val="ListParagraph"/>
        <w:numPr>
          <w:ilvl w:val="2"/>
          <w:numId w:val="36"/>
        </w:numPr>
        <w:tabs>
          <w:tab w:pos="917" w:val="left" w:leader="none"/>
        </w:tabs>
        <w:spacing w:line="360" w:lineRule="auto" w:before="4" w:after="0"/>
        <w:ind w:left="917" w:right="272" w:hanging="361"/>
        <w:jc w:val="both"/>
        <w:rPr>
          <w:sz w:val="20"/>
        </w:rPr>
      </w:pPr>
      <w:r>
        <w:rPr>
          <w:sz w:val="20"/>
        </w:rPr>
        <w:t>Güntsch A, Erler </w:t>
      </w:r>
      <w:r>
        <w:rPr>
          <w:spacing w:val="-3"/>
          <w:sz w:val="20"/>
        </w:rPr>
        <w:t>M, </w:t>
      </w:r>
      <w:r>
        <w:rPr>
          <w:sz w:val="20"/>
        </w:rPr>
        <w:t>Preshaw PM, Sigusch BW, Klinger G, Glockmann </w:t>
      </w:r>
      <w:r>
        <w:rPr>
          <w:spacing w:val="-3"/>
          <w:sz w:val="20"/>
        </w:rPr>
        <w:t>E. </w:t>
      </w:r>
      <w:r>
        <w:rPr>
          <w:sz w:val="20"/>
        </w:rPr>
        <w:t>Effect </w:t>
      </w:r>
      <w:r>
        <w:rPr>
          <w:spacing w:val="-4"/>
          <w:sz w:val="20"/>
        </w:rPr>
        <w:t>of </w:t>
      </w:r>
      <w:r>
        <w:rPr>
          <w:sz w:val="20"/>
        </w:rPr>
        <w:t>smoking on crevicular polymorphonuclear neutrophil function in periodontally healthy subjects. J Periodontal </w:t>
      </w:r>
      <w:r>
        <w:rPr>
          <w:spacing w:val="-3"/>
          <w:sz w:val="20"/>
        </w:rPr>
        <w:t>Res. </w:t>
      </w:r>
      <w:r>
        <w:rPr>
          <w:sz w:val="20"/>
        </w:rPr>
        <w:t>2006; 41(3):184-8. [Pubmed:</w:t>
      </w:r>
      <w:r>
        <w:rPr>
          <w:spacing w:val="-2"/>
          <w:sz w:val="20"/>
        </w:rPr>
        <w:t> </w:t>
      </w:r>
      <w:r>
        <w:rPr>
          <w:sz w:val="20"/>
        </w:rPr>
        <w:t>16677286]</w:t>
      </w:r>
    </w:p>
    <w:p>
      <w:pPr>
        <w:pStyle w:val="ListParagraph"/>
        <w:numPr>
          <w:ilvl w:val="2"/>
          <w:numId w:val="36"/>
        </w:numPr>
        <w:tabs>
          <w:tab w:pos="917" w:val="left" w:leader="none"/>
        </w:tabs>
        <w:spacing w:line="357" w:lineRule="auto" w:before="4" w:after="0"/>
        <w:ind w:left="917" w:right="274" w:hanging="361"/>
        <w:jc w:val="both"/>
        <w:rPr>
          <w:sz w:val="20"/>
        </w:rPr>
      </w:pPr>
      <w:r>
        <w:rPr>
          <w:sz w:val="20"/>
        </w:rPr>
        <w:t>Naziruddin B, Duffy BF, Tucker J, Mohanakumar T. Evidence for cross-regulation </w:t>
      </w:r>
      <w:r>
        <w:rPr>
          <w:spacing w:val="-4"/>
          <w:sz w:val="20"/>
        </w:rPr>
        <w:t>of  </w:t>
      </w:r>
      <w:r>
        <w:rPr>
          <w:sz w:val="20"/>
        </w:rPr>
        <w:t>Fc  gamma RIIIB (CD16) receptor-mediated signaling by Fc gamma </w:t>
      </w:r>
      <w:r>
        <w:rPr>
          <w:spacing w:val="-2"/>
          <w:sz w:val="20"/>
        </w:rPr>
        <w:t>RII </w:t>
      </w:r>
      <w:r>
        <w:rPr>
          <w:sz w:val="20"/>
        </w:rPr>
        <w:t>(CD32) </w:t>
      </w:r>
      <w:r>
        <w:rPr>
          <w:spacing w:val="-3"/>
          <w:sz w:val="20"/>
        </w:rPr>
        <w:t>expressed </w:t>
      </w:r>
      <w:r>
        <w:rPr>
          <w:sz w:val="20"/>
        </w:rPr>
        <w:t>on polymorphonuclear neutrophils. J Immunol. 1992; 149(11):3702-9. [Pubmed:</w:t>
      </w:r>
      <w:r>
        <w:rPr>
          <w:spacing w:val="-24"/>
          <w:sz w:val="20"/>
        </w:rPr>
        <w:t> </w:t>
      </w:r>
      <w:r>
        <w:rPr>
          <w:sz w:val="20"/>
        </w:rPr>
        <w:t>1431142]</w:t>
      </w:r>
    </w:p>
    <w:p>
      <w:pPr>
        <w:pStyle w:val="ListParagraph"/>
        <w:numPr>
          <w:ilvl w:val="2"/>
          <w:numId w:val="36"/>
        </w:numPr>
        <w:tabs>
          <w:tab w:pos="917" w:val="left" w:leader="none"/>
        </w:tabs>
        <w:spacing w:line="360" w:lineRule="auto" w:before="6" w:after="0"/>
        <w:ind w:left="917" w:right="274" w:hanging="361"/>
        <w:jc w:val="both"/>
        <w:rPr>
          <w:sz w:val="20"/>
        </w:rPr>
      </w:pPr>
      <w:r>
        <w:rPr>
          <w:sz w:val="20"/>
        </w:rPr>
        <w:t>Vidović </w:t>
      </w:r>
      <w:r>
        <w:rPr>
          <w:spacing w:val="-3"/>
          <w:sz w:val="20"/>
        </w:rPr>
        <w:t>A, </w:t>
      </w:r>
      <w:r>
        <w:rPr>
          <w:sz w:val="20"/>
        </w:rPr>
        <w:t>Vidović Juras D, Vučićević Boras V, Lukač J, Grubišić-Ilić M, Rak D, et al. Determination </w:t>
      </w:r>
      <w:r>
        <w:rPr>
          <w:spacing w:val="-4"/>
          <w:sz w:val="20"/>
        </w:rPr>
        <w:t>of </w:t>
      </w:r>
      <w:r>
        <w:rPr>
          <w:sz w:val="20"/>
        </w:rPr>
        <w:t>leucocyte subsets in human saliva </w:t>
      </w:r>
      <w:r>
        <w:rPr>
          <w:spacing w:val="-4"/>
          <w:sz w:val="20"/>
        </w:rPr>
        <w:t>by </w:t>
      </w:r>
      <w:r>
        <w:rPr>
          <w:sz w:val="20"/>
        </w:rPr>
        <w:t>flow cytometry. Arch Oral Biol. 2012; 57(5):577-83. doi: 10.1016/j.archoralbio.2011.10.015. [Pubmed:</w:t>
      </w:r>
      <w:r>
        <w:rPr>
          <w:spacing w:val="-25"/>
          <w:sz w:val="20"/>
        </w:rPr>
        <w:t> </w:t>
      </w:r>
      <w:r>
        <w:rPr>
          <w:sz w:val="20"/>
        </w:rPr>
        <w:t>22118990]</w:t>
      </w:r>
    </w:p>
    <w:p>
      <w:pPr>
        <w:spacing w:after="0" w:line="360" w:lineRule="auto"/>
        <w:jc w:val="both"/>
        <w:rPr>
          <w:sz w:val="20"/>
        </w:rPr>
        <w:sectPr>
          <w:pgSz w:w="12240" w:h="15840"/>
          <w:pgMar w:header="726" w:footer="1031" w:top="1340" w:bottom="1220" w:left="1220" w:right="1420"/>
        </w:sectPr>
      </w:pPr>
    </w:p>
    <w:p>
      <w:pPr>
        <w:pStyle w:val="BodyText"/>
        <w:spacing w:before="7"/>
        <w:rPr>
          <w:sz w:val="22"/>
        </w:rPr>
      </w:pPr>
    </w:p>
    <w:p>
      <w:pPr>
        <w:pStyle w:val="ListParagraph"/>
        <w:numPr>
          <w:ilvl w:val="2"/>
          <w:numId w:val="36"/>
        </w:numPr>
        <w:tabs>
          <w:tab w:pos="917" w:val="left" w:leader="none"/>
        </w:tabs>
        <w:spacing w:line="360" w:lineRule="auto" w:before="76" w:after="0"/>
        <w:ind w:left="917" w:right="276" w:hanging="361"/>
        <w:jc w:val="both"/>
        <w:rPr>
          <w:sz w:val="20"/>
        </w:rPr>
      </w:pPr>
      <w:r>
        <w:rPr>
          <w:sz w:val="20"/>
        </w:rPr>
        <w:t>Lakschevitz FS, Aboodi GM, Glogauer M. Oral neutrophil transcriptome changes result in a pro-survival phenotype in periodontal diseases. PLoS One. 2013; 8(7):e68983. doi: 10.1371/journal.pone.0068983. In print. [Pubmed:</w:t>
      </w:r>
      <w:r>
        <w:rPr>
          <w:spacing w:val="1"/>
          <w:sz w:val="20"/>
        </w:rPr>
        <w:t> </w:t>
      </w:r>
      <w:r>
        <w:rPr>
          <w:spacing w:val="-3"/>
          <w:sz w:val="20"/>
        </w:rPr>
        <w:t>23874838]</w:t>
      </w:r>
    </w:p>
    <w:p>
      <w:pPr>
        <w:pStyle w:val="ListParagraph"/>
        <w:numPr>
          <w:ilvl w:val="2"/>
          <w:numId w:val="36"/>
        </w:numPr>
        <w:tabs>
          <w:tab w:pos="917" w:val="left" w:leader="none"/>
        </w:tabs>
        <w:spacing w:line="360" w:lineRule="auto" w:before="4" w:after="0"/>
        <w:ind w:left="917" w:right="273" w:hanging="361"/>
        <w:jc w:val="both"/>
        <w:rPr>
          <w:sz w:val="20"/>
        </w:rPr>
      </w:pPr>
      <w:r>
        <w:rPr>
          <w:sz w:val="20"/>
        </w:rPr>
        <w:t>Asif </w:t>
      </w:r>
      <w:r>
        <w:rPr>
          <w:spacing w:val="-3"/>
          <w:sz w:val="20"/>
        </w:rPr>
        <w:t>K, </w:t>
      </w:r>
      <w:r>
        <w:rPr>
          <w:sz w:val="20"/>
        </w:rPr>
        <w:t>Kothiwale SV. Phagocytic activity </w:t>
      </w:r>
      <w:r>
        <w:rPr>
          <w:spacing w:val="-4"/>
          <w:sz w:val="20"/>
        </w:rPr>
        <w:t>of </w:t>
      </w:r>
      <w:r>
        <w:rPr>
          <w:sz w:val="20"/>
        </w:rPr>
        <w:t>peripheral blood and crevicular phagocytes in health and periodontal disease. J Indian Soc Periodontol. 2010; 14(1):8-11. doi: 10.4103/0972- 124X.65427. [Pubmed:</w:t>
      </w:r>
      <w:r>
        <w:rPr>
          <w:spacing w:val="-11"/>
          <w:sz w:val="20"/>
        </w:rPr>
        <w:t> </w:t>
      </w:r>
      <w:r>
        <w:rPr>
          <w:sz w:val="20"/>
        </w:rPr>
        <w:t>20922072]</w:t>
      </w:r>
    </w:p>
    <w:p>
      <w:pPr>
        <w:pStyle w:val="ListParagraph"/>
        <w:numPr>
          <w:ilvl w:val="2"/>
          <w:numId w:val="36"/>
        </w:numPr>
        <w:tabs>
          <w:tab w:pos="917" w:val="left" w:leader="none"/>
        </w:tabs>
        <w:spacing w:line="355" w:lineRule="auto" w:before="4" w:after="0"/>
        <w:ind w:left="917" w:right="272" w:hanging="361"/>
        <w:jc w:val="both"/>
        <w:rPr>
          <w:sz w:val="20"/>
        </w:rPr>
      </w:pPr>
      <w:r>
        <w:rPr>
          <w:sz w:val="20"/>
        </w:rPr>
        <w:t>Belperron AA, Bockenstedt </w:t>
      </w:r>
      <w:r>
        <w:rPr>
          <w:spacing w:val="-3"/>
          <w:sz w:val="20"/>
        </w:rPr>
        <w:t>LK. </w:t>
      </w:r>
      <w:r>
        <w:rPr>
          <w:sz w:val="20"/>
        </w:rPr>
        <w:t>Natural antibody affects survival </w:t>
      </w:r>
      <w:r>
        <w:rPr>
          <w:spacing w:val="-4"/>
          <w:sz w:val="20"/>
        </w:rPr>
        <w:t>of </w:t>
      </w:r>
      <w:r>
        <w:rPr>
          <w:sz w:val="20"/>
        </w:rPr>
        <w:t>the spirochete Borrelia burgdorferi within feeding ticks. Infect Immun. 2001; 69(10):6456-62. [Pubmed:</w:t>
      </w:r>
      <w:r>
        <w:rPr>
          <w:spacing w:val="-25"/>
          <w:sz w:val="20"/>
        </w:rPr>
        <w:t> </w:t>
      </w:r>
      <w:r>
        <w:rPr>
          <w:sz w:val="20"/>
        </w:rPr>
        <w:t>11553590]</w:t>
      </w:r>
    </w:p>
    <w:p>
      <w:pPr>
        <w:pStyle w:val="ListParagraph"/>
        <w:numPr>
          <w:ilvl w:val="2"/>
          <w:numId w:val="36"/>
        </w:numPr>
        <w:tabs>
          <w:tab w:pos="917" w:val="left" w:leader="none"/>
        </w:tabs>
        <w:spacing w:line="360" w:lineRule="auto" w:before="8" w:after="0"/>
        <w:ind w:left="917" w:right="273" w:hanging="361"/>
        <w:jc w:val="both"/>
        <w:rPr>
          <w:sz w:val="20"/>
        </w:rPr>
      </w:pPr>
      <w:r>
        <w:rPr>
          <w:sz w:val="20"/>
        </w:rPr>
        <w:t>Baumgarth N, Herman OC, Jager GC, Brown LE, Herzenberg LA, Chen J. B-1 and B-2 cell- derived immunoglobulin M antibodies are nonredundant components of the proactive </w:t>
      </w:r>
      <w:r>
        <w:rPr>
          <w:spacing w:val="-3"/>
          <w:sz w:val="20"/>
        </w:rPr>
        <w:t>response </w:t>
      </w:r>
      <w:r>
        <w:rPr>
          <w:sz w:val="20"/>
        </w:rPr>
        <w:t>to influenza virus infection. J Exp Med. 2000; 192(2):271-80. [Pubmed:</w:t>
      </w:r>
      <w:r>
        <w:rPr>
          <w:spacing w:val="-26"/>
          <w:sz w:val="20"/>
        </w:rPr>
        <w:t> </w:t>
      </w:r>
      <w:r>
        <w:rPr>
          <w:sz w:val="20"/>
        </w:rPr>
        <w:t>10899913]</w:t>
      </w:r>
    </w:p>
    <w:p>
      <w:pPr>
        <w:pStyle w:val="ListParagraph"/>
        <w:numPr>
          <w:ilvl w:val="2"/>
          <w:numId w:val="36"/>
        </w:numPr>
        <w:tabs>
          <w:tab w:pos="917" w:val="left" w:leader="none"/>
        </w:tabs>
        <w:spacing w:line="360" w:lineRule="auto" w:before="4" w:after="0"/>
        <w:ind w:left="917" w:right="279" w:hanging="361"/>
        <w:jc w:val="both"/>
        <w:rPr>
          <w:sz w:val="20"/>
        </w:rPr>
      </w:pPr>
      <w:r>
        <w:rPr>
          <w:sz w:val="20"/>
        </w:rPr>
        <w:t>Lee PD, Sladek R, Greenwood CM, </w:t>
      </w:r>
      <w:r>
        <w:rPr>
          <w:spacing w:val="-3"/>
          <w:sz w:val="20"/>
        </w:rPr>
        <w:t>Hudson </w:t>
      </w:r>
      <w:r>
        <w:rPr>
          <w:sz w:val="20"/>
        </w:rPr>
        <w:t>TJ. Control genes and variability: absence of ubiquitous reference transcripts in diverse mammalian expression studies. Genome Research. 2002; 12: 292-297. [Pubmed:</w:t>
      </w:r>
      <w:r>
        <w:rPr>
          <w:spacing w:val="-15"/>
          <w:sz w:val="20"/>
        </w:rPr>
        <w:t> </w:t>
      </w:r>
      <w:r>
        <w:rPr>
          <w:sz w:val="20"/>
        </w:rPr>
        <w:t>11827948]</w:t>
      </w:r>
    </w:p>
    <w:p>
      <w:pPr>
        <w:spacing w:after="0" w:line="360" w:lineRule="auto"/>
        <w:jc w:val="both"/>
        <w:rPr>
          <w:sz w:val="20"/>
        </w:rPr>
        <w:sectPr>
          <w:pgSz w:w="12240" w:h="15840"/>
          <w:pgMar w:header="726" w:footer="1031" w:top="1340" w:bottom="1220" w:left="1220" w:right="1420"/>
        </w:sectPr>
      </w:pPr>
    </w:p>
    <w:p>
      <w:pPr>
        <w:pStyle w:val="BodyText"/>
        <w:spacing w:before="4"/>
        <w:rPr>
          <w:sz w:val="22"/>
        </w:rPr>
      </w:pPr>
    </w:p>
    <w:p>
      <w:pPr>
        <w:pStyle w:val="Heading2"/>
        <w:numPr>
          <w:ilvl w:val="0"/>
          <w:numId w:val="37"/>
        </w:numPr>
        <w:tabs>
          <w:tab w:pos="624" w:val="left" w:leader="none"/>
        </w:tabs>
        <w:spacing w:line="240" w:lineRule="auto" w:before="70" w:after="0"/>
        <w:ind w:left="623" w:right="0" w:hanging="360"/>
        <w:jc w:val="both"/>
      </w:pPr>
      <w:bookmarkStart w:name="_TOC_250011" w:id="55"/>
      <w:r>
        <w:rPr/>
        <w:t>Descripción general de los</w:t>
      </w:r>
      <w:r>
        <w:rPr>
          <w:spacing w:val="-19"/>
        </w:rPr>
        <w:t> </w:t>
      </w:r>
      <w:bookmarkEnd w:id="55"/>
      <w:r>
        <w:rPr/>
        <w:t>resultados</w:t>
      </w:r>
    </w:p>
    <w:p>
      <w:pPr>
        <w:pStyle w:val="BodyText"/>
        <w:spacing w:before="11"/>
        <w:rPr>
          <w:b/>
          <w:sz w:val="21"/>
        </w:rPr>
      </w:pPr>
    </w:p>
    <w:p>
      <w:pPr>
        <w:pStyle w:val="BodyText"/>
        <w:spacing w:line="360" w:lineRule="auto"/>
        <w:ind w:left="258" w:right="276"/>
        <w:jc w:val="both"/>
      </w:pPr>
      <w:r>
        <w:rPr/>
        <w:t>Al inicio del estudio se contó una </w:t>
      </w:r>
      <w:r>
        <w:rPr>
          <w:i/>
        </w:rPr>
        <w:t>n </w:t>
      </w:r>
      <w:r>
        <w:rPr/>
        <w:t>de 100 sujetos para la conformación de dos conglomerados: 50 en el grupo de dentición mixta, y 50 en el grupo de dentición permanente. Al final la </w:t>
      </w:r>
      <w:r>
        <w:rPr>
          <w:i/>
        </w:rPr>
        <w:t>n </w:t>
      </w:r>
      <w:r>
        <w:rPr/>
        <w:t>no se modificó.</w:t>
      </w:r>
    </w:p>
    <w:p>
      <w:pPr>
        <w:pStyle w:val="BodyText"/>
        <w:spacing w:line="357" w:lineRule="auto" w:before="209"/>
        <w:ind w:left="196" w:right="284"/>
        <w:jc w:val="both"/>
      </w:pPr>
      <w:r>
        <w:rPr/>
        <w:t>Se ejecutó la aplicación de un instrumento de recolección de datos diseñado para obtener información acerca de las características sociodemográficas, los hábitos higiénico-dietéticos, la desmineralización dental y el reporte de la expresión génica  de las inmunoglobulinas de</w:t>
      </w:r>
      <w:r>
        <w:rPr>
          <w:spacing w:val="-13"/>
        </w:rPr>
        <w:t> </w:t>
      </w:r>
      <w:r>
        <w:rPr/>
        <w:t>estudio.</w:t>
      </w:r>
    </w:p>
    <w:p>
      <w:pPr>
        <w:pStyle w:val="ListParagraph"/>
        <w:numPr>
          <w:ilvl w:val="1"/>
          <w:numId w:val="37"/>
        </w:numPr>
        <w:tabs>
          <w:tab w:pos="916" w:val="left" w:leader="none"/>
          <w:tab w:pos="917" w:val="left" w:leader="none"/>
        </w:tabs>
        <w:spacing w:line="240" w:lineRule="auto" w:before="210" w:after="0"/>
        <w:ind w:left="917" w:right="0" w:hanging="361"/>
        <w:jc w:val="left"/>
        <w:rPr>
          <w:sz w:val="24"/>
        </w:rPr>
      </w:pPr>
      <w:r>
        <w:rPr>
          <w:sz w:val="24"/>
        </w:rPr>
        <w:t>Características</w:t>
      </w:r>
      <w:r>
        <w:rPr>
          <w:spacing w:val="-12"/>
          <w:sz w:val="24"/>
        </w:rPr>
        <w:t> </w:t>
      </w:r>
      <w:r>
        <w:rPr>
          <w:sz w:val="24"/>
        </w:rPr>
        <w:t>sociodemográficas</w:t>
      </w:r>
    </w:p>
    <w:p>
      <w:pPr>
        <w:pStyle w:val="BodyText"/>
        <w:spacing w:before="3"/>
        <w:rPr>
          <w:sz w:val="29"/>
        </w:rPr>
      </w:pPr>
    </w:p>
    <w:p>
      <w:pPr>
        <w:pStyle w:val="BodyText"/>
        <w:spacing w:line="360" w:lineRule="auto"/>
        <w:ind w:left="196" w:right="278"/>
        <w:jc w:val="both"/>
      </w:pPr>
      <w:r>
        <w:rPr/>
        <w:t>En el grupo de dentición mixta fue predominante el sexo femenino (60%), el estado civil soltero (100%), la escolaridad primaria (100%) y la ocupación estudiante (100%). La edad promedio de este grupo fue de 9.54 años (Tabla 1).</w:t>
      </w:r>
    </w:p>
    <w:p>
      <w:pPr>
        <w:pStyle w:val="BodyText"/>
        <w:spacing w:line="357" w:lineRule="auto" w:before="209"/>
        <w:ind w:left="196" w:right="290"/>
        <w:jc w:val="both"/>
      </w:pPr>
      <w:r>
        <w:rPr/>
        <w:t>En el grupo de dentición permanente fue predominante el sexo femenino (58%), el estado civil soltero (92%), la escolaridad licenciatura (86%) y la ocupación estudiante (72%). La edad promedio de este grupo fue de 22.98 años (Tabla 1).</w:t>
      </w:r>
    </w:p>
    <w:p>
      <w:pPr>
        <w:pStyle w:val="ListParagraph"/>
        <w:numPr>
          <w:ilvl w:val="1"/>
          <w:numId w:val="37"/>
        </w:numPr>
        <w:tabs>
          <w:tab w:pos="916" w:val="left" w:leader="none"/>
          <w:tab w:pos="917" w:val="left" w:leader="none"/>
        </w:tabs>
        <w:spacing w:line="240" w:lineRule="auto" w:before="210" w:after="0"/>
        <w:ind w:left="917" w:right="0" w:hanging="361"/>
        <w:jc w:val="left"/>
        <w:rPr>
          <w:sz w:val="24"/>
        </w:rPr>
      </w:pPr>
      <w:r>
        <w:rPr>
          <w:sz w:val="24"/>
        </w:rPr>
        <w:t>Hábitos</w:t>
      </w:r>
      <w:r>
        <w:rPr>
          <w:spacing w:val="-1"/>
          <w:sz w:val="24"/>
        </w:rPr>
        <w:t> </w:t>
      </w:r>
      <w:r>
        <w:rPr>
          <w:sz w:val="24"/>
        </w:rPr>
        <w:t>higiénico-dietéticos</w:t>
      </w:r>
    </w:p>
    <w:p>
      <w:pPr>
        <w:pStyle w:val="BodyText"/>
        <w:spacing w:before="7"/>
        <w:rPr>
          <w:sz w:val="29"/>
        </w:rPr>
      </w:pPr>
    </w:p>
    <w:p>
      <w:pPr>
        <w:pStyle w:val="BodyText"/>
        <w:spacing w:line="360" w:lineRule="auto" w:before="1"/>
        <w:ind w:left="196" w:right="274"/>
        <w:jc w:val="both"/>
      </w:pPr>
      <w:r>
        <w:rPr/>
        <w:t>El grupo de dentición mixta reportó realizar el cepillado dental después del consumo de alimentos (100%), con una ejecución de dos veces al día (58%), no utilizando auxiliares de higiene (80%), y en caso de hacerlo se ocupa el hilo dental (10%), además de realizar el cambio del cepillo dental cada tres meses (38%). El número de comidas al día en promedio fue de 2.70, con un consumo de alimentos nutritivos   de</w:t>
      </w:r>
    </w:p>
    <w:p>
      <w:pPr>
        <w:pStyle w:val="ListParagraph"/>
        <w:numPr>
          <w:ilvl w:val="1"/>
          <w:numId w:val="38"/>
        </w:numPr>
        <w:tabs>
          <w:tab w:pos="739" w:val="left" w:leader="none"/>
        </w:tabs>
        <w:spacing w:line="357" w:lineRule="auto" w:before="2" w:after="0"/>
        <w:ind w:left="196" w:right="274" w:firstLine="0"/>
        <w:jc w:val="both"/>
        <w:rPr>
          <w:sz w:val="24"/>
        </w:rPr>
      </w:pPr>
      <w:r>
        <w:rPr>
          <w:sz w:val="24"/>
        </w:rPr>
        <w:t>y de alimentos no nutritivos de 1.19, ambos con contenido de azúcar; el número de alimentos no nutritivos con contenido de azúcar consumidos antes de dormir fue de 0.30 (Tabla</w:t>
      </w:r>
      <w:r>
        <w:rPr>
          <w:spacing w:val="-4"/>
          <w:sz w:val="24"/>
        </w:rPr>
        <w:t> </w:t>
      </w:r>
      <w:r>
        <w:rPr>
          <w:sz w:val="24"/>
        </w:rPr>
        <w:t>1).</w:t>
      </w:r>
    </w:p>
    <w:p>
      <w:pPr>
        <w:pStyle w:val="BodyText"/>
        <w:spacing w:line="360" w:lineRule="auto" w:before="212"/>
        <w:ind w:left="196" w:right="277"/>
        <w:jc w:val="both"/>
      </w:pPr>
      <w:r>
        <w:rPr/>
        <w:t>El grupo de dentición permanente reportó realizar el cepillado dental después del consumo de alimentos (98%), ejecutándolo dos veces al día (60%), se utilizan auxiliares de higiene (84%), como el  enjuague bucal  (58%), además  de realizar    el</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0" w:lineRule="auto" w:before="69"/>
        <w:ind w:left="196" w:right="274"/>
        <w:jc w:val="both"/>
      </w:pPr>
      <w:r>
        <w:rPr/>
        <w:t>cambio de cepillo dental cada tres meses (46%). El número de comidas al día en promedio fue de 2.78, con un consumo de alimentos nutritivos de 1.46 y de alimentos no nutritivos de 1.73, ambos con contenido de azúcar; el número de alimentos no nutritivos con contenido de azúcar consumidos antes de dormir fue de 0.23 (Tabla 1).</w:t>
      </w:r>
    </w:p>
    <w:p>
      <w:pPr>
        <w:pStyle w:val="BodyText"/>
        <w:spacing w:line="357" w:lineRule="auto" w:before="209"/>
        <w:ind w:left="196" w:right="275"/>
        <w:jc w:val="both"/>
      </w:pPr>
      <w:r>
        <w:rPr/>
        <w:t>Las diferencias estadísticamente significativas entre los grupos de estudio se presentaron en la edad (p=0.000) y el consumo de alimentos no nutritivos con contenido de azúcar (p=0.022) (Tabla 1).</w:t>
      </w:r>
    </w:p>
    <w:p>
      <w:pPr>
        <w:pStyle w:val="ListParagraph"/>
        <w:numPr>
          <w:ilvl w:val="2"/>
          <w:numId w:val="38"/>
        </w:numPr>
        <w:tabs>
          <w:tab w:pos="916" w:val="left" w:leader="none"/>
          <w:tab w:pos="917" w:val="left" w:leader="none"/>
        </w:tabs>
        <w:spacing w:line="240" w:lineRule="auto" w:before="210" w:after="0"/>
        <w:ind w:left="917" w:right="0" w:hanging="361"/>
        <w:jc w:val="left"/>
        <w:rPr>
          <w:sz w:val="24"/>
        </w:rPr>
      </w:pPr>
      <w:r>
        <w:rPr>
          <w:sz w:val="24"/>
        </w:rPr>
        <w:t>Desmineralización dental</w:t>
      </w:r>
      <w:r>
        <w:rPr>
          <w:spacing w:val="-8"/>
          <w:sz w:val="24"/>
        </w:rPr>
        <w:t> </w:t>
      </w:r>
      <w:r>
        <w:rPr>
          <w:sz w:val="24"/>
        </w:rPr>
        <w:t>(caries)</w:t>
      </w:r>
    </w:p>
    <w:p>
      <w:pPr>
        <w:pStyle w:val="BodyText"/>
        <w:spacing w:before="8"/>
        <w:rPr>
          <w:sz w:val="29"/>
        </w:rPr>
      </w:pPr>
    </w:p>
    <w:p>
      <w:pPr>
        <w:pStyle w:val="BodyText"/>
        <w:spacing w:line="357" w:lineRule="auto"/>
        <w:ind w:left="196" w:right="274"/>
        <w:jc w:val="both"/>
      </w:pPr>
      <w:r>
        <w:rPr/>
        <w:t>En el grupo de dentición mixta se encontró una desmineralización promedio en el cuadrante superior derecho de 12.52, en el cuadrante superior izquierdo de 12.34, en el cuadrante inferior derecho de 13.01, y en el cuadrante inferior izquierdo de 13.82. La desmineralización general promedio fue de 12.91 (Tabla 2).</w:t>
      </w:r>
    </w:p>
    <w:p>
      <w:pPr>
        <w:pStyle w:val="BodyText"/>
        <w:spacing w:line="362" w:lineRule="auto" w:before="212"/>
        <w:ind w:left="196" w:right="278"/>
        <w:jc w:val="both"/>
      </w:pPr>
      <w:r>
        <w:rPr/>
        <w:t>En el grupo de dentición permanente se encontró una desmineralización promedio en el cuadrante superior derecho de 6.32, en el cuadrante superior izquierdo de 10.59, en el cuadrante inferior derecho de 11.07, y en el cuadrante inferior izquierdo de</w:t>
      </w:r>
    </w:p>
    <w:p>
      <w:pPr>
        <w:pStyle w:val="ListParagraph"/>
        <w:numPr>
          <w:ilvl w:val="1"/>
          <w:numId w:val="39"/>
        </w:numPr>
        <w:tabs>
          <w:tab w:pos="935" w:val="left" w:leader="none"/>
        </w:tabs>
        <w:spacing w:line="271" w:lineRule="exact" w:before="0" w:after="0"/>
        <w:ind w:left="934" w:right="0" w:hanging="738"/>
        <w:jc w:val="both"/>
        <w:rPr>
          <w:sz w:val="24"/>
        </w:rPr>
      </w:pPr>
      <w:r>
        <w:rPr>
          <w:sz w:val="24"/>
        </w:rPr>
        <w:t>La desmineralización general promedio fue de 9.69 (Tabla</w:t>
      </w:r>
      <w:r>
        <w:rPr>
          <w:spacing w:val="-16"/>
          <w:sz w:val="24"/>
        </w:rPr>
        <w:t> </w:t>
      </w:r>
      <w:r>
        <w:rPr>
          <w:sz w:val="24"/>
        </w:rPr>
        <w:t>2).</w:t>
      </w:r>
    </w:p>
    <w:p>
      <w:pPr>
        <w:pStyle w:val="BodyText"/>
        <w:spacing w:before="9"/>
        <w:rPr>
          <w:sz w:val="29"/>
        </w:rPr>
      </w:pPr>
    </w:p>
    <w:p>
      <w:pPr>
        <w:pStyle w:val="BodyText"/>
        <w:spacing w:line="360" w:lineRule="auto"/>
        <w:ind w:left="196" w:right="277"/>
        <w:jc w:val="both"/>
      </w:pPr>
      <w:r>
        <w:rPr/>
        <w:t>Las diferencias estadísticamente significativas entre los grupos de estudio se presentaron en la desmineralización del cuadrante superior derecho (p=0.000), del cuadrante inferior izquierdo (p=0.034), y desmineralización general promedio (p=0.001), siendo siempre mayor la desmineralización en la dentición mixta. (Tabla 2).</w:t>
      </w:r>
    </w:p>
    <w:p>
      <w:pPr>
        <w:pStyle w:val="ListParagraph"/>
        <w:numPr>
          <w:ilvl w:val="2"/>
          <w:numId w:val="39"/>
        </w:numPr>
        <w:tabs>
          <w:tab w:pos="916" w:val="left" w:leader="none"/>
          <w:tab w:pos="917" w:val="left" w:leader="none"/>
        </w:tabs>
        <w:spacing w:line="240" w:lineRule="auto" w:before="207" w:after="0"/>
        <w:ind w:left="917" w:right="0" w:hanging="361"/>
        <w:jc w:val="left"/>
        <w:rPr>
          <w:sz w:val="24"/>
        </w:rPr>
      </w:pPr>
      <w:r>
        <w:rPr>
          <w:sz w:val="24"/>
        </w:rPr>
        <w:t>Reporte de la expresión génica de Fc</w:t>
      </w:r>
      <w:r>
        <w:rPr>
          <w:rFonts w:ascii="Symbol" w:hAnsi="Symbol"/>
          <w:sz w:val="24"/>
        </w:rPr>
        <w:t></w:t>
      </w:r>
      <w:r>
        <w:rPr>
          <w:sz w:val="24"/>
        </w:rPr>
        <w:t>R, Fc</w:t>
      </w:r>
      <w:r>
        <w:rPr>
          <w:rFonts w:ascii="Symbol" w:hAnsi="Symbol"/>
          <w:sz w:val="24"/>
        </w:rPr>
        <w:t></w:t>
      </w:r>
      <w:r>
        <w:rPr>
          <w:sz w:val="24"/>
        </w:rPr>
        <w:t>RIIB, and</w:t>
      </w:r>
      <w:r>
        <w:rPr>
          <w:spacing w:val="-16"/>
          <w:sz w:val="24"/>
        </w:rPr>
        <w:t> </w:t>
      </w:r>
      <w:r>
        <w:rPr>
          <w:sz w:val="24"/>
        </w:rPr>
        <w:t>Fc</w:t>
      </w:r>
      <w:r>
        <w:rPr>
          <w:rFonts w:ascii="Symbol" w:hAnsi="Symbol"/>
          <w:sz w:val="24"/>
        </w:rPr>
        <w:t></w:t>
      </w:r>
      <w:r>
        <w:rPr>
          <w:sz w:val="24"/>
        </w:rPr>
        <w:t>R</w:t>
      </w:r>
    </w:p>
    <w:p>
      <w:pPr>
        <w:pStyle w:val="BodyText"/>
        <w:spacing w:before="1"/>
        <w:rPr>
          <w:sz w:val="30"/>
        </w:rPr>
      </w:pPr>
    </w:p>
    <w:p>
      <w:pPr>
        <w:pStyle w:val="BodyText"/>
        <w:spacing w:line="360" w:lineRule="auto"/>
        <w:ind w:left="196" w:right="275"/>
        <w:jc w:val="both"/>
      </w:pPr>
      <w:r>
        <w:rPr/>
        <w:t>En ambos grupos de estudio se calcularon las unidades relativas  de  expresión génica de Fc</w:t>
      </w:r>
      <w:r>
        <w:rPr>
          <w:rFonts w:ascii="Symbol" w:hAnsi="Symbol"/>
        </w:rPr>
        <w:t></w:t>
      </w:r>
      <w:r>
        <w:rPr/>
        <w:t>R, Fc</w:t>
      </w:r>
      <w:r>
        <w:rPr>
          <w:rFonts w:ascii="Symbol" w:hAnsi="Symbol"/>
        </w:rPr>
        <w:t></w:t>
      </w:r>
      <w:r>
        <w:rPr/>
        <w:t>RIIB, and Fc</w:t>
      </w:r>
      <w:r>
        <w:rPr>
          <w:rFonts w:ascii="Symbol" w:hAnsi="Symbol"/>
        </w:rPr>
        <w:t></w:t>
      </w:r>
      <w:r>
        <w:rPr/>
        <w:t>R; observándose que todas las muestras presentaron expresión génica Fc</w:t>
      </w:r>
      <w:r>
        <w:rPr>
          <w:rFonts w:ascii="Symbol" w:hAnsi="Symbol"/>
        </w:rPr>
        <w:t></w:t>
      </w:r>
      <w:r>
        <w:rPr/>
        <w:t>R; mientras que Fc</w:t>
      </w:r>
      <w:r>
        <w:rPr>
          <w:rFonts w:ascii="Symbol" w:hAnsi="Symbol"/>
        </w:rPr>
        <w:t></w:t>
      </w:r>
      <w:r>
        <w:rPr/>
        <w:t>RIIB y Fc</w:t>
      </w:r>
      <w:r>
        <w:rPr>
          <w:rFonts w:ascii="Symbol" w:hAnsi="Symbol"/>
        </w:rPr>
        <w:t></w:t>
      </w:r>
      <w:r>
        <w:rPr/>
        <w:t>R solo se expresaron en algunas (Tabla3).</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2" w:lineRule="auto" w:before="69"/>
        <w:ind w:left="196" w:right="285"/>
        <w:jc w:val="both"/>
      </w:pPr>
      <w:r>
        <w:rPr/>
        <w:t>Las diferencias estadísticamente significativas entre los grupos de estudio se encontraron en Fc</w:t>
      </w:r>
      <w:r>
        <w:rPr>
          <w:rFonts w:ascii="Symbol" w:hAnsi="Symbol"/>
        </w:rPr>
        <w:t></w:t>
      </w:r>
      <w:r>
        <w:rPr/>
        <w:t>RIIB (p=0.025), siendo mayor la expresión en la dentición permanente; Fc</w:t>
      </w:r>
      <w:r>
        <w:rPr>
          <w:rFonts w:ascii="Symbol" w:hAnsi="Symbol"/>
        </w:rPr>
        <w:t></w:t>
      </w:r>
      <w:r>
        <w:rPr/>
        <w:t>R y Fc</w:t>
      </w:r>
      <w:r>
        <w:rPr>
          <w:rFonts w:ascii="Symbol" w:hAnsi="Symbol"/>
        </w:rPr>
        <w:t></w:t>
      </w:r>
      <w:r>
        <w:rPr/>
        <w:t>R no presentaron diferencias significativas (Tabla 4).</w:t>
      </w:r>
    </w:p>
    <w:p>
      <w:pPr>
        <w:pStyle w:val="BodyText"/>
        <w:spacing w:line="357" w:lineRule="auto" w:before="196"/>
        <w:ind w:left="196" w:right="281"/>
        <w:jc w:val="both"/>
      </w:pPr>
      <w:r>
        <w:rPr/>
        <w:t>Los datos de la Regresión Lineal Múltiple para conocer la asociación entre la caries y la expresión génica Fc</w:t>
      </w:r>
      <w:r>
        <w:rPr>
          <w:rFonts w:ascii="Symbol" w:hAnsi="Symbol"/>
        </w:rPr>
        <w:t></w:t>
      </w:r>
      <w:r>
        <w:rPr/>
        <w:t>R, Fc</w:t>
      </w:r>
      <w:r>
        <w:rPr>
          <w:rFonts w:ascii="Symbol" w:hAnsi="Symbol"/>
        </w:rPr>
        <w:t></w:t>
      </w:r>
      <w:r>
        <w:rPr/>
        <w:t>RIIB, and Fc</w:t>
      </w:r>
      <w:r>
        <w:rPr>
          <w:rFonts w:ascii="Symbol" w:hAnsi="Symbol"/>
        </w:rPr>
        <w:t></w:t>
      </w:r>
      <w:r>
        <w:rPr/>
        <w:t>R, muestran que no existió asociación significativa entre dichas variables, tanto para la dentición mixta como para la dentición permanente (Tabla 5).</w:t>
      </w:r>
    </w:p>
    <w:p>
      <w:pPr>
        <w:spacing w:after="0" w:line="357" w:lineRule="auto"/>
        <w:jc w:val="both"/>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34"/>
        </w:numPr>
        <w:tabs>
          <w:tab w:pos="2963" w:val="left" w:leader="none"/>
        </w:tabs>
        <w:spacing w:line="240" w:lineRule="auto" w:before="173" w:after="0"/>
        <w:ind w:left="2962" w:right="0" w:hanging="778"/>
        <w:jc w:val="left"/>
      </w:pPr>
      <w:bookmarkStart w:name="_TOC_250010" w:id="56"/>
      <w:r>
        <w:rPr/>
        <w:t>TABLAS Y</w:t>
      </w:r>
      <w:r>
        <w:rPr>
          <w:spacing w:val="-15"/>
        </w:rPr>
        <w:t> </w:t>
      </w:r>
      <w:bookmarkEnd w:id="56"/>
      <w:r>
        <w:rPr/>
        <w:t>FIGURAS</w:t>
      </w:r>
    </w:p>
    <w:p>
      <w:pPr>
        <w:spacing w:after="0" w:line="240" w:lineRule="auto"/>
        <w:jc w:val="left"/>
        <w:sectPr>
          <w:footerReference w:type="default" r:id="rId76"/>
          <w:pgSz w:w="12240" w:h="15840"/>
          <w:pgMar w:footer="1031" w:header="726" w:top="1340" w:bottom="1220" w:left="1220" w:right="1420"/>
        </w:sectPr>
      </w:pPr>
    </w:p>
    <w:p>
      <w:pPr>
        <w:pStyle w:val="BodyText"/>
        <w:spacing w:before="4"/>
        <w:rPr>
          <w:b/>
          <w:sz w:val="22"/>
        </w:rPr>
      </w:pPr>
    </w:p>
    <w:p>
      <w:pPr>
        <w:pStyle w:val="Heading2"/>
        <w:ind w:left="2147"/>
        <w:jc w:val="left"/>
      </w:pPr>
      <w:r>
        <w:rPr/>
        <w:t>Tabla 1. Descriptivas de los grupos en estudio</w:t>
      </w:r>
    </w:p>
    <w:p>
      <w:pPr>
        <w:pStyle w:val="BodyText"/>
        <w:rPr>
          <w:b/>
          <w:sz w:val="20"/>
        </w:rPr>
      </w:pPr>
    </w:p>
    <w:p>
      <w:pPr>
        <w:pStyle w:val="BodyText"/>
        <w:spacing w:before="10"/>
        <w:rPr>
          <w:b/>
          <w:sz w:val="29"/>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47"/>
        <w:gridCol w:w="1796"/>
        <w:gridCol w:w="1287"/>
        <w:gridCol w:w="1198"/>
        <w:gridCol w:w="1371"/>
        <w:gridCol w:w="1262"/>
      </w:tblGrid>
      <w:tr>
        <w:trPr>
          <w:trHeight w:val="854" w:hRule="exact"/>
        </w:trPr>
        <w:tc>
          <w:tcPr>
            <w:tcW w:w="3943" w:type="dxa"/>
            <w:gridSpan w:val="2"/>
            <w:shd w:val="clear" w:color="auto" w:fill="4F81BC"/>
          </w:tcPr>
          <w:p>
            <w:pPr>
              <w:pStyle w:val="TableParagraph"/>
              <w:spacing w:before="148"/>
              <w:ind w:left="970"/>
              <w:rPr>
                <w:b/>
                <w:sz w:val="20"/>
              </w:rPr>
            </w:pPr>
            <w:r>
              <w:rPr>
                <w:b/>
                <w:color w:val="FFFFFF"/>
                <w:sz w:val="20"/>
              </w:rPr>
              <w:t>Variables categóricas</w:t>
            </w:r>
          </w:p>
        </w:tc>
        <w:tc>
          <w:tcPr>
            <w:tcW w:w="2485" w:type="dxa"/>
            <w:gridSpan w:val="2"/>
            <w:shd w:val="clear" w:color="auto" w:fill="4F81BC"/>
          </w:tcPr>
          <w:p>
            <w:pPr>
              <w:pStyle w:val="TableParagraph"/>
              <w:spacing w:line="280" w:lineRule="auto" w:before="14"/>
              <w:ind w:left="1070" w:right="419" w:hanging="514"/>
              <w:rPr>
                <w:b/>
                <w:sz w:val="20"/>
              </w:rPr>
            </w:pPr>
            <w:r>
              <w:rPr>
                <w:b/>
                <w:color w:val="FFFFFF"/>
                <w:sz w:val="20"/>
              </w:rPr>
              <w:t>Dentición mixta n=50</w:t>
            </w:r>
          </w:p>
          <w:p>
            <w:pPr>
              <w:pStyle w:val="TableParagraph"/>
              <w:tabs>
                <w:tab w:pos="1896" w:val="left" w:leader="none"/>
              </w:tabs>
              <w:spacing w:before="15"/>
              <w:ind w:left="205"/>
              <w:rPr>
                <w:b/>
                <w:sz w:val="20"/>
              </w:rPr>
            </w:pPr>
            <w:r>
              <w:rPr>
                <w:b/>
                <w:color w:val="FFFFFF"/>
                <w:sz w:val="20"/>
              </w:rPr>
              <w:t>Frecuencia</w:t>
              <w:tab/>
              <w:t>%</w:t>
            </w:r>
          </w:p>
        </w:tc>
        <w:tc>
          <w:tcPr>
            <w:tcW w:w="2633" w:type="dxa"/>
            <w:gridSpan w:val="2"/>
            <w:shd w:val="clear" w:color="auto" w:fill="4F81BC"/>
          </w:tcPr>
          <w:p>
            <w:pPr>
              <w:pStyle w:val="TableParagraph"/>
              <w:spacing w:line="280" w:lineRule="auto" w:before="14"/>
              <w:ind w:left="1120" w:right="214" w:hanging="822"/>
              <w:rPr>
                <w:b/>
                <w:sz w:val="20"/>
              </w:rPr>
            </w:pPr>
            <w:r>
              <w:rPr>
                <w:b/>
                <w:color w:val="FFFFFF"/>
                <w:sz w:val="20"/>
              </w:rPr>
              <w:t>Dentición permanente n=50</w:t>
            </w:r>
          </w:p>
          <w:p>
            <w:pPr>
              <w:pStyle w:val="TableParagraph"/>
              <w:tabs>
                <w:tab w:pos="1965" w:val="left" w:leader="none"/>
              </w:tabs>
              <w:spacing w:before="15"/>
              <w:ind w:left="246" w:right="214"/>
              <w:rPr>
                <w:b/>
                <w:sz w:val="20"/>
              </w:rPr>
            </w:pPr>
            <w:r>
              <w:rPr>
                <w:b/>
                <w:color w:val="FFFFFF"/>
                <w:sz w:val="20"/>
              </w:rPr>
              <w:t>Frecuencia</w:t>
              <w:tab/>
              <w:t>%</w:t>
            </w:r>
          </w:p>
        </w:tc>
      </w:tr>
      <w:tr>
        <w:trPr>
          <w:trHeight w:val="528" w:hRule="exact"/>
        </w:trPr>
        <w:tc>
          <w:tcPr>
            <w:tcW w:w="2147" w:type="dxa"/>
            <w:tcBorders>
              <w:left w:val="single" w:sz="8" w:space="0" w:color="4F81BC"/>
            </w:tcBorders>
          </w:tcPr>
          <w:p>
            <w:pPr>
              <w:pStyle w:val="TableParagraph"/>
              <w:spacing w:before="129"/>
              <w:ind w:left="163" w:right="215"/>
              <w:jc w:val="center"/>
              <w:rPr>
                <w:b/>
                <w:sz w:val="20"/>
              </w:rPr>
            </w:pPr>
            <w:r>
              <w:rPr>
                <w:b/>
                <w:sz w:val="20"/>
              </w:rPr>
              <w:t>Sexo</w:t>
            </w:r>
          </w:p>
        </w:tc>
        <w:tc>
          <w:tcPr>
            <w:tcW w:w="1796" w:type="dxa"/>
          </w:tcPr>
          <w:p>
            <w:pPr>
              <w:pStyle w:val="TableParagraph"/>
              <w:spacing w:line="276" w:lineRule="auto"/>
              <w:ind w:left="455" w:right="425" w:hanging="5"/>
              <w:rPr>
                <w:sz w:val="20"/>
              </w:rPr>
            </w:pPr>
            <w:r>
              <w:rPr>
                <w:sz w:val="20"/>
              </w:rPr>
              <w:t>Masculino Femenino</w:t>
            </w:r>
          </w:p>
        </w:tc>
        <w:tc>
          <w:tcPr>
            <w:tcW w:w="1287" w:type="dxa"/>
          </w:tcPr>
          <w:p>
            <w:pPr>
              <w:pStyle w:val="TableParagraph"/>
              <w:spacing w:line="230" w:lineRule="exact"/>
              <w:ind w:left="602" w:right="421"/>
              <w:jc w:val="center"/>
              <w:rPr>
                <w:sz w:val="20"/>
              </w:rPr>
            </w:pPr>
            <w:r>
              <w:rPr>
                <w:sz w:val="20"/>
              </w:rPr>
              <w:t>20</w:t>
            </w:r>
          </w:p>
          <w:p>
            <w:pPr>
              <w:pStyle w:val="TableParagraph"/>
              <w:spacing w:before="34"/>
              <w:ind w:left="602" w:right="421"/>
              <w:jc w:val="center"/>
              <w:rPr>
                <w:sz w:val="20"/>
              </w:rPr>
            </w:pPr>
            <w:r>
              <w:rPr>
                <w:sz w:val="20"/>
              </w:rPr>
              <w:t>30</w:t>
            </w:r>
          </w:p>
        </w:tc>
        <w:tc>
          <w:tcPr>
            <w:tcW w:w="1198" w:type="dxa"/>
          </w:tcPr>
          <w:p>
            <w:pPr>
              <w:pStyle w:val="TableParagraph"/>
              <w:spacing w:line="230" w:lineRule="exact"/>
              <w:ind w:left="498"/>
              <w:rPr>
                <w:sz w:val="20"/>
              </w:rPr>
            </w:pPr>
            <w:r>
              <w:rPr>
                <w:sz w:val="20"/>
              </w:rPr>
              <w:t>40%</w:t>
            </w:r>
          </w:p>
          <w:p>
            <w:pPr>
              <w:pStyle w:val="TableParagraph"/>
              <w:spacing w:before="34"/>
              <w:ind w:left="498"/>
              <w:rPr>
                <w:sz w:val="20"/>
              </w:rPr>
            </w:pPr>
            <w:r>
              <w:rPr>
                <w:sz w:val="20"/>
              </w:rPr>
              <w:t>60%</w:t>
            </w:r>
          </w:p>
        </w:tc>
        <w:tc>
          <w:tcPr>
            <w:tcW w:w="1371" w:type="dxa"/>
          </w:tcPr>
          <w:p>
            <w:pPr>
              <w:pStyle w:val="TableParagraph"/>
              <w:spacing w:line="230" w:lineRule="exact"/>
              <w:ind w:left="643" w:right="465"/>
              <w:jc w:val="center"/>
              <w:rPr>
                <w:sz w:val="20"/>
              </w:rPr>
            </w:pPr>
            <w:r>
              <w:rPr>
                <w:sz w:val="20"/>
              </w:rPr>
              <w:t>21</w:t>
            </w:r>
          </w:p>
          <w:p>
            <w:pPr>
              <w:pStyle w:val="TableParagraph"/>
              <w:spacing w:before="34"/>
              <w:ind w:left="643" w:right="465"/>
              <w:jc w:val="center"/>
              <w:rPr>
                <w:sz w:val="20"/>
              </w:rPr>
            </w:pPr>
            <w:r>
              <w:rPr>
                <w:sz w:val="20"/>
              </w:rPr>
              <w:t>29</w:t>
            </w:r>
          </w:p>
        </w:tc>
        <w:tc>
          <w:tcPr>
            <w:tcW w:w="1262" w:type="dxa"/>
            <w:tcBorders>
              <w:right w:val="single" w:sz="8" w:space="0" w:color="4F81BC"/>
            </w:tcBorders>
          </w:tcPr>
          <w:p>
            <w:pPr>
              <w:pStyle w:val="TableParagraph"/>
              <w:spacing w:line="230" w:lineRule="exact"/>
              <w:ind w:left="484"/>
              <w:rPr>
                <w:sz w:val="20"/>
              </w:rPr>
            </w:pPr>
            <w:r>
              <w:rPr>
                <w:sz w:val="20"/>
              </w:rPr>
              <w:t>42%</w:t>
            </w:r>
          </w:p>
          <w:p>
            <w:pPr>
              <w:pStyle w:val="TableParagraph"/>
              <w:spacing w:before="34"/>
              <w:ind w:left="484"/>
              <w:rPr>
                <w:sz w:val="20"/>
              </w:rPr>
            </w:pPr>
            <w:r>
              <w:rPr>
                <w:sz w:val="20"/>
              </w:rPr>
              <w:t>58%</w:t>
            </w:r>
          </w:p>
        </w:tc>
      </w:tr>
      <w:tr>
        <w:trPr>
          <w:trHeight w:val="528" w:hRule="exact"/>
        </w:trPr>
        <w:tc>
          <w:tcPr>
            <w:tcW w:w="2147" w:type="dxa"/>
            <w:tcBorders>
              <w:left w:val="single" w:sz="8" w:space="0" w:color="4F81BC"/>
            </w:tcBorders>
            <w:shd w:val="clear" w:color="auto" w:fill="C5D9F0"/>
          </w:tcPr>
          <w:p>
            <w:pPr>
              <w:pStyle w:val="TableParagraph"/>
              <w:spacing w:before="129"/>
              <w:ind w:left="166" w:right="215"/>
              <w:jc w:val="center"/>
              <w:rPr>
                <w:b/>
                <w:sz w:val="20"/>
              </w:rPr>
            </w:pPr>
            <w:r>
              <w:rPr>
                <w:b/>
                <w:sz w:val="20"/>
              </w:rPr>
              <w:t>Estado civil</w:t>
            </w:r>
          </w:p>
        </w:tc>
        <w:tc>
          <w:tcPr>
            <w:tcW w:w="1796" w:type="dxa"/>
            <w:shd w:val="clear" w:color="auto" w:fill="C5D9F0"/>
          </w:tcPr>
          <w:p>
            <w:pPr>
              <w:pStyle w:val="TableParagraph"/>
              <w:spacing w:line="276" w:lineRule="auto"/>
              <w:ind w:left="556" w:right="530" w:firstLine="28"/>
              <w:rPr>
                <w:sz w:val="20"/>
              </w:rPr>
            </w:pPr>
            <w:r>
              <w:rPr>
                <w:sz w:val="20"/>
              </w:rPr>
              <w:t>Soltero Casado</w:t>
            </w:r>
          </w:p>
        </w:tc>
        <w:tc>
          <w:tcPr>
            <w:tcW w:w="1287" w:type="dxa"/>
            <w:shd w:val="clear" w:color="auto" w:fill="C5D9F0"/>
          </w:tcPr>
          <w:p>
            <w:pPr>
              <w:pStyle w:val="TableParagraph"/>
              <w:spacing w:line="230" w:lineRule="exact"/>
              <w:ind w:left="602" w:right="421"/>
              <w:jc w:val="center"/>
              <w:rPr>
                <w:sz w:val="20"/>
              </w:rPr>
            </w:pPr>
            <w:r>
              <w:rPr>
                <w:sz w:val="20"/>
              </w:rPr>
              <w:t>50</w:t>
            </w:r>
          </w:p>
          <w:p>
            <w:pPr>
              <w:pStyle w:val="TableParagraph"/>
              <w:spacing w:before="34"/>
              <w:ind w:left="187"/>
              <w:jc w:val="center"/>
              <w:rPr>
                <w:sz w:val="20"/>
              </w:rPr>
            </w:pPr>
            <w:r>
              <w:rPr>
                <w:w w:val="100"/>
                <w:sz w:val="20"/>
              </w:rPr>
              <w:t>0</w:t>
            </w:r>
          </w:p>
        </w:tc>
        <w:tc>
          <w:tcPr>
            <w:tcW w:w="1198" w:type="dxa"/>
            <w:shd w:val="clear" w:color="auto" w:fill="C5D9F0"/>
          </w:tcPr>
          <w:p>
            <w:pPr>
              <w:pStyle w:val="TableParagraph"/>
              <w:spacing w:line="230" w:lineRule="exact"/>
              <w:ind w:left="419" w:right="227"/>
              <w:jc w:val="center"/>
              <w:rPr>
                <w:sz w:val="20"/>
              </w:rPr>
            </w:pPr>
            <w:r>
              <w:rPr>
                <w:sz w:val="20"/>
              </w:rPr>
              <w:t>100%</w:t>
            </w:r>
          </w:p>
          <w:p>
            <w:pPr>
              <w:pStyle w:val="TableParagraph"/>
              <w:spacing w:before="34"/>
              <w:ind w:left="419" w:right="227"/>
              <w:jc w:val="center"/>
              <w:rPr>
                <w:sz w:val="20"/>
              </w:rPr>
            </w:pPr>
            <w:r>
              <w:rPr>
                <w:sz w:val="20"/>
              </w:rPr>
              <w:t>0%</w:t>
            </w:r>
          </w:p>
        </w:tc>
        <w:tc>
          <w:tcPr>
            <w:tcW w:w="1371" w:type="dxa"/>
            <w:shd w:val="clear" w:color="auto" w:fill="C5D9F0"/>
          </w:tcPr>
          <w:p>
            <w:pPr>
              <w:pStyle w:val="TableParagraph"/>
              <w:spacing w:line="230" w:lineRule="exact"/>
              <w:ind w:left="643" w:right="465"/>
              <w:jc w:val="center"/>
              <w:rPr>
                <w:sz w:val="20"/>
              </w:rPr>
            </w:pPr>
            <w:r>
              <w:rPr>
                <w:sz w:val="20"/>
              </w:rPr>
              <w:t>46</w:t>
            </w:r>
          </w:p>
          <w:p>
            <w:pPr>
              <w:pStyle w:val="TableParagraph"/>
              <w:spacing w:before="34"/>
              <w:ind w:left="175"/>
              <w:jc w:val="center"/>
              <w:rPr>
                <w:sz w:val="20"/>
              </w:rPr>
            </w:pPr>
            <w:r>
              <w:rPr>
                <w:w w:val="100"/>
                <w:sz w:val="20"/>
              </w:rPr>
              <w:t>4</w:t>
            </w:r>
          </w:p>
        </w:tc>
        <w:tc>
          <w:tcPr>
            <w:tcW w:w="1262" w:type="dxa"/>
            <w:tcBorders>
              <w:right w:val="single" w:sz="8" w:space="0" w:color="4F81BC"/>
            </w:tcBorders>
            <w:shd w:val="clear" w:color="auto" w:fill="C5D9F0"/>
          </w:tcPr>
          <w:p>
            <w:pPr>
              <w:pStyle w:val="TableParagraph"/>
              <w:spacing w:line="230" w:lineRule="exact"/>
              <w:ind w:left="462" w:right="348"/>
              <w:jc w:val="center"/>
              <w:rPr>
                <w:sz w:val="20"/>
              </w:rPr>
            </w:pPr>
            <w:r>
              <w:rPr>
                <w:sz w:val="20"/>
              </w:rPr>
              <w:t>92%</w:t>
            </w:r>
          </w:p>
          <w:p>
            <w:pPr>
              <w:pStyle w:val="TableParagraph"/>
              <w:spacing w:before="34"/>
              <w:ind w:left="462" w:right="343"/>
              <w:jc w:val="center"/>
              <w:rPr>
                <w:sz w:val="20"/>
              </w:rPr>
            </w:pPr>
            <w:r>
              <w:rPr>
                <w:sz w:val="20"/>
              </w:rPr>
              <w:t>8%</w:t>
            </w:r>
          </w:p>
        </w:tc>
      </w:tr>
      <w:tr>
        <w:trPr>
          <w:trHeight w:val="259" w:hRule="exact"/>
        </w:trPr>
        <w:tc>
          <w:tcPr>
            <w:tcW w:w="2147" w:type="dxa"/>
            <w:tcBorders>
              <w:left w:val="single" w:sz="8" w:space="0" w:color="4F81BC"/>
            </w:tcBorders>
          </w:tcPr>
          <w:p>
            <w:pPr/>
          </w:p>
        </w:tc>
        <w:tc>
          <w:tcPr>
            <w:tcW w:w="1796" w:type="dxa"/>
          </w:tcPr>
          <w:p>
            <w:pPr>
              <w:pStyle w:val="TableParagraph"/>
              <w:spacing w:line="230" w:lineRule="exact"/>
              <w:ind w:left="190" w:right="181"/>
              <w:jc w:val="center"/>
              <w:rPr>
                <w:sz w:val="20"/>
              </w:rPr>
            </w:pPr>
            <w:r>
              <w:rPr>
                <w:sz w:val="20"/>
              </w:rPr>
              <w:t>Analfabeta</w:t>
            </w:r>
          </w:p>
        </w:tc>
        <w:tc>
          <w:tcPr>
            <w:tcW w:w="1287" w:type="dxa"/>
          </w:tcPr>
          <w:p>
            <w:pPr>
              <w:pStyle w:val="TableParagraph"/>
              <w:spacing w:line="230" w:lineRule="exact"/>
              <w:ind w:right="491"/>
              <w:jc w:val="right"/>
              <w:rPr>
                <w:sz w:val="20"/>
              </w:rPr>
            </w:pPr>
            <w:r>
              <w:rPr>
                <w:w w:val="100"/>
                <w:sz w:val="20"/>
              </w:rPr>
              <w:t>0</w:t>
            </w:r>
          </w:p>
        </w:tc>
        <w:tc>
          <w:tcPr>
            <w:tcW w:w="1198" w:type="dxa"/>
          </w:tcPr>
          <w:p>
            <w:pPr>
              <w:pStyle w:val="TableParagraph"/>
              <w:spacing w:line="230" w:lineRule="exact"/>
              <w:ind w:left="551"/>
              <w:rPr>
                <w:sz w:val="20"/>
              </w:rPr>
            </w:pPr>
            <w:r>
              <w:rPr>
                <w:sz w:val="20"/>
              </w:rPr>
              <w:t>0%</w:t>
            </w:r>
          </w:p>
        </w:tc>
        <w:tc>
          <w:tcPr>
            <w:tcW w:w="1371" w:type="dxa"/>
          </w:tcPr>
          <w:p>
            <w:pPr>
              <w:pStyle w:val="TableParagraph"/>
              <w:spacing w:line="230" w:lineRule="exact"/>
              <w:ind w:right="539"/>
              <w:jc w:val="right"/>
              <w:rPr>
                <w:sz w:val="20"/>
              </w:rPr>
            </w:pPr>
            <w:r>
              <w:rPr>
                <w:w w:val="100"/>
                <w:sz w:val="20"/>
              </w:rPr>
              <w:t>0</w:t>
            </w:r>
          </w:p>
        </w:tc>
        <w:tc>
          <w:tcPr>
            <w:tcW w:w="1262" w:type="dxa"/>
            <w:tcBorders>
              <w:right w:val="single" w:sz="8" w:space="0" w:color="4F81BC"/>
            </w:tcBorders>
          </w:tcPr>
          <w:p>
            <w:pPr>
              <w:pStyle w:val="TableParagraph"/>
              <w:spacing w:line="230" w:lineRule="exact"/>
              <w:ind w:left="462" w:right="343"/>
              <w:jc w:val="center"/>
              <w:rPr>
                <w:sz w:val="20"/>
              </w:rPr>
            </w:pPr>
            <w:r>
              <w:rPr>
                <w:sz w:val="20"/>
              </w:rPr>
              <w:t>0%</w:t>
            </w:r>
          </w:p>
        </w:tc>
      </w:tr>
      <w:tr>
        <w:trPr>
          <w:trHeight w:val="266" w:hRule="exact"/>
        </w:trPr>
        <w:tc>
          <w:tcPr>
            <w:tcW w:w="2147" w:type="dxa"/>
            <w:tcBorders>
              <w:left w:val="single" w:sz="8" w:space="0" w:color="4F81BC"/>
            </w:tcBorders>
          </w:tcPr>
          <w:p>
            <w:pPr/>
          </w:p>
        </w:tc>
        <w:tc>
          <w:tcPr>
            <w:tcW w:w="1796" w:type="dxa"/>
          </w:tcPr>
          <w:p>
            <w:pPr>
              <w:pStyle w:val="TableParagraph"/>
              <w:spacing w:before="9"/>
              <w:ind w:left="190" w:right="181"/>
              <w:jc w:val="center"/>
              <w:rPr>
                <w:sz w:val="20"/>
              </w:rPr>
            </w:pPr>
            <w:r>
              <w:rPr>
                <w:sz w:val="20"/>
              </w:rPr>
              <w:t>Primaria</w:t>
            </w:r>
          </w:p>
        </w:tc>
        <w:tc>
          <w:tcPr>
            <w:tcW w:w="1287" w:type="dxa"/>
          </w:tcPr>
          <w:p>
            <w:pPr>
              <w:pStyle w:val="TableParagraph"/>
              <w:spacing w:before="9"/>
              <w:ind w:right="440"/>
              <w:jc w:val="right"/>
              <w:rPr>
                <w:sz w:val="20"/>
              </w:rPr>
            </w:pPr>
            <w:r>
              <w:rPr>
                <w:sz w:val="20"/>
              </w:rPr>
              <w:t>50</w:t>
            </w:r>
          </w:p>
        </w:tc>
        <w:tc>
          <w:tcPr>
            <w:tcW w:w="1198" w:type="dxa"/>
          </w:tcPr>
          <w:p>
            <w:pPr>
              <w:pStyle w:val="TableParagraph"/>
              <w:spacing w:before="9"/>
              <w:ind w:left="440"/>
              <w:rPr>
                <w:sz w:val="20"/>
              </w:rPr>
            </w:pPr>
            <w:r>
              <w:rPr>
                <w:sz w:val="20"/>
              </w:rPr>
              <w:t>100%</w:t>
            </w:r>
          </w:p>
        </w:tc>
        <w:tc>
          <w:tcPr>
            <w:tcW w:w="1371" w:type="dxa"/>
          </w:tcPr>
          <w:p>
            <w:pPr>
              <w:pStyle w:val="TableParagraph"/>
              <w:spacing w:before="9"/>
              <w:ind w:right="539"/>
              <w:jc w:val="right"/>
              <w:rPr>
                <w:sz w:val="20"/>
              </w:rPr>
            </w:pPr>
            <w:r>
              <w:rPr>
                <w:w w:val="100"/>
                <w:sz w:val="20"/>
              </w:rPr>
              <w:t>0</w:t>
            </w:r>
          </w:p>
        </w:tc>
        <w:tc>
          <w:tcPr>
            <w:tcW w:w="1262" w:type="dxa"/>
            <w:tcBorders>
              <w:right w:val="single" w:sz="8" w:space="0" w:color="4F81BC"/>
            </w:tcBorders>
          </w:tcPr>
          <w:p>
            <w:pPr>
              <w:pStyle w:val="TableParagraph"/>
              <w:spacing w:before="9"/>
              <w:ind w:left="462" w:right="343"/>
              <w:jc w:val="center"/>
              <w:rPr>
                <w:sz w:val="20"/>
              </w:rPr>
            </w:pPr>
            <w:r>
              <w:rPr>
                <w:sz w:val="20"/>
              </w:rPr>
              <w:t>0%</w:t>
            </w:r>
          </w:p>
        </w:tc>
      </w:tr>
      <w:tr>
        <w:trPr>
          <w:trHeight w:val="262" w:hRule="exact"/>
        </w:trPr>
        <w:tc>
          <w:tcPr>
            <w:tcW w:w="2147" w:type="dxa"/>
            <w:tcBorders>
              <w:left w:val="single" w:sz="8" w:space="0" w:color="4F81BC"/>
            </w:tcBorders>
          </w:tcPr>
          <w:p>
            <w:pPr/>
          </w:p>
        </w:tc>
        <w:tc>
          <w:tcPr>
            <w:tcW w:w="1796" w:type="dxa"/>
          </w:tcPr>
          <w:p>
            <w:pPr>
              <w:pStyle w:val="TableParagraph"/>
              <w:spacing w:before="7"/>
              <w:ind w:left="190" w:right="186"/>
              <w:jc w:val="center"/>
              <w:rPr>
                <w:sz w:val="20"/>
              </w:rPr>
            </w:pPr>
            <w:r>
              <w:rPr>
                <w:sz w:val="20"/>
              </w:rPr>
              <w:t>Secundaria</w:t>
            </w:r>
          </w:p>
        </w:tc>
        <w:tc>
          <w:tcPr>
            <w:tcW w:w="1287" w:type="dxa"/>
          </w:tcPr>
          <w:p>
            <w:pPr>
              <w:pStyle w:val="TableParagraph"/>
              <w:spacing w:before="7"/>
              <w:ind w:right="491"/>
              <w:jc w:val="right"/>
              <w:rPr>
                <w:sz w:val="20"/>
              </w:rPr>
            </w:pPr>
            <w:r>
              <w:rPr>
                <w:w w:val="100"/>
                <w:sz w:val="20"/>
              </w:rPr>
              <w:t>0</w:t>
            </w:r>
          </w:p>
        </w:tc>
        <w:tc>
          <w:tcPr>
            <w:tcW w:w="1198" w:type="dxa"/>
          </w:tcPr>
          <w:p>
            <w:pPr>
              <w:pStyle w:val="TableParagraph"/>
              <w:spacing w:before="7"/>
              <w:ind w:left="551"/>
              <w:rPr>
                <w:sz w:val="20"/>
              </w:rPr>
            </w:pPr>
            <w:r>
              <w:rPr>
                <w:sz w:val="20"/>
              </w:rPr>
              <w:t>0%</w:t>
            </w:r>
          </w:p>
        </w:tc>
        <w:tc>
          <w:tcPr>
            <w:tcW w:w="1371" w:type="dxa"/>
          </w:tcPr>
          <w:p>
            <w:pPr>
              <w:pStyle w:val="TableParagraph"/>
              <w:spacing w:before="7"/>
              <w:ind w:right="539"/>
              <w:jc w:val="right"/>
              <w:rPr>
                <w:sz w:val="20"/>
              </w:rPr>
            </w:pPr>
            <w:r>
              <w:rPr>
                <w:w w:val="100"/>
                <w:sz w:val="20"/>
              </w:rPr>
              <w:t>2</w:t>
            </w:r>
          </w:p>
        </w:tc>
        <w:tc>
          <w:tcPr>
            <w:tcW w:w="1262" w:type="dxa"/>
            <w:tcBorders>
              <w:right w:val="single" w:sz="8" w:space="0" w:color="4F81BC"/>
            </w:tcBorders>
          </w:tcPr>
          <w:p>
            <w:pPr>
              <w:pStyle w:val="TableParagraph"/>
              <w:spacing w:before="7"/>
              <w:ind w:left="462" w:right="343"/>
              <w:jc w:val="center"/>
              <w:rPr>
                <w:sz w:val="20"/>
              </w:rPr>
            </w:pPr>
            <w:r>
              <w:rPr>
                <w:sz w:val="20"/>
              </w:rPr>
              <w:t>4%</w:t>
            </w:r>
          </w:p>
        </w:tc>
      </w:tr>
      <w:tr>
        <w:trPr>
          <w:trHeight w:val="267" w:hRule="exact"/>
        </w:trPr>
        <w:tc>
          <w:tcPr>
            <w:tcW w:w="2147" w:type="dxa"/>
            <w:tcBorders>
              <w:left w:val="single" w:sz="8" w:space="0" w:color="4F81BC"/>
            </w:tcBorders>
          </w:tcPr>
          <w:p>
            <w:pPr>
              <w:pStyle w:val="TableParagraph"/>
              <w:spacing w:before="5"/>
              <w:ind w:left="166" w:right="215"/>
              <w:jc w:val="center"/>
              <w:rPr>
                <w:b/>
                <w:sz w:val="20"/>
              </w:rPr>
            </w:pPr>
            <w:r>
              <w:rPr>
                <w:b/>
                <w:sz w:val="20"/>
              </w:rPr>
              <w:t>Escolaridad</w:t>
            </w:r>
          </w:p>
        </w:tc>
        <w:tc>
          <w:tcPr>
            <w:tcW w:w="1796" w:type="dxa"/>
          </w:tcPr>
          <w:p>
            <w:pPr>
              <w:pStyle w:val="TableParagraph"/>
              <w:spacing w:before="9"/>
              <w:ind w:left="190" w:right="181"/>
              <w:jc w:val="center"/>
              <w:rPr>
                <w:sz w:val="20"/>
              </w:rPr>
            </w:pPr>
            <w:r>
              <w:rPr>
                <w:sz w:val="20"/>
              </w:rPr>
              <w:t>Preparatoria</w:t>
            </w:r>
          </w:p>
        </w:tc>
        <w:tc>
          <w:tcPr>
            <w:tcW w:w="1287" w:type="dxa"/>
          </w:tcPr>
          <w:p>
            <w:pPr>
              <w:pStyle w:val="TableParagraph"/>
              <w:spacing w:before="9"/>
              <w:ind w:right="491"/>
              <w:jc w:val="right"/>
              <w:rPr>
                <w:sz w:val="20"/>
              </w:rPr>
            </w:pPr>
            <w:r>
              <w:rPr>
                <w:w w:val="100"/>
                <w:sz w:val="20"/>
              </w:rPr>
              <w:t>0</w:t>
            </w:r>
          </w:p>
        </w:tc>
        <w:tc>
          <w:tcPr>
            <w:tcW w:w="1198" w:type="dxa"/>
          </w:tcPr>
          <w:p>
            <w:pPr>
              <w:pStyle w:val="TableParagraph"/>
              <w:spacing w:before="9"/>
              <w:ind w:left="551"/>
              <w:rPr>
                <w:sz w:val="20"/>
              </w:rPr>
            </w:pPr>
            <w:r>
              <w:rPr>
                <w:sz w:val="20"/>
              </w:rPr>
              <w:t>0%</w:t>
            </w:r>
          </w:p>
        </w:tc>
        <w:tc>
          <w:tcPr>
            <w:tcW w:w="1371" w:type="dxa"/>
          </w:tcPr>
          <w:p>
            <w:pPr>
              <w:pStyle w:val="TableParagraph"/>
              <w:spacing w:before="9"/>
              <w:ind w:right="539"/>
              <w:jc w:val="right"/>
              <w:rPr>
                <w:sz w:val="20"/>
              </w:rPr>
            </w:pPr>
            <w:r>
              <w:rPr>
                <w:w w:val="100"/>
                <w:sz w:val="20"/>
              </w:rPr>
              <w:t>4</w:t>
            </w:r>
          </w:p>
        </w:tc>
        <w:tc>
          <w:tcPr>
            <w:tcW w:w="1262" w:type="dxa"/>
            <w:tcBorders>
              <w:right w:val="single" w:sz="8" w:space="0" w:color="4F81BC"/>
            </w:tcBorders>
          </w:tcPr>
          <w:p>
            <w:pPr>
              <w:pStyle w:val="TableParagraph"/>
              <w:spacing w:before="9"/>
              <w:ind w:left="462" w:right="343"/>
              <w:jc w:val="center"/>
              <w:rPr>
                <w:sz w:val="20"/>
              </w:rPr>
            </w:pPr>
            <w:r>
              <w:rPr>
                <w:sz w:val="20"/>
              </w:rPr>
              <w:t>8%</w:t>
            </w:r>
          </w:p>
        </w:tc>
      </w:tr>
      <w:tr>
        <w:trPr>
          <w:trHeight w:val="264" w:hRule="exact"/>
        </w:trPr>
        <w:tc>
          <w:tcPr>
            <w:tcW w:w="2147" w:type="dxa"/>
            <w:tcBorders>
              <w:left w:val="single" w:sz="8" w:space="0" w:color="4F81BC"/>
            </w:tcBorders>
          </w:tcPr>
          <w:p>
            <w:pPr/>
          </w:p>
        </w:tc>
        <w:tc>
          <w:tcPr>
            <w:tcW w:w="1796" w:type="dxa"/>
          </w:tcPr>
          <w:p>
            <w:pPr>
              <w:pStyle w:val="TableParagraph"/>
              <w:spacing w:before="7"/>
              <w:ind w:left="190" w:right="186"/>
              <w:jc w:val="center"/>
              <w:rPr>
                <w:sz w:val="20"/>
              </w:rPr>
            </w:pPr>
            <w:r>
              <w:rPr>
                <w:sz w:val="20"/>
              </w:rPr>
              <w:t>Licenciatura</w:t>
            </w:r>
          </w:p>
        </w:tc>
        <w:tc>
          <w:tcPr>
            <w:tcW w:w="1287" w:type="dxa"/>
          </w:tcPr>
          <w:p>
            <w:pPr>
              <w:pStyle w:val="TableParagraph"/>
              <w:spacing w:before="7"/>
              <w:ind w:right="491"/>
              <w:jc w:val="right"/>
              <w:rPr>
                <w:sz w:val="20"/>
              </w:rPr>
            </w:pPr>
            <w:r>
              <w:rPr>
                <w:w w:val="100"/>
                <w:sz w:val="20"/>
              </w:rPr>
              <w:t>0</w:t>
            </w:r>
          </w:p>
        </w:tc>
        <w:tc>
          <w:tcPr>
            <w:tcW w:w="1198" w:type="dxa"/>
          </w:tcPr>
          <w:p>
            <w:pPr>
              <w:pStyle w:val="TableParagraph"/>
              <w:spacing w:before="7"/>
              <w:ind w:left="551"/>
              <w:rPr>
                <w:sz w:val="20"/>
              </w:rPr>
            </w:pPr>
            <w:r>
              <w:rPr>
                <w:sz w:val="20"/>
              </w:rPr>
              <w:t>0%</w:t>
            </w:r>
          </w:p>
        </w:tc>
        <w:tc>
          <w:tcPr>
            <w:tcW w:w="1371" w:type="dxa"/>
          </w:tcPr>
          <w:p>
            <w:pPr>
              <w:pStyle w:val="TableParagraph"/>
              <w:spacing w:before="7"/>
              <w:ind w:right="483"/>
              <w:jc w:val="right"/>
              <w:rPr>
                <w:sz w:val="20"/>
              </w:rPr>
            </w:pPr>
            <w:r>
              <w:rPr>
                <w:sz w:val="20"/>
              </w:rPr>
              <w:t>43</w:t>
            </w:r>
          </w:p>
        </w:tc>
        <w:tc>
          <w:tcPr>
            <w:tcW w:w="1262" w:type="dxa"/>
            <w:tcBorders>
              <w:right w:val="single" w:sz="8" w:space="0" w:color="4F81BC"/>
            </w:tcBorders>
          </w:tcPr>
          <w:p>
            <w:pPr>
              <w:pStyle w:val="TableParagraph"/>
              <w:spacing w:before="7"/>
              <w:ind w:left="462" w:right="348"/>
              <w:jc w:val="center"/>
              <w:rPr>
                <w:sz w:val="20"/>
              </w:rPr>
            </w:pPr>
            <w:r>
              <w:rPr>
                <w:sz w:val="20"/>
              </w:rPr>
              <w:t>86%</w:t>
            </w:r>
          </w:p>
        </w:tc>
      </w:tr>
      <w:tr>
        <w:trPr>
          <w:trHeight w:val="264" w:hRule="exact"/>
        </w:trPr>
        <w:tc>
          <w:tcPr>
            <w:tcW w:w="2147" w:type="dxa"/>
            <w:tcBorders>
              <w:left w:val="single" w:sz="8" w:space="0" w:color="4F81BC"/>
            </w:tcBorders>
          </w:tcPr>
          <w:p>
            <w:pPr/>
          </w:p>
        </w:tc>
        <w:tc>
          <w:tcPr>
            <w:tcW w:w="1796" w:type="dxa"/>
          </w:tcPr>
          <w:p>
            <w:pPr>
              <w:pStyle w:val="TableParagraph"/>
              <w:spacing w:before="7"/>
              <w:ind w:left="190" w:right="186"/>
              <w:jc w:val="center"/>
              <w:rPr>
                <w:sz w:val="20"/>
              </w:rPr>
            </w:pPr>
            <w:r>
              <w:rPr>
                <w:sz w:val="20"/>
              </w:rPr>
              <w:t>Posgrado</w:t>
            </w:r>
          </w:p>
        </w:tc>
        <w:tc>
          <w:tcPr>
            <w:tcW w:w="1287" w:type="dxa"/>
          </w:tcPr>
          <w:p>
            <w:pPr>
              <w:pStyle w:val="TableParagraph"/>
              <w:spacing w:before="7"/>
              <w:ind w:right="491"/>
              <w:jc w:val="right"/>
              <w:rPr>
                <w:sz w:val="20"/>
              </w:rPr>
            </w:pPr>
            <w:r>
              <w:rPr>
                <w:w w:val="100"/>
                <w:sz w:val="20"/>
              </w:rPr>
              <w:t>0</w:t>
            </w:r>
          </w:p>
        </w:tc>
        <w:tc>
          <w:tcPr>
            <w:tcW w:w="1198" w:type="dxa"/>
          </w:tcPr>
          <w:p>
            <w:pPr>
              <w:pStyle w:val="TableParagraph"/>
              <w:spacing w:before="7"/>
              <w:ind w:left="551"/>
              <w:rPr>
                <w:sz w:val="20"/>
              </w:rPr>
            </w:pPr>
            <w:r>
              <w:rPr>
                <w:sz w:val="20"/>
              </w:rPr>
              <w:t>0%</w:t>
            </w:r>
          </w:p>
        </w:tc>
        <w:tc>
          <w:tcPr>
            <w:tcW w:w="1371" w:type="dxa"/>
          </w:tcPr>
          <w:p>
            <w:pPr>
              <w:pStyle w:val="TableParagraph"/>
              <w:spacing w:before="7"/>
              <w:ind w:right="539"/>
              <w:jc w:val="right"/>
              <w:rPr>
                <w:sz w:val="20"/>
              </w:rPr>
            </w:pPr>
            <w:r>
              <w:rPr>
                <w:w w:val="100"/>
                <w:sz w:val="20"/>
              </w:rPr>
              <w:t>1</w:t>
            </w:r>
          </w:p>
        </w:tc>
        <w:tc>
          <w:tcPr>
            <w:tcW w:w="1262" w:type="dxa"/>
            <w:tcBorders>
              <w:right w:val="single" w:sz="8" w:space="0" w:color="4F81BC"/>
            </w:tcBorders>
          </w:tcPr>
          <w:p>
            <w:pPr>
              <w:pStyle w:val="TableParagraph"/>
              <w:spacing w:before="7"/>
              <w:ind w:left="462" w:right="343"/>
              <w:jc w:val="center"/>
              <w:rPr>
                <w:sz w:val="20"/>
              </w:rPr>
            </w:pPr>
            <w:r>
              <w:rPr>
                <w:sz w:val="20"/>
              </w:rPr>
              <w:t>2%</w:t>
            </w:r>
          </w:p>
        </w:tc>
      </w:tr>
      <w:tr>
        <w:trPr>
          <w:trHeight w:val="271" w:hRule="exact"/>
        </w:trPr>
        <w:tc>
          <w:tcPr>
            <w:tcW w:w="2147" w:type="dxa"/>
            <w:tcBorders>
              <w:left w:val="single" w:sz="8" w:space="0" w:color="4F81BC"/>
            </w:tcBorders>
          </w:tcPr>
          <w:p>
            <w:pPr/>
          </w:p>
        </w:tc>
        <w:tc>
          <w:tcPr>
            <w:tcW w:w="1796" w:type="dxa"/>
          </w:tcPr>
          <w:p>
            <w:pPr>
              <w:pStyle w:val="TableParagraph"/>
              <w:spacing w:before="7"/>
              <w:ind w:left="190" w:right="181"/>
              <w:jc w:val="center"/>
              <w:rPr>
                <w:sz w:val="20"/>
              </w:rPr>
            </w:pPr>
            <w:r>
              <w:rPr>
                <w:sz w:val="20"/>
              </w:rPr>
              <w:t>Otro</w:t>
            </w:r>
          </w:p>
        </w:tc>
        <w:tc>
          <w:tcPr>
            <w:tcW w:w="1287" w:type="dxa"/>
          </w:tcPr>
          <w:p>
            <w:pPr>
              <w:pStyle w:val="TableParagraph"/>
              <w:spacing w:before="7"/>
              <w:ind w:right="491"/>
              <w:jc w:val="right"/>
              <w:rPr>
                <w:sz w:val="20"/>
              </w:rPr>
            </w:pPr>
            <w:r>
              <w:rPr>
                <w:w w:val="100"/>
                <w:sz w:val="20"/>
              </w:rPr>
              <w:t>0</w:t>
            </w:r>
          </w:p>
        </w:tc>
        <w:tc>
          <w:tcPr>
            <w:tcW w:w="1198" w:type="dxa"/>
          </w:tcPr>
          <w:p>
            <w:pPr>
              <w:pStyle w:val="TableParagraph"/>
              <w:spacing w:before="7"/>
              <w:ind w:left="551"/>
              <w:rPr>
                <w:sz w:val="20"/>
              </w:rPr>
            </w:pPr>
            <w:r>
              <w:rPr>
                <w:sz w:val="20"/>
              </w:rPr>
              <w:t>0%</w:t>
            </w:r>
          </w:p>
        </w:tc>
        <w:tc>
          <w:tcPr>
            <w:tcW w:w="1371" w:type="dxa"/>
          </w:tcPr>
          <w:p>
            <w:pPr>
              <w:pStyle w:val="TableParagraph"/>
              <w:spacing w:before="7"/>
              <w:ind w:right="539"/>
              <w:jc w:val="right"/>
              <w:rPr>
                <w:sz w:val="20"/>
              </w:rPr>
            </w:pPr>
            <w:r>
              <w:rPr>
                <w:w w:val="100"/>
                <w:sz w:val="20"/>
              </w:rPr>
              <w:t>0</w:t>
            </w:r>
          </w:p>
        </w:tc>
        <w:tc>
          <w:tcPr>
            <w:tcW w:w="1262" w:type="dxa"/>
            <w:tcBorders>
              <w:right w:val="single" w:sz="8" w:space="0" w:color="4F81BC"/>
            </w:tcBorders>
          </w:tcPr>
          <w:p>
            <w:pPr>
              <w:pStyle w:val="TableParagraph"/>
              <w:spacing w:before="7"/>
              <w:ind w:left="462" w:right="343"/>
              <w:jc w:val="center"/>
              <w:rPr>
                <w:sz w:val="20"/>
              </w:rPr>
            </w:pPr>
            <w:r>
              <w:rPr>
                <w:sz w:val="20"/>
              </w:rPr>
              <w:t>0%</w:t>
            </w:r>
          </w:p>
        </w:tc>
      </w:tr>
      <w:tr>
        <w:trPr>
          <w:trHeight w:val="257"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line="230" w:lineRule="exact"/>
              <w:ind w:left="190" w:right="181"/>
              <w:jc w:val="center"/>
              <w:rPr>
                <w:sz w:val="20"/>
              </w:rPr>
            </w:pPr>
            <w:r>
              <w:rPr>
                <w:sz w:val="20"/>
              </w:rPr>
              <w:t>Obrero</w:t>
            </w:r>
          </w:p>
        </w:tc>
        <w:tc>
          <w:tcPr>
            <w:tcW w:w="1287" w:type="dxa"/>
            <w:shd w:val="clear" w:color="auto" w:fill="C5D9F0"/>
          </w:tcPr>
          <w:p>
            <w:pPr>
              <w:pStyle w:val="TableParagraph"/>
              <w:spacing w:line="230" w:lineRule="exact"/>
              <w:ind w:right="491"/>
              <w:jc w:val="right"/>
              <w:rPr>
                <w:sz w:val="20"/>
              </w:rPr>
            </w:pPr>
            <w:r>
              <w:rPr>
                <w:w w:val="100"/>
                <w:sz w:val="20"/>
              </w:rPr>
              <w:t>0</w:t>
            </w:r>
          </w:p>
        </w:tc>
        <w:tc>
          <w:tcPr>
            <w:tcW w:w="1198" w:type="dxa"/>
            <w:shd w:val="clear" w:color="auto" w:fill="C5D9F0"/>
          </w:tcPr>
          <w:p>
            <w:pPr>
              <w:pStyle w:val="TableParagraph"/>
              <w:spacing w:line="230" w:lineRule="exact"/>
              <w:ind w:left="551"/>
              <w:rPr>
                <w:sz w:val="20"/>
              </w:rPr>
            </w:pPr>
            <w:r>
              <w:rPr>
                <w:sz w:val="20"/>
              </w:rPr>
              <w:t>0%</w:t>
            </w:r>
          </w:p>
        </w:tc>
        <w:tc>
          <w:tcPr>
            <w:tcW w:w="1371" w:type="dxa"/>
            <w:shd w:val="clear" w:color="auto" w:fill="C5D9F0"/>
          </w:tcPr>
          <w:p>
            <w:pPr>
              <w:pStyle w:val="TableParagraph"/>
              <w:spacing w:line="230" w:lineRule="exact"/>
              <w:ind w:right="539"/>
              <w:jc w:val="right"/>
              <w:rPr>
                <w:sz w:val="20"/>
              </w:rPr>
            </w:pPr>
            <w:r>
              <w:rPr>
                <w:w w:val="100"/>
                <w:sz w:val="20"/>
              </w:rPr>
              <w:t>0</w:t>
            </w:r>
          </w:p>
        </w:tc>
        <w:tc>
          <w:tcPr>
            <w:tcW w:w="1262" w:type="dxa"/>
            <w:tcBorders>
              <w:right w:val="single" w:sz="8" w:space="0" w:color="4F81BC"/>
            </w:tcBorders>
            <w:shd w:val="clear" w:color="auto" w:fill="C5D9F0"/>
          </w:tcPr>
          <w:p>
            <w:pPr>
              <w:pStyle w:val="TableParagraph"/>
              <w:spacing w:line="230" w:lineRule="exact"/>
              <w:ind w:left="462" w:right="343"/>
              <w:jc w:val="center"/>
              <w:rPr>
                <w:sz w:val="20"/>
              </w:rPr>
            </w:pPr>
            <w:r>
              <w:rPr>
                <w:sz w:val="20"/>
              </w:rPr>
              <w:t>0%</w:t>
            </w:r>
          </w:p>
        </w:tc>
      </w:tr>
      <w:tr>
        <w:trPr>
          <w:trHeight w:val="264"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before="7"/>
              <w:ind w:left="190" w:right="181"/>
              <w:jc w:val="center"/>
              <w:rPr>
                <w:sz w:val="20"/>
              </w:rPr>
            </w:pPr>
            <w:r>
              <w:rPr>
                <w:sz w:val="20"/>
              </w:rPr>
              <w:t>Empleado</w:t>
            </w:r>
          </w:p>
        </w:tc>
        <w:tc>
          <w:tcPr>
            <w:tcW w:w="1287" w:type="dxa"/>
            <w:shd w:val="clear" w:color="auto" w:fill="C5D9F0"/>
          </w:tcPr>
          <w:p>
            <w:pPr>
              <w:pStyle w:val="TableParagraph"/>
              <w:spacing w:before="7"/>
              <w:ind w:right="491"/>
              <w:jc w:val="right"/>
              <w:rPr>
                <w:sz w:val="20"/>
              </w:rPr>
            </w:pPr>
            <w:r>
              <w:rPr>
                <w:w w:val="100"/>
                <w:sz w:val="20"/>
              </w:rPr>
              <w:t>0</w:t>
            </w:r>
          </w:p>
        </w:tc>
        <w:tc>
          <w:tcPr>
            <w:tcW w:w="1198" w:type="dxa"/>
            <w:shd w:val="clear" w:color="auto" w:fill="C5D9F0"/>
          </w:tcPr>
          <w:p>
            <w:pPr>
              <w:pStyle w:val="TableParagraph"/>
              <w:spacing w:before="7"/>
              <w:ind w:left="551"/>
              <w:rPr>
                <w:sz w:val="20"/>
              </w:rPr>
            </w:pPr>
            <w:r>
              <w:rPr>
                <w:sz w:val="20"/>
              </w:rPr>
              <w:t>0%</w:t>
            </w:r>
          </w:p>
        </w:tc>
        <w:tc>
          <w:tcPr>
            <w:tcW w:w="1371" w:type="dxa"/>
            <w:shd w:val="clear" w:color="auto" w:fill="C5D9F0"/>
          </w:tcPr>
          <w:p>
            <w:pPr>
              <w:pStyle w:val="TableParagraph"/>
              <w:spacing w:before="7"/>
              <w:ind w:right="539"/>
              <w:jc w:val="right"/>
              <w:rPr>
                <w:sz w:val="20"/>
              </w:rPr>
            </w:pPr>
            <w:r>
              <w:rPr>
                <w:w w:val="100"/>
                <w:sz w:val="20"/>
              </w:rPr>
              <w:t>9</w:t>
            </w:r>
          </w:p>
        </w:tc>
        <w:tc>
          <w:tcPr>
            <w:tcW w:w="1262" w:type="dxa"/>
            <w:tcBorders>
              <w:right w:val="single" w:sz="8" w:space="0" w:color="4F81BC"/>
            </w:tcBorders>
            <w:shd w:val="clear" w:color="auto" w:fill="C5D9F0"/>
          </w:tcPr>
          <w:p>
            <w:pPr>
              <w:pStyle w:val="TableParagraph"/>
              <w:spacing w:before="7"/>
              <w:ind w:left="462" w:right="348"/>
              <w:jc w:val="center"/>
              <w:rPr>
                <w:sz w:val="20"/>
              </w:rPr>
            </w:pPr>
            <w:r>
              <w:rPr>
                <w:sz w:val="20"/>
              </w:rPr>
              <w:t>18%</w:t>
            </w:r>
          </w:p>
        </w:tc>
      </w:tr>
      <w:tr>
        <w:trPr>
          <w:trHeight w:val="264"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before="7"/>
              <w:ind w:left="190" w:right="186"/>
              <w:jc w:val="center"/>
              <w:rPr>
                <w:sz w:val="20"/>
              </w:rPr>
            </w:pPr>
            <w:r>
              <w:rPr>
                <w:sz w:val="20"/>
              </w:rPr>
              <w:t>Ama de casa</w:t>
            </w:r>
          </w:p>
        </w:tc>
        <w:tc>
          <w:tcPr>
            <w:tcW w:w="1287" w:type="dxa"/>
            <w:shd w:val="clear" w:color="auto" w:fill="C5D9F0"/>
          </w:tcPr>
          <w:p>
            <w:pPr>
              <w:pStyle w:val="TableParagraph"/>
              <w:spacing w:before="7"/>
              <w:ind w:right="491"/>
              <w:jc w:val="right"/>
              <w:rPr>
                <w:sz w:val="20"/>
              </w:rPr>
            </w:pPr>
            <w:r>
              <w:rPr>
                <w:w w:val="100"/>
                <w:sz w:val="20"/>
              </w:rPr>
              <w:t>0</w:t>
            </w:r>
          </w:p>
        </w:tc>
        <w:tc>
          <w:tcPr>
            <w:tcW w:w="1198" w:type="dxa"/>
            <w:shd w:val="clear" w:color="auto" w:fill="C5D9F0"/>
          </w:tcPr>
          <w:p>
            <w:pPr>
              <w:pStyle w:val="TableParagraph"/>
              <w:spacing w:before="7"/>
              <w:ind w:left="551"/>
              <w:rPr>
                <w:sz w:val="20"/>
              </w:rPr>
            </w:pPr>
            <w:r>
              <w:rPr>
                <w:sz w:val="20"/>
              </w:rPr>
              <w:t>0%</w:t>
            </w:r>
          </w:p>
        </w:tc>
        <w:tc>
          <w:tcPr>
            <w:tcW w:w="1371" w:type="dxa"/>
            <w:shd w:val="clear" w:color="auto" w:fill="C5D9F0"/>
          </w:tcPr>
          <w:p>
            <w:pPr>
              <w:pStyle w:val="TableParagraph"/>
              <w:spacing w:before="7"/>
              <w:ind w:right="539"/>
              <w:jc w:val="right"/>
              <w:rPr>
                <w:sz w:val="20"/>
              </w:rPr>
            </w:pPr>
            <w:r>
              <w:rPr>
                <w:w w:val="100"/>
                <w:sz w:val="20"/>
              </w:rPr>
              <w:t>0</w:t>
            </w:r>
          </w:p>
        </w:tc>
        <w:tc>
          <w:tcPr>
            <w:tcW w:w="1262" w:type="dxa"/>
            <w:tcBorders>
              <w:right w:val="single" w:sz="8" w:space="0" w:color="4F81BC"/>
            </w:tcBorders>
            <w:shd w:val="clear" w:color="auto" w:fill="C5D9F0"/>
          </w:tcPr>
          <w:p>
            <w:pPr>
              <w:pStyle w:val="TableParagraph"/>
              <w:spacing w:before="7"/>
              <w:ind w:left="462" w:right="343"/>
              <w:jc w:val="center"/>
              <w:rPr>
                <w:sz w:val="20"/>
              </w:rPr>
            </w:pPr>
            <w:r>
              <w:rPr>
                <w:sz w:val="20"/>
              </w:rPr>
              <w:t>0%</w:t>
            </w:r>
          </w:p>
        </w:tc>
      </w:tr>
      <w:tr>
        <w:trPr>
          <w:trHeight w:val="533" w:hRule="exact"/>
        </w:trPr>
        <w:tc>
          <w:tcPr>
            <w:tcW w:w="2147" w:type="dxa"/>
            <w:tcBorders>
              <w:left w:val="single" w:sz="8" w:space="0" w:color="4F81BC"/>
            </w:tcBorders>
            <w:shd w:val="clear" w:color="auto" w:fill="C5D9F0"/>
          </w:tcPr>
          <w:p>
            <w:pPr>
              <w:pStyle w:val="TableParagraph"/>
              <w:spacing w:before="136"/>
              <w:ind w:left="169" w:right="213"/>
              <w:jc w:val="center"/>
              <w:rPr>
                <w:b/>
                <w:sz w:val="20"/>
              </w:rPr>
            </w:pPr>
            <w:r>
              <w:rPr>
                <w:b/>
                <w:sz w:val="20"/>
              </w:rPr>
              <w:t>Ocupación</w:t>
            </w:r>
          </w:p>
        </w:tc>
        <w:tc>
          <w:tcPr>
            <w:tcW w:w="1796" w:type="dxa"/>
            <w:shd w:val="clear" w:color="auto" w:fill="C5D9F0"/>
          </w:tcPr>
          <w:p>
            <w:pPr>
              <w:pStyle w:val="TableParagraph"/>
              <w:spacing w:line="280" w:lineRule="auto" w:before="7"/>
              <w:ind w:left="426" w:right="307" w:hanging="92"/>
              <w:rPr>
                <w:sz w:val="20"/>
              </w:rPr>
            </w:pPr>
            <w:r>
              <w:rPr>
                <w:sz w:val="20"/>
              </w:rPr>
              <w:t>Comerciante Estudiante</w:t>
            </w:r>
          </w:p>
        </w:tc>
        <w:tc>
          <w:tcPr>
            <w:tcW w:w="1287" w:type="dxa"/>
            <w:shd w:val="clear" w:color="auto" w:fill="C5D9F0"/>
          </w:tcPr>
          <w:p>
            <w:pPr>
              <w:pStyle w:val="TableParagraph"/>
              <w:spacing w:before="7"/>
              <w:ind w:left="187"/>
              <w:jc w:val="center"/>
              <w:rPr>
                <w:sz w:val="20"/>
              </w:rPr>
            </w:pPr>
            <w:r>
              <w:rPr>
                <w:w w:val="100"/>
                <w:sz w:val="20"/>
              </w:rPr>
              <w:t>0</w:t>
            </w:r>
          </w:p>
          <w:p>
            <w:pPr>
              <w:pStyle w:val="TableParagraph"/>
              <w:spacing w:before="39"/>
              <w:ind w:left="602" w:right="421"/>
              <w:jc w:val="center"/>
              <w:rPr>
                <w:sz w:val="20"/>
              </w:rPr>
            </w:pPr>
            <w:r>
              <w:rPr>
                <w:sz w:val="20"/>
              </w:rPr>
              <w:t>50</w:t>
            </w:r>
          </w:p>
        </w:tc>
        <w:tc>
          <w:tcPr>
            <w:tcW w:w="1198" w:type="dxa"/>
            <w:shd w:val="clear" w:color="auto" w:fill="C5D9F0"/>
          </w:tcPr>
          <w:p>
            <w:pPr>
              <w:pStyle w:val="TableParagraph"/>
              <w:spacing w:before="7"/>
              <w:ind w:left="419" w:right="227"/>
              <w:jc w:val="center"/>
              <w:rPr>
                <w:sz w:val="20"/>
              </w:rPr>
            </w:pPr>
            <w:r>
              <w:rPr>
                <w:sz w:val="20"/>
              </w:rPr>
              <w:t>0%</w:t>
            </w:r>
          </w:p>
          <w:p>
            <w:pPr>
              <w:pStyle w:val="TableParagraph"/>
              <w:spacing w:before="39"/>
              <w:ind w:left="419" w:right="227"/>
              <w:jc w:val="center"/>
              <w:rPr>
                <w:sz w:val="20"/>
              </w:rPr>
            </w:pPr>
            <w:r>
              <w:rPr>
                <w:sz w:val="20"/>
              </w:rPr>
              <w:t>100%</w:t>
            </w:r>
          </w:p>
        </w:tc>
        <w:tc>
          <w:tcPr>
            <w:tcW w:w="1371" w:type="dxa"/>
            <w:shd w:val="clear" w:color="auto" w:fill="C5D9F0"/>
          </w:tcPr>
          <w:p>
            <w:pPr>
              <w:pStyle w:val="TableParagraph"/>
              <w:spacing w:before="7"/>
              <w:ind w:left="175"/>
              <w:jc w:val="center"/>
              <w:rPr>
                <w:sz w:val="20"/>
              </w:rPr>
            </w:pPr>
            <w:r>
              <w:rPr>
                <w:w w:val="100"/>
                <w:sz w:val="20"/>
              </w:rPr>
              <w:t>1</w:t>
            </w:r>
          </w:p>
          <w:p>
            <w:pPr>
              <w:pStyle w:val="TableParagraph"/>
              <w:spacing w:before="39"/>
              <w:ind w:left="643" w:right="465"/>
              <w:jc w:val="center"/>
              <w:rPr>
                <w:sz w:val="20"/>
              </w:rPr>
            </w:pPr>
            <w:r>
              <w:rPr>
                <w:sz w:val="20"/>
              </w:rPr>
              <w:t>36</w:t>
            </w:r>
          </w:p>
        </w:tc>
        <w:tc>
          <w:tcPr>
            <w:tcW w:w="1262" w:type="dxa"/>
            <w:tcBorders>
              <w:right w:val="single" w:sz="8" w:space="0" w:color="4F81BC"/>
            </w:tcBorders>
            <w:shd w:val="clear" w:color="auto" w:fill="C5D9F0"/>
          </w:tcPr>
          <w:p>
            <w:pPr>
              <w:pStyle w:val="TableParagraph"/>
              <w:spacing w:before="7"/>
              <w:ind w:left="462" w:right="343"/>
              <w:jc w:val="center"/>
              <w:rPr>
                <w:sz w:val="20"/>
              </w:rPr>
            </w:pPr>
            <w:r>
              <w:rPr>
                <w:sz w:val="20"/>
              </w:rPr>
              <w:t>2%</w:t>
            </w:r>
          </w:p>
          <w:p>
            <w:pPr>
              <w:pStyle w:val="TableParagraph"/>
              <w:spacing w:before="39"/>
              <w:ind w:left="462" w:right="348"/>
              <w:jc w:val="center"/>
              <w:rPr>
                <w:sz w:val="20"/>
              </w:rPr>
            </w:pPr>
            <w:r>
              <w:rPr>
                <w:sz w:val="20"/>
              </w:rPr>
              <w:t>72%</w:t>
            </w:r>
          </w:p>
        </w:tc>
      </w:tr>
      <w:tr>
        <w:trPr>
          <w:trHeight w:val="264"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before="7"/>
              <w:ind w:left="190" w:right="186"/>
              <w:jc w:val="center"/>
              <w:rPr>
                <w:sz w:val="20"/>
              </w:rPr>
            </w:pPr>
            <w:r>
              <w:rPr>
                <w:sz w:val="20"/>
              </w:rPr>
              <w:t>Campesino</w:t>
            </w:r>
          </w:p>
        </w:tc>
        <w:tc>
          <w:tcPr>
            <w:tcW w:w="1287" w:type="dxa"/>
            <w:shd w:val="clear" w:color="auto" w:fill="C5D9F0"/>
          </w:tcPr>
          <w:p>
            <w:pPr>
              <w:pStyle w:val="TableParagraph"/>
              <w:spacing w:before="7"/>
              <w:ind w:right="491"/>
              <w:jc w:val="right"/>
              <w:rPr>
                <w:sz w:val="20"/>
              </w:rPr>
            </w:pPr>
            <w:r>
              <w:rPr>
                <w:w w:val="100"/>
                <w:sz w:val="20"/>
              </w:rPr>
              <w:t>0</w:t>
            </w:r>
          </w:p>
        </w:tc>
        <w:tc>
          <w:tcPr>
            <w:tcW w:w="1198" w:type="dxa"/>
            <w:shd w:val="clear" w:color="auto" w:fill="C5D9F0"/>
          </w:tcPr>
          <w:p>
            <w:pPr>
              <w:pStyle w:val="TableParagraph"/>
              <w:spacing w:before="7"/>
              <w:ind w:left="551"/>
              <w:rPr>
                <w:sz w:val="20"/>
              </w:rPr>
            </w:pPr>
            <w:r>
              <w:rPr>
                <w:sz w:val="20"/>
              </w:rPr>
              <w:t>0%</w:t>
            </w:r>
          </w:p>
        </w:tc>
        <w:tc>
          <w:tcPr>
            <w:tcW w:w="1371" w:type="dxa"/>
            <w:shd w:val="clear" w:color="auto" w:fill="C5D9F0"/>
          </w:tcPr>
          <w:p>
            <w:pPr>
              <w:pStyle w:val="TableParagraph"/>
              <w:spacing w:before="7"/>
              <w:ind w:right="539"/>
              <w:jc w:val="right"/>
              <w:rPr>
                <w:sz w:val="20"/>
              </w:rPr>
            </w:pPr>
            <w:r>
              <w:rPr>
                <w:w w:val="100"/>
                <w:sz w:val="20"/>
              </w:rPr>
              <w:t>0</w:t>
            </w:r>
          </w:p>
        </w:tc>
        <w:tc>
          <w:tcPr>
            <w:tcW w:w="1262" w:type="dxa"/>
            <w:tcBorders>
              <w:right w:val="single" w:sz="8" w:space="0" w:color="4F81BC"/>
            </w:tcBorders>
            <w:shd w:val="clear" w:color="auto" w:fill="C5D9F0"/>
          </w:tcPr>
          <w:p>
            <w:pPr>
              <w:pStyle w:val="TableParagraph"/>
              <w:spacing w:before="7"/>
              <w:ind w:left="462" w:right="343"/>
              <w:jc w:val="center"/>
              <w:rPr>
                <w:sz w:val="20"/>
              </w:rPr>
            </w:pPr>
            <w:r>
              <w:rPr>
                <w:sz w:val="20"/>
              </w:rPr>
              <w:t>0%</w:t>
            </w:r>
          </w:p>
        </w:tc>
      </w:tr>
      <w:tr>
        <w:trPr>
          <w:trHeight w:val="264"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before="7"/>
              <w:ind w:left="190" w:right="179"/>
              <w:jc w:val="center"/>
              <w:rPr>
                <w:sz w:val="20"/>
              </w:rPr>
            </w:pPr>
            <w:r>
              <w:rPr>
                <w:sz w:val="20"/>
              </w:rPr>
              <w:t>Agricultor</w:t>
            </w:r>
          </w:p>
        </w:tc>
        <w:tc>
          <w:tcPr>
            <w:tcW w:w="1287" w:type="dxa"/>
            <w:shd w:val="clear" w:color="auto" w:fill="C5D9F0"/>
          </w:tcPr>
          <w:p>
            <w:pPr>
              <w:pStyle w:val="TableParagraph"/>
              <w:spacing w:before="7"/>
              <w:ind w:right="491"/>
              <w:jc w:val="right"/>
              <w:rPr>
                <w:sz w:val="20"/>
              </w:rPr>
            </w:pPr>
            <w:r>
              <w:rPr>
                <w:w w:val="100"/>
                <w:sz w:val="20"/>
              </w:rPr>
              <w:t>0</w:t>
            </w:r>
          </w:p>
        </w:tc>
        <w:tc>
          <w:tcPr>
            <w:tcW w:w="1198" w:type="dxa"/>
            <w:shd w:val="clear" w:color="auto" w:fill="C5D9F0"/>
          </w:tcPr>
          <w:p>
            <w:pPr>
              <w:pStyle w:val="TableParagraph"/>
              <w:spacing w:before="7"/>
              <w:ind w:left="551"/>
              <w:rPr>
                <w:sz w:val="20"/>
              </w:rPr>
            </w:pPr>
            <w:r>
              <w:rPr>
                <w:sz w:val="20"/>
              </w:rPr>
              <w:t>0%</w:t>
            </w:r>
          </w:p>
        </w:tc>
        <w:tc>
          <w:tcPr>
            <w:tcW w:w="1371" w:type="dxa"/>
            <w:shd w:val="clear" w:color="auto" w:fill="C5D9F0"/>
          </w:tcPr>
          <w:p>
            <w:pPr>
              <w:pStyle w:val="TableParagraph"/>
              <w:spacing w:before="7"/>
              <w:ind w:right="539"/>
              <w:jc w:val="right"/>
              <w:rPr>
                <w:sz w:val="20"/>
              </w:rPr>
            </w:pPr>
            <w:r>
              <w:rPr>
                <w:w w:val="100"/>
                <w:sz w:val="20"/>
              </w:rPr>
              <w:t>0</w:t>
            </w:r>
          </w:p>
        </w:tc>
        <w:tc>
          <w:tcPr>
            <w:tcW w:w="1262" w:type="dxa"/>
            <w:tcBorders>
              <w:right w:val="single" w:sz="8" w:space="0" w:color="4F81BC"/>
            </w:tcBorders>
            <w:shd w:val="clear" w:color="auto" w:fill="C5D9F0"/>
          </w:tcPr>
          <w:p>
            <w:pPr>
              <w:pStyle w:val="TableParagraph"/>
              <w:spacing w:before="7"/>
              <w:ind w:left="462" w:right="343"/>
              <w:jc w:val="center"/>
              <w:rPr>
                <w:sz w:val="20"/>
              </w:rPr>
            </w:pPr>
            <w:r>
              <w:rPr>
                <w:sz w:val="20"/>
              </w:rPr>
              <w:t>0%</w:t>
            </w:r>
          </w:p>
        </w:tc>
      </w:tr>
      <w:tr>
        <w:trPr>
          <w:trHeight w:val="272"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before="7"/>
              <w:ind w:left="190" w:right="181"/>
              <w:jc w:val="center"/>
              <w:rPr>
                <w:sz w:val="20"/>
              </w:rPr>
            </w:pPr>
            <w:r>
              <w:rPr>
                <w:sz w:val="20"/>
              </w:rPr>
              <w:t>Otro</w:t>
            </w:r>
          </w:p>
        </w:tc>
        <w:tc>
          <w:tcPr>
            <w:tcW w:w="1287" w:type="dxa"/>
            <w:shd w:val="clear" w:color="auto" w:fill="C5D9F0"/>
          </w:tcPr>
          <w:p>
            <w:pPr>
              <w:pStyle w:val="TableParagraph"/>
              <w:spacing w:before="7"/>
              <w:ind w:right="491"/>
              <w:jc w:val="right"/>
              <w:rPr>
                <w:sz w:val="20"/>
              </w:rPr>
            </w:pPr>
            <w:r>
              <w:rPr>
                <w:w w:val="100"/>
                <w:sz w:val="20"/>
              </w:rPr>
              <w:t>0</w:t>
            </w:r>
          </w:p>
        </w:tc>
        <w:tc>
          <w:tcPr>
            <w:tcW w:w="1198" w:type="dxa"/>
            <w:shd w:val="clear" w:color="auto" w:fill="C5D9F0"/>
          </w:tcPr>
          <w:p>
            <w:pPr>
              <w:pStyle w:val="TableParagraph"/>
              <w:spacing w:before="7"/>
              <w:ind w:left="551"/>
              <w:rPr>
                <w:sz w:val="20"/>
              </w:rPr>
            </w:pPr>
            <w:r>
              <w:rPr>
                <w:sz w:val="20"/>
              </w:rPr>
              <w:t>0%</w:t>
            </w:r>
          </w:p>
        </w:tc>
        <w:tc>
          <w:tcPr>
            <w:tcW w:w="1371" w:type="dxa"/>
            <w:shd w:val="clear" w:color="auto" w:fill="C5D9F0"/>
          </w:tcPr>
          <w:p>
            <w:pPr>
              <w:pStyle w:val="TableParagraph"/>
              <w:spacing w:before="7"/>
              <w:ind w:right="539"/>
              <w:jc w:val="right"/>
              <w:rPr>
                <w:sz w:val="20"/>
              </w:rPr>
            </w:pPr>
            <w:r>
              <w:rPr>
                <w:w w:val="100"/>
                <w:sz w:val="20"/>
              </w:rPr>
              <w:t>4</w:t>
            </w:r>
          </w:p>
        </w:tc>
        <w:tc>
          <w:tcPr>
            <w:tcW w:w="1262" w:type="dxa"/>
            <w:tcBorders>
              <w:right w:val="single" w:sz="8" w:space="0" w:color="4F81BC"/>
            </w:tcBorders>
            <w:shd w:val="clear" w:color="auto" w:fill="C5D9F0"/>
          </w:tcPr>
          <w:p>
            <w:pPr>
              <w:pStyle w:val="TableParagraph"/>
              <w:spacing w:before="7"/>
              <w:ind w:left="462" w:right="343"/>
              <w:jc w:val="center"/>
              <w:rPr>
                <w:sz w:val="20"/>
              </w:rPr>
            </w:pPr>
            <w:r>
              <w:rPr>
                <w:sz w:val="20"/>
              </w:rPr>
              <w:t>8%</w:t>
            </w:r>
          </w:p>
        </w:tc>
      </w:tr>
      <w:tr>
        <w:trPr>
          <w:trHeight w:val="254" w:hRule="exact"/>
        </w:trPr>
        <w:tc>
          <w:tcPr>
            <w:tcW w:w="2147" w:type="dxa"/>
            <w:tcBorders>
              <w:left w:val="single" w:sz="8" w:space="0" w:color="4F81BC"/>
            </w:tcBorders>
          </w:tcPr>
          <w:p>
            <w:pPr>
              <w:pStyle w:val="TableParagraph"/>
              <w:spacing w:line="225" w:lineRule="exact"/>
              <w:ind w:left="169" w:right="215"/>
              <w:jc w:val="center"/>
              <w:rPr>
                <w:b/>
                <w:sz w:val="20"/>
              </w:rPr>
            </w:pPr>
            <w:r>
              <w:rPr>
                <w:b/>
                <w:sz w:val="20"/>
              </w:rPr>
              <w:t>Tiempo de</w:t>
            </w:r>
          </w:p>
        </w:tc>
        <w:tc>
          <w:tcPr>
            <w:tcW w:w="1796" w:type="dxa"/>
          </w:tcPr>
          <w:p>
            <w:pPr>
              <w:pStyle w:val="TableParagraph"/>
              <w:spacing w:line="230" w:lineRule="exact"/>
              <w:ind w:left="188" w:right="186"/>
              <w:jc w:val="center"/>
              <w:rPr>
                <w:sz w:val="20"/>
              </w:rPr>
            </w:pPr>
            <w:r>
              <w:rPr>
                <w:sz w:val="20"/>
              </w:rPr>
              <w:t>Antes</w:t>
            </w:r>
          </w:p>
        </w:tc>
        <w:tc>
          <w:tcPr>
            <w:tcW w:w="1287" w:type="dxa"/>
          </w:tcPr>
          <w:p>
            <w:pPr>
              <w:pStyle w:val="TableParagraph"/>
              <w:spacing w:line="230" w:lineRule="exact"/>
              <w:ind w:right="491"/>
              <w:jc w:val="right"/>
              <w:rPr>
                <w:sz w:val="20"/>
              </w:rPr>
            </w:pPr>
            <w:r>
              <w:rPr>
                <w:w w:val="100"/>
                <w:sz w:val="20"/>
              </w:rPr>
              <w:t>1</w:t>
            </w:r>
          </w:p>
        </w:tc>
        <w:tc>
          <w:tcPr>
            <w:tcW w:w="1198" w:type="dxa"/>
          </w:tcPr>
          <w:p>
            <w:pPr>
              <w:pStyle w:val="TableParagraph"/>
              <w:spacing w:line="230" w:lineRule="exact"/>
              <w:ind w:left="551"/>
              <w:rPr>
                <w:sz w:val="20"/>
              </w:rPr>
            </w:pPr>
            <w:r>
              <w:rPr>
                <w:sz w:val="20"/>
              </w:rPr>
              <w:t>2%</w:t>
            </w:r>
          </w:p>
        </w:tc>
        <w:tc>
          <w:tcPr>
            <w:tcW w:w="1371" w:type="dxa"/>
          </w:tcPr>
          <w:p>
            <w:pPr>
              <w:pStyle w:val="TableParagraph"/>
              <w:spacing w:line="230" w:lineRule="exact"/>
              <w:ind w:right="539"/>
              <w:jc w:val="right"/>
              <w:rPr>
                <w:sz w:val="20"/>
              </w:rPr>
            </w:pPr>
            <w:r>
              <w:rPr>
                <w:w w:val="100"/>
                <w:sz w:val="20"/>
              </w:rPr>
              <w:t>1</w:t>
            </w:r>
          </w:p>
        </w:tc>
        <w:tc>
          <w:tcPr>
            <w:tcW w:w="1262" w:type="dxa"/>
            <w:tcBorders>
              <w:right w:val="single" w:sz="8" w:space="0" w:color="4F81BC"/>
            </w:tcBorders>
          </w:tcPr>
          <w:p>
            <w:pPr>
              <w:pStyle w:val="TableParagraph"/>
              <w:spacing w:line="230" w:lineRule="exact"/>
              <w:ind w:left="462" w:right="343"/>
              <w:jc w:val="center"/>
              <w:rPr>
                <w:sz w:val="20"/>
              </w:rPr>
            </w:pPr>
            <w:r>
              <w:rPr>
                <w:sz w:val="20"/>
              </w:rPr>
              <w:t>2%</w:t>
            </w:r>
          </w:p>
        </w:tc>
      </w:tr>
      <w:tr>
        <w:trPr>
          <w:trHeight w:val="274" w:hRule="exact"/>
        </w:trPr>
        <w:tc>
          <w:tcPr>
            <w:tcW w:w="2147" w:type="dxa"/>
            <w:tcBorders>
              <w:left w:val="single" w:sz="8" w:space="0" w:color="4F81BC"/>
            </w:tcBorders>
          </w:tcPr>
          <w:p>
            <w:pPr>
              <w:pStyle w:val="TableParagraph"/>
              <w:spacing w:before="4"/>
              <w:ind w:left="169" w:right="213"/>
              <w:jc w:val="center"/>
              <w:rPr>
                <w:b/>
                <w:sz w:val="20"/>
              </w:rPr>
            </w:pPr>
            <w:r>
              <w:rPr>
                <w:b/>
                <w:sz w:val="20"/>
              </w:rPr>
              <w:t>cepillado</w:t>
            </w:r>
          </w:p>
        </w:tc>
        <w:tc>
          <w:tcPr>
            <w:tcW w:w="1796" w:type="dxa"/>
          </w:tcPr>
          <w:p>
            <w:pPr>
              <w:pStyle w:val="TableParagraph"/>
              <w:spacing w:before="9"/>
              <w:ind w:left="190" w:right="183"/>
              <w:jc w:val="center"/>
              <w:rPr>
                <w:sz w:val="20"/>
              </w:rPr>
            </w:pPr>
            <w:r>
              <w:rPr>
                <w:sz w:val="20"/>
              </w:rPr>
              <w:t>Después</w:t>
            </w:r>
          </w:p>
        </w:tc>
        <w:tc>
          <w:tcPr>
            <w:tcW w:w="1287" w:type="dxa"/>
          </w:tcPr>
          <w:p>
            <w:pPr>
              <w:pStyle w:val="TableParagraph"/>
              <w:spacing w:before="9"/>
              <w:ind w:right="440"/>
              <w:jc w:val="right"/>
              <w:rPr>
                <w:sz w:val="20"/>
              </w:rPr>
            </w:pPr>
            <w:r>
              <w:rPr>
                <w:sz w:val="20"/>
              </w:rPr>
              <w:t>49</w:t>
            </w:r>
          </w:p>
        </w:tc>
        <w:tc>
          <w:tcPr>
            <w:tcW w:w="1198" w:type="dxa"/>
          </w:tcPr>
          <w:p>
            <w:pPr>
              <w:pStyle w:val="TableParagraph"/>
              <w:spacing w:before="9"/>
              <w:ind w:left="498"/>
              <w:rPr>
                <w:sz w:val="20"/>
              </w:rPr>
            </w:pPr>
            <w:r>
              <w:rPr>
                <w:sz w:val="20"/>
              </w:rPr>
              <w:t>98%</w:t>
            </w:r>
          </w:p>
        </w:tc>
        <w:tc>
          <w:tcPr>
            <w:tcW w:w="1371" w:type="dxa"/>
          </w:tcPr>
          <w:p>
            <w:pPr>
              <w:pStyle w:val="TableParagraph"/>
              <w:spacing w:before="9"/>
              <w:ind w:right="483"/>
              <w:jc w:val="right"/>
              <w:rPr>
                <w:sz w:val="20"/>
              </w:rPr>
            </w:pPr>
            <w:r>
              <w:rPr>
                <w:sz w:val="20"/>
              </w:rPr>
              <w:t>49</w:t>
            </w:r>
          </w:p>
        </w:tc>
        <w:tc>
          <w:tcPr>
            <w:tcW w:w="1262" w:type="dxa"/>
            <w:tcBorders>
              <w:right w:val="single" w:sz="8" w:space="0" w:color="4F81BC"/>
            </w:tcBorders>
          </w:tcPr>
          <w:p>
            <w:pPr>
              <w:pStyle w:val="TableParagraph"/>
              <w:spacing w:before="9"/>
              <w:ind w:left="462" w:right="348"/>
              <w:jc w:val="center"/>
              <w:rPr>
                <w:sz w:val="20"/>
              </w:rPr>
            </w:pPr>
            <w:r>
              <w:rPr>
                <w:sz w:val="20"/>
              </w:rPr>
              <w:t>98%</w:t>
            </w:r>
          </w:p>
        </w:tc>
      </w:tr>
      <w:tr>
        <w:trPr>
          <w:trHeight w:val="254"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line="230" w:lineRule="exact"/>
              <w:ind w:left="190" w:right="182"/>
              <w:jc w:val="center"/>
              <w:rPr>
                <w:sz w:val="20"/>
              </w:rPr>
            </w:pPr>
            <w:r>
              <w:rPr>
                <w:sz w:val="20"/>
              </w:rPr>
              <w:t>Una</w:t>
            </w:r>
          </w:p>
        </w:tc>
        <w:tc>
          <w:tcPr>
            <w:tcW w:w="1287" w:type="dxa"/>
            <w:shd w:val="clear" w:color="auto" w:fill="C5D9F0"/>
          </w:tcPr>
          <w:p>
            <w:pPr>
              <w:pStyle w:val="TableParagraph"/>
              <w:spacing w:line="230" w:lineRule="exact"/>
              <w:ind w:right="440"/>
              <w:jc w:val="right"/>
              <w:rPr>
                <w:sz w:val="20"/>
              </w:rPr>
            </w:pPr>
            <w:r>
              <w:rPr>
                <w:sz w:val="20"/>
              </w:rPr>
              <w:t>11</w:t>
            </w:r>
          </w:p>
        </w:tc>
        <w:tc>
          <w:tcPr>
            <w:tcW w:w="1198" w:type="dxa"/>
            <w:shd w:val="clear" w:color="auto" w:fill="C5D9F0"/>
          </w:tcPr>
          <w:p>
            <w:pPr>
              <w:pStyle w:val="TableParagraph"/>
              <w:spacing w:line="230" w:lineRule="exact"/>
              <w:ind w:left="498"/>
              <w:rPr>
                <w:sz w:val="20"/>
              </w:rPr>
            </w:pPr>
            <w:r>
              <w:rPr>
                <w:sz w:val="20"/>
              </w:rPr>
              <w:t>22%</w:t>
            </w:r>
          </w:p>
        </w:tc>
        <w:tc>
          <w:tcPr>
            <w:tcW w:w="1371" w:type="dxa"/>
            <w:shd w:val="clear" w:color="auto" w:fill="C5D9F0"/>
          </w:tcPr>
          <w:p>
            <w:pPr>
              <w:pStyle w:val="TableParagraph"/>
              <w:spacing w:line="230" w:lineRule="exact"/>
              <w:ind w:right="539"/>
              <w:jc w:val="right"/>
              <w:rPr>
                <w:sz w:val="20"/>
              </w:rPr>
            </w:pPr>
            <w:r>
              <w:rPr>
                <w:w w:val="100"/>
                <w:sz w:val="20"/>
              </w:rPr>
              <w:t>0</w:t>
            </w:r>
          </w:p>
        </w:tc>
        <w:tc>
          <w:tcPr>
            <w:tcW w:w="1262" w:type="dxa"/>
            <w:tcBorders>
              <w:right w:val="single" w:sz="8" w:space="0" w:color="4F81BC"/>
            </w:tcBorders>
            <w:shd w:val="clear" w:color="auto" w:fill="C5D9F0"/>
          </w:tcPr>
          <w:p>
            <w:pPr>
              <w:pStyle w:val="TableParagraph"/>
              <w:spacing w:line="230" w:lineRule="exact"/>
              <w:ind w:left="462" w:right="343"/>
              <w:jc w:val="center"/>
              <w:rPr>
                <w:sz w:val="20"/>
              </w:rPr>
            </w:pPr>
            <w:r>
              <w:rPr>
                <w:sz w:val="20"/>
              </w:rPr>
              <w:t>0%</w:t>
            </w:r>
          </w:p>
        </w:tc>
      </w:tr>
      <w:tr>
        <w:trPr>
          <w:trHeight w:val="264" w:hRule="exact"/>
        </w:trPr>
        <w:tc>
          <w:tcPr>
            <w:tcW w:w="2147" w:type="dxa"/>
            <w:tcBorders>
              <w:left w:val="single" w:sz="8" w:space="0" w:color="4F81BC"/>
            </w:tcBorders>
            <w:shd w:val="clear" w:color="auto" w:fill="C5D9F0"/>
          </w:tcPr>
          <w:p>
            <w:pPr>
              <w:pStyle w:val="TableParagraph"/>
              <w:spacing w:before="4"/>
              <w:ind w:left="169" w:right="215"/>
              <w:jc w:val="center"/>
              <w:rPr>
                <w:b/>
                <w:sz w:val="20"/>
              </w:rPr>
            </w:pPr>
            <w:r>
              <w:rPr>
                <w:b/>
                <w:sz w:val="20"/>
              </w:rPr>
              <w:t>Frecuencia de</w:t>
            </w:r>
          </w:p>
        </w:tc>
        <w:tc>
          <w:tcPr>
            <w:tcW w:w="1796" w:type="dxa"/>
            <w:shd w:val="clear" w:color="auto" w:fill="C5D9F0"/>
          </w:tcPr>
          <w:p>
            <w:pPr>
              <w:pStyle w:val="TableParagraph"/>
              <w:spacing w:before="9"/>
              <w:ind w:left="190" w:right="184"/>
              <w:jc w:val="center"/>
              <w:rPr>
                <w:sz w:val="20"/>
              </w:rPr>
            </w:pPr>
            <w:r>
              <w:rPr>
                <w:sz w:val="20"/>
              </w:rPr>
              <w:t>Dos</w:t>
            </w:r>
          </w:p>
        </w:tc>
        <w:tc>
          <w:tcPr>
            <w:tcW w:w="1287" w:type="dxa"/>
            <w:shd w:val="clear" w:color="auto" w:fill="C5D9F0"/>
          </w:tcPr>
          <w:p>
            <w:pPr>
              <w:pStyle w:val="TableParagraph"/>
              <w:spacing w:before="9"/>
              <w:ind w:right="440"/>
              <w:jc w:val="right"/>
              <w:rPr>
                <w:sz w:val="20"/>
              </w:rPr>
            </w:pPr>
            <w:r>
              <w:rPr>
                <w:sz w:val="20"/>
              </w:rPr>
              <w:t>29</w:t>
            </w:r>
          </w:p>
        </w:tc>
        <w:tc>
          <w:tcPr>
            <w:tcW w:w="1198" w:type="dxa"/>
            <w:shd w:val="clear" w:color="auto" w:fill="C5D9F0"/>
          </w:tcPr>
          <w:p>
            <w:pPr>
              <w:pStyle w:val="TableParagraph"/>
              <w:spacing w:before="9"/>
              <w:ind w:left="498"/>
              <w:rPr>
                <w:sz w:val="20"/>
              </w:rPr>
            </w:pPr>
            <w:r>
              <w:rPr>
                <w:sz w:val="20"/>
              </w:rPr>
              <w:t>58%</w:t>
            </w:r>
          </w:p>
        </w:tc>
        <w:tc>
          <w:tcPr>
            <w:tcW w:w="1371" w:type="dxa"/>
            <w:shd w:val="clear" w:color="auto" w:fill="C5D9F0"/>
          </w:tcPr>
          <w:p>
            <w:pPr>
              <w:pStyle w:val="TableParagraph"/>
              <w:spacing w:before="9"/>
              <w:ind w:right="483"/>
              <w:jc w:val="right"/>
              <w:rPr>
                <w:sz w:val="20"/>
              </w:rPr>
            </w:pPr>
            <w:r>
              <w:rPr>
                <w:sz w:val="20"/>
              </w:rPr>
              <w:t>30</w:t>
            </w:r>
          </w:p>
        </w:tc>
        <w:tc>
          <w:tcPr>
            <w:tcW w:w="1262" w:type="dxa"/>
            <w:tcBorders>
              <w:right w:val="single" w:sz="8" w:space="0" w:color="4F81BC"/>
            </w:tcBorders>
            <w:shd w:val="clear" w:color="auto" w:fill="C5D9F0"/>
          </w:tcPr>
          <w:p>
            <w:pPr>
              <w:pStyle w:val="TableParagraph"/>
              <w:spacing w:before="9"/>
              <w:ind w:left="462" w:right="348"/>
              <w:jc w:val="center"/>
              <w:rPr>
                <w:sz w:val="20"/>
              </w:rPr>
            </w:pPr>
            <w:r>
              <w:rPr>
                <w:sz w:val="20"/>
              </w:rPr>
              <w:t>60%</w:t>
            </w:r>
          </w:p>
        </w:tc>
      </w:tr>
      <w:tr>
        <w:trPr>
          <w:trHeight w:val="267" w:hRule="exact"/>
        </w:trPr>
        <w:tc>
          <w:tcPr>
            <w:tcW w:w="2147" w:type="dxa"/>
            <w:tcBorders>
              <w:left w:val="single" w:sz="8" w:space="0" w:color="4F81BC"/>
            </w:tcBorders>
            <w:shd w:val="clear" w:color="auto" w:fill="C5D9F0"/>
          </w:tcPr>
          <w:p>
            <w:pPr>
              <w:pStyle w:val="TableParagraph"/>
              <w:spacing w:before="4"/>
              <w:ind w:left="169" w:right="213"/>
              <w:jc w:val="center"/>
              <w:rPr>
                <w:b/>
                <w:sz w:val="20"/>
              </w:rPr>
            </w:pPr>
            <w:r>
              <w:rPr>
                <w:b/>
                <w:sz w:val="20"/>
              </w:rPr>
              <w:t>cepillado</w:t>
            </w:r>
          </w:p>
        </w:tc>
        <w:tc>
          <w:tcPr>
            <w:tcW w:w="1796" w:type="dxa"/>
            <w:shd w:val="clear" w:color="auto" w:fill="C5D9F0"/>
          </w:tcPr>
          <w:p>
            <w:pPr>
              <w:pStyle w:val="TableParagraph"/>
              <w:spacing w:before="9"/>
              <w:ind w:left="190" w:right="183"/>
              <w:jc w:val="center"/>
              <w:rPr>
                <w:sz w:val="20"/>
              </w:rPr>
            </w:pPr>
            <w:r>
              <w:rPr>
                <w:sz w:val="20"/>
              </w:rPr>
              <w:t>Tres</w:t>
            </w:r>
          </w:p>
        </w:tc>
        <w:tc>
          <w:tcPr>
            <w:tcW w:w="1287" w:type="dxa"/>
            <w:shd w:val="clear" w:color="auto" w:fill="C5D9F0"/>
          </w:tcPr>
          <w:p>
            <w:pPr>
              <w:pStyle w:val="TableParagraph"/>
              <w:spacing w:before="9"/>
              <w:ind w:right="440"/>
              <w:jc w:val="right"/>
              <w:rPr>
                <w:sz w:val="20"/>
              </w:rPr>
            </w:pPr>
            <w:r>
              <w:rPr>
                <w:sz w:val="20"/>
              </w:rPr>
              <w:t>10</w:t>
            </w:r>
          </w:p>
        </w:tc>
        <w:tc>
          <w:tcPr>
            <w:tcW w:w="1198" w:type="dxa"/>
            <w:shd w:val="clear" w:color="auto" w:fill="C5D9F0"/>
          </w:tcPr>
          <w:p>
            <w:pPr>
              <w:pStyle w:val="TableParagraph"/>
              <w:spacing w:before="9"/>
              <w:ind w:left="498"/>
              <w:rPr>
                <w:sz w:val="20"/>
              </w:rPr>
            </w:pPr>
            <w:r>
              <w:rPr>
                <w:sz w:val="20"/>
              </w:rPr>
              <w:t>20%</w:t>
            </w:r>
          </w:p>
        </w:tc>
        <w:tc>
          <w:tcPr>
            <w:tcW w:w="1371" w:type="dxa"/>
            <w:shd w:val="clear" w:color="auto" w:fill="C5D9F0"/>
          </w:tcPr>
          <w:p>
            <w:pPr>
              <w:pStyle w:val="TableParagraph"/>
              <w:spacing w:before="9"/>
              <w:ind w:right="483"/>
              <w:jc w:val="right"/>
              <w:rPr>
                <w:sz w:val="20"/>
              </w:rPr>
            </w:pPr>
            <w:r>
              <w:rPr>
                <w:sz w:val="20"/>
              </w:rPr>
              <w:t>16</w:t>
            </w:r>
          </w:p>
        </w:tc>
        <w:tc>
          <w:tcPr>
            <w:tcW w:w="1262" w:type="dxa"/>
            <w:tcBorders>
              <w:right w:val="single" w:sz="8" w:space="0" w:color="4F81BC"/>
            </w:tcBorders>
            <w:shd w:val="clear" w:color="auto" w:fill="C5D9F0"/>
          </w:tcPr>
          <w:p>
            <w:pPr>
              <w:pStyle w:val="TableParagraph"/>
              <w:spacing w:before="9"/>
              <w:ind w:left="462" w:right="348"/>
              <w:jc w:val="center"/>
              <w:rPr>
                <w:sz w:val="20"/>
              </w:rPr>
            </w:pPr>
            <w:r>
              <w:rPr>
                <w:sz w:val="20"/>
              </w:rPr>
              <w:t>32%</w:t>
            </w:r>
          </w:p>
        </w:tc>
      </w:tr>
      <w:tr>
        <w:trPr>
          <w:trHeight w:val="276"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before="7"/>
              <w:ind w:left="190" w:right="183"/>
              <w:jc w:val="center"/>
              <w:rPr>
                <w:sz w:val="20"/>
              </w:rPr>
            </w:pPr>
            <w:r>
              <w:rPr>
                <w:sz w:val="20"/>
              </w:rPr>
              <w:t>Más de tres</w:t>
            </w:r>
          </w:p>
        </w:tc>
        <w:tc>
          <w:tcPr>
            <w:tcW w:w="1287" w:type="dxa"/>
            <w:shd w:val="clear" w:color="auto" w:fill="C5D9F0"/>
          </w:tcPr>
          <w:p>
            <w:pPr>
              <w:pStyle w:val="TableParagraph"/>
              <w:spacing w:before="7"/>
              <w:ind w:right="491"/>
              <w:jc w:val="right"/>
              <w:rPr>
                <w:sz w:val="20"/>
              </w:rPr>
            </w:pPr>
            <w:r>
              <w:rPr>
                <w:w w:val="100"/>
                <w:sz w:val="20"/>
              </w:rPr>
              <w:t>0</w:t>
            </w:r>
          </w:p>
        </w:tc>
        <w:tc>
          <w:tcPr>
            <w:tcW w:w="1198" w:type="dxa"/>
            <w:shd w:val="clear" w:color="auto" w:fill="C5D9F0"/>
          </w:tcPr>
          <w:p>
            <w:pPr>
              <w:pStyle w:val="TableParagraph"/>
              <w:spacing w:before="7"/>
              <w:ind w:left="551"/>
              <w:rPr>
                <w:sz w:val="20"/>
              </w:rPr>
            </w:pPr>
            <w:r>
              <w:rPr>
                <w:sz w:val="20"/>
              </w:rPr>
              <w:t>0%</w:t>
            </w:r>
          </w:p>
        </w:tc>
        <w:tc>
          <w:tcPr>
            <w:tcW w:w="1371" w:type="dxa"/>
            <w:shd w:val="clear" w:color="auto" w:fill="C5D9F0"/>
          </w:tcPr>
          <w:p>
            <w:pPr>
              <w:pStyle w:val="TableParagraph"/>
              <w:spacing w:before="7"/>
              <w:ind w:right="539"/>
              <w:jc w:val="right"/>
              <w:rPr>
                <w:sz w:val="20"/>
              </w:rPr>
            </w:pPr>
            <w:r>
              <w:rPr>
                <w:w w:val="100"/>
                <w:sz w:val="20"/>
              </w:rPr>
              <w:t>4</w:t>
            </w:r>
          </w:p>
        </w:tc>
        <w:tc>
          <w:tcPr>
            <w:tcW w:w="1262" w:type="dxa"/>
            <w:tcBorders>
              <w:right w:val="single" w:sz="8" w:space="0" w:color="4F81BC"/>
            </w:tcBorders>
            <w:shd w:val="clear" w:color="auto" w:fill="C5D9F0"/>
          </w:tcPr>
          <w:p>
            <w:pPr>
              <w:pStyle w:val="TableParagraph"/>
              <w:spacing w:before="7"/>
              <w:ind w:left="462" w:right="343"/>
              <w:jc w:val="center"/>
              <w:rPr>
                <w:sz w:val="20"/>
              </w:rPr>
            </w:pPr>
            <w:r>
              <w:rPr>
                <w:sz w:val="20"/>
              </w:rPr>
              <w:t>8%</w:t>
            </w:r>
          </w:p>
        </w:tc>
      </w:tr>
      <w:tr>
        <w:trPr>
          <w:trHeight w:val="254" w:hRule="exact"/>
        </w:trPr>
        <w:tc>
          <w:tcPr>
            <w:tcW w:w="2147" w:type="dxa"/>
            <w:tcBorders>
              <w:left w:val="single" w:sz="8" w:space="0" w:color="4F81BC"/>
            </w:tcBorders>
          </w:tcPr>
          <w:p>
            <w:pPr>
              <w:pStyle w:val="TableParagraph"/>
              <w:spacing w:line="225" w:lineRule="exact"/>
              <w:ind w:left="169" w:right="215"/>
              <w:jc w:val="center"/>
              <w:rPr>
                <w:b/>
                <w:sz w:val="20"/>
              </w:rPr>
            </w:pPr>
            <w:r>
              <w:rPr>
                <w:b/>
                <w:sz w:val="20"/>
              </w:rPr>
              <w:t>Uso de auxiliar de</w:t>
            </w:r>
          </w:p>
        </w:tc>
        <w:tc>
          <w:tcPr>
            <w:tcW w:w="1796" w:type="dxa"/>
          </w:tcPr>
          <w:p>
            <w:pPr>
              <w:pStyle w:val="TableParagraph"/>
              <w:spacing w:line="230" w:lineRule="exact"/>
              <w:ind w:left="190" w:right="186"/>
              <w:jc w:val="center"/>
              <w:rPr>
                <w:sz w:val="20"/>
              </w:rPr>
            </w:pPr>
            <w:r>
              <w:rPr>
                <w:sz w:val="20"/>
              </w:rPr>
              <w:t>Si</w:t>
            </w:r>
          </w:p>
        </w:tc>
        <w:tc>
          <w:tcPr>
            <w:tcW w:w="1287" w:type="dxa"/>
          </w:tcPr>
          <w:p>
            <w:pPr>
              <w:pStyle w:val="TableParagraph"/>
              <w:spacing w:line="230" w:lineRule="exact"/>
              <w:ind w:right="440"/>
              <w:jc w:val="right"/>
              <w:rPr>
                <w:sz w:val="20"/>
              </w:rPr>
            </w:pPr>
            <w:r>
              <w:rPr>
                <w:sz w:val="20"/>
              </w:rPr>
              <w:t>10</w:t>
            </w:r>
          </w:p>
        </w:tc>
        <w:tc>
          <w:tcPr>
            <w:tcW w:w="1198" w:type="dxa"/>
          </w:tcPr>
          <w:p>
            <w:pPr>
              <w:pStyle w:val="TableParagraph"/>
              <w:spacing w:line="230" w:lineRule="exact"/>
              <w:ind w:left="498"/>
              <w:rPr>
                <w:sz w:val="20"/>
              </w:rPr>
            </w:pPr>
            <w:r>
              <w:rPr>
                <w:sz w:val="20"/>
              </w:rPr>
              <w:t>20%</w:t>
            </w:r>
          </w:p>
        </w:tc>
        <w:tc>
          <w:tcPr>
            <w:tcW w:w="1371" w:type="dxa"/>
          </w:tcPr>
          <w:p>
            <w:pPr>
              <w:pStyle w:val="TableParagraph"/>
              <w:spacing w:line="230" w:lineRule="exact"/>
              <w:ind w:right="483"/>
              <w:jc w:val="right"/>
              <w:rPr>
                <w:sz w:val="20"/>
              </w:rPr>
            </w:pPr>
            <w:r>
              <w:rPr>
                <w:sz w:val="20"/>
              </w:rPr>
              <w:t>42</w:t>
            </w:r>
          </w:p>
        </w:tc>
        <w:tc>
          <w:tcPr>
            <w:tcW w:w="1262" w:type="dxa"/>
            <w:tcBorders>
              <w:right w:val="single" w:sz="8" w:space="0" w:color="4F81BC"/>
            </w:tcBorders>
          </w:tcPr>
          <w:p>
            <w:pPr>
              <w:pStyle w:val="TableParagraph"/>
              <w:spacing w:line="230" w:lineRule="exact"/>
              <w:ind w:left="462" w:right="348"/>
              <w:jc w:val="center"/>
              <w:rPr>
                <w:sz w:val="20"/>
              </w:rPr>
            </w:pPr>
            <w:r>
              <w:rPr>
                <w:sz w:val="20"/>
              </w:rPr>
              <w:t>84%</w:t>
            </w:r>
          </w:p>
        </w:tc>
      </w:tr>
      <w:tr>
        <w:trPr>
          <w:trHeight w:val="274" w:hRule="exact"/>
        </w:trPr>
        <w:tc>
          <w:tcPr>
            <w:tcW w:w="2147" w:type="dxa"/>
            <w:tcBorders>
              <w:left w:val="single" w:sz="8" w:space="0" w:color="4F81BC"/>
            </w:tcBorders>
          </w:tcPr>
          <w:p>
            <w:pPr>
              <w:pStyle w:val="TableParagraph"/>
              <w:spacing w:before="4"/>
              <w:ind w:left="169" w:right="214"/>
              <w:jc w:val="center"/>
              <w:rPr>
                <w:b/>
                <w:sz w:val="20"/>
              </w:rPr>
            </w:pPr>
            <w:r>
              <w:rPr>
                <w:b/>
                <w:sz w:val="20"/>
              </w:rPr>
              <w:t>higiene</w:t>
            </w:r>
          </w:p>
        </w:tc>
        <w:tc>
          <w:tcPr>
            <w:tcW w:w="1796" w:type="dxa"/>
          </w:tcPr>
          <w:p>
            <w:pPr>
              <w:pStyle w:val="TableParagraph"/>
              <w:spacing w:before="9"/>
              <w:ind w:left="189" w:right="186"/>
              <w:jc w:val="center"/>
              <w:rPr>
                <w:sz w:val="20"/>
              </w:rPr>
            </w:pPr>
            <w:r>
              <w:rPr>
                <w:sz w:val="20"/>
              </w:rPr>
              <w:t>No</w:t>
            </w:r>
          </w:p>
        </w:tc>
        <w:tc>
          <w:tcPr>
            <w:tcW w:w="1287" w:type="dxa"/>
          </w:tcPr>
          <w:p>
            <w:pPr>
              <w:pStyle w:val="TableParagraph"/>
              <w:spacing w:before="9"/>
              <w:ind w:right="440"/>
              <w:jc w:val="right"/>
              <w:rPr>
                <w:sz w:val="20"/>
              </w:rPr>
            </w:pPr>
            <w:r>
              <w:rPr>
                <w:sz w:val="20"/>
              </w:rPr>
              <w:t>40</w:t>
            </w:r>
          </w:p>
        </w:tc>
        <w:tc>
          <w:tcPr>
            <w:tcW w:w="1198" w:type="dxa"/>
          </w:tcPr>
          <w:p>
            <w:pPr>
              <w:pStyle w:val="TableParagraph"/>
              <w:spacing w:before="9"/>
              <w:ind w:left="498"/>
              <w:rPr>
                <w:sz w:val="20"/>
              </w:rPr>
            </w:pPr>
            <w:r>
              <w:rPr>
                <w:sz w:val="20"/>
              </w:rPr>
              <w:t>80%</w:t>
            </w:r>
          </w:p>
        </w:tc>
        <w:tc>
          <w:tcPr>
            <w:tcW w:w="1371" w:type="dxa"/>
          </w:tcPr>
          <w:p>
            <w:pPr>
              <w:pStyle w:val="TableParagraph"/>
              <w:spacing w:before="9"/>
              <w:ind w:right="539"/>
              <w:jc w:val="right"/>
              <w:rPr>
                <w:sz w:val="20"/>
              </w:rPr>
            </w:pPr>
            <w:r>
              <w:rPr>
                <w:w w:val="100"/>
                <w:sz w:val="20"/>
              </w:rPr>
              <w:t>8</w:t>
            </w:r>
          </w:p>
        </w:tc>
        <w:tc>
          <w:tcPr>
            <w:tcW w:w="1262" w:type="dxa"/>
            <w:tcBorders>
              <w:right w:val="single" w:sz="8" w:space="0" w:color="4F81BC"/>
            </w:tcBorders>
          </w:tcPr>
          <w:p>
            <w:pPr>
              <w:pStyle w:val="TableParagraph"/>
              <w:spacing w:before="9"/>
              <w:ind w:left="462" w:right="348"/>
              <w:jc w:val="center"/>
              <w:rPr>
                <w:sz w:val="20"/>
              </w:rPr>
            </w:pPr>
            <w:r>
              <w:rPr>
                <w:sz w:val="20"/>
              </w:rPr>
              <w:t>16%</w:t>
            </w:r>
          </w:p>
        </w:tc>
      </w:tr>
      <w:tr>
        <w:trPr>
          <w:trHeight w:val="257"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line="230" w:lineRule="exact"/>
              <w:ind w:left="190" w:right="186"/>
              <w:jc w:val="center"/>
              <w:rPr>
                <w:sz w:val="20"/>
              </w:rPr>
            </w:pPr>
            <w:r>
              <w:rPr>
                <w:sz w:val="20"/>
              </w:rPr>
              <w:t>Enjuague bucal</w:t>
            </w:r>
          </w:p>
        </w:tc>
        <w:tc>
          <w:tcPr>
            <w:tcW w:w="1287" w:type="dxa"/>
            <w:shd w:val="clear" w:color="auto" w:fill="C5D9F0"/>
          </w:tcPr>
          <w:p>
            <w:pPr>
              <w:pStyle w:val="TableParagraph"/>
              <w:spacing w:line="230" w:lineRule="exact"/>
              <w:ind w:right="491"/>
              <w:jc w:val="right"/>
              <w:rPr>
                <w:sz w:val="20"/>
              </w:rPr>
            </w:pPr>
            <w:r>
              <w:rPr>
                <w:w w:val="100"/>
                <w:sz w:val="20"/>
              </w:rPr>
              <w:t>4</w:t>
            </w:r>
          </w:p>
        </w:tc>
        <w:tc>
          <w:tcPr>
            <w:tcW w:w="1198" w:type="dxa"/>
            <w:shd w:val="clear" w:color="auto" w:fill="C5D9F0"/>
          </w:tcPr>
          <w:p>
            <w:pPr>
              <w:pStyle w:val="TableParagraph"/>
              <w:spacing w:line="230" w:lineRule="exact"/>
              <w:ind w:left="551"/>
              <w:rPr>
                <w:sz w:val="20"/>
              </w:rPr>
            </w:pPr>
            <w:r>
              <w:rPr>
                <w:sz w:val="20"/>
              </w:rPr>
              <w:t>8%</w:t>
            </w:r>
          </w:p>
        </w:tc>
        <w:tc>
          <w:tcPr>
            <w:tcW w:w="1371" w:type="dxa"/>
            <w:shd w:val="clear" w:color="auto" w:fill="C5D9F0"/>
          </w:tcPr>
          <w:p>
            <w:pPr>
              <w:pStyle w:val="TableParagraph"/>
              <w:spacing w:line="230" w:lineRule="exact"/>
              <w:ind w:right="483"/>
              <w:jc w:val="right"/>
              <w:rPr>
                <w:sz w:val="20"/>
              </w:rPr>
            </w:pPr>
            <w:r>
              <w:rPr>
                <w:sz w:val="20"/>
              </w:rPr>
              <w:t>29</w:t>
            </w:r>
          </w:p>
        </w:tc>
        <w:tc>
          <w:tcPr>
            <w:tcW w:w="1262" w:type="dxa"/>
            <w:tcBorders>
              <w:right w:val="single" w:sz="8" w:space="0" w:color="4F81BC"/>
            </w:tcBorders>
            <w:shd w:val="clear" w:color="auto" w:fill="C5D9F0"/>
          </w:tcPr>
          <w:p>
            <w:pPr>
              <w:pStyle w:val="TableParagraph"/>
              <w:spacing w:line="230" w:lineRule="exact"/>
              <w:ind w:left="462" w:right="348"/>
              <w:jc w:val="center"/>
              <w:rPr>
                <w:sz w:val="20"/>
              </w:rPr>
            </w:pPr>
            <w:r>
              <w:rPr>
                <w:sz w:val="20"/>
              </w:rPr>
              <w:t>58%</w:t>
            </w:r>
          </w:p>
        </w:tc>
      </w:tr>
      <w:tr>
        <w:trPr>
          <w:trHeight w:val="264"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before="7"/>
              <w:ind w:left="190" w:right="178"/>
              <w:jc w:val="center"/>
              <w:rPr>
                <w:sz w:val="20"/>
              </w:rPr>
            </w:pPr>
            <w:r>
              <w:rPr>
                <w:sz w:val="20"/>
              </w:rPr>
              <w:t>Palillos</w:t>
            </w:r>
          </w:p>
        </w:tc>
        <w:tc>
          <w:tcPr>
            <w:tcW w:w="1287" w:type="dxa"/>
            <w:shd w:val="clear" w:color="auto" w:fill="C5D9F0"/>
          </w:tcPr>
          <w:p>
            <w:pPr>
              <w:pStyle w:val="TableParagraph"/>
              <w:spacing w:before="7"/>
              <w:ind w:right="491"/>
              <w:jc w:val="right"/>
              <w:rPr>
                <w:sz w:val="20"/>
              </w:rPr>
            </w:pPr>
            <w:r>
              <w:rPr>
                <w:w w:val="100"/>
                <w:sz w:val="20"/>
              </w:rPr>
              <w:t>1</w:t>
            </w:r>
          </w:p>
        </w:tc>
        <w:tc>
          <w:tcPr>
            <w:tcW w:w="1198" w:type="dxa"/>
            <w:shd w:val="clear" w:color="auto" w:fill="C5D9F0"/>
          </w:tcPr>
          <w:p>
            <w:pPr>
              <w:pStyle w:val="TableParagraph"/>
              <w:spacing w:before="7"/>
              <w:ind w:left="551"/>
              <w:rPr>
                <w:sz w:val="20"/>
              </w:rPr>
            </w:pPr>
            <w:r>
              <w:rPr>
                <w:sz w:val="20"/>
              </w:rPr>
              <w:t>2%</w:t>
            </w:r>
          </w:p>
        </w:tc>
        <w:tc>
          <w:tcPr>
            <w:tcW w:w="1371" w:type="dxa"/>
            <w:shd w:val="clear" w:color="auto" w:fill="C5D9F0"/>
          </w:tcPr>
          <w:p>
            <w:pPr>
              <w:pStyle w:val="TableParagraph"/>
              <w:spacing w:before="7"/>
              <w:ind w:right="539"/>
              <w:jc w:val="right"/>
              <w:rPr>
                <w:sz w:val="20"/>
              </w:rPr>
            </w:pPr>
            <w:r>
              <w:rPr>
                <w:w w:val="100"/>
                <w:sz w:val="20"/>
              </w:rPr>
              <w:t>2</w:t>
            </w:r>
          </w:p>
        </w:tc>
        <w:tc>
          <w:tcPr>
            <w:tcW w:w="1262" w:type="dxa"/>
            <w:tcBorders>
              <w:right w:val="single" w:sz="8" w:space="0" w:color="4F81BC"/>
            </w:tcBorders>
            <w:shd w:val="clear" w:color="auto" w:fill="C5D9F0"/>
          </w:tcPr>
          <w:p>
            <w:pPr>
              <w:pStyle w:val="TableParagraph"/>
              <w:spacing w:before="7"/>
              <w:ind w:left="462" w:right="343"/>
              <w:jc w:val="center"/>
              <w:rPr>
                <w:sz w:val="20"/>
              </w:rPr>
            </w:pPr>
            <w:r>
              <w:rPr>
                <w:sz w:val="20"/>
              </w:rPr>
              <w:t>4%</w:t>
            </w:r>
          </w:p>
        </w:tc>
      </w:tr>
      <w:tr>
        <w:trPr>
          <w:trHeight w:val="792" w:hRule="exact"/>
        </w:trPr>
        <w:tc>
          <w:tcPr>
            <w:tcW w:w="2147" w:type="dxa"/>
            <w:tcBorders>
              <w:left w:val="single" w:sz="8" w:space="0" w:color="4F81BC"/>
            </w:tcBorders>
            <w:shd w:val="clear" w:color="auto" w:fill="C5D9F0"/>
          </w:tcPr>
          <w:p>
            <w:pPr>
              <w:pStyle w:val="TableParagraph"/>
              <w:spacing w:before="136"/>
              <w:ind w:left="164" w:right="215"/>
              <w:jc w:val="center"/>
              <w:rPr>
                <w:b/>
                <w:sz w:val="20"/>
              </w:rPr>
            </w:pPr>
            <w:r>
              <w:rPr>
                <w:b/>
                <w:sz w:val="20"/>
              </w:rPr>
              <w:t>Tipo de auxiliar</w:t>
            </w:r>
          </w:p>
        </w:tc>
        <w:tc>
          <w:tcPr>
            <w:tcW w:w="1796" w:type="dxa"/>
            <w:shd w:val="clear" w:color="auto" w:fill="C5D9F0"/>
          </w:tcPr>
          <w:p>
            <w:pPr>
              <w:pStyle w:val="TableParagraph"/>
              <w:spacing w:line="276" w:lineRule="auto" w:before="7"/>
              <w:ind w:left="378" w:right="368" w:hanging="4"/>
              <w:jc w:val="center"/>
              <w:rPr>
                <w:sz w:val="20"/>
              </w:rPr>
            </w:pPr>
            <w:r>
              <w:rPr>
                <w:sz w:val="20"/>
              </w:rPr>
              <w:t>Hilo dental Tabletas reveladoras</w:t>
            </w:r>
          </w:p>
        </w:tc>
        <w:tc>
          <w:tcPr>
            <w:tcW w:w="1287" w:type="dxa"/>
            <w:shd w:val="clear" w:color="auto" w:fill="C5D9F0"/>
          </w:tcPr>
          <w:p>
            <w:pPr>
              <w:pStyle w:val="TableParagraph"/>
              <w:spacing w:before="7"/>
              <w:ind w:left="187"/>
              <w:jc w:val="center"/>
              <w:rPr>
                <w:sz w:val="20"/>
              </w:rPr>
            </w:pPr>
            <w:r>
              <w:rPr>
                <w:w w:val="100"/>
                <w:sz w:val="20"/>
              </w:rPr>
              <w:t>5</w:t>
            </w:r>
          </w:p>
          <w:p>
            <w:pPr>
              <w:pStyle w:val="TableParagraph"/>
              <w:spacing w:before="169"/>
              <w:ind w:left="187"/>
              <w:jc w:val="center"/>
              <w:rPr>
                <w:sz w:val="20"/>
              </w:rPr>
            </w:pPr>
            <w:r>
              <w:rPr>
                <w:w w:val="100"/>
                <w:sz w:val="20"/>
              </w:rPr>
              <w:t>0</w:t>
            </w:r>
          </w:p>
        </w:tc>
        <w:tc>
          <w:tcPr>
            <w:tcW w:w="1198" w:type="dxa"/>
            <w:shd w:val="clear" w:color="auto" w:fill="C5D9F0"/>
          </w:tcPr>
          <w:p>
            <w:pPr>
              <w:pStyle w:val="TableParagraph"/>
              <w:spacing w:before="7"/>
              <w:ind w:left="498"/>
              <w:rPr>
                <w:sz w:val="20"/>
              </w:rPr>
            </w:pPr>
            <w:r>
              <w:rPr>
                <w:sz w:val="20"/>
              </w:rPr>
              <w:t>10%</w:t>
            </w:r>
          </w:p>
          <w:p>
            <w:pPr>
              <w:pStyle w:val="TableParagraph"/>
              <w:spacing w:before="169"/>
              <w:ind w:left="551"/>
              <w:rPr>
                <w:sz w:val="20"/>
              </w:rPr>
            </w:pPr>
            <w:r>
              <w:rPr>
                <w:sz w:val="20"/>
              </w:rPr>
              <w:t>0%</w:t>
            </w:r>
          </w:p>
        </w:tc>
        <w:tc>
          <w:tcPr>
            <w:tcW w:w="1371" w:type="dxa"/>
            <w:shd w:val="clear" w:color="auto" w:fill="C5D9F0"/>
          </w:tcPr>
          <w:p>
            <w:pPr>
              <w:pStyle w:val="TableParagraph"/>
              <w:spacing w:before="7"/>
              <w:ind w:left="643" w:right="465"/>
              <w:jc w:val="center"/>
              <w:rPr>
                <w:sz w:val="20"/>
              </w:rPr>
            </w:pPr>
            <w:r>
              <w:rPr>
                <w:sz w:val="20"/>
              </w:rPr>
              <w:t>11</w:t>
            </w:r>
          </w:p>
          <w:p>
            <w:pPr>
              <w:pStyle w:val="TableParagraph"/>
              <w:spacing w:before="169"/>
              <w:ind w:left="175"/>
              <w:jc w:val="center"/>
              <w:rPr>
                <w:sz w:val="20"/>
              </w:rPr>
            </w:pPr>
            <w:r>
              <w:rPr>
                <w:w w:val="100"/>
                <w:sz w:val="20"/>
              </w:rPr>
              <w:t>0</w:t>
            </w:r>
          </w:p>
        </w:tc>
        <w:tc>
          <w:tcPr>
            <w:tcW w:w="1262" w:type="dxa"/>
            <w:tcBorders>
              <w:right w:val="single" w:sz="8" w:space="0" w:color="4F81BC"/>
            </w:tcBorders>
            <w:shd w:val="clear" w:color="auto" w:fill="C5D9F0"/>
          </w:tcPr>
          <w:p>
            <w:pPr>
              <w:pStyle w:val="TableParagraph"/>
              <w:spacing w:before="7"/>
              <w:ind w:left="462" w:right="348"/>
              <w:jc w:val="center"/>
              <w:rPr>
                <w:sz w:val="20"/>
              </w:rPr>
            </w:pPr>
            <w:r>
              <w:rPr>
                <w:sz w:val="20"/>
              </w:rPr>
              <w:t>22%</w:t>
            </w:r>
          </w:p>
          <w:p>
            <w:pPr>
              <w:pStyle w:val="TableParagraph"/>
              <w:spacing w:before="169"/>
              <w:ind w:left="462" w:right="343"/>
              <w:jc w:val="center"/>
              <w:rPr>
                <w:sz w:val="20"/>
              </w:rPr>
            </w:pPr>
            <w:r>
              <w:rPr>
                <w:sz w:val="20"/>
              </w:rPr>
              <w:t>0%</w:t>
            </w:r>
          </w:p>
        </w:tc>
      </w:tr>
      <w:tr>
        <w:trPr>
          <w:trHeight w:val="271" w:hRule="exact"/>
        </w:trPr>
        <w:tc>
          <w:tcPr>
            <w:tcW w:w="2147" w:type="dxa"/>
            <w:tcBorders>
              <w:left w:val="single" w:sz="8" w:space="0" w:color="4F81BC"/>
            </w:tcBorders>
            <w:shd w:val="clear" w:color="auto" w:fill="C5D9F0"/>
          </w:tcPr>
          <w:p>
            <w:pPr/>
          </w:p>
        </w:tc>
        <w:tc>
          <w:tcPr>
            <w:tcW w:w="1796" w:type="dxa"/>
            <w:shd w:val="clear" w:color="auto" w:fill="C5D9F0"/>
          </w:tcPr>
          <w:p>
            <w:pPr>
              <w:pStyle w:val="TableParagraph"/>
              <w:spacing w:before="7"/>
              <w:ind w:left="190" w:right="186"/>
              <w:jc w:val="center"/>
              <w:rPr>
                <w:sz w:val="20"/>
              </w:rPr>
            </w:pPr>
            <w:r>
              <w:rPr>
                <w:sz w:val="20"/>
              </w:rPr>
              <w:t>Ninguno</w:t>
            </w:r>
          </w:p>
        </w:tc>
        <w:tc>
          <w:tcPr>
            <w:tcW w:w="1287" w:type="dxa"/>
            <w:shd w:val="clear" w:color="auto" w:fill="C5D9F0"/>
          </w:tcPr>
          <w:p>
            <w:pPr>
              <w:pStyle w:val="TableParagraph"/>
              <w:spacing w:before="7"/>
              <w:ind w:right="440"/>
              <w:jc w:val="right"/>
              <w:rPr>
                <w:sz w:val="20"/>
              </w:rPr>
            </w:pPr>
            <w:r>
              <w:rPr>
                <w:sz w:val="20"/>
              </w:rPr>
              <w:t>40</w:t>
            </w:r>
          </w:p>
        </w:tc>
        <w:tc>
          <w:tcPr>
            <w:tcW w:w="1198" w:type="dxa"/>
            <w:shd w:val="clear" w:color="auto" w:fill="C5D9F0"/>
          </w:tcPr>
          <w:p>
            <w:pPr>
              <w:pStyle w:val="TableParagraph"/>
              <w:spacing w:before="7"/>
              <w:ind w:left="498"/>
              <w:rPr>
                <w:sz w:val="20"/>
              </w:rPr>
            </w:pPr>
            <w:r>
              <w:rPr>
                <w:sz w:val="20"/>
              </w:rPr>
              <w:t>80%</w:t>
            </w:r>
          </w:p>
        </w:tc>
        <w:tc>
          <w:tcPr>
            <w:tcW w:w="1371" w:type="dxa"/>
            <w:shd w:val="clear" w:color="auto" w:fill="C5D9F0"/>
          </w:tcPr>
          <w:p>
            <w:pPr>
              <w:pStyle w:val="TableParagraph"/>
              <w:spacing w:before="7"/>
              <w:ind w:right="539"/>
              <w:jc w:val="right"/>
              <w:rPr>
                <w:sz w:val="20"/>
              </w:rPr>
            </w:pPr>
            <w:r>
              <w:rPr>
                <w:w w:val="100"/>
                <w:sz w:val="20"/>
              </w:rPr>
              <w:t>8</w:t>
            </w:r>
          </w:p>
        </w:tc>
        <w:tc>
          <w:tcPr>
            <w:tcW w:w="1262" w:type="dxa"/>
            <w:tcBorders>
              <w:right w:val="single" w:sz="8" w:space="0" w:color="4F81BC"/>
            </w:tcBorders>
            <w:shd w:val="clear" w:color="auto" w:fill="C5D9F0"/>
          </w:tcPr>
          <w:p>
            <w:pPr>
              <w:pStyle w:val="TableParagraph"/>
              <w:spacing w:before="7"/>
              <w:ind w:left="462" w:right="348"/>
              <w:jc w:val="center"/>
              <w:rPr>
                <w:sz w:val="20"/>
              </w:rPr>
            </w:pPr>
            <w:r>
              <w:rPr>
                <w:sz w:val="20"/>
              </w:rPr>
              <w:t>16%</w:t>
            </w:r>
          </w:p>
        </w:tc>
      </w:tr>
      <w:tr>
        <w:trPr>
          <w:trHeight w:val="257" w:hRule="exact"/>
        </w:trPr>
        <w:tc>
          <w:tcPr>
            <w:tcW w:w="2147" w:type="dxa"/>
            <w:tcBorders>
              <w:left w:val="single" w:sz="8" w:space="0" w:color="4F81BC"/>
            </w:tcBorders>
          </w:tcPr>
          <w:p>
            <w:pPr/>
          </w:p>
        </w:tc>
        <w:tc>
          <w:tcPr>
            <w:tcW w:w="1796" w:type="dxa"/>
          </w:tcPr>
          <w:p>
            <w:pPr>
              <w:pStyle w:val="TableParagraph"/>
              <w:spacing w:line="230" w:lineRule="exact"/>
              <w:ind w:left="190" w:right="178"/>
              <w:jc w:val="center"/>
              <w:rPr>
                <w:sz w:val="20"/>
              </w:rPr>
            </w:pPr>
            <w:r>
              <w:rPr>
                <w:sz w:val="20"/>
              </w:rPr>
              <w:t>Cada mes</w:t>
            </w:r>
          </w:p>
        </w:tc>
        <w:tc>
          <w:tcPr>
            <w:tcW w:w="1287" w:type="dxa"/>
          </w:tcPr>
          <w:p>
            <w:pPr>
              <w:pStyle w:val="TableParagraph"/>
              <w:spacing w:line="230" w:lineRule="exact"/>
              <w:ind w:right="491"/>
              <w:jc w:val="right"/>
              <w:rPr>
                <w:sz w:val="20"/>
              </w:rPr>
            </w:pPr>
            <w:r>
              <w:rPr>
                <w:w w:val="100"/>
                <w:sz w:val="20"/>
              </w:rPr>
              <w:t>9</w:t>
            </w:r>
          </w:p>
        </w:tc>
        <w:tc>
          <w:tcPr>
            <w:tcW w:w="1198" w:type="dxa"/>
          </w:tcPr>
          <w:p>
            <w:pPr>
              <w:pStyle w:val="TableParagraph"/>
              <w:spacing w:line="230" w:lineRule="exact"/>
              <w:ind w:left="498"/>
              <w:rPr>
                <w:sz w:val="20"/>
              </w:rPr>
            </w:pPr>
            <w:r>
              <w:rPr>
                <w:sz w:val="20"/>
              </w:rPr>
              <w:t>18%</w:t>
            </w:r>
          </w:p>
        </w:tc>
        <w:tc>
          <w:tcPr>
            <w:tcW w:w="1371" w:type="dxa"/>
          </w:tcPr>
          <w:p>
            <w:pPr>
              <w:pStyle w:val="TableParagraph"/>
              <w:spacing w:line="230" w:lineRule="exact"/>
              <w:ind w:right="539"/>
              <w:jc w:val="right"/>
              <w:rPr>
                <w:sz w:val="20"/>
              </w:rPr>
            </w:pPr>
            <w:r>
              <w:rPr>
                <w:w w:val="100"/>
                <w:sz w:val="20"/>
              </w:rPr>
              <w:t>7</w:t>
            </w:r>
          </w:p>
        </w:tc>
        <w:tc>
          <w:tcPr>
            <w:tcW w:w="1262" w:type="dxa"/>
            <w:tcBorders>
              <w:right w:val="single" w:sz="8" w:space="0" w:color="4F81BC"/>
            </w:tcBorders>
          </w:tcPr>
          <w:p>
            <w:pPr>
              <w:pStyle w:val="TableParagraph"/>
              <w:spacing w:line="230" w:lineRule="exact"/>
              <w:ind w:left="462" w:right="348"/>
              <w:jc w:val="center"/>
              <w:rPr>
                <w:sz w:val="20"/>
              </w:rPr>
            </w:pPr>
            <w:r>
              <w:rPr>
                <w:sz w:val="20"/>
              </w:rPr>
              <w:t>14%</w:t>
            </w:r>
          </w:p>
        </w:tc>
      </w:tr>
      <w:tr>
        <w:trPr>
          <w:trHeight w:val="1083" w:hRule="exact"/>
        </w:trPr>
        <w:tc>
          <w:tcPr>
            <w:tcW w:w="2147" w:type="dxa"/>
            <w:tcBorders>
              <w:left w:val="single" w:sz="8" w:space="0" w:color="4F81BC"/>
              <w:bottom w:val="single" w:sz="8" w:space="0" w:color="4F81BC"/>
            </w:tcBorders>
          </w:tcPr>
          <w:p>
            <w:pPr>
              <w:pStyle w:val="TableParagraph"/>
              <w:spacing w:line="276" w:lineRule="auto" w:before="136"/>
              <w:ind w:left="749" w:right="192" w:hanging="591"/>
              <w:rPr>
                <w:b/>
                <w:sz w:val="20"/>
              </w:rPr>
            </w:pPr>
            <w:r>
              <w:rPr>
                <w:b/>
                <w:sz w:val="20"/>
              </w:rPr>
              <w:t>Cambio del cepillo dental</w:t>
            </w:r>
          </w:p>
        </w:tc>
        <w:tc>
          <w:tcPr>
            <w:tcW w:w="1796" w:type="dxa"/>
            <w:tcBorders>
              <w:bottom w:val="single" w:sz="4" w:space="0" w:color="4F81BC"/>
            </w:tcBorders>
          </w:tcPr>
          <w:p>
            <w:pPr>
              <w:pStyle w:val="TableParagraph"/>
              <w:spacing w:before="7"/>
              <w:ind w:left="188" w:right="186"/>
              <w:jc w:val="center"/>
              <w:rPr>
                <w:sz w:val="20"/>
              </w:rPr>
            </w:pPr>
            <w:r>
              <w:rPr>
                <w:sz w:val="20"/>
              </w:rPr>
              <w:t>Cada 2 meses</w:t>
            </w:r>
          </w:p>
          <w:p>
            <w:pPr>
              <w:pStyle w:val="TableParagraph"/>
              <w:spacing w:line="276" w:lineRule="auto" w:before="39"/>
              <w:ind w:left="190" w:right="185"/>
              <w:jc w:val="center"/>
              <w:rPr>
                <w:sz w:val="20"/>
              </w:rPr>
            </w:pPr>
            <w:r>
              <w:rPr>
                <w:sz w:val="20"/>
              </w:rPr>
              <w:t>Cada 3 meses Más de tres meses</w:t>
            </w:r>
          </w:p>
        </w:tc>
        <w:tc>
          <w:tcPr>
            <w:tcW w:w="1287" w:type="dxa"/>
            <w:tcBorders>
              <w:bottom w:val="single" w:sz="4" w:space="0" w:color="4F81BC"/>
            </w:tcBorders>
          </w:tcPr>
          <w:p>
            <w:pPr>
              <w:pStyle w:val="TableParagraph"/>
              <w:spacing w:before="7"/>
              <w:ind w:left="602" w:right="421"/>
              <w:jc w:val="center"/>
              <w:rPr>
                <w:sz w:val="20"/>
              </w:rPr>
            </w:pPr>
            <w:r>
              <w:rPr>
                <w:sz w:val="20"/>
              </w:rPr>
              <w:t>10</w:t>
            </w:r>
          </w:p>
          <w:p>
            <w:pPr>
              <w:pStyle w:val="TableParagraph"/>
              <w:spacing w:before="39"/>
              <w:ind w:left="602" w:right="421"/>
              <w:jc w:val="center"/>
              <w:rPr>
                <w:sz w:val="20"/>
              </w:rPr>
            </w:pPr>
            <w:r>
              <w:rPr>
                <w:sz w:val="20"/>
              </w:rPr>
              <w:t>19</w:t>
            </w:r>
          </w:p>
          <w:p>
            <w:pPr>
              <w:pStyle w:val="TableParagraph"/>
              <w:spacing w:before="169"/>
              <w:ind w:left="602" w:right="421"/>
              <w:jc w:val="center"/>
              <w:rPr>
                <w:sz w:val="20"/>
              </w:rPr>
            </w:pPr>
            <w:r>
              <w:rPr>
                <w:sz w:val="20"/>
              </w:rPr>
              <w:t>12</w:t>
            </w:r>
          </w:p>
        </w:tc>
        <w:tc>
          <w:tcPr>
            <w:tcW w:w="1198" w:type="dxa"/>
            <w:tcBorders>
              <w:bottom w:val="single" w:sz="4" w:space="0" w:color="4F81BC"/>
            </w:tcBorders>
          </w:tcPr>
          <w:p>
            <w:pPr>
              <w:pStyle w:val="TableParagraph"/>
              <w:spacing w:before="7"/>
              <w:ind w:left="498"/>
              <w:rPr>
                <w:sz w:val="20"/>
              </w:rPr>
            </w:pPr>
            <w:r>
              <w:rPr>
                <w:sz w:val="20"/>
              </w:rPr>
              <w:t>20%</w:t>
            </w:r>
          </w:p>
          <w:p>
            <w:pPr>
              <w:pStyle w:val="TableParagraph"/>
              <w:spacing w:before="39"/>
              <w:ind w:left="498"/>
              <w:rPr>
                <w:sz w:val="20"/>
              </w:rPr>
            </w:pPr>
            <w:r>
              <w:rPr>
                <w:sz w:val="20"/>
              </w:rPr>
              <w:t>38%</w:t>
            </w:r>
          </w:p>
          <w:p>
            <w:pPr>
              <w:pStyle w:val="TableParagraph"/>
              <w:spacing w:before="169"/>
              <w:ind w:left="498"/>
              <w:rPr>
                <w:sz w:val="20"/>
              </w:rPr>
            </w:pPr>
            <w:r>
              <w:rPr>
                <w:sz w:val="20"/>
              </w:rPr>
              <w:t>24%</w:t>
            </w:r>
          </w:p>
        </w:tc>
        <w:tc>
          <w:tcPr>
            <w:tcW w:w="1371" w:type="dxa"/>
            <w:tcBorders>
              <w:bottom w:val="single" w:sz="4" w:space="0" w:color="4F81BC"/>
            </w:tcBorders>
          </w:tcPr>
          <w:p>
            <w:pPr>
              <w:pStyle w:val="TableParagraph"/>
              <w:spacing w:before="7"/>
              <w:ind w:left="643" w:right="465"/>
              <w:jc w:val="center"/>
              <w:rPr>
                <w:sz w:val="20"/>
              </w:rPr>
            </w:pPr>
            <w:r>
              <w:rPr>
                <w:sz w:val="20"/>
              </w:rPr>
              <w:t>13</w:t>
            </w:r>
          </w:p>
          <w:p>
            <w:pPr>
              <w:pStyle w:val="TableParagraph"/>
              <w:spacing w:before="39"/>
              <w:ind w:left="643" w:right="465"/>
              <w:jc w:val="center"/>
              <w:rPr>
                <w:sz w:val="20"/>
              </w:rPr>
            </w:pPr>
            <w:r>
              <w:rPr>
                <w:sz w:val="20"/>
              </w:rPr>
              <w:t>23</w:t>
            </w:r>
          </w:p>
          <w:p>
            <w:pPr>
              <w:pStyle w:val="TableParagraph"/>
              <w:spacing w:before="169"/>
              <w:ind w:left="175"/>
              <w:jc w:val="center"/>
              <w:rPr>
                <w:sz w:val="20"/>
              </w:rPr>
            </w:pPr>
            <w:r>
              <w:rPr>
                <w:w w:val="100"/>
                <w:sz w:val="20"/>
              </w:rPr>
              <w:t>7</w:t>
            </w:r>
          </w:p>
        </w:tc>
        <w:tc>
          <w:tcPr>
            <w:tcW w:w="1262" w:type="dxa"/>
            <w:tcBorders>
              <w:bottom w:val="single" w:sz="4" w:space="0" w:color="4F81BC"/>
              <w:right w:val="single" w:sz="8" w:space="0" w:color="4F81BC"/>
            </w:tcBorders>
          </w:tcPr>
          <w:p>
            <w:pPr>
              <w:pStyle w:val="TableParagraph"/>
              <w:spacing w:before="7"/>
              <w:ind w:left="484"/>
              <w:rPr>
                <w:sz w:val="20"/>
              </w:rPr>
            </w:pPr>
            <w:r>
              <w:rPr>
                <w:sz w:val="20"/>
              </w:rPr>
              <w:t>26%</w:t>
            </w:r>
          </w:p>
          <w:p>
            <w:pPr>
              <w:pStyle w:val="TableParagraph"/>
              <w:spacing w:before="39"/>
              <w:ind w:left="484"/>
              <w:rPr>
                <w:sz w:val="20"/>
              </w:rPr>
            </w:pPr>
            <w:r>
              <w:rPr>
                <w:sz w:val="20"/>
              </w:rPr>
              <w:t>46%</w:t>
            </w:r>
          </w:p>
          <w:p>
            <w:pPr>
              <w:pStyle w:val="TableParagraph"/>
              <w:spacing w:before="169"/>
              <w:ind w:left="484"/>
              <w:rPr>
                <w:sz w:val="20"/>
              </w:rPr>
            </w:pPr>
            <w:r>
              <w:rPr>
                <w:sz w:val="20"/>
              </w:rPr>
              <w:t>14%</w:t>
            </w:r>
          </w:p>
        </w:tc>
      </w:tr>
    </w:tbl>
    <w:p>
      <w:pPr>
        <w:spacing w:after="0"/>
        <w:rPr>
          <w:sz w:val="20"/>
        </w:rPr>
        <w:sectPr>
          <w:footerReference w:type="default" r:id="rId77"/>
          <w:pgSz w:w="12240" w:h="15840"/>
          <w:pgMar w:footer="1031" w:header="726" w:top="1340" w:bottom="1220" w:left="1180" w:right="1420"/>
          <w:pgNumType w:start="101"/>
        </w:sectPr>
      </w:pPr>
    </w:p>
    <w:p>
      <w:pPr>
        <w:pStyle w:val="BodyText"/>
        <w:spacing w:before="9"/>
        <w:rPr>
          <w:b/>
          <w:sz w:val="22"/>
        </w:rPr>
      </w:pPr>
    </w:p>
    <w:p>
      <w:pPr>
        <w:spacing w:before="70"/>
        <w:ind w:left="1748" w:right="0" w:firstLine="0"/>
        <w:jc w:val="left"/>
        <w:rPr>
          <w:b/>
          <w:sz w:val="24"/>
        </w:rPr>
      </w:pPr>
      <w:r>
        <w:rPr>
          <w:b/>
          <w:sz w:val="24"/>
        </w:rPr>
        <w:t>Tabla 1. Descriptivas de los grupos en estudio (cont.)</w:t>
      </w:r>
    </w:p>
    <w:p>
      <w:pPr>
        <w:pStyle w:val="BodyText"/>
        <w:rPr>
          <w:b/>
          <w:sz w:val="20"/>
        </w:rPr>
      </w:pPr>
    </w:p>
    <w:p>
      <w:pPr>
        <w:pStyle w:val="BodyText"/>
        <w:rPr>
          <w:b/>
          <w:sz w:val="20"/>
        </w:rPr>
      </w:pPr>
    </w:p>
    <w:p>
      <w:pPr>
        <w:pStyle w:val="BodyText"/>
        <w:spacing w:before="8"/>
        <w:rPr>
          <w:b/>
          <w:sz w:val="10"/>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9"/>
        <w:gridCol w:w="848"/>
        <w:gridCol w:w="891"/>
        <w:gridCol w:w="725"/>
        <w:gridCol w:w="668"/>
        <w:gridCol w:w="845"/>
        <w:gridCol w:w="888"/>
        <w:gridCol w:w="803"/>
        <w:gridCol w:w="599"/>
        <w:gridCol w:w="1359"/>
      </w:tblGrid>
      <w:tr>
        <w:trPr>
          <w:trHeight w:val="504" w:hRule="exact"/>
        </w:trPr>
        <w:tc>
          <w:tcPr>
            <w:tcW w:w="1719" w:type="dxa"/>
            <w:vMerge w:val="restart"/>
            <w:shd w:val="clear" w:color="auto" w:fill="4F81BC"/>
          </w:tcPr>
          <w:p>
            <w:pPr>
              <w:pStyle w:val="TableParagraph"/>
              <w:spacing w:before="10"/>
              <w:rPr>
                <w:b/>
                <w:sz w:val="22"/>
              </w:rPr>
            </w:pPr>
          </w:p>
          <w:p>
            <w:pPr>
              <w:pStyle w:val="TableParagraph"/>
              <w:spacing w:line="273" w:lineRule="auto"/>
              <w:ind w:left="431" w:right="417" w:firstLine="24"/>
              <w:rPr>
                <w:b/>
                <w:sz w:val="18"/>
              </w:rPr>
            </w:pPr>
            <w:r>
              <w:rPr>
                <w:b/>
                <w:color w:val="FFFFFF"/>
                <w:sz w:val="18"/>
              </w:rPr>
              <w:t>Variables continuas</w:t>
            </w:r>
          </w:p>
        </w:tc>
        <w:tc>
          <w:tcPr>
            <w:tcW w:w="2464" w:type="dxa"/>
            <w:gridSpan w:val="3"/>
            <w:tcBorders>
              <w:bottom w:val="single" w:sz="8" w:space="0" w:color="FFFFFF"/>
            </w:tcBorders>
            <w:shd w:val="clear" w:color="auto" w:fill="4F81BC"/>
          </w:tcPr>
          <w:p>
            <w:pPr>
              <w:pStyle w:val="TableParagraph"/>
              <w:spacing w:line="273" w:lineRule="auto" w:before="13"/>
              <w:ind w:left="1349" w:right="216" w:hanging="462"/>
              <w:rPr>
                <w:b/>
                <w:sz w:val="18"/>
              </w:rPr>
            </w:pPr>
            <w:r>
              <w:rPr>
                <w:b/>
                <w:color w:val="FFFFFF"/>
                <w:sz w:val="18"/>
              </w:rPr>
              <w:t>Dentición mixta n=50</w:t>
            </w:r>
          </w:p>
        </w:tc>
        <w:tc>
          <w:tcPr>
            <w:tcW w:w="668" w:type="dxa"/>
            <w:tcBorders>
              <w:bottom w:val="single" w:sz="8" w:space="0" w:color="FFFFFF"/>
            </w:tcBorders>
            <w:shd w:val="clear" w:color="auto" w:fill="4F81BC"/>
          </w:tcPr>
          <w:p>
            <w:pPr/>
          </w:p>
        </w:tc>
        <w:tc>
          <w:tcPr>
            <w:tcW w:w="2537" w:type="dxa"/>
            <w:gridSpan w:val="3"/>
            <w:tcBorders>
              <w:bottom w:val="single" w:sz="8" w:space="0" w:color="FFFFFF"/>
            </w:tcBorders>
            <w:shd w:val="clear" w:color="auto" w:fill="4F81BC"/>
          </w:tcPr>
          <w:p>
            <w:pPr>
              <w:pStyle w:val="TableParagraph"/>
              <w:spacing w:line="273" w:lineRule="auto" w:before="13"/>
              <w:ind w:left="1348" w:right="13" w:hanging="735"/>
              <w:rPr>
                <w:b/>
                <w:sz w:val="18"/>
              </w:rPr>
            </w:pPr>
            <w:r>
              <w:rPr>
                <w:b/>
                <w:color w:val="FFFFFF"/>
                <w:sz w:val="18"/>
              </w:rPr>
              <w:t>Dentición permanente n=50</w:t>
            </w:r>
          </w:p>
        </w:tc>
        <w:tc>
          <w:tcPr>
            <w:tcW w:w="599" w:type="dxa"/>
            <w:tcBorders>
              <w:bottom w:val="single" w:sz="8" w:space="0" w:color="FFFFFF"/>
            </w:tcBorders>
            <w:shd w:val="clear" w:color="auto" w:fill="4F81BC"/>
          </w:tcPr>
          <w:p>
            <w:pPr/>
          </w:p>
        </w:tc>
        <w:tc>
          <w:tcPr>
            <w:tcW w:w="1359" w:type="dxa"/>
            <w:tcBorders>
              <w:bottom w:val="single" w:sz="8" w:space="0" w:color="FFFFFF"/>
            </w:tcBorders>
            <w:shd w:val="clear" w:color="auto" w:fill="4F81BC"/>
          </w:tcPr>
          <w:p>
            <w:pPr>
              <w:pStyle w:val="TableParagraph"/>
              <w:spacing w:before="13"/>
              <w:ind w:left="97" w:right="110"/>
              <w:jc w:val="center"/>
              <w:rPr>
                <w:b/>
                <w:sz w:val="18"/>
              </w:rPr>
            </w:pPr>
            <w:r>
              <w:rPr>
                <w:b/>
                <w:color w:val="FFFFFF"/>
                <w:sz w:val="18"/>
              </w:rPr>
              <w:t>Significancia</w:t>
            </w:r>
          </w:p>
        </w:tc>
      </w:tr>
      <w:tr>
        <w:trPr>
          <w:trHeight w:val="497" w:hRule="exact"/>
        </w:trPr>
        <w:tc>
          <w:tcPr>
            <w:tcW w:w="1719" w:type="dxa"/>
            <w:vMerge/>
            <w:shd w:val="clear" w:color="auto" w:fill="4F81BC"/>
          </w:tcPr>
          <w:p>
            <w:pPr/>
          </w:p>
        </w:tc>
        <w:tc>
          <w:tcPr>
            <w:tcW w:w="848" w:type="dxa"/>
            <w:tcBorders>
              <w:top w:val="single" w:sz="8" w:space="0" w:color="FFFFFF"/>
            </w:tcBorders>
            <w:shd w:val="clear" w:color="auto" w:fill="4F81BC"/>
          </w:tcPr>
          <w:p>
            <w:pPr>
              <w:pStyle w:val="TableParagraph"/>
              <w:spacing w:line="201" w:lineRule="exact"/>
              <w:ind w:left="88" w:right="89"/>
              <w:jc w:val="center"/>
              <w:rPr>
                <w:b/>
                <w:sz w:val="18"/>
              </w:rPr>
            </w:pPr>
            <w:r>
              <w:rPr>
                <w:b/>
                <w:color w:val="FFFFFF"/>
                <w:sz w:val="18"/>
              </w:rPr>
              <w:t>Mínimo</w:t>
            </w:r>
          </w:p>
        </w:tc>
        <w:tc>
          <w:tcPr>
            <w:tcW w:w="891" w:type="dxa"/>
            <w:tcBorders>
              <w:top w:val="single" w:sz="8" w:space="0" w:color="FFFFFF"/>
            </w:tcBorders>
            <w:shd w:val="clear" w:color="auto" w:fill="4F81BC"/>
          </w:tcPr>
          <w:p>
            <w:pPr>
              <w:pStyle w:val="TableParagraph"/>
              <w:spacing w:line="201" w:lineRule="exact"/>
              <w:ind w:left="91" w:right="89"/>
              <w:jc w:val="center"/>
              <w:rPr>
                <w:b/>
                <w:sz w:val="18"/>
              </w:rPr>
            </w:pPr>
            <w:r>
              <w:rPr>
                <w:b/>
                <w:color w:val="FFFFFF"/>
                <w:sz w:val="18"/>
              </w:rPr>
              <w:t>Máximo</w:t>
            </w:r>
          </w:p>
        </w:tc>
        <w:tc>
          <w:tcPr>
            <w:tcW w:w="725" w:type="dxa"/>
            <w:tcBorders>
              <w:top w:val="single" w:sz="8" w:space="0" w:color="FFFFFF"/>
            </w:tcBorders>
            <w:shd w:val="clear" w:color="auto" w:fill="4F81BC"/>
          </w:tcPr>
          <w:p>
            <w:pPr>
              <w:pStyle w:val="TableParagraph"/>
              <w:spacing w:line="201" w:lineRule="exact"/>
              <w:ind w:left="87" w:right="87"/>
              <w:jc w:val="center"/>
              <w:rPr>
                <w:b/>
                <w:sz w:val="18"/>
              </w:rPr>
            </w:pPr>
            <w:r>
              <w:rPr>
                <w:b/>
                <w:color w:val="FFFFFF"/>
                <w:sz w:val="18"/>
              </w:rPr>
              <w:t>Media</w:t>
            </w:r>
          </w:p>
        </w:tc>
        <w:tc>
          <w:tcPr>
            <w:tcW w:w="668" w:type="dxa"/>
            <w:tcBorders>
              <w:top w:val="single" w:sz="8" w:space="0" w:color="FFFFFF"/>
            </w:tcBorders>
            <w:shd w:val="clear" w:color="auto" w:fill="4F81BC"/>
          </w:tcPr>
          <w:p>
            <w:pPr>
              <w:pStyle w:val="TableParagraph"/>
              <w:spacing w:line="201" w:lineRule="exact"/>
              <w:ind w:left="83" w:right="88"/>
              <w:jc w:val="center"/>
              <w:rPr>
                <w:b/>
                <w:sz w:val="18"/>
              </w:rPr>
            </w:pPr>
            <w:r>
              <w:rPr>
                <w:b/>
                <w:color w:val="FFFFFF"/>
                <w:sz w:val="18"/>
              </w:rPr>
              <w:t>D.E.</w:t>
            </w:r>
          </w:p>
        </w:tc>
        <w:tc>
          <w:tcPr>
            <w:tcW w:w="845" w:type="dxa"/>
            <w:tcBorders>
              <w:top w:val="single" w:sz="8" w:space="0" w:color="FFFFFF"/>
            </w:tcBorders>
            <w:shd w:val="clear" w:color="auto" w:fill="4F81BC"/>
          </w:tcPr>
          <w:p>
            <w:pPr>
              <w:pStyle w:val="TableParagraph"/>
              <w:spacing w:line="201" w:lineRule="exact"/>
              <w:ind w:left="87" w:right="87"/>
              <w:jc w:val="center"/>
              <w:rPr>
                <w:b/>
                <w:sz w:val="18"/>
              </w:rPr>
            </w:pPr>
            <w:r>
              <w:rPr>
                <w:b/>
                <w:color w:val="FFFFFF"/>
                <w:sz w:val="18"/>
              </w:rPr>
              <w:t>Mínimo</w:t>
            </w:r>
          </w:p>
        </w:tc>
        <w:tc>
          <w:tcPr>
            <w:tcW w:w="888" w:type="dxa"/>
            <w:tcBorders>
              <w:top w:val="single" w:sz="8" w:space="0" w:color="FFFFFF"/>
            </w:tcBorders>
            <w:shd w:val="clear" w:color="auto" w:fill="4F81BC"/>
          </w:tcPr>
          <w:p>
            <w:pPr>
              <w:pStyle w:val="TableParagraph"/>
              <w:spacing w:line="201" w:lineRule="exact"/>
              <w:ind w:left="89" w:right="89"/>
              <w:jc w:val="center"/>
              <w:rPr>
                <w:b/>
                <w:sz w:val="18"/>
              </w:rPr>
            </w:pPr>
            <w:r>
              <w:rPr>
                <w:b/>
                <w:color w:val="FFFFFF"/>
                <w:sz w:val="18"/>
              </w:rPr>
              <w:t>Máximo</w:t>
            </w:r>
          </w:p>
        </w:tc>
        <w:tc>
          <w:tcPr>
            <w:tcW w:w="803" w:type="dxa"/>
            <w:tcBorders>
              <w:top w:val="single" w:sz="8" w:space="0" w:color="FFFFFF"/>
            </w:tcBorders>
            <w:shd w:val="clear" w:color="auto" w:fill="4F81BC"/>
          </w:tcPr>
          <w:p>
            <w:pPr>
              <w:pStyle w:val="TableParagraph"/>
              <w:spacing w:line="201" w:lineRule="exact"/>
              <w:ind w:left="105"/>
              <w:rPr>
                <w:b/>
                <w:sz w:val="18"/>
              </w:rPr>
            </w:pPr>
            <w:r>
              <w:rPr>
                <w:b/>
                <w:color w:val="FFFFFF"/>
                <w:sz w:val="18"/>
              </w:rPr>
              <w:t>Media</w:t>
            </w:r>
          </w:p>
        </w:tc>
        <w:tc>
          <w:tcPr>
            <w:tcW w:w="599" w:type="dxa"/>
            <w:tcBorders>
              <w:top w:val="single" w:sz="8" w:space="0" w:color="FFFFFF"/>
            </w:tcBorders>
            <w:shd w:val="clear" w:color="auto" w:fill="4F81BC"/>
          </w:tcPr>
          <w:p>
            <w:pPr>
              <w:pStyle w:val="TableParagraph"/>
              <w:spacing w:line="201" w:lineRule="exact"/>
              <w:ind w:left="75"/>
              <w:rPr>
                <w:b/>
                <w:sz w:val="18"/>
              </w:rPr>
            </w:pPr>
            <w:r>
              <w:rPr>
                <w:b/>
                <w:color w:val="FFFFFF"/>
                <w:sz w:val="18"/>
              </w:rPr>
              <w:t>D.E.</w:t>
            </w:r>
          </w:p>
        </w:tc>
        <w:tc>
          <w:tcPr>
            <w:tcW w:w="1359" w:type="dxa"/>
            <w:tcBorders>
              <w:top w:val="single" w:sz="8" w:space="0" w:color="FFFFFF"/>
            </w:tcBorders>
            <w:shd w:val="clear" w:color="auto" w:fill="4F81BC"/>
          </w:tcPr>
          <w:p>
            <w:pPr>
              <w:pStyle w:val="TableParagraph"/>
              <w:spacing w:line="278" w:lineRule="auto"/>
              <w:ind w:left="335" w:right="307" w:hanging="24"/>
              <w:rPr>
                <w:b/>
                <w:i/>
                <w:sz w:val="18"/>
              </w:rPr>
            </w:pPr>
            <w:r>
              <w:rPr>
                <w:b/>
                <w:color w:val="FFFFFF"/>
                <w:sz w:val="18"/>
              </w:rPr>
              <w:t>Prueba </w:t>
            </w:r>
            <w:r>
              <w:rPr>
                <w:b/>
                <w:i/>
                <w:color w:val="FFFFFF"/>
                <w:sz w:val="18"/>
              </w:rPr>
              <w:t>t </w:t>
            </w:r>
            <w:r>
              <w:rPr>
                <w:b/>
                <w:i/>
                <w:color w:val="FFFFFF"/>
                <w:sz w:val="18"/>
              </w:rPr>
              <w:t>Student</w:t>
            </w:r>
          </w:p>
        </w:tc>
      </w:tr>
      <w:tr>
        <w:trPr>
          <w:trHeight w:val="247" w:hRule="exact"/>
        </w:trPr>
        <w:tc>
          <w:tcPr>
            <w:tcW w:w="1719" w:type="dxa"/>
            <w:tcBorders>
              <w:top w:val="single" w:sz="8" w:space="0" w:color="4F81BC"/>
              <w:left w:val="single" w:sz="8" w:space="0" w:color="4F81BC"/>
            </w:tcBorders>
            <w:shd w:val="clear" w:color="auto" w:fill="C5D9F0"/>
          </w:tcPr>
          <w:p>
            <w:pPr>
              <w:pStyle w:val="TableParagraph"/>
              <w:spacing w:line="204" w:lineRule="exact"/>
              <w:ind w:left="122" w:right="128"/>
              <w:jc w:val="center"/>
              <w:rPr>
                <w:b/>
                <w:sz w:val="18"/>
              </w:rPr>
            </w:pPr>
            <w:r>
              <w:rPr>
                <w:b/>
                <w:sz w:val="18"/>
              </w:rPr>
              <w:t>Edad</w:t>
            </w:r>
          </w:p>
        </w:tc>
        <w:tc>
          <w:tcPr>
            <w:tcW w:w="848" w:type="dxa"/>
            <w:tcBorders>
              <w:top w:val="single" w:sz="8" w:space="0" w:color="4F81BC"/>
            </w:tcBorders>
            <w:shd w:val="clear" w:color="auto" w:fill="C5D9F0"/>
          </w:tcPr>
          <w:p>
            <w:pPr>
              <w:pStyle w:val="TableParagraph"/>
              <w:spacing w:line="204" w:lineRule="exact"/>
              <w:ind w:right="4"/>
              <w:jc w:val="center"/>
              <w:rPr>
                <w:sz w:val="18"/>
              </w:rPr>
            </w:pPr>
            <w:r>
              <w:rPr>
                <w:w w:val="101"/>
                <w:sz w:val="18"/>
              </w:rPr>
              <w:t>7</w:t>
            </w:r>
          </w:p>
        </w:tc>
        <w:tc>
          <w:tcPr>
            <w:tcW w:w="891" w:type="dxa"/>
            <w:tcBorders>
              <w:top w:val="single" w:sz="8" w:space="0" w:color="4F81BC"/>
            </w:tcBorders>
            <w:shd w:val="clear" w:color="auto" w:fill="C5D9F0"/>
          </w:tcPr>
          <w:p>
            <w:pPr>
              <w:pStyle w:val="TableParagraph"/>
              <w:spacing w:line="204" w:lineRule="exact"/>
              <w:ind w:left="88" w:right="89"/>
              <w:jc w:val="center"/>
              <w:rPr>
                <w:sz w:val="18"/>
              </w:rPr>
            </w:pPr>
            <w:r>
              <w:rPr>
                <w:sz w:val="18"/>
              </w:rPr>
              <w:t>12</w:t>
            </w:r>
          </w:p>
        </w:tc>
        <w:tc>
          <w:tcPr>
            <w:tcW w:w="725" w:type="dxa"/>
            <w:tcBorders>
              <w:top w:val="single" w:sz="8" w:space="0" w:color="4F81BC"/>
            </w:tcBorders>
            <w:shd w:val="clear" w:color="auto" w:fill="C5D9F0"/>
          </w:tcPr>
          <w:p>
            <w:pPr>
              <w:pStyle w:val="TableParagraph"/>
              <w:spacing w:line="204" w:lineRule="exact"/>
              <w:ind w:left="85" w:right="87"/>
              <w:jc w:val="center"/>
              <w:rPr>
                <w:sz w:val="18"/>
              </w:rPr>
            </w:pPr>
            <w:r>
              <w:rPr>
                <w:sz w:val="18"/>
              </w:rPr>
              <w:t>9.54</w:t>
            </w:r>
          </w:p>
        </w:tc>
        <w:tc>
          <w:tcPr>
            <w:tcW w:w="668" w:type="dxa"/>
            <w:tcBorders>
              <w:top w:val="single" w:sz="8" w:space="0" w:color="4F81BC"/>
            </w:tcBorders>
            <w:shd w:val="clear" w:color="auto" w:fill="C5D9F0"/>
          </w:tcPr>
          <w:p>
            <w:pPr>
              <w:pStyle w:val="TableParagraph"/>
              <w:spacing w:line="204" w:lineRule="exact"/>
              <w:ind w:left="88" w:right="88"/>
              <w:jc w:val="center"/>
              <w:rPr>
                <w:sz w:val="18"/>
              </w:rPr>
            </w:pPr>
            <w:r>
              <w:rPr>
                <w:sz w:val="18"/>
              </w:rPr>
              <w:t>1.147</w:t>
            </w:r>
          </w:p>
        </w:tc>
        <w:tc>
          <w:tcPr>
            <w:tcW w:w="845" w:type="dxa"/>
            <w:tcBorders>
              <w:top w:val="single" w:sz="8" w:space="0" w:color="4F81BC"/>
            </w:tcBorders>
            <w:shd w:val="clear" w:color="auto" w:fill="C5D9F0"/>
          </w:tcPr>
          <w:p>
            <w:pPr>
              <w:pStyle w:val="TableParagraph"/>
              <w:spacing w:line="204" w:lineRule="exact"/>
              <w:ind w:left="79" w:right="87"/>
              <w:jc w:val="center"/>
              <w:rPr>
                <w:sz w:val="18"/>
              </w:rPr>
            </w:pPr>
            <w:r>
              <w:rPr>
                <w:sz w:val="18"/>
              </w:rPr>
              <w:t>18</w:t>
            </w:r>
          </w:p>
        </w:tc>
        <w:tc>
          <w:tcPr>
            <w:tcW w:w="888" w:type="dxa"/>
            <w:tcBorders>
              <w:top w:val="single" w:sz="8" w:space="0" w:color="4F81BC"/>
            </w:tcBorders>
            <w:shd w:val="clear" w:color="auto" w:fill="C5D9F0"/>
          </w:tcPr>
          <w:p>
            <w:pPr>
              <w:pStyle w:val="TableParagraph"/>
              <w:spacing w:line="204" w:lineRule="exact"/>
              <w:ind w:left="86" w:right="89"/>
              <w:jc w:val="center"/>
              <w:rPr>
                <w:sz w:val="18"/>
              </w:rPr>
            </w:pPr>
            <w:r>
              <w:rPr>
                <w:sz w:val="18"/>
              </w:rPr>
              <w:t>35</w:t>
            </w:r>
          </w:p>
        </w:tc>
        <w:tc>
          <w:tcPr>
            <w:tcW w:w="803" w:type="dxa"/>
            <w:tcBorders>
              <w:top w:val="single" w:sz="8" w:space="0" w:color="4F81BC"/>
            </w:tcBorders>
            <w:shd w:val="clear" w:color="auto" w:fill="C5D9F0"/>
          </w:tcPr>
          <w:p>
            <w:pPr>
              <w:pStyle w:val="TableParagraph"/>
              <w:spacing w:line="204" w:lineRule="exact"/>
              <w:ind w:left="134"/>
              <w:rPr>
                <w:sz w:val="18"/>
              </w:rPr>
            </w:pPr>
            <w:r>
              <w:rPr>
                <w:sz w:val="18"/>
              </w:rPr>
              <w:t>22.98</w:t>
            </w:r>
          </w:p>
        </w:tc>
        <w:tc>
          <w:tcPr>
            <w:tcW w:w="599" w:type="dxa"/>
            <w:tcBorders>
              <w:top w:val="single" w:sz="8" w:space="0" w:color="4F81BC"/>
            </w:tcBorders>
            <w:shd w:val="clear" w:color="auto" w:fill="C5D9F0"/>
          </w:tcPr>
          <w:p>
            <w:pPr>
              <w:pStyle w:val="TableParagraph"/>
              <w:spacing w:line="204" w:lineRule="exact"/>
              <w:ind w:left="27"/>
              <w:rPr>
                <w:sz w:val="18"/>
              </w:rPr>
            </w:pPr>
            <w:r>
              <w:rPr>
                <w:sz w:val="18"/>
              </w:rPr>
              <w:t>3.617</w:t>
            </w:r>
          </w:p>
        </w:tc>
        <w:tc>
          <w:tcPr>
            <w:tcW w:w="1359" w:type="dxa"/>
            <w:tcBorders>
              <w:top w:val="single" w:sz="8" w:space="0" w:color="4F81BC"/>
              <w:right w:val="single" w:sz="8" w:space="0" w:color="4F81BC"/>
            </w:tcBorders>
            <w:shd w:val="clear" w:color="auto" w:fill="C5D9F0"/>
          </w:tcPr>
          <w:p>
            <w:pPr>
              <w:pStyle w:val="TableParagraph"/>
              <w:spacing w:line="204" w:lineRule="exact"/>
              <w:ind w:left="372" w:right="376"/>
              <w:jc w:val="center"/>
              <w:rPr>
                <w:sz w:val="18"/>
              </w:rPr>
            </w:pPr>
            <w:r>
              <w:rPr>
                <w:sz w:val="18"/>
              </w:rPr>
              <w:t>.000***</w:t>
            </w:r>
          </w:p>
        </w:tc>
      </w:tr>
      <w:tr>
        <w:trPr>
          <w:trHeight w:val="476" w:hRule="exact"/>
        </w:trPr>
        <w:tc>
          <w:tcPr>
            <w:tcW w:w="1719" w:type="dxa"/>
            <w:tcBorders>
              <w:left w:val="single" w:sz="8" w:space="0" w:color="4F81BC"/>
            </w:tcBorders>
          </w:tcPr>
          <w:p>
            <w:pPr>
              <w:pStyle w:val="TableParagraph"/>
              <w:spacing w:line="278" w:lineRule="auto"/>
              <w:ind w:left="720" w:right="208" w:hanging="510"/>
              <w:rPr>
                <w:b/>
                <w:sz w:val="18"/>
              </w:rPr>
            </w:pPr>
            <w:r>
              <w:rPr>
                <w:b/>
                <w:sz w:val="18"/>
              </w:rPr>
              <w:t>No. comidas al día</w:t>
            </w:r>
          </w:p>
        </w:tc>
        <w:tc>
          <w:tcPr>
            <w:tcW w:w="848" w:type="dxa"/>
          </w:tcPr>
          <w:p>
            <w:pPr>
              <w:pStyle w:val="TableParagraph"/>
              <w:spacing w:before="114"/>
              <w:ind w:right="4"/>
              <w:jc w:val="center"/>
              <w:rPr>
                <w:sz w:val="18"/>
              </w:rPr>
            </w:pPr>
            <w:r>
              <w:rPr>
                <w:w w:val="101"/>
                <w:sz w:val="18"/>
              </w:rPr>
              <w:t>2</w:t>
            </w:r>
          </w:p>
        </w:tc>
        <w:tc>
          <w:tcPr>
            <w:tcW w:w="891" w:type="dxa"/>
          </w:tcPr>
          <w:p>
            <w:pPr>
              <w:pStyle w:val="TableParagraph"/>
              <w:spacing w:before="114"/>
              <w:ind w:right="5"/>
              <w:jc w:val="center"/>
              <w:rPr>
                <w:sz w:val="18"/>
              </w:rPr>
            </w:pPr>
            <w:r>
              <w:rPr>
                <w:w w:val="101"/>
                <w:sz w:val="18"/>
              </w:rPr>
              <w:t>4</w:t>
            </w:r>
          </w:p>
        </w:tc>
        <w:tc>
          <w:tcPr>
            <w:tcW w:w="725" w:type="dxa"/>
          </w:tcPr>
          <w:p>
            <w:pPr>
              <w:pStyle w:val="TableParagraph"/>
              <w:spacing w:before="114"/>
              <w:ind w:left="85" w:right="87"/>
              <w:jc w:val="center"/>
              <w:rPr>
                <w:sz w:val="18"/>
              </w:rPr>
            </w:pPr>
            <w:r>
              <w:rPr>
                <w:sz w:val="18"/>
              </w:rPr>
              <w:t>2.70</w:t>
            </w:r>
          </w:p>
        </w:tc>
        <w:tc>
          <w:tcPr>
            <w:tcW w:w="668" w:type="dxa"/>
          </w:tcPr>
          <w:p>
            <w:pPr>
              <w:pStyle w:val="TableParagraph"/>
              <w:spacing w:before="114"/>
              <w:ind w:left="86" w:right="88"/>
              <w:jc w:val="center"/>
              <w:rPr>
                <w:sz w:val="18"/>
              </w:rPr>
            </w:pPr>
            <w:r>
              <w:rPr>
                <w:sz w:val="18"/>
              </w:rPr>
              <w:t>.600</w:t>
            </w:r>
          </w:p>
        </w:tc>
        <w:tc>
          <w:tcPr>
            <w:tcW w:w="845" w:type="dxa"/>
          </w:tcPr>
          <w:p>
            <w:pPr>
              <w:pStyle w:val="TableParagraph"/>
              <w:spacing w:before="114"/>
              <w:ind w:right="2"/>
              <w:jc w:val="center"/>
              <w:rPr>
                <w:sz w:val="18"/>
              </w:rPr>
            </w:pPr>
            <w:r>
              <w:rPr>
                <w:w w:val="101"/>
                <w:sz w:val="18"/>
              </w:rPr>
              <w:t>1</w:t>
            </w:r>
          </w:p>
        </w:tc>
        <w:tc>
          <w:tcPr>
            <w:tcW w:w="888" w:type="dxa"/>
          </w:tcPr>
          <w:p>
            <w:pPr>
              <w:pStyle w:val="TableParagraph"/>
              <w:spacing w:before="114"/>
              <w:ind w:right="7"/>
              <w:jc w:val="center"/>
              <w:rPr>
                <w:sz w:val="18"/>
              </w:rPr>
            </w:pPr>
            <w:r>
              <w:rPr>
                <w:w w:val="101"/>
                <w:sz w:val="18"/>
              </w:rPr>
              <w:t>5</w:t>
            </w:r>
          </w:p>
        </w:tc>
        <w:tc>
          <w:tcPr>
            <w:tcW w:w="803" w:type="dxa"/>
          </w:tcPr>
          <w:p>
            <w:pPr>
              <w:pStyle w:val="TableParagraph"/>
              <w:spacing w:before="114"/>
              <w:ind w:left="182"/>
              <w:rPr>
                <w:sz w:val="18"/>
              </w:rPr>
            </w:pPr>
            <w:r>
              <w:rPr>
                <w:sz w:val="18"/>
              </w:rPr>
              <w:t>2.78</w:t>
            </w:r>
          </w:p>
        </w:tc>
        <w:tc>
          <w:tcPr>
            <w:tcW w:w="599" w:type="dxa"/>
          </w:tcPr>
          <w:p>
            <w:pPr>
              <w:pStyle w:val="TableParagraph"/>
              <w:spacing w:before="114"/>
              <w:ind w:left="75"/>
              <w:rPr>
                <w:sz w:val="18"/>
              </w:rPr>
            </w:pPr>
            <w:r>
              <w:rPr>
                <w:sz w:val="18"/>
              </w:rPr>
              <w:t>.841</w:t>
            </w:r>
          </w:p>
        </w:tc>
        <w:tc>
          <w:tcPr>
            <w:tcW w:w="1359" w:type="dxa"/>
            <w:tcBorders>
              <w:right w:val="single" w:sz="8" w:space="0" w:color="4F81BC"/>
            </w:tcBorders>
          </w:tcPr>
          <w:p>
            <w:pPr>
              <w:pStyle w:val="TableParagraph"/>
              <w:spacing w:before="114"/>
              <w:ind w:left="372" w:right="376"/>
              <w:jc w:val="center"/>
              <w:rPr>
                <w:sz w:val="18"/>
              </w:rPr>
            </w:pPr>
            <w:r>
              <w:rPr>
                <w:sz w:val="18"/>
              </w:rPr>
              <w:t>.465</w:t>
            </w:r>
          </w:p>
        </w:tc>
      </w:tr>
      <w:tr>
        <w:trPr>
          <w:trHeight w:val="955" w:hRule="exact"/>
        </w:trPr>
        <w:tc>
          <w:tcPr>
            <w:tcW w:w="1719" w:type="dxa"/>
            <w:tcBorders>
              <w:left w:val="single" w:sz="8" w:space="0" w:color="4F81BC"/>
            </w:tcBorders>
            <w:shd w:val="clear" w:color="auto" w:fill="C5D9F0"/>
          </w:tcPr>
          <w:p>
            <w:pPr>
              <w:pStyle w:val="TableParagraph"/>
              <w:spacing w:line="276" w:lineRule="auto"/>
              <w:ind w:left="254" w:right="257" w:hanging="1"/>
              <w:jc w:val="center"/>
              <w:rPr>
                <w:b/>
                <w:sz w:val="18"/>
              </w:rPr>
            </w:pPr>
            <w:r>
              <w:rPr>
                <w:b/>
                <w:sz w:val="18"/>
              </w:rPr>
              <w:t>No. alimentos nutritivos con contenido de azúcar</w:t>
            </w:r>
          </w:p>
        </w:tc>
        <w:tc>
          <w:tcPr>
            <w:tcW w:w="848" w:type="dxa"/>
            <w:shd w:val="clear" w:color="auto" w:fill="C5D9F0"/>
          </w:tcPr>
          <w:p>
            <w:pPr>
              <w:pStyle w:val="TableParagraph"/>
              <w:rPr>
                <w:b/>
                <w:sz w:val="18"/>
              </w:rPr>
            </w:pPr>
          </w:p>
          <w:p>
            <w:pPr>
              <w:pStyle w:val="TableParagraph"/>
              <w:spacing w:before="147"/>
              <w:ind w:right="4"/>
              <w:jc w:val="center"/>
              <w:rPr>
                <w:sz w:val="18"/>
              </w:rPr>
            </w:pPr>
            <w:r>
              <w:rPr>
                <w:w w:val="101"/>
                <w:sz w:val="18"/>
              </w:rPr>
              <w:t>1</w:t>
            </w:r>
          </w:p>
        </w:tc>
        <w:tc>
          <w:tcPr>
            <w:tcW w:w="891" w:type="dxa"/>
            <w:shd w:val="clear" w:color="auto" w:fill="C5D9F0"/>
          </w:tcPr>
          <w:p>
            <w:pPr>
              <w:pStyle w:val="TableParagraph"/>
              <w:rPr>
                <w:b/>
                <w:sz w:val="18"/>
              </w:rPr>
            </w:pPr>
          </w:p>
          <w:p>
            <w:pPr>
              <w:pStyle w:val="TableParagraph"/>
              <w:spacing w:before="147"/>
              <w:ind w:right="5"/>
              <w:jc w:val="center"/>
              <w:rPr>
                <w:sz w:val="18"/>
              </w:rPr>
            </w:pPr>
            <w:r>
              <w:rPr>
                <w:w w:val="101"/>
                <w:sz w:val="18"/>
              </w:rPr>
              <w:t>4</w:t>
            </w:r>
          </w:p>
        </w:tc>
        <w:tc>
          <w:tcPr>
            <w:tcW w:w="725" w:type="dxa"/>
            <w:shd w:val="clear" w:color="auto" w:fill="C5D9F0"/>
          </w:tcPr>
          <w:p>
            <w:pPr>
              <w:pStyle w:val="TableParagraph"/>
              <w:rPr>
                <w:b/>
                <w:sz w:val="18"/>
              </w:rPr>
            </w:pPr>
          </w:p>
          <w:p>
            <w:pPr>
              <w:pStyle w:val="TableParagraph"/>
              <w:spacing w:before="147"/>
              <w:ind w:left="85" w:right="87"/>
              <w:jc w:val="center"/>
              <w:rPr>
                <w:sz w:val="18"/>
              </w:rPr>
            </w:pPr>
            <w:r>
              <w:rPr>
                <w:sz w:val="18"/>
              </w:rPr>
              <w:t>1.61</w:t>
            </w:r>
          </w:p>
        </w:tc>
        <w:tc>
          <w:tcPr>
            <w:tcW w:w="668" w:type="dxa"/>
            <w:shd w:val="clear" w:color="auto" w:fill="C5D9F0"/>
          </w:tcPr>
          <w:p>
            <w:pPr>
              <w:pStyle w:val="TableParagraph"/>
              <w:rPr>
                <w:b/>
                <w:sz w:val="18"/>
              </w:rPr>
            </w:pPr>
          </w:p>
          <w:p>
            <w:pPr>
              <w:pStyle w:val="TableParagraph"/>
              <w:spacing w:before="147"/>
              <w:ind w:left="86" w:right="88"/>
              <w:jc w:val="center"/>
              <w:rPr>
                <w:sz w:val="18"/>
              </w:rPr>
            </w:pPr>
            <w:r>
              <w:rPr>
                <w:sz w:val="18"/>
              </w:rPr>
              <w:t>.656</w:t>
            </w:r>
          </w:p>
        </w:tc>
        <w:tc>
          <w:tcPr>
            <w:tcW w:w="845" w:type="dxa"/>
            <w:shd w:val="clear" w:color="auto" w:fill="C5D9F0"/>
          </w:tcPr>
          <w:p>
            <w:pPr>
              <w:pStyle w:val="TableParagraph"/>
              <w:rPr>
                <w:b/>
                <w:sz w:val="18"/>
              </w:rPr>
            </w:pPr>
          </w:p>
          <w:p>
            <w:pPr>
              <w:pStyle w:val="TableParagraph"/>
              <w:spacing w:before="147"/>
              <w:ind w:left="84" w:right="87"/>
              <w:jc w:val="center"/>
              <w:rPr>
                <w:sz w:val="18"/>
              </w:rPr>
            </w:pPr>
            <w:r>
              <w:rPr>
                <w:sz w:val="18"/>
              </w:rPr>
              <w:t>.00</w:t>
            </w:r>
          </w:p>
        </w:tc>
        <w:tc>
          <w:tcPr>
            <w:tcW w:w="888" w:type="dxa"/>
            <w:shd w:val="clear" w:color="auto" w:fill="C5D9F0"/>
          </w:tcPr>
          <w:p>
            <w:pPr>
              <w:pStyle w:val="TableParagraph"/>
              <w:rPr>
                <w:b/>
                <w:sz w:val="18"/>
              </w:rPr>
            </w:pPr>
          </w:p>
          <w:p>
            <w:pPr>
              <w:pStyle w:val="TableParagraph"/>
              <w:spacing w:before="147"/>
              <w:ind w:left="87" w:right="89"/>
              <w:jc w:val="center"/>
              <w:rPr>
                <w:sz w:val="18"/>
              </w:rPr>
            </w:pPr>
            <w:r>
              <w:rPr>
                <w:sz w:val="18"/>
              </w:rPr>
              <w:t>6.67</w:t>
            </w:r>
          </w:p>
        </w:tc>
        <w:tc>
          <w:tcPr>
            <w:tcW w:w="803" w:type="dxa"/>
            <w:shd w:val="clear" w:color="auto" w:fill="C5D9F0"/>
          </w:tcPr>
          <w:p>
            <w:pPr>
              <w:pStyle w:val="TableParagraph"/>
              <w:rPr>
                <w:b/>
                <w:sz w:val="18"/>
              </w:rPr>
            </w:pPr>
          </w:p>
          <w:p>
            <w:pPr>
              <w:pStyle w:val="TableParagraph"/>
              <w:spacing w:before="147"/>
              <w:ind w:left="134"/>
              <w:rPr>
                <w:sz w:val="18"/>
              </w:rPr>
            </w:pPr>
            <w:r>
              <w:rPr>
                <w:sz w:val="18"/>
              </w:rPr>
              <w:t>1.465</w:t>
            </w:r>
          </w:p>
        </w:tc>
        <w:tc>
          <w:tcPr>
            <w:tcW w:w="599" w:type="dxa"/>
            <w:shd w:val="clear" w:color="auto" w:fill="C5D9F0"/>
          </w:tcPr>
          <w:p>
            <w:pPr>
              <w:pStyle w:val="TableParagraph"/>
              <w:rPr>
                <w:b/>
                <w:sz w:val="18"/>
              </w:rPr>
            </w:pPr>
          </w:p>
          <w:p>
            <w:pPr>
              <w:pStyle w:val="TableParagraph"/>
              <w:spacing w:before="147"/>
              <w:ind w:left="27"/>
              <w:rPr>
                <w:sz w:val="18"/>
              </w:rPr>
            </w:pPr>
            <w:r>
              <w:rPr>
                <w:sz w:val="18"/>
              </w:rPr>
              <w:t>1.159</w:t>
            </w:r>
          </w:p>
        </w:tc>
        <w:tc>
          <w:tcPr>
            <w:tcW w:w="1359" w:type="dxa"/>
            <w:tcBorders>
              <w:right w:val="single" w:sz="8" w:space="0" w:color="4F81BC"/>
            </w:tcBorders>
            <w:shd w:val="clear" w:color="auto" w:fill="C5D9F0"/>
          </w:tcPr>
          <w:p>
            <w:pPr>
              <w:pStyle w:val="TableParagraph"/>
              <w:rPr>
                <w:b/>
                <w:sz w:val="18"/>
              </w:rPr>
            </w:pPr>
          </w:p>
          <w:p>
            <w:pPr>
              <w:pStyle w:val="TableParagraph"/>
              <w:spacing w:before="147"/>
              <w:ind w:left="372" w:right="376"/>
              <w:jc w:val="center"/>
              <w:rPr>
                <w:sz w:val="18"/>
              </w:rPr>
            </w:pPr>
            <w:r>
              <w:rPr>
                <w:sz w:val="18"/>
              </w:rPr>
              <w:t>.509</w:t>
            </w:r>
          </w:p>
        </w:tc>
      </w:tr>
      <w:tr>
        <w:trPr>
          <w:trHeight w:val="951" w:hRule="exact"/>
        </w:trPr>
        <w:tc>
          <w:tcPr>
            <w:tcW w:w="1719" w:type="dxa"/>
            <w:tcBorders>
              <w:left w:val="single" w:sz="8" w:space="0" w:color="4F81BC"/>
            </w:tcBorders>
          </w:tcPr>
          <w:p>
            <w:pPr>
              <w:pStyle w:val="TableParagraph"/>
              <w:spacing w:line="273" w:lineRule="auto"/>
              <w:ind w:left="124" w:right="128"/>
              <w:jc w:val="center"/>
              <w:rPr>
                <w:b/>
                <w:sz w:val="18"/>
              </w:rPr>
            </w:pPr>
            <w:r>
              <w:rPr>
                <w:b/>
                <w:sz w:val="18"/>
              </w:rPr>
              <w:t>No. alimentos no nutritivos con contenido de azúcar</w:t>
            </w:r>
          </w:p>
        </w:tc>
        <w:tc>
          <w:tcPr>
            <w:tcW w:w="848" w:type="dxa"/>
          </w:tcPr>
          <w:p>
            <w:pPr>
              <w:pStyle w:val="TableParagraph"/>
              <w:rPr>
                <w:b/>
                <w:sz w:val="18"/>
              </w:rPr>
            </w:pPr>
          </w:p>
          <w:p>
            <w:pPr>
              <w:pStyle w:val="TableParagraph"/>
              <w:spacing w:before="143"/>
              <w:ind w:right="4"/>
              <w:jc w:val="center"/>
              <w:rPr>
                <w:sz w:val="18"/>
              </w:rPr>
            </w:pPr>
            <w:r>
              <w:rPr>
                <w:w w:val="101"/>
                <w:sz w:val="18"/>
              </w:rPr>
              <w:t>0</w:t>
            </w:r>
          </w:p>
        </w:tc>
        <w:tc>
          <w:tcPr>
            <w:tcW w:w="891" w:type="dxa"/>
          </w:tcPr>
          <w:p>
            <w:pPr>
              <w:pStyle w:val="TableParagraph"/>
              <w:rPr>
                <w:b/>
                <w:sz w:val="18"/>
              </w:rPr>
            </w:pPr>
          </w:p>
          <w:p>
            <w:pPr>
              <w:pStyle w:val="TableParagraph"/>
              <w:spacing w:before="143"/>
              <w:ind w:right="5"/>
              <w:jc w:val="center"/>
              <w:rPr>
                <w:sz w:val="18"/>
              </w:rPr>
            </w:pPr>
            <w:r>
              <w:rPr>
                <w:w w:val="101"/>
                <w:sz w:val="18"/>
              </w:rPr>
              <w:t>5</w:t>
            </w:r>
          </w:p>
        </w:tc>
        <w:tc>
          <w:tcPr>
            <w:tcW w:w="725" w:type="dxa"/>
          </w:tcPr>
          <w:p>
            <w:pPr>
              <w:pStyle w:val="TableParagraph"/>
              <w:rPr>
                <w:b/>
                <w:sz w:val="18"/>
              </w:rPr>
            </w:pPr>
          </w:p>
          <w:p>
            <w:pPr>
              <w:pStyle w:val="TableParagraph"/>
              <w:spacing w:before="143"/>
              <w:ind w:left="85" w:right="87"/>
              <w:jc w:val="center"/>
              <w:rPr>
                <w:sz w:val="18"/>
              </w:rPr>
            </w:pPr>
            <w:r>
              <w:rPr>
                <w:sz w:val="18"/>
              </w:rPr>
              <w:t>1.19</w:t>
            </w:r>
          </w:p>
        </w:tc>
        <w:tc>
          <w:tcPr>
            <w:tcW w:w="668" w:type="dxa"/>
          </w:tcPr>
          <w:p>
            <w:pPr>
              <w:pStyle w:val="TableParagraph"/>
              <w:rPr>
                <w:b/>
                <w:sz w:val="18"/>
              </w:rPr>
            </w:pPr>
          </w:p>
          <w:p>
            <w:pPr>
              <w:pStyle w:val="TableParagraph"/>
              <w:spacing w:before="143"/>
              <w:ind w:left="86" w:right="88"/>
              <w:jc w:val="center"/>
              <w:rPr>
                <w:sz w:val="18"/>
              </w:rPr>
            </w:pPr>
            <w:r>
              <w:rPr>
                <w:sz w:val="18"/>
              </w:rPr>
              <w:t>.863</w:t>
            </w:r>
          </w:p>
        </w:tc>
        <w:tc>
          <w:tcPr>
            <w:tcW w:w="845" w:type="dxa"/>
          </w:tcPr>
          <w:p>
            <w:pPr>
              <w:pStyle w:val="TableParagraph"/>
              <w:rPr>
                <w:b/>
                <w:sz w:val="18"/>
              </w:rPr>
            </w:pPr>
          </w:p>
          <w:p>
            <w:pPr>
              <w:pStyle w:val="TableParagraph"/>
              <w:spacing w:before="143"/>
              <w:ind w:left="84" w:right="87"/>
              <w:jc w:val="center"/>
              <w:rPr>
                <w:sz w:val="18"/>
              </w:rPr>
            </w:pPr>
            <w:r>
              <w:rPr>
                <w:sz w:val="18"/>
              </w:rPr>
              <w:t>.00</w:t>
            </w:r>
          </w:p>
        </w:tc>
        <w:tc>
          <w:tcPr>
            <w:tcW w:w="888" w:type="dxa"/>
          </w:tcPr>
          <w:p>
            <w:pPr>
              <w:pStyle w:val="TableParagraph"/>
              <w:rPr>
                <w:b/>
                <w:sz w:val="18"/>
              </w:rPr>
            </w:pPr>
          </w:p>
          <w:p>
            <w:pPr>
              <w:pStyle w:val="TableParagraph"/>
              <w:spacing w:before="143"/>
              <w:ind w:left="87" w:right="89"/>
              <w:jc w:val="center"/>
              <w:rPr>
                <w:sz w:val="18"/>
              </w:rPr>
            </w:pPr>
            <w:r>
              <w:rPr>
                <w:sz w:val="18"/>
              </w:rPr>
              <w:t>5.00</w:t>
            </w:r>
          </w:p>
        </w:tc>
        <w:tc>
          <w:tcPr>
            <w:tcW w:w="803" w:type="dxa"/>
          </w:tcPr>
          <w:p>
            <w:pPr>
              <w:pStyle w:val="TableParagraph"/>
              <w:rPr>
                <w:b/>
                <w:sz w:val="18"/>
              </w:rPr>
            </w:pPr>
          </w:p>
          <w:p>
            <w:pPr>
              <w:pStyle w:val="TableParagraph"/>
              <w:spacing w:before="143"/>
              <w:ind w:left="134"/>
              <w:rPr>
                <w:sz w:val="18"/>
              </w:rPr>
            </w:pPr>
            <w:r>
              <w:rPr>
                <w:sz w:val="18"/>
              </w:rPr>
              <w:t>1.732</w:t>
            </w:r>
          </w:p>
        </w:tc>
        <w:tc>
          <w:tcPr>
            <w:tcW w:w="599" w:type="dxa"/>
          </w:tcPr>
          <w:p>
            <w:pPr>
              <w:pStyle w:val="TableParagraph"/>
              <w:rPr>
                <w:b/>
                <w:sz w:val="18"/>
              </w:rPr>
            </w:pPr>
          </w:p>
          <w:p>
            <w:pPr>
              <w:pStyle w:val="TableParagraph"/>
              <w:spacing w:before="143"/>
              <w:ind w:left="27"/>
              <w:rPr>
                <w:sz w:val="18"/>
              </w:rPr>
            </w:pPr>
            <w:r>
              <w:rPr>
                <w:sz w:val="18"/>
              </w:rPr>
              <w:t>1.347</w:t>
            </w:r>
          </w:p>
        </w:tc>
        <w:tc>
          <w:tcPr>
            <w:tcW w:w="1359" w:type="dxa"/>
            <w:tcBorders>
              <w:right w:val="single" w:sz="8" w:space="0" w:color="4F81BC"/>
            </w:tcBorders>
          </w:tcPr>
          <w:p>
            <w:pPr>
              <w:pStyle w:val="TableParagraph"/>
              <w:rPr>
                <w:b/>
                <w:sz w:val="18"/>
              </w:rPr>
            </w:pPr>
          </w:p>
          <w:p>
            <w:pPr>
              <w:pStyle w:val="TableParagraph"/>
              <w:spacing w:before="143"/>
              <w:ind w:left="372" w:right="373"/>
              <w:jc w:val="center"/>
              <w:rPr>
                <w:sz w:val="18"/>
              </w:rPr>
            </w:pPr>
            <w:r>
              <w:rPr>
                <w:sz w:val="18"/>
              </w:rPr>
              <w:t>.022**</w:t>
            </w:r>
          </w:p>
        </w:tc>
      </w:tr>
      <w:tr>
        <w:trPr>
          <w:trHeight w:val="1200" w:hRule="exact"/>
        </w:trPr>
        <w:tc>
          <w:tcPr>
            <w:tcW w:w="1719" w:type="dxa"/>
            <w:tcBorders>
              <w:left w:val="single" w:sz="8" w:space="0" w:color="4F81BC"/>
              <w:bottom w:val="single" w:sz="8" w:space="0" w:color="4F81BC"/>
            </w:tcBorders>
            <w:shd w:val="clear" w:color="auto" w:fill="C5D9F0"/>
          </w:tcPr>
          <w:p>
            <w:pPr>
              <w:pStyle w:val="TableParagraph"/>
              <w:spacing w:line="276" w:lineRule="auto"/>
              <w:ind w:left="124" w:right="128"/>
              <w:jc w:val="center"/>
              <w:rPr>
                <w:b/>
                <w:sz w:val="18"/>
              </w:rPr>
            </w:pPr>
            <w:r>
              <w:rPr>
                <w:b/>
                <w:sz w:val="18"/>
              </w:rPr>
              <w:t>No. alimentos no nutritivos con contenido de azúcar antes de dormir</w:t>
            </w:r>
          </w:p>
        </w:tc>
        <w:tc>
          <w:tcPr>
            <w:tcW w:w="848" w:type="dxa"/>
            <w:tcBorders>
              <w:bottom w:val="single" w:sz="8" w:space="0" w:color="4F81BC"/>
            </w:tcBorders>
            <w:shd w:val="clear" w:color="auto" w:fill="C5D9F0"/>
          </w:tcPr>
          <w:p>
            <w:pPr>
              <w:pStyle w:val="TableParagraph"/>
              <w:rPr>
                <w:b/>
                <w:sz w:val="18"/>
              </w:rPr>
            </w:pPr>
          </w:p>
          <w:p>
            <w:pPr>
              <w:pStyle w:val="TableParagraph"/>
              <w:spacing w:before="9"/>
              <w:rPr>
                <w:b/>
                <w:sz w:val="22"/>
              </w:rPr>
            </w:pPr>
          </w:p>
          <w:p>
            <w:pPr>
              <w:pStyle w:val="TableParagraph"/>
              <w:ind w:right="4"/>
              <w:jc w:val="center"/>
              <w:rPr>
                <w:sz w:val="18"/>
              </w:rPr>
            </w:pPr>
            <w:r>
              <w:rPr>
                <w:w w:val="101"/>
                <w:sz w:val="18"/>
              </w:rPr>
              <w:t>0</w:t>
            </w:r>
          </w:p>
        </w:tc>
        <w:tc>
          <w:tcPr>
            <w:tcW w:w="891" w:type="dxa"/>
            <w:tcBorders>
              <w:bottom w:val="single" w:sz="8" w:space="0" w:color="4F81BC"/>
            </w:tcBorders>
            <w:shd w:val="clear" w:color="auto" w:fill="C5D9F0"/>
          </w:tcPr>
          <w:p>
            <w:pPr>
              <w:pStyle w:val="TableParagraph"/>
              <w:rPr>
                <w:b/>
                <w:sz w:val="18"/>
              </w:rPr>
            </w:pPr>
          </w:p>
          <w:p>
            <w:pPr>
              <w:pStyle w:val="TableParagraph"/>
              <w:spacing w:before="9"/>
              <w:rPr>
                <w:b/>
                <w:sz w:val="22"/>
              </w:rPr>
            </w:pPr>
          </w:p>
          <w:p>
            <w:pPr>
              <w:pStyle w:val="TableParagraph"/>
              <w:ind w:right="5"/>
              <w:jc w:val="center"/>
              <w:rPr>
                <w:sz w:val="18"/>
              </w:rPr>
            </w:pPr>
            <w:r>
              <w:rPr>
                <w:w w:val="101"/>
                <w:sz w:val="18"/>
              </w:rPr>
              <w:t>9</w:t>
            </w:r>
          </w:p>
        </w:tc>
        <w:tc>
          <w:tcPr>
            <w:tcW w:w="725" w:type="dxa"/>
            <w:tcBorders>
              <w:bottom w:val="single" w:sz="8" w:space="0" w:color="4F81BC"/>
            </w:tcBorders>
            <w:shd w:val="clear" w:color="auto" w:fill="C5D9F0"/>
          </w:tcPr>
          <w:p>
            <w:pPr>
              <w:pStyle w:val="TableParagraph"/>
              <w:rPr>
                <w:b/>
                <w:sz w:val="18"/>
              </w:rPr>
            </w:pPr>
          </w:p>
          <w:p>
            <w:pPr>
              <w:pStyle w:val="TableParagraph"/>
              <w:spacing w:before="9"/>
              <w:rPr>
                <w:b/>
                <w:sz w:val="22"/>
              </w:rPr>
            </w:pPr>
          </w:p>
          <w:p>
            <w:pPr>
              <w:pStyle w:val="TableParagraph"/>
              <w:ind w:left="87" w:right="87"/>
              <w:jc w:val="center"/>
              <w:rPr>
                <w:sz w:val="18"/>
              </w:rPr>
            </w:pPr>
            <w:r>
              <w:rPr>
                <w:sz w:val="18"/>
              </w:rPr>
              <w:t>.30</w:t>
            </w:r>
          </w:p>
        </w:tc>
        <w:tc>
          <w:tcPr>
            <w:tcW w:w="668" w:type="dxa"/>
            <w:tcBorders>
              <w:bottom w:val="single" w:sz="8" w:space="0" w:color="4F81BC"/>
            </w:tcBorders>
            <w:shd w:val="clear" w:color="auto" w:fill="C5D9F0"/>
          </w:tcPr>
          <w:p>
            <w:pPr>
              <w:pStyle w:val="TableParagraph"/>
              <w:rPr>
                <w:b/>
                <w:sz w:val="18"/>
              </w:rPr>
            </w:pPr>
          </w:p>
          <w:p>
            <w:pPr>
              <w:pStyle w:val="TableParagraph"/>
              <w:spacing w:before="9"/>
              <w:rPr>
                <w:b/>
                <w:sz w:val="22"/>
              </w:rPr>
            </w:pPr>
          </w:p>
          <w:p>
            <w:pPr>
              <w:pStyle w:val="TableParagraph"/>
              <w:ind w:left="88" w:right="88"/>
              <w:jc w:val="center"/>
              <w:rPr>
                <w:sz w:val="18"/>
              </w:rPr>
            </w:pPr>
            <w:r>
              <w:rPr>
                <w:sz w:val="18"/>
              </w:rPr>
              <w:t>1.285</w:t>
            </w:r>
          </w:p>
        </w:tc>
        <w:tc>
          <w:tcPr>
            <w:tcW w:w="845" w:type="dxa"/>
            <w:tcBorders>
              <w:bottom w:val="single" w:sz="8" w:space="0" w:color="4F81BC"/>
            </w:tcBorders>
            <w:shd w:val="clear" w:color="auto" w:fill="C5D9F0"/>
          </w:tcPr>
          <w:p>
            <w:pPr>
              <w:pStyle w:val="TableParagraph"/>
              <w:rPr>
                <w:b/>
                <w:sz w:val="18"/>
              </w:rPr>
            </w:pPr>
          </w:p>
          <w:p>
            <w:pPr>
              <w:pStyle w:val="TableParagraph"/>
              <w:spacing w:before="9"/>
              <w:rPr>
                <w:b/>
                <w:sz w:val="22"/>
              </w:rPr>
            </w:pPr>
          </w:p>
          <w:p>
            <w:pPr>
              <w:pStyle w:val="TableParagraph"/>
              <w:ind w:left="84" w:right="87"/>
              <w:jc w:val="center"/>
              <w:rPr>
                <w:sz w:val="18"/>
              </w:rPr>
            </w:pPr>
            <w:r>
              <w:rPr>
                <w:sz w:val="18"/>
              </w:rPr>
              <w:t>.00</w:t>
            </w:r>
          </w:p>
        </w:tc>
        <w:tc>
          <w:tcPr>
            <w:tcW w:w="888" w:type="dxa"/>
            <w:tcBorders>
              <w:bottom w:val="single" w:sz="8" w:space="0" w:color="4F81BC"/>
            </w:tcBorders>
            <w:shd w:val="clear" w:color="auto" w:fill="C5D9F0"/>
          </w:tcPr>
          <w:p>
            <w:pPr>
              <w:pStyle w:val="TableParagraph"/>
              <w:rPr>
                <w:b/>
                <w:sz w:val="18"/>
              </w:rPr>
            </w:pPr>
          </w:p>
          <w:p>
            <w:pPr>
              <w:pStyle w:val="TableParagraph"/>
              <w:spacing w:before="9"/>
              <w:rPr>
                <w:b/>
                <w:sz w:val="22"/>
              </w:rPr>
            </w:pPr>
          </w:p>
          <w:p>
            <w:pPr>
              <w:pStyle w:val="TableParagraph"/>
              <w:ind w:right="7"/>
              <w:jc w:val="center"/>
              <w:rPr>
                <w:sz w:val="18"/>
              </w:rPr>
            </w:pPr>
            <w:r>
              <w:rPr>
                <w:w w:val="101"/>
                <w:sz w:val="18"/>
              </w:rPr>
              <w:t>1</w:t>
            </w:r>
          </w:p>
        </w:tc>
        <w:tc>
          <w:tcPr>
            <w:tcW w:w="803" w:type="dxa"/>
            <w:tcBorders>
              <w:bottom w:val="single" w:sz="8" w:space="0" w:color="4F81BC"/>
            </w:tcBorders>
            <w:shd w:val="clear" w:color="auto" w:fill="C5D9F0"/>
          </w:tcPr>
          <w:p>
            <w:pPr>
              <w:pStyle w:val="TableParagraph"/>
              <w:rPr>
                <w:b/>
                <w:sz w:val="18"/>
              </w:rPr>
            </w:pPr>
          </w:p>
          <w:p>
            <w:pPr>
              <w:pStyle w:val="TableParagraph"/>
              <w:spacing w:before="9"/>
              <w:rPr>
                <w:b/>
                <w:sz w:val="22"/>
              </w:rPr>
            </w:pPr>
          </w:p>
          <w:p>
            <w:pPr>
              <w:pStyle w:val="TableParagraph"/>
              <w:ind w:left="235"/>
              <w:rPr>
                <w:sz w:val="18"/>
              </w:rPr>
            </w:pPr>
            <w:r>
              <w:rPr>
                <w:sz w:val="18"/>
              </w:rPr>
              <w:t>.23</w:t>
            </w:r>
          </w:p>
        </w:tc>
        <w:tc>
          <w:tcPr>
            <w:tcW w:w="599" w:type="dxa"/>
            <w:tcBorders>
              <w:bottom w:val="single" w:sz="8" w:space="0" w:color="4F81BC"/>
            </w:tcBorders>
            <w:shd w:val="clear" w:color="auto" w:fill="C5D9F0"/>
          </w:tcPr>
          <w:p>
            <w:pPr>
              <w:pStyle w:val="TableParagraph"/>
              <w:rPr>
                <w:b/>
                <w:sz w:val="18"/>
              </w:rPr>
            </w:pPr>
          </w:p>
          <w:p>
            <w:pPr>
              <w:pStyle w:val="TableParagraph"/>
              <w:spacing w:before="9"/>
              <w:rPr>
                <w:b/>
                <w:sz w:val="22"/>
              </w:rPr>
            </w:pPr>
          </w:p>
          <w:p>
            <w:pPr>
              <w:pStyle w:val="TableParagraph"/>
              <w:ind w:left="75"/>
              <w:rPr>
                <w:sz w:val="18"/>
              </w:rPr>
            </w:pPr>
            <w:r>
              <w:rPr>
                <w:sz w:val="18"/>
              </w:rPr>
              <w:t>.423</w:t>
            </w:r>
          </w:p>
        </w:tc>
        <w:tc>
          <w:tcPr>
            <w:tcW w:w="1359" w:type="dxa"/>
            <w:tcBorders>
              <w:bottom w:val="single" w:sz="8" w:space="0" w:color="4F81BC"/>
              <w:right w:val="single" w:sz="8" w:space="0" w:color="4F81BC"/>
            </w:tcBorders>
            <w:shd w:val="clear" w:color="auto" w:fill="C5D9F0"/>
          </w:tcPr>
          <w:p>
            <w:pPr>
              <w:pStyle w:val="TableParagraph"/>
              <w:rPr>
                <w:b/>
                <w:sz w:val="18"/>
              </w:rPr>
            </w:pPr>
          </w:p>
          <w:p>
            <w:pPr>
              <w:pStyle w:val="TableParagraph"/>
              <w:spacing w:before="9"/>
              <w:rPr>
                <w:b/>
                <w:sz w:val="22"/>
              </w:rPr>
            </w:pPr>
          </w:p>
          <w:p>
            <w:pPr>
              <w:pStyle w:val="TableParagraph"/>
              <w:ind w:left="372" w:right="376"/>
              <w:jc w:val="center"/>
              <w:rPr>
                <w:sz w:val="18"/>
              </w:rPr>
            </w:pPr>
            <w:r>
              <w:rPr>
                <w:sz w:val="18"/>
              </w:rPr>
              <w:t>.738</w:t>
            </w:r>
          </w:p>
        </w:tc>
      </w:tr>
    </w:tbl>
    <w:p>
      <w:pPr>
        <w:spacing w:line="183" w:lineRule="exact" w:before="0"/>
        <w:ind w:left="236" w:right="0" w:firstLine="0"/>
        <w:jc w:val="left"/>
        <w:rPr>
          <w:sz w:val="16"/>
        </w:rPr>
      </w:pPr>
      <w:r>
        <w:rPr/>
        <w:pict>
          <v:group style="position:absolute;margin-left:455.040009pt;margin-top:6.12pt;width:78.75pt;height:11.8pt;mso-position-horizontal-relative:page;mso-position-vertical-relative:paragraph;z-index:2416" coordorigin="9101,122" coordsize="1575,236">
            <v:shape style="position:absolute;left:9101;top:122;width:1574;height:235" type="#_x0000_t75" stroked="false">
              <v:imagedata r:id="rId78" o:title=""/>
            </v:shape>
            <v:shape style="position:absolute;left:9101;top:122;width:1575;height:236" type="#_x0000_t202" filled="false" stroked="false">
              <v:textbox inset="0,0,0,0">
                <w:txbxContent>
                  <w:p>
                    <w:pPr>
                      <w:spacing w:line="180" w:lineRule="exact" w:before="0"/>
                      <w:ind w:left="411" w:right="0" w:firstLine="0"/>
                      <w:jc w:val="left"/>
                      <w:rPr>
                        <w:sz w:val="16"/>
                      </w:rPr>
                    </w:pPr>
                    <w:r>
                      <w:rPr>
                        <w:sz w:val="16"/>
                      </w:rPr>
                      <w:t>Fuente directa</w:t>
                    </w:r>
                  </w:p>
                </w:txbxContent>
              </v:textbox>
              <w10:wrap type="none"/>
            </v:shape>
            <w10:wrap type="none"/>
          </v:group>
        </w:pict>
      </w:r>
      <w:r>
        <w:rPr>
          <w:sz w:val="16"/>
        </w:rPr>
        <w:t>No.= Número</w:t>
      </w:r>
    </w:p>
    <w:p>
      <w:pPr>
        <w:spacing w:before="27"/>
        <w:ind w:left="236" w:right="0" w:firstLine="0"/>
        <w:jc w:val="left"/>
        <w:rPr>
          <w:sz w:val="16"/>
        </w:rPr>
      </w:pPr>
      <w:r>
        <w:rPr>
          <w:sz w:val="16"/>
        </w:rPr>
        <w:t>D.E.= Desviación estándar</w:t>
      </w:r>
    </w:p>
    <w:p>
      <w:pPr>
        <w:spacing w:before="22"/>
        <w:ind w:left="236" w:right="0" w:firstLine="0"/>
        <w:jc w:val="left"/>
        <w:rPr>
          <w:sz w:val="16"/>
        </w:rPr>
      </w:pPr>
      <w:r>
        <w:rPr>
          <w:sz w:val="16"/>
        </w:rPr>
        <w:t>** p &lt; 0.05, ***p &lt; 0.005</w:t>
      </w:r>
    </w:p>
    <w:p>
      <w:pPr>
        <w:pStyle w:val="BodyText"/>
        <w:rPr>
          <w:sz w:val="20"/>
        </w:rPr>
      </w:pPr>
    </w:p>
    <w:p>
      <w:pPr>
        <w:pStyle w:val="BodyText"/>
        <w:rPr>
          <w:sz w:val="20"/>
        </w:rPr>
      </w:pPr>
    </w:p>
    <w:p>
      <w:pPr>
        <w:pStyle w:val="BodyText"/>
        <w:spacing w:before="3"/>
        <w:rPr>
          <w:sz w:val="18"/>
        </w:rPr>
      </w:pPr>
    </w:p>
    <w:p>
      <w:pPr>
        <w:pStyle w:val="Heading2"/>
        <w:ind w:left="2416"/>
        <w:jc w:val="left"/>
      </w:pPr>
      <w:r>
        <w:rPr/>
        <w:t>Tabla 2. Medición de la desmineralización</w:t>
      </w:r>
    </w:p>
    <w:p>
      <w:pPr>
        <w:pStyle w:val="BodyText"/>
        <w:rPr>
          <w:b/>
          <w:sz w:val="20"/>
        </w:rPr>
      </w:pPr>
    </w:p>
    <w:p>
      <w:pPr>
        <w:pStyle w:val="BodyText"/>
        <w:spacing w:before="9"/>
        <w:rPr>
          <w:b/>
          <w:sz w:val="29"/>
        </w:rPr>
      </w:pPr>
    </w:p>
    <w:tbl>
      <w:tblPr>
        <w:tblW w:w="0" w:type="auto"/>
        <w:jc w:val="left"/>
        <w:tblInd w:w="4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14"/>
        <w:gridCol w:w="1274"/>
        <w:gridCol w:w="1913"/>
        <w:gridCol w:w="1267"/>
        <w:gridCol w:w="1544"/>
      </w:tblGrid>
      <w:tr>
        <w:trPr>
          <w:trHeight w:val="1349" w:hRule="exact"/>
        </w:trPr>
        <w:tc>
          <w:tcPr>
            <w:tcW w:w="2814" w:type="dxa"/>
            <w:tcBorders>
              <w:bottom w:val="single" w:sz="8" w:space="0" w:color="FFFFFF"/>
            </w:tcBorders>
            <w:shd w:val="clear" w:color="auto" w:fill="4F81BC"/>
          </w:tcPr>
          <w:p>
            <w:pPr>
              <w:pStyle w:val="TableParagraph"/>
              <w:spacing w:before="2"/>
              <w:rPr>
                <w:b/>
                <w:sz w:val="24"/>
              </w:rPr>
            </w:pPr>
          </w:p>
          <w:p>
            <w:pPr>
              <w:pStyle w:val="TableParagraph"/>
              <w:spacing w:line="276" w:lineRule="auto"/>
              <w:ind w:left="360" w:right="334" w:hanging="5"/>
              <w:jc w:val="center"/>
              <w:rPr>
                <w:b/>
                <w:sz w:val="20"/>
              </w:rPr>
            </w:pPr>
            <w:r>
              <w:rPr>
                <w:b/>
                <w:color w:val="FFFFFF"/>
                <w:sz w:val="20"/>
              </w:rPr>
              <w:t>Promedios de desmineralización por cuadrante</w:t>
            </w:r>
          </w:p>
        </w:tc>
        <w:tc>
          <w:tcPr>
            <w:tcW w:w="1274" w:type="dxa"/>
            <w:tcBorders>
              <w:bottom w:val="single" w:sz="8" w:space="0" w:color="FFFFFF"/>
            </w:tcBorders>
            <w:shd w:val="clear" w:color="auto" w:fill="4F81BC"/>
          </w:tcPr>
          <w:p>
            <w:pPr>
              <w:pStyle w:val="TableParagraph"/>
              <w:spacing w:before="5"/>
              <w:rPr>
                <w:b/>
                <w:sz w:val="25"/>
              </w:rPr>
            </w:pPr>
          </w:p>
          <w:p>
            <w:pPr>
              <w:pStyle w:val="TableParagraph"/>
              <w:spacing w:line="360" w:lineRule="auto"/>
              <w:ind w:left="336" w:right="20"/>
              <w:jc w:val="center"/>
              <w:rPr>
                <w:b/>
                <w:sz w:val="20"/>
              </w:rPr>
            </w:pPr>
            <w:r>
              <w:rPr>
                <w:b/>
                <w:color w:val="FFFFFF"/>
                <w:sz w:val="20"/>
              </w:rPr>
              <w:t>Dentición mixta n=50</w:t>
            </w:r>
          </w:p>
        </w:tc>
        <w:tc>
          <w:tcPr>
            <w:tcW w:w="1913" w:type="dxa"/>
            <w:tcBorders>
              <w:bottom w:val="single" w:sz="8" w:space="0" w:color="FFFFFF"/>
            </w:tcBorders>
            <w:shd w:val="clear" w:color="auto" w:fill="4F81BC"/>
          </w:tcPr>
          <w:p>
            <w:pPr>
              <w:pStyle w:val="TableParagraph"/>
              <w:spacing w:before="14"/>
              <w:ind w:left="22"/>
              <w:rPr>
                <w:b/>
                <w:sz w:val="20"/>
              </w:rPr>
            </w:pPr>
            <w:r>
              <w:rPr>
                <w:b/>
                <w:color w:val="FFFFFF"/>
                <w:sz w:val="20"/>
              </w:rPr>
              <w:t>Media</w:t>
            </w:r>
          </w:p>
          <w:p>
            <w:pPr>
              <w:pStyle w:val="TableParagraph"/>
              <w:spacing w:line="360" w:lineRule="auto" w:before="49"/>
              <w:ind w:left="517" w:right="254" w:hanging="4"/>
              <w:jc w:val="center"/>
              <w:rPr>
                <w:b/>
                <w:sz w:val="20"/>
              </w:rPr>
            </w:pPr>
            <w:r>
              <w:rPr>
                <w:b/>
                <w:color w:val="FFFFFF"/>
                <w:sz w:val="20"/>
              </w:rPr>
              <w:t>Dentición permanente n=50</w:t>
            </w:r>
          </w:p>
        </w:tc>
        <w:tc>
          <w:tcPr>
            <w:tcW w:w="1267" w:type="dxa"/>
            <w:tcBorders>
              <w:bottom w:val="single" w:sz="8" w:space="0" w:color="FFFFFF"/>
            </w:tcBorders>
            <w:shd w:val="clear" w:color="auto" w:fill="4F81BC"/>
          </w:tcPr>
          <w:p>
            <w:pPr>
              <w:pStyle w:val="TableParagraph"/>
              <w:rPr>
                <w:b/>
                <w:sz w:val="20"/>
              </w:rPr>
            </w:pPr>
          </w:p>
          <w:p>
            <w:pPr>
              <w:pStyle w:val="TableParagraph"/>
              <w:spacing w:before="2"/>
              <w:rPr>
                <w:b/>
                <w:sz w:val="27"/>
              </w:rPr>
            </w:pPr>
          </w:p>
          <w:p>
            <w:pPr>
              <w:pStyle w:val="TableParagraph"/>
              <w:spacing w:line="276" w:lineRule="auto"/>
              <w:ind w:left="285" w:right="191" w:hanging="29"/>
              <w:rPr>
                <w:b/>
                <w:i/>
                <w:sz w:val="20"/>
              </w:rPr>
            </w:pPr>
            <w:r>
              <w:rPr>
                <w:b/>
                <w:color w:val="FFFFFF"/>
                <w:sz w:val="20"/>
              </w:rPr>
              <w:t>Prueba </w:t>
            </w:r>
            <w:r>
              <w:rPr>
                <w:b/>
                <w:i/>
                <w:color w:val="FFFFFF"/>
                <w:sz w:val="20"/>
              </w:rPr>
              <w:t>t </w:t>
            </w:r>
            <w:r>
              <w:rPr>
                <w:b/>
                <w:i/>
                <w:color w:val="FFFFFF"/>
                <w:sz w:val="20"/>
              </w:rPr>
              <w:t>Student</w:t>
            </w:r>
          </w:p>
        </w:tc>
        <w:tc>
          <w:tcPr>
            <w:tcW w:w="1544" w:type="dxa"/>
            <w:tcBorders>
              <w:bottom w:val="single" w:sz="8" w:space="0" w:color="FFFFFF"/>
            </w:tcBorders>
            <w:shd w:val="clear" w:color="auto" w:fill="4F81BC"/>
          </w:tcPr>
          <w:p>
            <w:pPr>
              <w:pStyle w:val="TableParagraph"/>
              <w:rPr>
                <w:b/>
                <w:sz w:val="20"/>
              </w:rPr>
            </w:pPr>
          </w:p>
          <w:p>
            <w:pPr>
              <w:pStyle w:val="TableParagraph"/>
              <w:spacing w:before="2"/>
              <w:rPr>
                <w:b/>
                <w:sz w:val="27"/>
              </w:rPr>
            </w:pPr>
          </w:p>
          <w:p>
            <w:pPr>
              <w:pStyle w:val="TableParagraph"/>
              <w:ind w:left="186" w:right="83"/>
              <w:jc w:val="center"/>
              <w:rPr>
                <w:b/>
                <w:sz w:val="20"/>
              </w:rPr>
            </w:pPr>
            <w:r>
              <w:rPr>
                <w:b/>
                <w:color w:val="FFFFFF"/>
                <w:sz w:val="20"/>
              </w:rPr>
              <w:t>Significancia</w:t>
            </w:r>
          </w:p>
        </w:tc>
      </w:tr>
      <w:tr>
        <w:trPr>
          <w:trHeight w:val="355" w:hRule="exact"/>
        </w:trPr>
        <w:tc>
          <w:tcPr>
            <w:tcW w:w="2814" w:type="dxa"/>
            <w:tcBorders>
              <w:top w:val="single" w:sz="8" w:space="0" w:color="FFFFFF"/>
              <w:left w:val="single" w:sz="8" w:space="0" w:color="4F81BC"/>
            </w:tcBorders>
            <w:shd w:val="clear" w:color="auto" w:fill="C5D9F0"/>
          </w:tcPr>
          <w:p>
            <w:pPr>
              <w:pStyle w:val="TableParagraph"/>
              <w:spacing w:line="220" w:lineRule="exact"/>
              <w:ind w:left="500" w:right="493"/>
              <w:jc w:val="center"/>
              <w:rPr>
                <w:b/>
                <w:sz w:val="20"/>
              </w:rPr>
            </w:pPr>
            <w:r>
              <w:rPr>
                <w:b/>
                <w:sz w:val="20"/>
              </w:rPr>
              <w:t>Superior derecho</w:t>
            </w:r>
          </w:p>
        </w:tc>
        <w:tc>
          <w:tcPr>
            <w:tcW w:w="1274" w:type="dxa"/>
            <w:tcBorders>
              <w:top w:val="single" w:sz="8" w:space="0" w:color="FFFFFF"/>
            </w:tcBorders>
            <w:shd w:val="clear" w:color="auto" w:fill="C5D9F0"/>
          </w:tcPr>
          <w:p>
            <w:pPr>
              <w:pStyle w:val="TableParagraph"/>
              <w:spacing w:line="225" w:lineRule="exact"/>
              <w:ind w:right="175"/>
              <w:jc w:val="right"/>
              <w:rPr>
                <w:sz w:val="20"/>
              </w:rPr>
            </w:pPr>
            <w:r>
              <w:rPr>
                <w:sz w:val="20"/>
              </w:rPr>
              <w:t>12.521</w:t>
            </w:r>
          </w:p>
        </w:tc>
        <w:tc>
          <w:tcPr>
            <w:tcW w:w="1913" w:type="dxa"/>
            <w:tcBorders>
              <w:top w:val="single" w:sz="8" w:space="0" w:color="FFFFFF"/>
            </w:tcBorders>
            <w:shd w:val="clear" w:color="auto" w:fill="C5D9F0"/>
          </w:tcPr>
          <w:p>
            <w:pPr>
              <w:pStyle w:val="TableParagraph"/>
              <w:spacing w:line="225" w:lineRule="exact"/>
              <w:ind w:right="633"/>
              <w:jc w:val="right"/>
              <w:rPr>
                <w:sz w:val="20"/>
              </w:rPr>
            </w:pPr>
            <w:r>
              <w:rPr>
                <w:sz w:val="20"/>
              </w:rPr>
              <w:t>6.32</w:t>
            </w:r>
          </w:p>
        </w:tc>
        <w:tc>
          <w:tcPr>
            <w:tcW w:w="1267" w:type="dxa"/>
            <w:tcBorders>
              <w:top w:val="single" w:sz="8" w:space="0" w:color="FFFFFF"/>
            </w:tcBorders>
            <w:shd w:val="clear" w:color="auto" w:fill="C5D9F0"/>
          </w:tcPr>
          <w:p>
            <w:pPr>
              <w:pStyle w:val="TableParagraph"/>
              <w:spacing w:line="225" w:lineRule="exact"/>
              <w:ind w:right="359"/>
              <w:jc w:val="right"/>
              <w:rPr>
                <w:sz w:val="20"/>
              </w:rPr>
            </w:pPr>
            <w:r>
              <w:rPr>
                <w:sz w:val="20"/>
              </w:rPr>
              <w:t>6.205</w:t>
            </w:r>
          </w:p>
        </w:tc>
        <w:tc>
          <w:tcPr>
            <w:tcW w:w="1544" w:type="dxa"/>
            <w:tcBorders>
              <w:top w:val="single" w:sz="8" w:space="0" w:color="FFFFFF"/>
              <w:right w:val="single" w:sz="8" w:space="0" w:color="4F81BC"/>
            </w:tcBorders>
            <w:shd w:val="clear" w:color="auto" w:fill="C5D9F0"/>
          </w:tcPr>
          <w:p>
            <w:pPr>
              <w:pStyle w:val="TableParagraph"/>
              <w:spacing w:line="225" w:lineRule="exact"/>
              <w:ind w:left="485" w:right="385"/>
              <w:jc w:val="center"/>
              <w:rPr>
                <w:sz w:val="20"/>
              </w:rPr>
            </w:pPr>
            <w:r>
              <w:rPr>
                <w:sz w:val="20"/>
              </w:rPr>
              <w:t>.000***</w:t>
            </w:r>
          </w:p>
        </w:tc>
      </w:tr>
      <w:tr>
        <w:trPr>
          <w:trHeight w:val="346" w:hRule="exact"/>
        </w:trPr>
        <w:tc>
          <w:tcPr>
            <w:tcW w:w="2814" w:type="dxa"/>
            <w:tcBorders>
              <w:left w:val="single" w:sz="8" w:space="0" w:color="4F81BC"/>
            </w:tcBorders>
          </w:tcPr>
          <w:p>
            <w:pPr>
              <w:pStyle w:val="TableParagraph"/>
              <w:spacing w:line="220" w:lineRule="exact"/>
              <w:ind w:left="504" w:right="493"/>
              <w:jc w:val="center"/>
              <w:rPr>
                <w:b/>
                <w:sz w:val="20"/>
              </w:rPr>
            </w:pPr>
            <w:r>
              <w:rPr>
                <w:b/>
                <w:sz w:val="20"/>
              </w:rPr>
              <w:t>Superior izquierdo</w:t>
            </w:r>
          </w:p>
        </w:tc>
        <w:tc>
          <w:tcPr>
            <w:tcW w:w="1274" w:type="dxa"/>
          </w:tcPr>
          <w:p>
            <w:pPr>
              <w:pStyle w:val="TableParagraph"/>
              <w:spacing w:line="225" w:lineRule="exact"/>
              <w:ind w:right="175"/>
              <w:jc w:val="right"/>
              <w:rPr>
                <w:sz w:val="20"/>
              </w:rPr>
            </w:pPr>
            <w:r>
              <w:rPr>
                <w:sz w:val="20"/>
              </w:rPr>
              <w:t>12.347</w:t>
            </w:r>
          </w:p>
        </w:tc>
        <w:tc>
          <w:tcPr>
            <w:tcW w:w="1913" w:type="dxa"/>
          </w:tcPr>
          <w:p>
            <w:pPr>
              <w:pStyle w:val="TableParagraph"/>
              <w:spacing w:line="225" w:lineRule="exact"/>
              <w:ind w:right="522"/>
              <w:jc w:val="right"/>
              <w:rPr>
                <w:sz w:val="20"/>
              </w:rPr>
            </w:pPr>
            <w:r>
              <w:rPr>
                <w:sz w:val="20"/>
              </w:rPr>
              <w:t>10.591</w:t>
            </w:r>
          </w:p>
        </w:tc>
        <w:tc>
          <w:tcPr>
            <w:tcW w:w="1267" w:type="dxa"/>
          </w:tcPr>
          <w:p>
            <w:pPr>
              <w:pStyle w:val="TableParagraph"/>
              <w:spacing w:line="225" w:lineRule="exact"/>
              <w:ind w:right="359"/>
              <w:jc w:val="right"/>
              <w:rPr>
                <w:sz w:val="20"/>
              </w:rPr>
            </w:pPr>
            <w:r>
              <w:rPr>
                <w:sz w:val="20"/>
              </w:rPr>
              <w:t>1.755</w:t>
            </w:r>
          </w:p>
        </w:tc>
        <w:tc>
          <w:tcPr>
            <w:tcW w:w="1544" w:type="dxa"/>
            <w:tcBorders>
              <w:right w:val="single" w:sz="8" w:space="0" w:color="4F81BC"/>
            </w:tcBorders>
          </w:tcPr>
          <w:p>
            <w:pPr>
              <w:pStyle w:val="TableParagraph"/>
              <w:spacing w:line="225" w:lineRule="exact"/>
              <w:ind w:left="485" w:right="375"/>
              <w:jc w:val="center"/>
              <w:rPr>
                <w:sz w:val="20"/>
              </w:rPr>
            </w:pPr>
            <w:r>
              <w:rPr>
                <w:sz w:val="20"/>
              </w:rPr>
              <w:t>.322</w:t>
            </w:r>
          </w:p>
        </w:tc>
      </w:tr>
      <w:tr>
        <w:trPr>
          <w:trHeight w:val="346" w:hRule="exact"/>
        </w:trPr>
        <w:tc>
          <w:tcPr>
            <w:tcW w:w="2814" w:type="dxa"/>
            <w:tcBorders>
              <w:left w:val="single" w:sz="8" w:space="0" w:color="4F81BC"/>
            </w:tcBorders>
            <w:shd w:val="clear" w:color="auto" w:fill="C5D9F0"/>
          </w:tcPr>
          <w:p>
            <w:pPr>
              <w:pStyle w:val="TableParagraph"/>
              <w:spacing w:line="220" w:lineRule="exact"/>
              <w:ind w:left="500" w:right="493"/>
              <w:jc w:val="center"/>
              <w:rPr>
                <w:b/>
                <w:sz w:val="20"/>
              </w:rPr>
            </w:pPr>
            <w:r>
              <w:rPr>
                <w:b/>
                <w:sz w:val="20"/>
              </w:rPr>
              <w:t>Inferior derecho</w:t>
            </w:r>
          </w:p>
        </w:tc>
        <w:tc>
          <w:tcPr>
            <w:tcW w:w="1274" w:type="dxa"/>
            <w:shd w:val="clear" w:color="auto" w:fill="C5D9F0"/>
          </w:tcPr>
          <w:p>
            <w:pPr>
              <w:pStyle w:val="TableParagraph"/>
              <w:spacing w:line="225" w:lineRule="exact"/>
              <w:ind w:right="228"/>
              <w:jc w:val="right"/>
              <w:rPr>
                <w:sz w:val="20"/>
              </w:rPr>
            </w:pPr>
            <w:r>
              <w:rPr>
                <w:sz w:val="20"/>
              </w:rPr>
              <w:t>13.01</w:t>
            </w:r>
          </w:p>
        </w:tc>
        <w:tc>
          <w:tcPr>
            <w:tcW w:w="1913" w:type="dxa"/>
            <w:shd w:val="clear" w:color="auto" w:fill="C5D9F0"/>
          </w:tcPr>
          <w:p>
            <w:pPr>
              <w:pStyle w:val="TableParagraph"/>
              <w:spacing w:line="225" w:lineRule="exact"/>
              <w:ind w:right="522"/>
              <w:jc w:val="right"/>
              <w:rPr>
                <w:sz w:val="20"/>
              </w:rPr>
            </w:pPr>
            <w:r>
              <w:rPr>
                <w:sz w:val="20"/>
              </w:rPr>
              <w:t>11.078</w:t>
            </w:r>
          </w:p>
        </w:tc>
        <w:tc>
          <w:tcPr>
            <w:tcW w:w="1267" w:type="dxa"/>
            <w:shd w:val="clear" w:color="auto" w:fill="C5D9F0"/>
          </w:tcPr>
          <w:p>
            <w:pPr>
              <w:pStyle w:val="TableParagraph"/>
              <w:spacing w:line="225" w:lineRule="exact"/>
              <w:ind w:right="359"/>
              <w:jc w:val="right"/>
              <w:rPr>
                <w:sz w:val="20"/>
              </w:rPr>
            </w:pPr>
            <w:r>
              <w:rPr>
                <w:sz w:val="20"/>
              </w:rPr>
              <w:t>1.933</w:t>
            </w:r>
          </w:p>
        </w:tc>
        <w:tc>
          <w:tcPr>
            <w:tcW w:w="1544" w:type="dxa"/>
            <w:tcBorders>
              <w:right w:val="single" w:sz="8" w:space="0" w:color="4F81BC"/>
            </w:tcBorders>
            <w:shd w:val="clear" w:color="auto" w:fill="C5D9F0"/>
          </w:tcPr>
          <w:p>
            <w:pPr>
              <w:pStyle w:val="TableParagraph"/>
              <w:spacing w:line="225" w:lineRule="exact"/>
              <w:ind w:left="485" w:right="375"/>
              <w:jc w:val="center"/>
              <w:rPr>
                <w:sz w:val="20"/>
              </w:rPr>
            </w:pPr>
            <w:r>
              <w:rPr>
                <w:sz w:val="20"/>
              </w:rPr>
              <w:t>.203</w:t>
            </w:r>
          </w:p>
        </w:tc>
      </w:tr>
      <w:tr>
        <w:trPr>
          <w:trHeight w:val="341" w:hRule="exact"/>
        </w:trPr>
        <w:tc>
          <w:tcPr>
            <w:tcW w:w="2814" w:type="dxa"/>
            <w:tcBorders>
              <w:left w:val="single" w:sz="8" w:space="0" w:color="4F81BC"/>
            </w:tcBorders>
          </w:tcPr>
          <w:p>
            <w:pPr>
              <w:pStyle w:val="TableParagraph"/>
              <w:spacing w:line="220" w:lineRule="exact"/>
              <w:ind w:left="504" w:right="493"/>
              <w:jc w:val="center"/>
              <w:rPr>
                <w:b/>
                <w:sz w:val="20"/>
              </w:rPr>
            </w:pPr>
            <w:r>
              <w:rPr>
                <w:b/>
                <w:sz w:val="20"/>
              </w:rPr>
              <w:t>Inferior izquierdo</w:t>
            </w:r>
          </w:p>
        </w:tc>
        <w:tc>
          <w:tcPr>
            <w:tcW w:w="1274" w:type="dxa"/>
          </w:tcPr>
          <w:p>
            <w:pPr>
              <w:pStyle w:val="TableParagraph"/>
              <w:spacing w:line="225" w:lineRule="exact"/>
              <w:ind w:right="175"/>
              <w:jc w:val="right"/>
              <w:rPr>
                <w:sz w:val="20"/>
              </w:rPr>
            </w:pPr>
            <w:r>
              <w:rPr>
                <w:sz w:val="20"/>
              </w:rPr>
              <w:t>13.820</w:t>
            </w:r>
          </w:p>
        </w:tc>
        <w:tc>
          <w:tcPr>
            <w:tcW w:w="1913" w:type="dxa"/>
          </w:tcPr>
          <w:p>
            <w:pPr>
              <w:pStyle w:val="TableParagraph"/>
              <w:spacing w:line="225" w:lineRule="exact"/>
              <w:ind w:right="522"/>
              <w:jc w:val="right"/>
              <w:rPr>
                <w:sz w:val="20"/>
              </w:rPr>
            </w:pPr>
            <w:r>
              <w:rPr>
                <w:sz w:val="20"/>
              </w:rPr>
              <w:t>10.893</w:t>
            </w:r>
          </w:p>
        </w:tc>
        <w:tc>
          <w:tcPr>
            <w:tcW w:w="1267" w:type="dxa"/>
          </w:tcPr>
          <w:p>
            <w:pPr>
              <w:pStyle w:val="TableParagraph"/>
              <w:spacing w:line="225" w:lineRule="exact"/>
              <w:ind w:right="359"/>
              <w:jc w:val="right"/>
              <w:rPr>
                <w:sz w:val="20"/>
              </w:rPr>
            </w:pPr>
            <w:r>
              <w:rPr>
                <w:sz w:val="20"/>
              </w:rPr>
              <w:t>2.926</w:t>
            </w:r>
          </w:p>
        </w:tc>
        <w:tc>
          <w:tcPr>
            <w:tcW w:w="1544" w:type="dxa"/>
            <w:tcBorders>
              <w:right w:val="single" w:sz="8" w:space="0" w:color="4F81BC"/>
            </w:tcBorders>
          </w:tcPr>
          <w:p>
            <w:pPr>
              <w:pStyle w:val="TableParagraph"/>
              <w:spacing w:line="225" w:lineRule="exact"/>
              <w:ind w:left="485" w:right="385"/>
              <w:jc w:val="center"/>
              <w:rPr>
                <w:sz w:val="20"/>
              </w:rPr>
            </w:pPr>
            <w:r>
              <w:rPr>
                <w:sz w:val="20"/>
              </w:rPr>
              <w:t>.034**</w:t>
            </w:r>
          </w:p>
        </w:tc>
      </w:tr>
      <w:tr>
        <w:trPr>
          <w:trHeight w:val="355" w:hRule="exact"/>
        </w:trPr>
        <w:tc>
          <w:tcPr>
            <w:tcW w:w="2814" w:type="dxa"/>
            <w:tcBorders>
              <w:left w:val="single" w:sz="8" w:space="0" w:color="4F81BC"/>
              <w:bottom w:val="single" w:sz="8" w:space="0" w:color="4F81BC"/>
            </w:tcBorders>
            <w:shd w:val="clear" w:color="auto" w:fill="C5D9F0"/>
          </w:tcPr>
          <w:p>
            <w:pPr>
              <w:pStyle w:val="TableParagraph"/>
              <w:spacing w:line="220" w:lineRule="exact"/>
              <w:ind w:left="500" w:right="493"/>
              <w:jc w:val="center"/>
              <w:rPr>
                <w:b/>
                <w:sz w:val="20"/>
              </w:rPr>
            </w:pPr>
            <w:r>
              <w:rPr>
                <w:b/>
                <w:sz w:val="20"/>
              </w:rPr>
              <w:t>General</w:t>
            </w:r>
          </w:p>
        </w:tc>
        <w:tc>
          <w:tcPr>
            <w:tcW w:w="1274" w:type="dxa"/>
            <w:tcBorders>
              <w:bottom w:val="single" w:sz="8" w:space="0" w:color="4F81BC"/>
            </w:tcBorders>
            <w:shd w:val="clear" w:color="auto" w:fill="C5D9F0"/>
          </w:tcPr>
          <w:p>
            <w:pPr>
              <w:pStyle w:val="TableParagraph"/>
              <w:spacing w:line="225" w:lineRule="exact"/>
              <w:ind w:right="175"/>
              <w:jc w:val="right"/>
              <w:rPr>
                <w:sz w:val="20"/>
              </w:rPr>
            </w:pPr>
            <w:r>
              <w:rPr>
                <w:sz w:val="20"/>
              </w:rPr>
              <w:t>12.911</w:t>
            </w:r>
          </w:p>
        </w:tc>
        <w:tc>
          <w:tcPr>
            <w:tcW w:w="1913" w:type="dxa"/>
            <w:tcBorders>
              <w:bottom w:val="single" w:sz="8" w:space="0" w:color="4F81BC"/>
            </w:tcBorders>
            <w:shd w:val="clear" w:color="auto" w:fill="C5D9F0"/>
          </w:tcPr>
          <w:p>
            <w:pPr>
              <w:pStyle w:val="TableParagraph"/>
              <w:spacing w:line="225" w:lineRule="exact"/>
              <w:ind w:right="575"/>
              <w:jc w:val="right"/>
              <w:rPr>
                <w:sz w:val="20"/>
              </w:rPr>
            </w:pPr>
            <w:r>
              <w:rPr>
                <w:sz w:val="20"/>
              </w:rPr>
              <w:t>9.692</w:t>
            </w:r>
          </w:p>
        </w:tc>
        <w:tc>
          <w:tcPr>
            <w:tcW w:w="1267" w:type="dxa"/>
            <w:tcBorders>
              <w:bottom w:val="single" w:sz="8" w:space="0" w:color="4F81BC"/>
            </w:tcBorders>
            <w:shd w:val="clear" w:color="auto" w:fill="C5D9F0"/>
          </w:tcPr>
          <w:p>
            <w:pPr>
              <w:pStyle w:val="TableParagraph"/>
              <w:spacing w:line="225" w:lineRule="exact"/>
              <w:ind w:right="359"/>
              <w:jc w:val="right"/>
              <w:rPr>
                <w:sz w:val="20"/>
              </w:rPr>
            </w:pPr>
            <w:r>
              <w:rPr>
                <w:sz w:val="20"/>
              </w:rPr>
              <w:t>3.218</w:t>
            </w:r>
          </w:p>
        </w:tc>
        <w:tc>
          <w:tcPr>
            <w:tcW w:w="1544" w:type="dxa"/>
            <w:tcBorders>
              <w:bottom w:val="single" w:sz="8" w:space="0" w:color="4F81BC"/>
              <w:right w:val="single" w:sz="8" w:space="0" w:color="4F81BC"/>
            </w:tcBorders>
            <w:shd w:val="clear" w:color="auto" w:fill="C5D9F0"/>
          </w:tcPr>
          <w:p>
            <w:pPr>
              <w:pStyle w:val="TableParagraph"/>
              <w:spacing w:line="225" w:lineRule="exact"/>
              <w:ind w:left="485" w:right="385"/>
              <w:jc w:val="center"/>
              <w:rPr>
                <w:sz w:val="20"/>
              </w:rPr>
            </w:pPr>
            <w:r>
              <w:rPr>
                <w:sz w:val="20"/>
              </w:rPr>
              <w:t>.001***</w:t>
            </w:r>
          </w:p>
        </w:tc>
      </w:tr>
    </w:tbl>
    <w:p>
      <w:pPr>
        <w:spacing w:line="183" w:lineRule="exact" w:before="0"/>
        <w:ind w:left="409" w:right="0" w:firstLine="0"/>
        <w:jc w:val="left"/>
        <w:rPr>
          <w:sz w:val="16"/>
        </w:rPr>
      </w:pPr>
      <w:r>
        <w:rPr>
          <w:sz w:val="16"/>
        </w:rPr>
        <w:t>** p&lt; 0.05, *** p&lt; 0.001. Los datos son expresados en unidades de fluorescencia medidos por DIAGNOdent Pen.</w:t>
      </w:r>
    </w:p>
    <w:p>
      <w:pPr>
        <w:pStyle w:val="BodyText"/>
        <w:spacing w:before="5"/>
        <w:rPr>
          <w:sz w:val="10"/>
        </w:rPr>
      </w:pPr>
      <w:r>
        <w:rPr/>
        <w:pict>
          <v:group style="position:absolute;margin-left:444.480011pt;margin-top:7.954686pt;width:78.75pt;height:12pt;mso-position-horizontal-relative:page;mso-position-vertical-relative:paragraph;z-index:2368;mso-wrap-distance-left:0;mso-wrap-distance-right:0" coordorigin="8890,159" coordsize="1575,240">
            <v:shape style="position:absolute;left:8890;top:159;width:1574;height:240" type="#_x0000_t75" stroked="false">
              <v:imagedata r:id="rId79" o:title=""/>
            </v:shape>
            <v:shape style="position:absolute;left:8890;top:159;width:1575;height:240" type="#_x0000_t202" filled="false" stroked="false">
              <v:textbox inset="0,0,0,0">
                <w:txbxContent>
                  <w:p>
                    <w:pPr>
                      <w:spacing w:line="182" w:lineRule="exact" w:before="0"/>
                      <w:ind w:left="411" w:right="0" w:firstLine="0"/>
                      <w:jc w:val="left"/>
                      <w:rPr>
                        <w:sz w:val="16"/>
                      </w:rPr>
                    </w:pPr>
                    <w:r>
                      <w:rPr>
                        <w:sz w:val="16"/>
                      </w:rPr>
                      <w:t>Fuente directa</w:t>
                    </w:r>
                  </w:p>
                </w:txbxContent>
              </v:textbox>
              <w10:wrap type="none"/>
            </v:shape>
            <w10:wrap type="topAndBottom"/>
          </v:group>
        </w:pict>
      </w:r>
    </w:p>
    <w:p>
      <w:pPr>
        <w:spacing w:after="0"/>
        <w:rPr>
          <w:sz w:val="10"/>
        </w:rPr>
        <w:sectPr>
          <w:pgSz w:w="12240" w:h="15840"/>
          <w:pgMar w:header="726" w:footer="1031" w:top="1340" w:bottom="1220" w:left="1180" w:right="1420"/>
        </w:sectPr>
      </w:pPr>
    </w:p>
    <w:p>
      <w:pPr>
        <w:pStyle w:val="BodyText"/>
        <w:spacing w:before="3"/>
      </w:pPr>
    </w:p>
    <w:p>
      <w:pPr>
        <w:pStyle w:val="Heading2"/>
        <w:spacing w:before="56"/>
        <w:ind w:left="729"/>
        <w:jc w:val="left"/>
      </w:pPr>
      <w:r>
        <w:rPr/>
        <w:t>Tabla 3. Descriptivas de la expresión génica de Fc</w:t>
      </w:r>
      <w:r>
        <w:rPr>
          <w:rFonts w:ascii="Symbol" w:hAnsi="Symbol"/>
        </w:rPr>
        <w:t></w:t>
      </w:r>
      <w:r>
        <w:rPr/>
        <w:t>R, Fc</w:t>
      </w:r>
      <w:r>
        <w:rPr>
          <w:rFonts w:ascii="Symbol" w:hAnsi="Symbol"/>
        </w:rPr>
        <w:t></w:t>
      </w:r>
      <w:r>
        <w:rPr/>
        <w:t>RIIB y Fc</w:t>
      </w:r>
      <w:r>
        <w:rPr>
          <w:rFonts w:ascii="Symbol" w:hAnsi="Symbol"/>
        </w:rPr>
        <w:t></w:t>
      </w:r>
      <w:r>
        <w:rPr/>
        <w:t>R</w:t>
      </w:r>
    </w:p>
    <w:p>
      <w:pPr>
        <w:pStyle w:val="BodyText"/>
        <w:rPr>
          <w:b/>
          <w:sz w:val="20"/>
        </w:rPr>
      </w:pPr>
    </w:p>
    <w:p>
      <w:pPr>
        <w:pStyle w:val="BodyText"/>
        <w:rPr>
          <w:b/>
          <w:sz w:val="20"/>
        </w:rPr>
      </w:pPr>
    </w:p>
    <w:p>
      <w:pPr>
        <w:pStyle w:val="BodyText"/>
        <w:spacing w:before="6"/>
        <w:rPr>
          <w:b/>
          <w:sz w:val="10"/>
        </w:rPr>
      </w:pPr>
    </w:p>
    <w:tbl>
      <w:tblPr>
        <w:tblW w:w="0" w:type="auto"/>
        <w:jc w:val="left"/>
        <w:tblInd w:w="4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6"/>
        <w:gridCol w:w="1460"/>
        <w:gridCol w:w="1333"/>
        <w:gridCol w:w="1078"/>
        <w:gridCol w:w="1016"/>
        <w:gridCol w:w="857"/>
        <w:gridCol w:w="875"/>
      </w:tblGrid>
      <w:tr>
        <w:trPr>
          <w:trHeight w:val="350" w:hRule="exact"/>
        </w:trPr>
        <w:tc>
          <w:tcPr>
            <w:tcW w:w="8615" w:type="dxa"/>
            <w:gridSpan w:val="7"/>
            <w:tcBorders>
              <w:bottom w:val="nil"/>
            </w:tcBorders>
            <w:shd w:val="clear" w:color="auto" w:fill="4F81BC"/>
          </w:tcPr>
          <w:p>
            <w:pPr>
              <w:pStyle w:val="TableParagraph"/>
              <w:tabs>
                <w:tab w:pos="2132" w:val="left" w:leader="none"/>
                <w:tab w:pos="3548" w:val="left" w:leader="none"/>
                <w:tab w:pos="5070" w:val="left" w:leader="none"/>
                <w:tab w:pos="6045" w:val="left" w:leader="none"/>
                <w:tab w:pos="7058" w:val="left" w:leader="none"/>
                <w:tab w:pos="7995" w:val="left" w:leader="none"/>
              </w:tabs>
              <w:spacing w:line="220" w:lineRule="exact"/>
              <w:ind w:left="322"/>
              <w:rPr>
                <w:b/>
                <w:sz w:val="20"/>
              </w:rPr>
            </w:pPr>
            <w:r>
              <w:rPr>
                <w:b/>
                <w:color w:val="FFFFFF"/>
                <w:sz w:val="20"/>
              </w:rPr>
              <w:t>Receptores Fc</w:t>
              <w:tab/>
              <w:t>Si</w:t>
            </w:r>
            <w:r>
              <w:rPr>
                <w:b/>
                <w:color w:val="FFFFFF"/>
                <w:spacing w:val="1"/>
                <w:sz w:val="20"/>
              </w:rPr>
              <w:t> </w:t>
            </w:r>
            <w:r>
              <w:rPr>
                <w:b/>
                <w:color w:val="FFFFFF"/>
                <w:sz w:val="20"/>
              </w:rPr>
              <w:t>expresión</w:t>
              <w:tab/>
              <w:t>No</w:t>
            </w:r>
            <w:r>
              <w:rPr>
                <w:b/>
                <w:color w:val="FFFFFF"/>
                <w:spacing w:val="1"/>
                <w:sz w:val="20"/>
              </w:rPr>
              <w:t> </w:t>
            </w:r>
            <w:r>
              <w:rPr>
                <w:b/>
                <w:color w:val="FFFFFF"/>
                <w:sz w:val="20"/>
              </w:rPr>
              <w:t>expresión</w:t>
              <w:tab/>
              <w:t>Mínimo</w:t>
              <w:tab/>
              <w:t>Máximo</w:t>
              <w:tab/>
              <w:t>Media</w:t>
              <w:tab/>
              <w:t>D.E.</w:t>
            </w:r>
          </w:p>
        </w:tc>
      </w:tr>
      <w:tr>
        <w:trPr>
          <w:trHeight w:val="696" w:hRule="exact"/>
        </w:trPr>
        <w:tc>
          <w:tcPr>
            <w:tcW w:w="8615" w:type="dxa"/>
            <w:gridSpan w:val="7"/>
            <w:tcBorders>
              <w:top w:val="single" w:sz="4" w:space="0" w:color="FFFFFF"/>
              <w:left w:val="single" w:sz="4" w:space="0" w:color="4F81BC"/>
              <w:bottom w:val="single" w:sz="4" w:space="0" w:color="4F81BC"/>
              <w:right w:val="single" w:sz="4" w:space="0" w:color="4F81BC"/>
            </w:tcBorders>
            <w:shd w:val="clear" w:color="auto" w:fill="D2DFED"/>
          </w:tcPr>
          <w:p>
            <w:pPr>
              <w:pStyle w:val="TableParagraph"/>
              <w:spacing w:line="360" w:lineRule="auto"/>
              <w:ind w:left="3558" w:right="3550"/>
              <w:jc w:val="center"/>
              <w:rPr>
                <w:b/>
                <w:sz w:val="20"/>
              </w:rPr>
            </w:pPr>
            <w:r>
              <w:rPr>
                <w:b/>
                <w:sz w:val="20"/>
              </w:rPr>
              <w:t>Dentición mixta n=50</w:t>
            </w:r>
          </w:p>
        </w:tc>
      </w:tr>
      <w:tr>
        <w:trPr>
          <w:trHeight w:val="375" w:hRule="exact"/>
        </w:trPr>
        <w:tc>
          <w:tcPr>
            <w:tcW w:w="1996" w:type="dxa"/>
            <w:tcBorders>
              <w:top w:val="single" w:sz="4" w:space="0" w:color="4F81BC"/>
              <w:left w:val="single" w:sz="4" w:space="0" w:color="4F81BC"/>
            </w:tcBorders>
          </w:tcPr>
          <w:p>
            <w:pPr>
              <w:pStyle w:val="TableParagraph"/>
              <w:spacing w:line="236" w:lineRule="exact"/>
              <w:ind w:left="631" w:right="604"/>
              <w:jc w:val="center"/>
              <w:rPr>
                <w:b/>
                <w:sz w:val="20"/>
              </w:rPr>
            </w:pPr>
            <w:r>
              <w:rPr>
                <w:b/>
                <w:sz w:val="20"/>
              </w:rPr>
              <w:t>Fc</w:t>
            </w:r>
            <w:r>
              <w:rPr>
                <w:rFonts w:ascii="Symbol" w:hAnsi="Symbol"/>
                <w:b/>
                <w:sz w:val="20"/>
              </w:rPr>
              <w:t></w:t>
            </w:r>
            <w:r>
              <w:rPr>
                <w:b/>
                <w:sz w:val="20"/>
              </w:rPr>
              <w:t>R</w:t>
            </w:r>
          </w:p>
        </w:tc>
        <w:tc>
          <w:tcPr>
            <w:tcW w:w="1460" w:type="dxa"/>
            <w:tcBorders>
              <w:top w:val="single" w:sz="4" w:space="0" w:color="4F81BC"/>
            </w:tcBorders>
          </w:tcPr>
          <w:p>
            <w:pPr>
              <w:pStyle w:val="TableParagraph"/>
              <w:spacing w:before="9"/>
              <w:ind w:left="600" w:right="597"/>
              <w:jc w:val="center"/>
              <w:rPr>
                <w:sz w:val="20"/>
              </w:rPr>
            </w:pPr>
            <w:r>
              <w:rPr>
                <w:sz w:val="20"/>
              </w:rPr>
              <w:t>50</w:t>
            </w:r>
          </w:p>
        </w:tc>
        <w:tc>
          <w:tcPr>
            <w:tcW w:w="1333" w:type="dxa"/>
            <w:tcBorders>
              <w:top w:val="single" w:sz="4" w:space="0" w:color="4F81BC"/>
            </w:tcBorders>
          </w:tcPr>
          <w:p>
            <w:pPr>
              <w:pStyle w:val="TableParagraph"/>
              <w:spacing w:before="9"/>
              <w:ind w:left="669"/>
              <w:rPr>
                <w:sz w:val="20"/>
              </w:rPr>
            </w:pPr>
            <w:r>
              <w:rPr>
                <w:w w:val="100"/>
                <w:sz w:val="20"/>
              </w:rPr>
              <w:t>0</w:t>
            </w:r>
          </w:p>
        </w:tc>
        <w:tc>
          <w:tcPr>
            <w:tcW w:w="1078" w:type="dxa"/>
            <w:tcBorders>
              <w:top w:val="single" w:sz="4" w:space="0" w:color="4F81BC"/>
            </w:tcBorders>
          </w:tcPr>
          <w:p>
            <w:pPr>
              <w:pStyle w:val="TableParagraph"/>
              <w:spacing w:before="9"/>
              <w:ind w:left="493"/>
              <w:rPr>
                <w:sz w:val="20"/>
              </w:rPr>
            </w:pPr>
            <w:r>
              <w:rPr>
                <w:sz w:val="20"/>
              </w:rPr>
              <w:t>.00</w:t>
            </w:r>
          </w:p>
        </w:tc>
        <w:tc>
          <w:tcPr>
            <w:tcW w:w="1016" w:type="dxa"/>
            <w:tcBorders>
              <w:top w:val="single" w:sz="4" w:space="0" w:color="4F81BC"/>
            </w:tcBorders>
          </w:tcPr>
          <w:p>
            <w:pPr>
              <w:pStyle w:val="TableParagraph"/>
              <w:spacing w:before="9"/>
              <w:ind w:left="284" w:right="191"/>
              <w:jc w:val="center"/>
              <w:rPr>
                <w:sz w:val="20"/>
              </w:rPr>
            </w:pPr>
            <w:r>
              <w:rPr>
                <w:sz w:val="20"/>
              </w:rPr>
              <w:t>41.99</w:t>
            </w:r>
          </w:p>
        </w:tc>
        <w:tc>
          <w:tcPr>
            <w:tcW w:w="857" w:type="dxa"/>
            <w:tcBorders>
              <w:top w:val="single" w:sz="4" w:space="0" w:color="4F81BC"/>
            </w:tcBorders>
          </w:tcPr>
          <w:p>
            <w:pPr>
              <w:pStyle w:val="TableParagraph"/>
              <w:spacing w:before="9"/>
              <w:ind w:left="190" w:right="126"/>
              <w:jc w:val="center"/>
              <w:rPr>
                <w:sz w:val="20"/>
              </w:rPr>
            </w:pPr>
            <w:r>
              <w:rPr>
                <w:sz w:val="20"/>
              </w:rPr>
              <w:t>1.914</w:t>
            </w:r>
          </w:p>
        </w:tc>
        <w:tc>
          <w:tcPr>
            <w:tcW w:w="875" w:type="dxa"/>
            <w:tcBorders>
              <w:top w:val="single" w:sz="4" w:space="0" w:color="4F81BC"/>
              <w:right w:val="single" w:sz="4" w:space="0" w:color="4F81BC"/>
            </w:tcBorders>
          </w:tcPr>
          <w:p>
            <w:pPr>
              <w:pStyle w:val="TableParagraph"/>
              <w:spacing w:before="9"/>
              <w:ind w:left="125" w:right="88"/>
              <w:jc w:val="center"/>
              <w:rPr>
                <w:sz w:val="20"/>
              </w:rPr>
            </w:pPr>
            <w:r>
              <w:rPr>
                <w:sz w:val="20"/>
              </w:rPr>
              <w:t>6.451</w:t>
            </w:r>
          </w:p>
        </w:tc>
      </w:tr>
      <w:tr>
        <w:trPr>
          <w:trHeight w:val="370" w:hRule="exact"/>
        </w:trPr>
        <w:tc>
          <w:tcPr>
            <w:tcW w:w="1996" w:type="dxa"/>
            <w:tcBorders>
              <w:left w:val="single" w:sz="4" w:space="0" w:color="4F81BC"/>
            </w:tcBorders>
            <w:shd w:val="clear" w:color="auto" w:fill="D2DFED"/>
          </w:tcPr>
          <w:p>
            <w:pPr>
              <w:pStyle w:val="TableParagraph"/>
              <w:spacing w:line="236" w:lineRule="exact"/>
              <w:ind w:left="631" w:right="604"/>
              <w:jc w:val="center"/>
              <w:rPr>
                <w:b/>
                <w:sz w:val="20"/>
              </w:rPr>
            </w:pPr>
            <w:r>
              <w:rPr>
                <w:b/>
                <w:sz w:val="20"/>
              </w:rPr>
              <w:t>Fc</w:t>
            </w:r>
            <w:r>
              <w:rPr>
                <w:rFonts w:ascii="Symbol" w:hAnsi="Symbol"/>
                <w:b/>
                <w:sz w:val="20"/>
              </w:rPr>
              <w:t></w:t>
            </w:r>
            <w:r>
              <w:rPr>
                <w:b/>
                <w:sz w:val="20"/>
              </w:rPr>
              <w:t>RIIB</w:t>
            </w:r>
          </w:p>
        </w:tc>
        <w:tc>
          <w:tcPr>
            <w:tcW w:w="1460" w:type="dxa"/>
            <w:shd w:val="clear" w:color="auto" w:fill="D2DFED"/>
          </w:tcPr>
          <w:p>
            <w:pPr>
              <w:pStyle w:val="TableParagraph"/>
              <w:spacing w:before="4"/>
              <w:ind w:left="600" w:right="597"/>
              <w:jc w:val="center"/>
              <w:rPr>
                <w:sz w:val="20"/>
              </w:rPr>
            </w:pPr>
            <w:r>
              <w:rPr>
                <w:sz w:val="20"/>
              </w:rPr>
              <w:t>29</w:t>
            </w:r>
          </w:p>
        </w:tc>
        <w:tc>
          <w:tcPr>
            <w:tcW w:w="1333" w:type="dxa"/>
            <w:shd w:val="clear" w:color="auto" w:fill="D2DFED"/>
          </w:tcPr>
          <w:p>
            <w:pPr>
              <w:pStyle w:val="TableParagraph"/>
              <w:spacing w:before="4"/>
              <w:ind w:left="616"/>
              <w:rPr>
                <w:sz w:val="20"/>
              </w:rPr>
            </w:pPr>
            <w:r>
              <w:rPr>
                <w:sz w:val="20"/>
              </w:rPr>
              <w:t>21</w:t>
            </w:r>
          </w:p>
        </w:tc>
        <w:tc>
          <w:tcPr>
            <w:tcW w:w="1078" w:type="dxa"/>
            <w:shd w:val="clear" w:color="auto" w:fill="D2DFED"/>
          </w:tcPr>
          <w:p>
            <w:pPr>
              <w:pStyle w:val="TableParagraph"/>
              <w:spacing w:before="4"/>
              <w:ind w:left="493"/>
              <w:rPr>
                <w:sz w:val="20"/>
              </w:rPr>
            </w:pPr>
            <w:r>
              <w:rPr>
                <w:sz w:val="20"/>
              </w:rPr>
              <w:t>.00</w:t>
            </w:r>
          </w:p>
        </w:tc>
        <w:tc>
          <w:tcPr>
            <w:tcW w:w="1016" w:type="dxa"/>
            <w:shd w:val="clear" w:color="auto" w:fill="D2DFED"/>
          </w:tcPr>
          <w:p>
            <w:pPr>
              <w:pStyle w:val="TableParagraph"/>
              <w:spacing w:before="4"/>
              <w:ind w:left="284" w:right="191"/>
              <w:jc w:val="center"/>
              <w:rPr>
                <w:sz w:val="20"/>
              </w:rPr>
            </w:pPr>
            <w:r>
              <w:rPr>
                <w:sz w:val="20"/>
              </w:rPr>
              <w:t>26.52</w:t>
            </w:r>
          </w:p>
        </w:tc>
        <w:tc>
          <w:tcPr>
            <w:tcW w:w="857" w:type="dxa"/>
            <w:shd w:val="clear" w:color="auto" w:fill="D2DFED"/>
          </w:tcPr>
          <w:p>
            <w:pPr>
              <w:pStyle w:val="TableParagraph"/>
              <w:spacing w:before="4"/>
              <w:ind w:left="190" w:right="126"/>
              <w:jc w:val="center"/>
              <w:rPr>
                <w:sz w:val="20"/>
              </w:rPr>
            </w:pPr>
            <w:r>
              <w:rPr>
                <w:sz w:val="20"/>
              </w:rPr>
              <w:t>2.936</w:t>
            </w:r>
          </w:p>
        </w:tc>
        <w:tc>
          <w:tcPr>
            <w:tcW w:w="875" w:type="dxa"/>
            <w:tcBorders>
              <w:right w:val="single" w:sz="4" w:space="0" w:color="4F81BC"/>
            </w:tcBorders>
            <w:shd w:val="clear" w:color="auto" w:fill="D2DFED"/>
          </w:tcPr>
          <w:p>
            <w:pPr>
              <w:pStyle w:val="TableParagraph"/>
              <w:spacing w:before="4"/>
              <w:ind w:left="125" w:right="88"/>
              <w:jc w:val="center"/>
              <w:rPr>
                <w:sz w:val="20"/>
              </w:rPr>
            </w:pPr>
            <w:r>
              <w:rPr>
                <w:sz w:val="20"/>
              </w:rPr>
              <w:t>6.109</w:t>
            </w:r>
          </w:p>
        </w:tc>
      </w:tr>
      <w:tr>
        <w:trPr>
          <w:trHeight w:val="370" w:hRule="exact"/>
        </w:trPr>
        <w:tc>
          <w:tcPr>
            <w:tcW w:w="1996" w:type="dxa"/>
            <w:tcBorders>
              <w:left w:val="single" w:sz="4" w:space="0" w:color="4F81BC"/>
              <w:bottom w:val="single" w:sz="4" w:space="0" w:color="4F81BC"/>
            </w:tcBorders>
          </w:tcPr>
          <w:p>
            <w:pPr>
              <w:pStyle w:val="TableParagraph"/>
              <w:spacing w:line="236" w:lineRule="exact"/>
              <w:ind w:left="631" w:right="604"/>
              <w:jc w:val="center"/>
              <w:rPr>
                <w:b/>
                <w:sz w:val="20"/>
              </w:rPr>
            </w:pPr>
            <w:r>
              <w:rPr>
                <w:b/>
                <w:sz w:val="20"/>
              </w:rPr>
              <w:t>Fc</w:t>
            </w:r>
            <w:r>
              <w:rPr>
                <w:rFonts w:ascii="Symbol" w:hAnsi="Symbol"/>
                <w:b/>
                <w:sz w:val="20"/>
              </w:rPr>
              <w:t></w:t>
            </w:r>
            <w:r>
              <w:rPr>
                <w:b/>
                <w:sz w:val="20"/>
              </w:rPr>
              <w:t>R</w:t>
            </w:r>
          </w:p>
        </w:tc>
        <w:tc>
          <w:tcPr>
            <w:tcW w:w="1460" w:type="dxa"/>
            <w:tcBorders>
              <w:bottom w:val="single" w:sz="4" w:space="0" w:color="4F81BC"/>
            </w:tcBorders>
          </w:tcPr>
          <w:p>
            <w:pPr>
              <w:pStyle w:val="TableParagraph"/>
              <w:spacing w:before="4"/>
              <w:jc w:val="center"/>
              <w:rPr>
                <w:sz w:val="20"/>
              </w:rPr>
            </w:pPr>
            <w:r>
              <w:rPr>
                <w:w w:val="100"/>
                <w:sz w:val="20"/>
              </w:rPr>
              <w:t>2</w:t>
            </w:r>
          </w:p>
        </w:tc>
        <w:tc>
          <w:tcPr>
            <w:tcW w:w="1333" w:type="dxa"/>
            <w:tcBorders>
              <w:bottom w:val="single" w:sz="4" w:space="0" w:color="4F81BC"/>
            </w:tcBorders>
          </w:tcPr>
          <w:p>
            <w:pPr>
              <w:pStyle w:val="TableParagraph"/>
              <w:spacing w:before="4"/>
              <w:ind w:left="616"/>
              <w:rPr>
                <w:sz w:val="20"/>
              </w:rPr>
            </w:pPr>
            <w:r>
              <w:rPr>
                <w:sz w:val="20"/>
              </w:rPr>
              <w:t>48</w:t>
            </w:r>
          </w:p>
        </w:tc>
        <w:tc>
          <w:tcPr>
            <w:tcW w:w="1078" w:type="dxa"/>
            <w:tcBorders>
              <w:bottom w:val="single" w:sz="4" w:space="0" w:color="4F81BC"/>
            </w:tcBorders>
          </w:tcPr>
          <w:p>
            <w:pPr>
              <w:pStyle w:val="TableParagraph"/>
              <w:spacing w:before="4"/>
              <w:ind w:left="493"/>
              <w:rPr>
                <w:sz w:val="20"/>
              </w:rPr>
            </w:pPr>
            <w:r>
              <w:rPr>
                <w:sz w:val="20"/>
              </w:rPr>
              <w:t>.04</w:t>
            </w:r>
          </w:p>
        </w:tc>
        <w:tc>
          <w:tcPr>
            <w:tcW w:w="1016" w:type="dxa"/>
            <w:tcBorders>
              <w:bottom w:val="single" w:sz="4" w:space="0" w:color="4F81BC"/>
            </w:tcBorders>
          </w:tcPr>
          <w:p>
            <w:pPr>
              <w:pStyle w:val="TableParagraph"/>
              <w:spacing w:before="4"/>
              <w:ind w:left="284" w:right="191"/>
              <w:jc w:val="center"/>
              <w:rPr>
                <w:sz w:val="20"/>
              </w:rPr>
            </w:pPr>
            <w:r>
              <w:rPr>
                <w:sz w:val="20"/>
              </w:rPr>
              <w:t>.06</w:t>
            </w:r>
          </w:p>
        </w:tc>
        <w:tc>
          <w:tcPr>
            <w:tcW w:w="857" w:type="dxa"/>
            <w:tcBorders>
              <w:bottom w:val="single" w:sz="4" w:space="0" w:color="4F81BC"/>
            </w:tcBorders>
          </w:tcPr>
          <w:p>
            <w:pPr>
              <w:pStyle w:val="TableParagraph"/>
              <w:spacing w:before="4"/>
              <w:ind w:left="186" w:right="126"/>
              <w:jc w:val="center"/>
              <w:rPr>
                <w:sz w:val="20"/>
              </w:rPr>
            </w:pPr>
            <w:r>
              <w:rPr>
                <w:sz w:val="20"/>
              </w:rPr>
              <w:t>.050</w:t>
            </w:r>
          </w:p>
        </w:tc>
        <w:tc>
          <w:tcPr>
            <w:tcW w:w="875" w:type="dxa"/>
            <w:tcBorders>
              <w:bottom w:val="single" w:sz="4" w:space="0" w:color="4F81BC"/>
              <w:right w:val="single" w:sz="4" w:space="0" w:color="4F81BC"/>
            </w:tcBorders>
          </w:tcPr>
          <w:p>
            <w:pPr>
              <w:pStyle w:val="TableParagraph"/>
              <w:spacing w:before="4"/>
              <w:ind w:left="125" w:right="88"/>
              <w:jc w:val="center"/>
              <w:rPr>
                <w:sz w:val="20"/>
              </w:rPr>
            </w:pPr>
            <w:r>
              <w:rPr>
                <w:sz w:val="20"/>
              </w:rPr>
              <w:t>.0141</w:t>
            </w:r>
          </w:p>
        </w:tc>
      </w:tr>
      <w:tr>
        <w:trPr>
          <w:trHeight w:val="701" w:hRule="exact"/>
        </w:trPr>
        <w:tc>
          <w:tcPr>
            <w:tcW w:w="8615" w:type="dxa"/>
            <w:gridSpan w:val="7"/>
            <w:tcBorders>
              <w:top w:val="single" w:sz="4" w:space="0" w:color="4F81BC"/>
              <w:left w:val="single" w:sz="4" w:space="0" w:color="4F81BC"/>
              <w:bottom w:val="single" w:sz="4" w:space="0" w:color="4F81BC"/>
              <w:right w:val="single" w:sz="4" w:space="0" w:color="4F81BC"/>
            </w:tcBorders>
            <w:shd w:val="clear" w:color="auto" w:fill="D2DFED"/>
          </w:tcPr>
          <w:p>
            <w:pPr>
              <w:pStyle w:val="TableParagraph"/>
              <w:spacing w:line="360" w:lineRule="auto"/>
              <w:ind w:left="3251" w:right="3248"/>
              <w:jc w:val="center"/>
              <w:rPr>
                <w:b/>
                <w:sz w:val="20"/>
              </w:rPr>
            </w:pPr>
            <w:r>
              <w:rPr>
                <w:b/>
                <w:sz w:val="20"/>
              </w:rPr>
              <w:t>Dentición permanente n=50</w:t>
            </w:r>
          </w:p>
        </w:tc>
      </w:tr>
      <w:tr>
        <w:trPr>
          <w:trHeight w:val="374" w:hRule="exact"/>
        </w:trPr>
        <w:tc>
          <w:tcPr>
            <w:tcW w:w="1996" w:type="dxa"/>
            <w:tcBorders>
              <w:top w:val="single" w:sz="4" w:space="0" w:color="4F81BC"/>
              <w:left w:val="single" w:sz="4" w:space="0" w:color="4F81BC"/>
            </w:tcBorders>
          </w:tcPr>
          <w:p>
            <w:pPr>
              <w:pStyle w:val="TableParagraph"/>
              <w:spacing w:line="236" w:lineRule="exact"/>
              <w:ind w:left="631" w:right="604"/>
              <w:jc w:val="center"/>
              <w:rPr>
                <w:b/>
                <w:sz w:val="20"/>
              </w:rPr>
            </w:pPr>
            <w:r>
              <w:rPr>
                <w:b/>
                <w:sz w:val="20"/>
              </w:rPr>
              <w:t>Fc</w:t>
            </w:r>
            <w:r>
              <w:rPr>
                <w:rFonts w:ascii="Symbol" w:hAnsi="Symbol"/>
                <w:b/>
                <w:sz w:val="20"/>
              </w:rPr>
              <w:t></w:t>
            </w:r>
            <w:r>
              <w:rPr>
                <w:b/>
                <w:sz w:val="20"/>
              </w:rPr>
              <w:t>R</w:t>
            </w:r>
          </w:p>
        </w:tc>
        <w:tc>
          <w:tcPr>
            <w:tcW w:w="1460" w:type="dxa"/>
            <w:tcBorders>
              <w:top w:val="single" w:sz="4" w:space="0" w:color="4F81BC"/>
            </w:tcBorders>
          </w:tcPr>
          <w:p>
            <w:pPr>
              <w:pStyle w:val="TableParagraph"/>
              <w:spacing w:before="4"/>
              <w:ind w:left="600" w:right="597"/>
              <w:jc w:val="center"/>
              <w:rPr>
                <w:sz w:val="20"/>
              </w:rPr>
            </w:pPr>
            <w:r>
              <w:rPr>
                <w:sz w:val="20"/>
              </w:rPr>
              <w:t>50</w:t>
            </w:r>
          </w:p>
        </w:tc>
        <w:tc>
          <w:tcPr>
            <w:tcW w:w="1333" w:type="dxa"/>
            <w:tcBorders>
              <w:top w:val="single" w:sz="4" w:space="0" w:color="4F81BC"/>
            </w:tcBorders>
          </w:tcPr>
          <w:p>
            <w:pPr>
              <w:pStyle w:val="TableParagraph"/>
              <w:spacing w:before="4"/>
              <w:ind w:left="669"/>
              <w:rPr>
                <w:sz w:val="20"/>
              </w:rPr>
            </w:pPr>
            <w:r>
              <w:rPr>
                <w:w w:val="100"/>
                <w:sz w:val="20"/>
              </w:rPr>
              <w:t>0</w:t>
            </w:r>
          </w:p>
        </w:tc>
        <w:tc>
          <w:tcPr>
            <w:tcW w:w="1078" w:type="dxa"/>
            <w:tcBorders>
              <w:top w:val="single" w:sz="4" w:space="0" w:color="4F81BC"/>
            </w:tcBorders>
          </w:tcPr>
          <w:p>
            <w:pPr>
              <w:pStyle w:val="TableParagraph"/>
              <w:spacing w:before="4"/>
              <w:ind w:left="493"/>
              <w:rPr>
                <w:sz w:val="20"/>
              </w:rPr>
            </w:pPr>
            <w:r>
              <w:rPr>
                <w:sz w:val="20"/>
              </w:rPr>
              <w:t>.00</w:t>
            </w:r>
          </w:p>
        </w:tc>
        <w:tc>
          <w:tcPr>
            <w:tcW w:w="1016" w:type="dxa"/>
            <w:tcBorders>
              <w:top w:val="single" w:sz="4" w:space="0" w:color="4F81BC"/>
            </w:tcBorders>
          </w:tcPr>
          <w:p>
            <w:pPr>
              <w:pStyle w:val="TableParagraph"/>
              <w:spacing w:before="4"/>
              <w:ind w:left="284" w:right="191"/>
              <w:jc w:val="center"/>
              <w:rPr>
                <w:sz w:val="20"/>
              </w:rPr>
            </w:pPr>
            <w:r>
              <w:rPr>
                <w:sz w:val="20"/>
              </w:rPr>
              <w:t>36.73</w:t>
            </w:r>
          </w:p>
        </w:tc>
        <w:tc>
          <w:tcPr>
            <w:tcW w:w="857" w:type="dxa"/>
            <w:tcBorders>
              <w:top w:val="single" w:sz="4" w:space="0" w:color="4F81BC"/>
            </w:tcBorders>
          </w:tcPr>
          <w:p>
            <w:pPr>
              <w:pStyle w:val="TableParagraph"/>
              <w:spacing w:before="4"/>
              <w:ind w:left="190" w:right="126"/>
              <w:jc w:val="center"/>
              <w:rPr>
                <w:sz w:val="20"/>
              </w:rPr>
            </w:pPr>
            <w:r>
              <w:rPr>
                <w:sz w:val="20"/>
              </w:rPr>
              <w:t>4.152</w:t>
            </w:r>
          </w:p>
        </w:tc>
        <w:tc>
          <w:tcPr>
            <w:tcW w:w="875" w:type="dxa"/>
            <w:tcBorders>
              <w:top w:val="single" w:sz="4" w:space="0" w:color="4F81BC"/>
              <w:right w:val="single" w:sz="4" w:space="0" w:color="4F81BC"/>
            </w:tcBorders>
          </w:tcPr>
          <w:p>
            <w:pPr>
              <w:pStyle w:val="TableParagraph"/>
              <w:spacing w:before="4"/>
              <w:ind w:left="125" w:right="88"/>
              <w:jc w:val="center"/>
              <w:rPr>
                <w:sz w:val="20"/>
              </w:rPr>
            </w:pPr>
            <w:r>
              <w:rPr>
                <w:sz w:val="20"/>
              </w:rPr>
              <w:t>9.537</w:t>
            </w:r>
          </w:p>
        </w:tc>
      </w:tr>
      <w:tr>
        <w:trPr>
          <w:trHeight w:val="365" w:hRule="exact"/>
        </w:trPr>
        <w:tc>
          <w:tcPr>
            <w:tcW w:w="1996" w:type="dxa"/>
            <w:tcBorders>
              <w:left w:val="single" w:sz="4" w:space="0" w:color="4F81BC"/>
            </w:tcBorders>
            <w:shd w:val="clear" w:color="auto" w:fill="D2DFED"/>
          </w:tcPr>
          <w:p>
            <w:pPr>
              <w:pStyle w:val="TableParagraph"/>
              <w:spacing w:line="236" w:lineRule="exact"/>
              <w:ind w:left="631" w:right="604"/>
              <w:jc w:val="center"/>
              <w:rPr>
                <w:b/>
                <w:sz w:val="20"/>
              </w:rPr>
            </w:pPr>
            <w:r>
              <w:rPr>
                <w:b/>
                <w:sz w:val="20"/>
              </w:rPr>
              <w:t>Fc</w:t>
            </w:r>
            <w:r>
              <w:rPr>
                <w:rFonts w:ascii="Symbol" w:hAnsi="Symbol"/>
                <w:b/>
                <w:sz w:val="20"/>
              </w:rPr>
              <w:t></w:t>
            </w:r>
            <w:r>
              <w:rPr>
                <w:b/>
                <w:sz w:val="20"/>
              </w:rPr>
              <w:t>RIIB</w:t>
            </w:r>
          </w:p>
        </w:tc>
        <w:tc>
          <w:tcPr>
            <w:tcW w:w="1460" w:type="dxa"/>
            <w:shd w:val="clear" w:color="auto" w:fill="D2DFED"/>
          </w:tcPr>
          <w:p>
            <w:pPr>
              <w:pStyle w:val="TableParagraph"/>
              <w:spacing w:before="4"/>
              <w:ind w:left="600" w:right="597"/>
              <w:jc w:val="center"/>
              <w:rPr>
                <w:sz w:val="20"/>
              </w:rPr>
            </w:pPr>
            <w:r>
              <w:rPr>
                <w:sz w:val="20"/>
              </w:rPr>
              <w:t>26</w:t>
            </w:r>
          </w:p>
        </w:tc>
        <w:tc>
          <w:tcPr>
            <w:tcW w:w="1333" w:type="dxa"/>
            <w:shd w:val="clear" w:color="auto" w:fill="D2DFED"/>
          </w:tcPr>
          <w:p>
            <w:pPr>
              <w:pStyle w:val="TableParagraph"/>
              <w:spacing w:before="4"/>
              <w:ind w:left="616"/>
              <w:rPr>
                <w:sz w:val="20"/>
              </w:rPr>
            </w:pPr>
            <w:r>
              <w:rPr>
                <w:sz w:val="20"/>
              </w:rPr>
              <w:t>24</w:t>
            </w:r>
          </w:p>
        </w:tc>
        <w:tc>
          <w:tcPr>
            <w:tcW w:w="1078" w:type="dxa"/>
            <w:shd w:val="clear" w:color="auto" w:fill="D2DFED"/>
          </w:tcPr>
          <w:p>
            <w:pPr>
              <w:pStyle w:val="TableParagraph"/>
              <w:spacing w:before="4"/>
              <w:ind w:left="580"/>
              <w:rPr>
                <w:sz w:val="20"/>
              </w:rPr>
            </w:pPr>
            <w:r>
              <w:rPr>
                <w:w w:val="100"/>
                <w:sz w:val="20"/>
              </w:rPr>
              <w:t>0</w:t>
            </w:r>
          </w:p>
        </w:tc>
        <w:tc>
          <w:tcPr>
            <w:tcW w:w="1016" w:type="dxa"/>
            <w:shd w:val="clear" w:color="auto" w:fill="D2DFED"/>
          </w:tcPr>
          <w:p>
            <w:pPr>
              <w:pStyle w:val="TableParagraph"/>
              <w:spacing w:before="4"/>
              <w:ind w:left="282" w:right="191"/>
              <w:jc w:val="center"/>
              <w:rPr>
                <w:sz w:val="20"/>
              </w:rPr>
            </w:pPr>
            <w:r>
              <w:rPr>
                <w:sz w:val="20"/>
              </w:rPr>
              <w:t>56</w:t>
            </w:r>
          </w:p>
        </w:tc>
        <w:tc>
          <w:tcPr>
            <w:tcW w:w="857" w:type="dxa"/>
            <w:shd w:val="clear" w:color="auto" w:fill="D2DFED"/>
          </w:tcPr>
          <w:p>
            <w:pPr>
              <w:pStyle w:val="TableParagraph"/>
              <w:spacing w:before="4"/>
              <w:ind w:left="190" w:right="126"/>
              <w:jc w:val="center"/>
              <w:rPr>
                <w:sz w:val="20"/>
              </w:rPr>
            </w:pPr>
            <w:r>
              <w:rPr>
                <w:sz w:val="20"/>
              </w:rPr>
              <w:t>13.22</w:t>
            </w:r>
          </w:p>
        </w:tc>
        <w:tc>
          <w:tcPr>
            <w:tcW w:w="875" w:type="dxa"/>
            <w:tcBorders>
              <w:right w:val="single" w:sz="4" w:space="0" w:color="4F81BC"/>
            </w:tcBorders>
            <w:shd w:val="clear" w:color="auto" w:fill="D2DFED"/>
          </w:tcPr>
          <w:p>
            <w:pPr>
              <w:pStyle w:val="TableParagraph"/>
              <w:spacing w:before="4"/>
              <w:ind w:left="125" w:right="93"/>
              <w:jc w:val="center"/>
              <w:rPr>
                <w:sz w:val="20"/>
              </w:rPr>
            </w:pPr>
            <w:r>
              <w:rPr>
                <w:sz w:val="20"/>
              </w:rPr>
              <w:t>15.593</w:t>
            </w:r>
          </w:p>
        </w:tc>
      </w:tr>
      <w:tr>
        <w:trPr>
          <w:trHeight w:val="374" w:hRule="exact"/>
        </w:trPr>
        <w:tc>
          <w:tcPr>
            <w:tcW w:w="1996" w:type="dxa"/>
            <w:tcBorders>
              <w:left w:val="single" w:sz="4" w:space="0" w:color="4F81BC"/>
              <w:bottom w:val="single" w:sz="4" w:space="0" w:color="4F81BC"/>
            </w:tcBorders>
          </w:tcPr>
          <w:p>
            <w:pPr>
              <w:pStyle w:val="TableParagraph"/>
              <w:spacing w:line="236" w:lineRule="exact"/>
              <w:ind w:left="631" w:right="604"/>
              <w:jc w:val="center"/>
              <w:rPr>
                <w:b/>
                <w:sz w:val="20"/>
              </w:rPr>
            </w:pPr>
            <w:r>
              <w:rPr>
                <w:b/>
                <w:sz w:val="20"/>
              </w:rPr>
              <w:t>Fc</w:t>
            </w:r>
            <w:r>
              <w:rPr>
                <w:rFonts w:ascii="Symbol" w:hAnsi="Symbol"/>
                <w:b/>
                <w:sz w:val="20"/>
              </w:rPr>
              <w:t></w:t>
            </w:r>
            <w:r>
              <w:rPr>
                <w:b/>
                <w:sz w:val="20"/>
              </w:rPr>
              <w:t>R</w:t>
            </w:r>
          </w:p>
        </w:tc>
        <w:tc>
          <w:tcPr>
            <w:tcW w:w="1460" w:type="dxa"/>
            <w:tcBorders>
              <w:bottom w:val="single" w:sz="4" w:space="0" w:color="4F81BC"/>
            </w:tcBorders>
          </w:tcPr>
          <w:p>
            <w:pPr>
              <w:pStyle w:val="TableParagraph"/>
              <w:spacing w:before="9"/>
              <w:jc w:val="center"/>
              <w:rPr>
                <w:sz w:val="20"/>
              </w:rPr>
            </w:pPr>
            <w:r>
              <w:rPr>
                <w:w w:val="100"/>
                <w:sz w:val="20"/>
              </w:rPr>
              <w:t>1</w:t>
            </w:r>
          </w:p>
        </w:tc>
        <w:tc>
          <w:tcPr>
            <w:tcW w:w="1333" w:type="dxa"/>
            <w:tcBorders>
              <w:bottom w:val="single" w:sz="4" w:space="0" w:color="4F81BC"/>
            </w:tcBorders>
          </w:tcPr>
          <w:p>
            <w:pPr>
              <w:pStyle w:val="TableParagraph"/>
              <w:spacing w:before="9"/>
              <w:ind w:left="616"/>
              <w:rPr>
                <w:sz w:val="20"/>
              </w:rPr>
            </w:pPr>
            <w:r>
              <w:rPr>
                <w:sz w:val="20"/>
              </w:rPr>
              <w:t>49</w:t>
            </w:r>
          </w:p>
        </w:tc>
        <w:tc>
          <w:tcPr>
            <w:tcW w:w="1078" w:type="dxa"/>
            <w:tcBorders>
              <w:bottom w:val="single" w:sz="4" w:space="0" w:color="4F81BC"/>
            </w:tcBorders>
          </w:tcPr>
          <w:p>
            <w:pPr>
              <w:pStyle w:val="TableParagraph"/>
              <w:spacing w:before="9"/>
              <w:ind w:left="522"/>
              <w:rPr>
                <w:sz w:val="20"/>
              </w:rPr>
            </w:pPr>
            <w:r>
              <w:rPr>
                <w:sz w:val="20"/>
              </w:rPr>
              <w:t>22</w:t>
            </w:r>
          </w:p>
        </w:tc>
        <w:tc>
          <w:tcPr>
            <w:tcW w:w="1016" w:type="dxa"/>
            <w:tcBorders>
              <w:bottom w:val="single" w:sz="4" w:space="0" w:color="4F81BC"/>
            </w:tcBorders>
          </w:tcPr>
          <w:p>
            <w:pPr>
              <w:pStyle w:val="TableParagraph"/>
              <w:spacing w:before="9"/>
              <w:ind w:left="282" w:right="191"/>
              <w:jc w:val="center"/>
              <w:rPr>
                <w:sz w:val="20"/>
              </w:rPr>
            </w:pPr>
            <w:r>
              <w:rPr>
                <w:sz w:val="20"/>
              </w:rPr>
              <w:t>22</w:t>
            </w:r>
          </w:p>
        </w:tc>
        <w:tc>
          <w:tcPr>
            <w:tcW w:w="857" w:type="dxa"/>
            <w:tcBorders>
              <w:bottom w:val="single" w:sz="4" w:space="0" w:color="4F81BC"/>
            </w:tcBorders>
          </w:tcPr>
          <w:p>
            <w:pPr>
              <w:pStyle w:val="TableParagraph"/>
              <w:spacing w:before="9"/>
              <w:ind w:left="190" w:right="126"/>
              <w:jc w:val="center"/>
              <w:rPr>
                <w:sz w:val="20"/>
              </w:rPr>
            </w:pPr>
            <w:r>
              <w:rPr>
                <w:sz w:val="20"/>
              </w:rPr>
              <w:t>21.89</w:t>
            </w:r>
          </w:p>
        </w:tc>
        <w:tc>
          <w:tcPr>
            <w:tcW w:w="875" w:type="dxa"/>
            <w:tcBorders>
              <w:bottom w:val="single" w:sz="4" w:space="0" w:color="4F81BC"/>
              <w:right w:val="single" w:sz="4" w:space="0" w:color="4F81BC"/>
            </w:tcBorders>
          </w:tcPr>
          <w:p>
            <w:pPr>
              <w:pStyle w:val="TableParagraph"/>
              <w:spacing w:before="9"/>
              <w:ind w:left="35"/>
              <w:jc w:val="center"/>
              <w:rPr>
                <w:sz w:val="20"/>
              </w:rPr>
            </w:pPr>
            <w:r>
              <w:rPr>
                <w:w w:val="100"/>
                <w:sz w:val="20"/>
              </w:rPr>
              <w:t>-</w:t>
            </w:r>
          </w:p>
        </w:tc>
      </w:tr>
    </w:tbl>
    <w:p>
      <w:pPr>
        <w:spacing w:after="0"/>
        <w:jc w:val="center"/>
        <w:rPr>
          <w:sz w:val="20"/>
        </w:rPr>
        <w:sectPr>
          <w:pgSz w:w="12240" w:h="15840"/>
          <w:pgMar w:header="726" w:footer="1031" w:top="1340" w:bottom="1220" w:left="1220" w:right="1420"/>
        </w:sectPr>
      </w:pPr>
    </w:p>
    <w:p>
      <w:pPr>
        <w:spacing w:line="182" w:lineRule="exact" w:before="0"/>
        <w:ind w:left="479" w:right="0" w:firstLine="0"/>
        <w:jc w:val="left"/>
        <w:rPr>
          <w:sz w:val="16"/>
        </w:rPr>
      </w:pPr>
      <w:r>
        <w:rPr/>
        <w:drawing>
          <wp:anchor distT="0" distB="0" distL="0" distR="0" allowOverlap="1" layoutInCell="1" locked="0" behindDoc="1" simplePos="0" relativeHeight="268260815">
            <wp:simplePos x="0" y="0"/>
            <wp:positionH relativeFrom="page">
              <wp:posOffset>5574791</wp:posOffset>
            </wp:positionH>
            <wp:positionV relativeFrom="paragraph">
              <wp:posOffset>105410</wp:posOffset>
            </wp:positionV>
            <wp:extent cx="996695" cy="152400"/>
            <wp:effectExtent l="0" t="0" r="0" b="0"/>
            <wp:wrapNone/>
            <wp:docPr id="51" name="image48.png" descr=""/>
            <wp:cNvGraphicFramePr>
              <a:graphicFrameLocks noChangeAspect="1"/>
            </wp:cNvGraphicFramePr>
            <a:graphic>
              <a:graphicData uri="http://schemas.openxmlformats.org/drawingml/2006/picture">
                <pic:pic>
                  <pic:nvPicPr>
                    <pic:cNvPr id="52" name="image48.png"/>
                    <pic:cNvPicPr/>
                  </pic:nvPicPr>
                  <pic:blipFill>
                    <a:blip r:embed="rId80" cstate="print"/>
                    <a:stretch>
                      <a:fillRect/>
                    </a:stretch>
                  </pic:blipFill>
                  <pic:spPr>
                    <a:xfrm>
                      <a:off x="0" y="0"/>
                      <a:ext cx="996695" cy="152400"/>
                    </a:xfrm>
                    <a:prstGeom prst="rect">
                      <a:avLst/>
                    </a:prstGeom>
                  </pic:spPr>
                </pic:pic>
              </a:graphicData>
            </a:graphic>
          </wp:anchor>
        </w:drawing>
      </w:r>
      <w:r>
        <w:rPr>
          <w:sz w:val="16"/>
        </w:rPr>
        <w:t>D.E.= Desviación estándar.</w:t>
      </w:r>
    </w:p>
    <w:p>
      <w:pPr>
        <w:spacing w:line="183" w:lineRule="exact" w:before="0"/>
        <w:ind w:left="479" w:right="0" w:firstLine="0"/>
        <w:jc w:val="left"/>
        <w:rPr>
          <w:rFonts w:ascii="Cambria Math" w:hAnsi="Cambria Math"/>
          <w:sz w:val="9"/>
        </w:rPr>
      </w:pPr>
      <w:r>
        <w:rPr>
          <w:sz w:val="16"/>
        </w:rPr>
        <w:t>Los datos son expresados en unidades relativas de expresión génica obtenidas por el método </w:t>
      </w:r>
      <w:r>
        <w:rPr>
          <w:rFonts w:ascii="Cambria Math" w:hAnsi="Cambria Math"/>
          <w:w w:val="249"/>
          <w:sz w:val="16"/>
        </w:rPr>
        <w:t> </w:t>
      </w:r>
      <w:r>
        <w:rPr>
          <w:rFonts w:ascii="Cambria Math" w:hAnsi="Cambria Math"/>
          <w:w w:val="331"/>
          <w:position w:val="6"/>
          <w:sz w:val="11"/>
        </w:rPr>
        <w:t> </w:t>
      </w:r>
      <w:r>
        <w:rPr>
          <w:rFonts w:ascii="Cambria Math" w:hAnsi="Cambria Math"/>
          <w:position w:val="6"/>
          <w:sz w:val="11"/>
        </w:rPr>
        <w:t> </w:t>
      </w:r>
      <w:r>
        <w:rPr>
          <w:rFonts w:ascii="Cambria Math" w:hAnsi="Cambria Math"/>
          <w:w w:val="287"/>
          <w:position w:val="6"/>
          <w:sz w:val="11"/>
        </w:rPr>
        <w:t>  </w:t>
      </w:r>
      <w:r>
        <w:rPr>
          <w:rFonts w:ascii="Cambria Math" w:hAnsi="Cambria Math"/>
          <w:w w:val="276"/>
          <w:position w:val="6"/>
          <w:sz w:val="11"/>
        </w:rPr>
        <w:t> </w:t>
      </w:r>
      <w:r>
        <w:rPr>
          <w:rFonts w:ascii="Cambria Math" w:hAnsi="Cambria Math"/>
          <w:w w:val="313"/>
          <w:position w:val="3"/>
          <w:sz w:val="9"/>
        </w:rPr>
        <w:t> </w:t>
      </w:r>
    </w:p>
    <w:p>
      <w:pPr>
        <w:pStyle w:val="BodyText"/>
        <w:spacing w:before="9"/>
        <w:rPr>
          <w:rFonts w:ascii="Cambria Math"/>
          <w:sz w:val="13"/>
        </w:rPr>
      </w:pPr>
      <w:r>
        <w:rPr/>
        <w:br w:type="column"/>
      </w:r>
      <w:r>
        <w:rPr>
          <w:rFonts w:ascii="Cambria Math"/>
          <w:sz w:val="13"/>
        </w:rPr>
      </w:r>
    </w:p>
    <w:p>
      <w:pPr>
        <w:spacing w:before="1"/>
        <w:ind w:left="281" w:right="0" w:firstLine="0"/>
        <w:jc w:val="left"/>
        <w:rPr>
          <w:sz w:val="16"/>
        </w:rPr>
      </w:pPr>
      <w:r>
        <w:rPr>
          <w:sz w:val="16"/>
        </w:rPr>
        <w:t>Fuente directa</w:t>
      </w:r>
    </w:p>
    <w:p>
      <w:pPr>
        <w:spacing w:after="0"/>
        <w:jc w:val="left"/>
        <w:rPr>
          <w:sz w:val="16"/>
        </w:rPr>
        <w:sectPr>
          <w:type w:val="continuous"/>
          <w:pgSz w:w="12240" w:h="15840"/>
          <w:pgMar w:top="1100" w:bottom="280" w:left="1220" w:right="1420"/>
          <w:cols w:num="2" w:equalWidth="0">
            <w:col w:w="7649" w:space="40"/>
            <w:col w:w="1911"/>
          </w:cols>
        </w:sect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82"/>
        <w:ind w:left="926"/>
        <w:jc w:val="left"/>
      </w:pPr>
      <w:r>
        <w:rPr/>
        <w:t>Tabla 4. Medición de la expresión génica de Fc</w:t>
      </w:r>
      <w:r>
        <w:rPr>
          <w:rFonts w:ascii="Symbol" w:hAnsi="Symbol"/>
        </w:rPr>
        <w:t></w:t>
      </w:r>
      <w:r>
        <w:rPr/>
        <w:t>R, Fc</w:t>
      </w:r>
      <w:r>
        <w:rPr>
          <w:rFonts w:ascii="Symbol" w:hAnsi="Symbol"/>
        </w:rPr>
        <w:t></w:t>
      </w:r>
      <w:r>
        <w:rPr/>
        <w:t>RIIB y Fc</w:t>
      </w:r>
      <w:r>
        <w:rPr>
          <w:rFonts w:ascii="Symbol" w:hAnsi="Symbol"/>
        </w:rPr>
        <w:t></w:t>
      </w:r>
      <w:r>
        <w:rPr/>
        <w:t>R</w:t>
      </w:r>
    </w:p>
    <w:p>
      <w:pPr>
        <w:pStyle w:val="BodyText"/>
        <w:rPr>
          <w:b/>
          <w:sz w:val="20"/>
        </w:rPr>
      </w:pPr>
    </w:p>
    <w:p>
      <w:pPr>
        <w:pStyle w:val="BodyText"/>
        <w:spacing w:before="6"/>
        <w:rPr>
          <w:b/>
          <w:sz w:val="25"/>
        </w:rPr>
      </w:pPr>
    </w:p>
    <w:tbl>
      <w:tblPr>
        <w:tblW w:w="0" w:type="auto"/>
        <w:jc w:val="left"/>
        <w:tblInd w:w="8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1"/>
        <w:gridCol w:w="1164"/>
        <w:gridCol w:w="1614"/>
        <w:gridCol w:w="1906"/>
        <w:gridCol w:w="1654"/>
      </w:tblGrid>
      <w:tr>
        <w:trPr>
          <w:trHeight w:val="533" w:hRule="exact"/>
        </w:trPr>
        <w:tc>
          <w:tcPr>
            <w:tcW w:w="2605" w:type="dxa"/>
            <w:gridSpan w:val="2"/>
            <w:tcBorders>
              <w:bottom w:val="single" w:sz="4" w:space="0" w:color="FFFFFF"/>
            </w:tcBorders>
            <w:shd w:val="clear" w:color="auto" w:fill="4F81BC"/>
          </w:tcPr>
          <w:p>
            <w:pPr>
              <w:pStyle w:val="TableParagraph"/>
              <w:spacing w:before="129"/>
              <w:ind w:left="532"/>
              <w:rPr>
                <w:b/>
                <w:sz w:val="20"/>
              </w:rPr>
            </w:pPr>
            <w:r>
              <w:rPr>
                <w:b/>
                <w:color w:val="FFFFFF"/>
                <w:sz w:val="20"/>
              </w:rPr>
              <w:t>Receptores Fc</w:t>
            </w:r>
          </w:p>
        </w:tc>
        <w:tc>
          <w:tcPr>
            <w:tcW w:w="1614" w:type="dxa"/>
            <w:tcBorders>
              <w:bottom w:val="single" w:sz="4" w:space="0" w:color="FFFFFF"/>
            </w:tcBorders>
            <w:shd w:val="clear" w:color="auto" w:fill="4F81BC"/>
          </w:tcPr>
          <w:p>
            <w:pPr>
              <w:pStyle w:val="TableParagraph"/>
              <w:spacing w:before="129"/>
              <w:ind w:left="479" w:right="416"/>
              <w:jc w:val="center"/>
              <w:rPr>
                <w:b/>
                <w:sz w:val="20"/>
              </w:rPr>
            </w:pPr>
            <w:r>
              <w:rPr>
                <w:b/>
                <w:color w:val="FFFFFF"/>
                <w:sz w:val="20"/>
              </w:rPr>
              <w:t>Medias</w:t>
            </w:r>
          </w:p>
        </w:tc>
        <w:tc>
          <w:tcPr>
            <w:tcW w:w="1906" w:type="dxa"/>
            <w:tcBorders>
              <w:bottom w:val="single" w:sz="4" w:space="0" w:color="FFFFFF"/>
            </w:tcBorders>
            <w:shd w:val="clear" w:color="auto" w:fill="4F81BC"/>
          </w:tcPr>
          <w:p>
            <w:pPr>
              <w:pStyle w:val="TableParagraph"/>
              <w:spacing w:line="276" w:lineRule="auto"/>
              <w:ind w:left="717" w:right="197" w:hanging="284"/>
              <w:rPr>
                <w:b/>
                <w:sz w:val="20"/>
              </w:rPr>
            </w:pPr>
            <w:r>
              <w:rPr>
                <w:b/>
                <w:color w:val="FFFFFF"/>
                <w:sz w:val="20"/>
              </w:rPr>
              <w:t>Diferencia de medias</w:t>
            </w:r>
          </w:p>
        </w:tc>
        <w:tc>
          <w:tcPr>
            <w:tcW w:w="1654" w:type="dxa"/>
            <w:tcBorders>
              <w:bottom w:val="single" w:sz="4" w:space="0" w:color="FFFFFF"/>
            </w:tcBorders>
            <w:shd w:val="clear" w:color="auto" w:fill="4F81BC"/>
          </w:tcPr>
          <w:p>
            <w:pPr>
              <w:pStyle w:val="TableParagraph"/>
              <w:spacing w:line="276" w:lineRule="auto"/>
              <w:ind w:left="213" w:right="187" w:firstLine="38"/>
              <w:rPr>
                <w:b/>
                <w:sz w:val="20"/>
              </w:rPr>
            </w:pPr>
            <w:r>
              <w:rPr>
                <w:b/>
                <w:color w:val="FFFFFF"/>
                <w:sz w:val="20"/>
              </w:rPr>
              <w:t>t de Student Significancia</w:t>
            </w:r>
          </w:p>
        </w:tc>
      </w:tr>
      <w:tr>
        <w:trPr>
          <w:trHeight w:val="306" w:hRule="exact"/>
        </w:trPr>
        <w:tc>
          <w:tcPr>
            <w:tcW w:w="1441" w:type="dxa"/>
            <w:tcBorders>
              <w:top w:val="single" w:sz="4" w:space="0" w:color="FFFFFF"/>
              <w:left w:val="single" w:sz="4" w:space="0" w:color="4F81BC"/>
            </w:tcBorders>
            <w:shd w:val="clear" w:color="auto" w:fill="DBE4F0"/>
          </w:tcPr>
          <w:p>
            <w:pPr/>
          </w:p>
        </w:tc>
        <w:tc>
          <w:tcPr>
            <w:tcW w:w="1164" w:type="dxa"/>
            <w:tcBorders>
              <w:top w:val="single" w:sz="4" w:space="0" w:color="FFFFFF"/>
            </w:tcBorders>
            <w:shd w:val="clear" w:color="auto" w:fill="DBE4F0"/>
          </w:tcPr>
          <w:p>
            <w:pPr>
              <w:pStyle w:val="TableParagraph"/>
              <w:spacing w:before="76"/>
              <w:ind w:left="354"/>
              <w:rPr>
                <w:sz w:val="20"/>
              </w:rPr>
            </w:pPr>
            <w:r>
              <w:rPr>
                <w:sz w:val="20"/>
              </w:rPr>
              <w:t>DM</w:t>
            </w:r>
          </w:p>
        </w:tc>
        <w:tc>
          <w:tcPr>
            <w:tcW w:w="1614" w:type="dxa"/>
            <w:tcBorders>
              <w:top w:val="single" w:sz="4" w:space="0" w:color="FFFFFF"/>
            </w:tcBorders>
            <w:shd w:val="clear" w:color="auto" w:fill="DBE4F0"/>
          </w:tcPr>
          <w:p>
            <w:pPr>
              <w:pStyle w:val="TableParagraph"/>
              <w:spacing w:before="76"/>
              <w:ind w:left="469" w:right="416"/>
              <w:jc w:val="center"/>
              <w:rPr>
                <w:sz w:val="20"/>
              </w:rPr>
            </w:pPr>
            <w:r>
              <w:rPr>
                <w:sz w:val="20"/>
              </w:rPr>
              <w:t>1.913</w:t>
            </w:r>
          </w:p>
        </w:tc>
        <w:tc>
          <w:tcPr>
            <w:tcW w:w="1906" w:type="dxa"/>
            <w:tcBorders>
              <w:top w:val="single" w:sz="4" w:space="0" w:color="FFFFFF"/>
            </w:tcBorders>
            <w:shd w:val="clear" w:color="auto" w:fill="DBE4F0"/>
          </w:tcPr>
          <w:p>
            <w:pPr/>
          </w:p>
        </w:tc>
        <w:tc>
          <w:tcPr>
            <w:tcW w:w="1654" w:type="dxa"/>
            <w:tcBorders>
              <w:top w:val="single" w:sz="4" w:space="0" w:color="FFFFFF"/>
              <w:right w:val="single" w:sz="4" w:space="0" w:color="4F81BC"/>
            </w:tcBorders>
            <w:shd w:val="clear" w:color="auto" w:fill="DBE4F0"/>
          </w:tcPr>
          <w:p>
            <w:pPr/>
          </w:p>
        </w:tc>
      </w:tr>
      <w:tr>
        <w:trPr>
          <w:trHeight w:val="210" w:hRule="exact"/>
        </w:trPr>
        <w:tc>
          <w:tcPr>
            <w:tcW w:w="1441" w:type="dxa"/>
            <w:tcBorders>
              <w:left w:val="single" w:sz="4" w:space="0" w:color="4F81BC"/>
            </w:tcBorders>
            <w:shd w:val="clear" w:color="auto" w:fill="DBE4F0"/>
          </w:tcPr>
          <w:p>
            <w:pPr>
              <w:pStyle w:val="TableParagraph"/>
              <w:spacing w:line="208" w:lineRule="exact"/>
              <w:ind w:left="342" w:right="337"/>
              <w:jc w:val="center"/>
              <w:rPr>
                <w:b/>
                <w:sz w:val="20"/>
              </w:rPr>
            </w:pPr>
            <w:r>
              <w:rPr>
                <w:b/>
                <w:sz w:val="20"/>
              </w:rPr>
              <w:t>Fc</w:t>
            </w:r>
            <w:r>
              <w:rPr>
                <w:rFonts w:ascii="Symbol" w:hAnsi="Symbol"/>
                <w:b/>
                <w:sz w:val="20"/>
              </w:rPr>
              <w:t></w:t>
            </w:r>
            <w:r>
              <w:rPr>
                <w:b/>
                <w:sz w:val="20"/>
              </w:rPr>
              <w:t>R</w:t>
            </w:r>
          </w:p>
        </w:tc>
        <w:tc>
          <w:tcPr>
            <w:tcW w:w="1164" w:type="dxa"/>
            <w:shd w:val="clear" w:color="auto" w:fill="DBE4F0"/>
          </w:tcPr>
          <w:p>
            <w:pPr/>
          </w:p>
        </w:tc>
        <w:tc>
          <w:tcPr>
            <w:tcW w:w="1614" w:type="dxa"/>
            <w:shd w:val="clear" w:color="auto" w:fill="DBE4F0"/>
          </w:tcPr>
          <w:p>
            <w:pPr/>
          </w:p>
        </w:tc>
        <w:tc>
          <w:tcPr>
            <w:tcW w:w="1906" w:type="dxa"/>
            <w:shd w:val="clear" w:color="auto" w:fill="DBE4F0"/>
          </w:tcPr>
          <w:p>
            <w:pPr>
              <w:pStyle w:val="TableParagraph"/>
              <w:spacing w:line="212" w:lineRule="exact"/>
              <w:ind w:right="556"/>
              <w:jc w:val="right"/>
              <w:rPr>
                <w:sz w:val="20"/>
              </w:rPr>
            </w:pPr>
            <w:r>
              <w:rPr>
                <w:sz w:val="20"/>
              </w:rPr>
              <w:t>-2.238</w:t>
            </w:r>
          </w:p>
        </w:tc>
        <w:tc>
          <w:tcPr>
            <w:tcW w:w="1654" w:type="dxa"/>
            <w:tcBorders>
              <w:right w:val="single" w:sz="4" w:space="0" w:color="4F81BC"/>
            </w:tcBorders>
            <w:shd w:val="clear" w:color="auto" w:fill="DBE4F0"/>
          </w:tcPr>
          <w:p>
            <w:pPr>
              <w:pStyle w:val="TableParagraph"/>
              <w:spacing w:line="212" w:lineRule="exact"/>
              <w:ind w:left="616" w:right="603"/>
              <w:jc w:val="center"/>
              <w:rPr>
                <w:sz w:val="20"/>
              </w:rPr>
            </w:pPr>
            <w:r>
              <w:rPr>
                <w:sz w:val="20"/>
              </w:rPr>
              <w:t>.188</w:t>
            </w:r>
          </w:p>
        </w:tc>
      </w:tr>
      <w:tr>
        <w:trPr>
          <w:trHeight w:val="320" w:hRule="exact"/>
        </w:trPr>
        <w:tc>
          <w:tcPr>
            <w:tcW w:w="1441" w:type="dxa"/>
            <w:tcBorders>
              <w:left w:val="single" w:sz="4" w:space="0" w:color="4F81BC"/>
            </w:tcBorders>
            <w:shd w:val="clear" w:color="auto" w:fill="DBE4F0"/>
          </w:tcPr>
          <w:p>
            <w:pPr/>
          </w:p>
        </w:tc>
        <w:tc>
          <w:tcPr>
            <w:tcW w:w="1164" w:type="dxa"/>
            <w:shd w:val="clear" w:color="auto" w:fill="DBE4F0"/>
          </w:tcPr>
          <w:p>
            <w:pPr>
              <w:pStyle w:val="TableParagraph"/>
              <w:spacing w:line="208" w:lineRule="exact"/>
              <w:ind w:left="374"/>
              <w:rPr>
                <w:sz w:val="20"/>
              </w:rPr>
            </w:pPr>
            <w:r>
              <w:rPr>
                <w:sz w:val="20"/>
              </w:rPr>
              <w:t>DP</w:t>
            </w:r>
          </w:p>
        </w:tc>
        <w:tc>
          <w:tcPr>
            <w:tcW w:w="1614" w:type="dxa"/>
            <w:shd w:val="clear" w:color="auto" w:fill="DBE4F0"/>
          </w:tcPr>
          <w:p>
            <w:pPr>
              <w:pStyle w:val="TableParagraph"/>
              <w:spacing w:line="208" w:lineRule="exact"/>
              <w:ind w:left="469" w:right="416"/>
              <w:jc w:val="center"/>
              <w:rPr>
                <w:sz w:val="20"/>
              </w:rPr>
            </w:pPr>
            <w:r>
              <w:rPr>
                <w:sz w:val="20"/>
              </w:rPr>
              <w:t>4.152</w:t>
            </w:r>
          </w:p>
        </w:tc>
        <w:tc>
          <w:tcPr>
            <w:tcW w:w="1906" w:type="dxa"/>
            <w:shd w:val="clear" w:color="auto" w:fill="DBE4F0"/>
          </w:tcPr>
          <w:p>
            <w:pPr/>
          </w:p>
        </w:tc>
        <w:tc>
          <w:tcPr>
            <w:tcW w:w="1654" w:type="dxa"/>
            <w:tcBorders>
              <w:right w:val="single" w:sz="4" w:space="0" w:color="4F81BC"/>
            </w:tcBorders>
            <w:shd w:val="clear" w:color="auto" w:fill="DBE4F0"/>
          </w:tcPr>
          <w:p>
            <w:pPr/>
          </w:p>
        </w:tc>
      </w:tr>
      <w:tr>
        <w:trPr>
          <w:trHeight w:val="299" w:hRule="exact"/>
        </w:trPr>
        <w:tc>
          <w:tcPr>
            <w:tcW w:w="1441" w:type="dxa"/>
            <w:tcBorders>
              <w:left w:val="single" w:sz="4" w:space="0" w:color="4F81BC"/>
            </w:tcBorders>
          </w:tcPr>
          <w:p>
            <w:pPr/>
          </w:p>
        </w:tc>
        <w:tc>
          <w:tcPr>
            <w:tcW w:w="1164" w:type="dxa"/>
            <w:tcBorders>
              <w:top w:val="single" w:sz="31" w:space="0" w:color="DBE4F0"/>
            </w:tcBorders>
          </w:tcPr>
          <w:p>
            <w:pPr>
              <w:pStyle w:val="TableParagraph"/>
              <w:spacing w:before="33"/>
              <w:ind w:left="354"/>
              <w:rPr>
                <w:sz w:val="20"/>
              </w:rPr>
            </w:pPr>
            <w:r>
              <w:rPr>
                <w:sz w:val="20"/>
              </w:rPr>
              <w:t>DM</w:t>
            </w:r>
          </w:p>
        </w:tc>
        <w:tc>
          <w:tcPr>
            <w:tcW w:w="1614" w:type="dxa"/>
            <w:tcBorders>
              <w:top w:val="single" w:sz="31" w:space="0" w:color="DBE4F0"/>
            </w:tcBorders>
          </w:tcPr>
          <w:p>
            <w:pPr>
              <w:pStyle w:val="TableParagraph"/>
              <w:spacing w:before="33"/>
              <w:ind w:left="469" w:right="416"/>
              <w:jc w:val="center"/>
              <w:rPr>
                <w:sz w:val="20"/>
              </w:rPr>
            </w:pPr>
            <w:r>
              <w:rPr>
                <w:sz w:val="20"/>
              </w:rPr>
              <w:t>2.863</w:t>
            </w:r>
          </w:p>
        </w:tc>
        <w:tc>
          <w:tcPr>
            <w:tcW w:w="1906" w:type="dxa"/>
          </w:tcPr>
          <w:p>
            <w:pPr/>
          </w:p>
        </w:tc>
        <w:tc>
          <w:tcPr>
            <w:tcW w:w="1654" w:type="dxa"/>
            <w:tcBorders>
              <w:right w:val="single" w:sz="4" w:space="0" w:color="4F81BC"/>
            </w:tcBorders>
          </w:tcPr>
          <w:p>
            <w:pPr/>
          </w:p>
        </w:tc>
      </w:tr>
      <w:tr>
        <w:trPr>
          <w:trHeight w:val="212" w:hRule="exact"/>
        </w:trPr>
        <w:tc>
          <w:tcPr>
            <w:tcW w:w="1441" w:type="dxa"/>
            <w:tcBorders>
              <w:left w:val="single" w:sz="4" w:space="0" w:color="4F81BC"/>
            </w:tcBorders>
          </w:tcPr>
          <w:p>
            <w:pPr>
              <w:pStyle w:val="TableParagraph"/>
              <w:spacing w:line="211" w:lineRule="exact"/>
              <w:ind w:left="342" w:right="337"/>
              <w:jc w:val="center"/>
              <w:rPr>
                <w:b/>
                <w:sz w:val="20"/>
              </w:rPr>
            </w:pPr>
            <w:r>
              <w:rPr>
                <w:b/>
                <w:sz w:val="20"/>
              </w:rPr>
              <w:t>Fc</w:t>
            </w:r>
            <w:r>
              <w:rPr>
                <w:rFonts w:ascii="Symbol" w:hAnsi="Symbol"/>
                <w:b/>
                <w:sz w:val="20"/>
              </w:rPr>
              <w:t></w:t>
            </w:r>
            <w:r>
              <w:rPr>
                <w:b/>
                <w:sz w:val="20"/>
              </w:rPr>
              <w:t>RIIB</w:t>
            </w:r>
          </w:p>
        </w:tc>
        <w:tc>
          <w:tcPr>
            <w:tcW w:w="1164" w:type="dxa"/>
          </w:tcPr>
          <w:p>
            <w:pPr/>
          </w:p>
        </w:tc>
        <w:tc>
          <w:tcPr>
            <w:tcW w:w="1614" w:type="dxa"/>
          </w:tcPr>
          <w:p>
            <w:pPr/>
          </w:p>
        </w:tc>
        <w:tc>
          <w:tcPr>
            <w:tcW w:w="1906" w:type="dxa"/>
          </w:tcPr>
          <w:p>
            <w:pPr>
              <w:pStyle w:val="TableParagraph"/>
              <w:spacing w:line="214" w:lineRule="exact"/>
              <w:ind w:right="498"/>
              <w:jc w:val="right"/>
              <w:rPr>
                <w:sz w:val="20"/>
              </w:rPr>
            </w:pPr>
            <w:r>
              <w:rPr>
                <w:sz w:val="20"/>
              </w:rPr>
              <w:t>-12.186</w:t>
            </w:r>
          </w:p>
        </w:tc>
        <w:tc>
          <w:tcPr>
            <w:tcW w:w="1654" w:type="dxa"/>
            <w:tcBorders>
              <w:right w:val="single" w:sz="4" w:space="0" w:color="4F81BC"/>
            </w:tcBorders>
          </w:tcPr>
          <w:p>
            <w:pPr>
              <w:pStyle w:val="TableParagraph"/>
              <w:spacing w:line="214" w:lineRule="exact"/>
              <w:ind w:left="616" w:right="603"/>
              <w:jc w:val="center"/>
              <w:rPr>
                <w:sz w:val="20"/>
              </w:rPr>
            </w:pPr>
            <w:r>
              <w:rPr>
                <w:sz w:val="20"/>
              </w:rPr>
              <w:t>.025</w:t>
            </w:r>
          </w:p>
        </w:tc>
      </w:tr>
      <w:tr>
        <w:trPr>
          <w:trHeight w:val="315" w:hRule="exact"/>
        </w:trPr>
        <w:tc>
          <w:tcPr>
            <w:tcW w:w="1441" w:type="dxa"/>
            <w:tcBorders>
              <w:left w:val="single" w:sz="4" w:space="0" w:color="4F81BC"/>
            </w:tcBorders>
          </w:tcPr>
          <w:p>
            <w:pPr/>
          </w:p>
        </w:tc>
        <w:tc>
          <w:tcPr>
            <w:tcW w:w="1164" w:type="dxa"/>
          </w:tcPr>
          <w:p>
            <w:pPr>
              <w:pStyle w:val="TableParagraph"/>
              <w:spacing w:line="208" w:lineRule="exact"/>
              <w:ind w:left="374"/>
              <w:rPr>
                <w:sz w:val="20"/>
              </w:rPr>
            </w:pPr>
            <w:r>
              <w:rPr>
                <w:sz w:val="20"/>
              </w:rPr>
              <w:t>DP</w:t>
            </w:r>
          </w:p>
        </w:tc>
        <w:tc>
          <w:tcPr>
            <w:tcW w:w="1614" w:type="dxa"/>
          </w:tcPr>
          <w:p>
            <w:pPr>
              <w:pStyle w:val="TableParagraph"/>
              <w:spacing w:line="208" w:lineRule="exact"/>
              <w:ind w:left="469" w:right="416"/>
              <w:jc w:val="center"/>
              <w:rPr>
                <w:sz w:val="20"/>
              </w:rPr>
            </w:pPr>
            <w:r>
              <w:rPr>
                <w:sz w:val="20"/>
              </w:rPr>
              <w:t>15.05</w:t>
            </w:r>
          </w:p>
        </w:tc>
        <w:tc>
          <w:tcPr>
            <w:tcW w:w="1906" w:type="dxa"/>
          </w:tcPr>
          <w:p>
            <w:pPr/>
          </w:p>
        </w:tc>
        <w:tc>
          <w:tcPr>
            <w:tcW w:w="1654" w:type="dxa"/>
            <w:tcBorders>
              <w:right w:val="single" w:sz="4" w:space="0" w:color="4F81BC"/>
            </w:tcBorders>
          </w:tcPr>
          <w:p>
            <w:pPr/>
          </w:p>
        </w:tc>
      </w:tr>
      <w:tr>
        <w:trPr>
          <w:trHeight w:val="304" w:hRule="exact"/>
        </w:trPr>
        <w:tc>
          <w:tcPr>
            <w:tcW w:w="1441" w:type="dxa"/>
            <w:tcBorders>
              <w:left w:val="single" w:sz="4" w:space="0" w:color="4F81BC"/>
            </w:tcBorders>
          </w:tcPr>
          <w:p>
            <w:pPr/>
          </w:p>
        </w:tc>
        <w:tc>
          <w:tcPr>
            <w:tcW w:w="1164" w:type="dxa"/>
          </w:tcPr>
          <w:p>
            <w:pPr>
              <w:pStyle w:val="TableParagraph"/>
              <w:spacing w:before="76"/>
              <w:ind w:left="354"/>
              <w:rPr>
                <w:sz w:val="20"/>
              </w:rPr>
            </w:pPr>
            <w:r>
              <w:rPr>
                <w:sz w:val="20"/>
              </w:rPr>
              <w:t>DM</w:t>
            </w:r>
          </w:p>
        </w:tc>
        <w:tc>
          <w:tcPr>
            <w:tcW w:w="1614" w:type="dxa"/>
          </w:tcPr>
          <w:p>
            <w:pPr>
              <w:pStyle w:val="TableParagraph"/>
              <w:spacing w:before="76"/>
              <w:ind w:left="474" w:right="416"/>
              <w:jc w:val="center"/>
              <w:rPr>
                <w:sz w:val="20"/>
              </w:rPr>
            </w:pPr>
            <w:r>
              <w:rPr>
                <w:sz w:val="20"/>
              </w:rPr>
              <w:t>.000</w:t>
            </w:r>
          </w:p>
        </w:tc>
        <w:tc>
          <w:tcPr>
            <w:tcW w:w="1906" w:type="dxa"/>
          </w:tcPr>
          <w:p>
            <w:pPr/>
          </w:p>
        </w:tc>
        <w:tc>
          <w:tcPr>
            <w:tcW w:w="1654" w:type="dxa"/>
            <w:tcBorders>
              <w:right w:val="single" w:sz="4" w:space="0" w:color="4F81BC"/>
            </w:tcBorders>
          </w:tcPr>
          <w:p>
            <w:pPr/>
          </w:p>
        </w:tc>
      </w:tr>
      <w:tr>
        <w:trPr>
          <w:trHeight w:val="215" w:hRule="exact"/>
        </w:trPr>
        <w:tc>
          <w:tcPr>
            <w:tcW w:w="1441" w:type="dxa"/>
            <w:tcBorders>
              <w:left w:val="single" w:sz="4" w:space="0" w:color="4F81BC"/>
            </w:tcBorders>
          </w:tcPr>
          <w:p>
            <w:pPr>
              <w:pStyle w:val="TableParagraph"/>
              <w:spacing w:line="211" w:lineRule="exact"/>
              <w:ind w:left="342" w:right="337"/>
              <w:jc w:val="center"/>
              <w:rPr>
                <w:b/>
                <w:sz w:val="20"/>
              </w:rPr>
            </w:pPr>
            <w:r>
              <w:rPr>
                <w:b/>
                <w:sz w:val="20"/>
              </w:rPr>
              <w:t>Fc</w:t>
            </w:r>
            <w:r>
              <w:rPr>
                <w:rFonts w:ascii="Symbol" w:hAnsi="Symbol"/>
                <w:b/>
                <w:sz w:val="20"/>
              </w:rPr>
              <w:t></w:t>
            </w:r>
            <w:r>
              <w:rPr>
                <w:b/>
                <w:sz w:val="20"/>
              </w:rPr>
              <w:t>R</w:t>
            </w:r>
          </w:p>
        </w:tc>
        <w:tc>
          <w:tcPr>
            <w:tcW w:w="1164" w:type="dxa"/>
          </w:tcPr>
          <w:p>
            <w:pPr/>
          </w:p>
        </w:tc>
        <w:tc>
          <w:tcPr>
            <w:tcW w:w="1614" w:type="dxa"/>
          </w:tcPr>
          <w:p>
            <w:pPr/>
          </w:p>
        </w:tc>
        <w:tc>
          <w:tcPr>
            <w:tcW w:w="1906" w:type="dxa"/>
          </w:tcPr>
          <w:p>
            <w:pPr>
              <w:pStyle w:val="TableParagraph"/>
              <w:spacing w:line="214" w:lineRule="exact"/>
              <w:ind w:left="226"/>
              <w:jc w:val="center"/>
              <w:rPr>
                <w:sz w:val="20"/>
              </w:rPr>
            </w:pPr>
            <w:r>
              <w:rPr>
                <w:w w:val="100"/>
                <w:sz w:val="20"/>
              </w:rPr>
              <w:t>_</w:t>
            </w:r>
          </w:p>
        </w:tc>
        <w:tc>
          <w:tcPr>
            <w:tcW w:w="1654" w:type="dxa"/>
            <w:tcBorders>
              <w:right w:val="single" w:sz="4" w:space="0" w:color="4F81BC"/>
            </w:tcBorders>
          </w:tcPr>
          <w:p>
            <w:pPr>
              <w:pStyle w:val="TableParagraph"/>
              <w:spacing w:line="214" w:lineRule="exact"/>
              <w:ind w:left="13"/>
              <w:jc w:val="center"/>
              <w:rPr>
                <w:sz w:val="20"/>
              </w:rPr>
            </w:pPr>
            <w:r>
              <w:rPr>
                <w:w w:val="100"/>
                <w:sz w:val="20"/>
              </w:rPr>
              <w:t>_</w:t>
            </w:r>
          </w:p>
        </w:tc>
      </w:tr>
      <w:tr>
        <w:trPr>
          <w:trHeight w:val="327" w:hRule="exact"/>
        </w:trPr>
        <w:tc>
          <w:tcPr>
            <w:tcW w:w="1441" w:type="dxa"/>
            <w:tcBorders>
              <w:left w:val="single" w:sz="4" w:space="0" w:color="4F81BC"/>
              <w:bottom w:val="single" w:sz="4" w:space="0" w:color="4F81BC"/>
            </w:tcBorders>
          </w:tcPr>
          <w:p>
            <w:pPr/>
          </w:p>
        </w:tc>
        <w:tc>
          <w:tcPr>
            <w:tcW w:w="1164" w:type="dxa"/>
            <w:tcBorders>
              <w:bottom w:val="single" w:sz="4" w:space="0" w:color="4F81BC"/>
            </w:tcBorders>
          </w:tcPr>
          <w:p>
            <w:pPr>
              <w:pStyle w:val="TableParagraph"/>
              <w:spacing w:line="211" w:lineRule="exact"/>
              <w:ind w:left="374"/>
              <w:rPr>
                <w:sz w:val="20"/>
              </w:rPr>
            </w:pPr>
            <w:r>
              <w:rPr>
                <w:sz w:val="20"/>
              </w:rPr>
              <w:t>DP</w:t>
            </w:r>
          </w:p>
        </w:tc>
        <w:tc>
          <w:tcPr>
            <w:tcW w:w="1614" w:type="dxa"/>
            <w:tcBorders>
              <w:bottom w:val="single" w:sz="4" w:space="0" w:color="4F81BC"/>
            </w:tcBorders>
          </w:tcPr>
          <w:p>
            <w:pPr>
              <w:pStyle w:val="TableParagraph"/>
              <w:spacing w:line="211" w:lineRule="exact"/>
              <w:ind w:left="469" w:right="416"/>
              <w:jc w:val="center"/>
              <w:rPr>
                <w:sz w:val="20"/>
              </w:rPr>
            </w:pPr>
            <w:r>
              <w:rPr>
                <w:sz w:val="20"/>
              </w:rPr>
              <w:t>21.89</w:t>
            </w:r>
          </w:p>
        </w:tc>
        <w:tc>
          <w:tcPr>
            <w:tcW w:w="1906" w:type="dxa"/>
            <w:tcBorders>
              <w:bottom w:val="single" w:sz="4" w:space="0" w:color="4F81BC"/>
            </w:tcBorders>
          </w:tcPr>
          <w:p>
            <w:pPr/>
          </w:p>
        </w:tc>
        <w:tc>
          <w:tcPr>
            <w:tcW w:w="1654" w:type="dxa"/>
            <w:tcBorders>
              <w:bottom w:val="single" w:sz="4" w:space="0" w:color="4F81BC"/>
              <w:right w:val="single" w:sz="4" w:space="0" w:color="4F81BC"/>
            </w:tcBorders>
          </w:tcPr>
          <w:p>
            <w:pPr/>
          </w:p>
        </w:tc>
      </w:tr>
    </w:tbl>
    <w:p>
      <w:pPr>
        <w:spacing w:after="0"/>
        <w:sectPr>
          <w:type w:val="continuous"/>
          <w:pgSz w:w="12240" w:h="15840"/>
          <w:pgMar w:top="1100" w:bottom="280" w:left="1220" w:right="1420"/>
        </w:sectPr>
      </w:pPr>
    </w:p>
    <w:p>
      <w:pPr>
        <w:spacing w:before="0"/>
        <w:ind w:left="907" w:right="-6" w:firstLine="0"/>
        <w:jc w:val="left"/>
        <w:rPr>
          <w:sz w:val="16"/>
        </w:rPr>
      </w:pPr>
      <w:r>
        <w:rPr>
          <w:sz w:val="16"/>
        </w:rPr>
        <w:t>DM= Dentición mixta. DP= Dentición</w:t>
      </w:r>
      <w:r>
        <w:rPr>
          <w:spacing w:val="-19"/>
          <w:sz w:val="16"/>
        </w:rPr>
        <w:t> </w:t>
      </w:r>
      <w:r>
        <w:rPr>
          <w:sz w:val="16"/>
        </w:rPr>
        <w:t>permanente. D.E.= Desviación estándar. ** p&lt;</w:t>
      </w:r>
      <w:r>
        <w:rPr>
          <w:spacing w:val="-19"/>
          <w:sz w:val="16"/>
        </w:rPr>
        <w:t> </w:t>
      </w:r>
      <w:r>
        <w:rPr>
          <w:sz w:val="16"/>
        </w:rPr>
        <w:t>0.05</w:t>
      </w:r>
    </w:p>
    <w:p>
      <w:pPr>
        <w:spacing w:before="99"/>
        <w:ind w:left="907" w:right="0" w:firstLine="0"/>
        <w:jc w:val="left"/>
        <w:rPr>
          <w:sz w:val="16"/>
        </w:rPr>
      </w:pPr>
      <w:r>
        <w:rPr/>
        <w:br w:type="column"/>
      </w:r>
      <w:r>
        <w:rPr>
          <w:sz w:val="16"/>
        </w:rPr>
        <w:t>Fuente directa</w:t>
      </w:r>
    </w:p>
    <w:p>
      <w:pPr>
        <w:spacing w:after="0"/>
        <w:jc w:val="left"/>
        <w:rPr>
          <w:sz w:val="16"/>
        </w:rPr>
        <w:sectPr>
          <w:type w:val="continuous"/>
          <w:pgSz w:w="12240" w:h="15840"/>
          <w:pgMar w:top="1100" w:bottom="280" w:left="1220" w:right="1420"/>
          <w:cols w:num="2" w:equalWidth="0">
            <w:col w:w="4442" w:space="2150"/>
            <w:col w:w="3008"/>
          </w:cols>
        </w:sectPr>
      </w:pPr>
    </w:p>
    <w:p>
      <w:pPr>
        <w:spacing w:before="3"/>
        <w:ind w:left="907" w:right="0" w:firstLine="0"/>
        <w:jc w:val="left"/>
        <w:rPr>
          <w:rFonts w:ascii="Cambria Math" w:hAnsi="Cambria Math"/>
          <w:sz w:val="9"/>
        </w:rPr>
      </w:pPr>
      <w:r>
        <w:rPr/>
        <w:drawing>
          <wp:anchor distT="0" distB="0" distL="0" distR="0" allowOverlap="1" layoutInCell="1" locked="0" behindDoc="1" simplePos="0" relativeHeight="268260839">
            <wp:simplePos x="0" y="0"/>
            <wp:positionH relativeFrom="page">
              <wp:posOffset>5276088</wp:posOffset>
            </wp:positionH>
            <wp:positionV relativeFrom="paragraph">
              <wp:posOffset>-167336</wp:posOffset>
            </wp:positionV>
            <wp:extent cx="999743" cy="152400"/>
            <wp:effectExtent l="0" t="0" r="0" b="0"/>
            <wp:wrapNone/>
            <wp:docPr id="53" name="image47.png" descr=""/>
            <wp:cNvGraphicFramePr>
              <a:graphicFrameLocks noChangeAspect="1"/>
            </wp:cNvGraphicFramePr>
            <a:graphic>
              <a:graphicData uri="http://schemas.openxmlformats.org/drawingml/2006/picture">
                <pic:pic>
                  <pic:nvPicPr>
                    <pic:cNvPr id="54" name="image47.png"/>
                    <pic:cNvPicPr/>
                  </pic:nvPicPr>
                  <pic:blipFill>
                    <a:blip r:embed="rId79" cstate="print"/>
                    <a:stretch>
                      <a:fillRect/>
                    </a:stretch>
                  </pic:blipFill>
                  <pic:spPr>
                    <a:xfrm>
                      <a:off x="0" y="0"/>
                      <a:ext cx="999743" cy="152400"/>
                    </a:xfrm>
                    <a:prstGeom prst="rect">
                      <a:avLst/>
                    </a:prstGeom>
                  </pic:spPr>
                </pic:pic>
              </a:graphicData>
            </a:graphic>
          </wp:anchor>
        </w:drawing>
      </w:r>
      <w:r>
        <w:rPr>
          <w:sz w:val="16"/>
        </w:rPr>
        <w:t>Los datos son expresados en unidades relativas de expresión génica obtenidas por el método </w:t>
      </w:r>
      <w:r>
        <w:rPr>
          <w:rFonts w:ascii="Cambria Math" w:hAnsi="Cambria Math"/>
          <w:w w:val="249"/>
          <w:sz w:val="16"/>
        </w:rPr>
        <w:t> </w:t>
      </w:r>
      <w:r>
        <w:rPr>
          <w:rFonts w:ascii="Cambria Math" w:hAnsi="Cambria Math"/>
          <w:w w:val="331"/>
          <w:position w:val="6"/>
          <w:sz w:val="11"/>
        </w:rPr>
        <w:t> </w:t>
      </w:r>
      <w:r>
        <w:rPr>
          <w:rFonts w:ascii="Cambria Math" w:hAnsi="Cambria Math"/>
          <w:position w:val="6"/>
          <w:sz w:val="11"/>
        </w:rPr>
        <w:t> </w:t>
      </w:r>
      <w:r>
        <w:rPr>
          <w:rFonts w:ascii="Cambria Math" w:hAnsi="Cambria Math"/>
          <w:w w:val="287"/>
          <w:position w:val="6"/>
          <w:sz w:val="11"/>
        </w:rPr>
        <w:t>  </w:t>
      </w:r>
      <w:r>
        <w:rPr>
          <w:rFonts w:ascii="Cambria Math" w:hAnsi="Cambria Math"/>
          <w:w w:val="276"/>
          <w:position w:val="6"/>
          <w:sz w:val="11"/>
        </w:rPr>
        <w:t> </w:t>
      </w:r>
      <w:r>
        <w:rPr>
          <w:rFonts w:ascii="Cambria Math" w:hAnsi="Cambria Math"/>
          <w:w w:val="313"/>
          <w:position w:val="3"/>
          <w:sz w:val="9"/>
        </w:rPr>
        <w:t> </w:t>
      </w:r>
    </w:p>
    <w:p>
      <w:pPr>
        <w:spacing w:after="0"/>
        <w:jc w:val="left"/>
        <w:rPr>
          <w:rFonts w:ascii="Cambria Math" w:hAnsi="Cambria Math"/>
          <w:sz w:val="9"/>
        </w:rPr>
        <w:sectPr>
          <w:type w:val="continuous"/>
          <w:pgSz w:w="12240" w:h="15840"/>
          <w:pgMar w:top="1100" w:bottom="280" w:left="1220" w:right="1420"/>
        </w:sectPr>
      </w:pPr>
    </w:p>
    <w:p>
      <w:pPr>
        <w:pStyle w:val="BodyText"/>
        <w:spacing w:before="4"/>
        <w:rPr>
          <w:rFonts w:ascii="Cambria Math"/>
          <w:sz w:val="22"/>
        </w:rPr>
      </w:pPr>
    </w:p>
    <w:p>
      <w:pPr>
        <w:pStyle w:val="Heading2"/>
        <w:spacing w:line="278" w:lineRule="auto"/>
        <w:ind w:left="2866" w:right="289" w:hanging="2646"/>
        <w:jc w:val="left"/>
      </w:pPr>
      <w:r>
        <w:rPr/>
        <w:t>Tabla 5. Regresión lineal múltiple de la asociación entre la caries y la expresión génica de Fc</w:t>
      </w:r>
      <w:r>
        <w:rPr>
          <w:rFonts w:ascii="Symbol" w:hAnsi="Symbol"/>
        </w:rPr>
        <w:t></w:t>
      </w:r>
      <w:r>
        <w:rPr/>
        <w:t>R, Fc</w:t>
      </w:r>
      <w:r>
        <w:rPr>
          <w:rFonts w:ascii="Symbol" w:hAnsi="Symbol"/>
        </w:rPr>
        <w:t></w:t>
      </w:r>
      <w:r>
        <w:rPr/>
        <w:t>RIIB y Fc</w:t>
      </w:r>
      <w:r>
        <w:rPr>
          <w:rFonts w:ascii="Symbol" w:hAnsi="Symbol"/>
        </w:rPr>
        <w:t></w:t>
      </w:r>
      <w:r>
        <w:rPr/>
        <w:t>R</w:t>
      </w:r>
    </w:p>
    <w:p>
      <w:pPr>
        <w:pStyle w:val="BodyText"/>
        <w:rPr>
          <w:b/>
          <w:sz w:val="20"/>
        </w:rPr>
      </w:pPr>
    </w:p>
    <w:p>
      <w:pPr>
        <w:pStyle w:val="BodyText"/>
        <w:rPr>
          <w:b/>
          <w:sz w:val="20"/>
        </w:rPr>
      </w:pPr>
    </w:p>
    <w:p>
      <w:pPr>
        <w:pStyle w:val="BodyText"/>
        <w:spacing w:before="6"/>
        <w:rPr>
          <w:b/>
          <w:sz w:val="23"/>
        </w:rPr>
      </w:pPr>
    </w:p>
    <w:tbl>
      <w:tblPr>
        <w:tblW w:w="0" w:type="auto"/>
        <w:jc w:val="left"/>
        <w:tblInd w:w="15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8"/>
        <w:gridCol w:w="1439"/>
        <w:gridCol w:w="1725"/>
        <w:gridCol w:w="2171"/>
      </w:tblGrid>
      <w:tr>
        <w:trPr>
          <w:trHeight w:val="696" w:hRule="exact"/>
        </w:trPr>
        <w:tc>
          <w:tcPr>
            <w:tcW w:w="1138" w:type="dxa"/>
            <w:tcBorders>
              <w:bottom w:val="single" w:sz="4" w:space="0" w:color="FFFFFF"/>
            </w:tcBorders>
            <w:shd w:val="clear" w:color="auto" w:fill="4F81BC"/>
          </w:tcPr>
          <w:p>
            <w:pPr>
              <w:pStyle w:val="TableParagraph"/>
              <w:spacing w:before="163"/>
              <w:ind w:left="106" w:right="101"/>
              <w:jc w:val="center"/>
              <w:rPr>
                <w:b/>
                <w:sz w:val="20"/>
              </w:rPr>
            </w:pPr>
            <w:r>
              <w:rPr>
                <w:b/>
                <w:color w:val="FFFFFF"/>
                <w:sz w:val="20"/>
              </w:rPr>
              <w:t>Variables</w:t>
            </w:r>
          </w:p>
        </w:tc>
        <w:tc>
          <w:tcPr>
            <w:tcW w:w="5335" w:type="dxa"/>
            <w:gridSpan w:val="3"/>
            <w:tcBorders>
              <w:bottom w:val="single" w:sz="4" w:space="0" w:color="FFFFFF"/>
            </w:tcBorders>
            <w:shd w:val="clear" w:color="auto" w:fill="4F81BC"/>
          </w:tcPr>
          <w:p>
            <w:pPr>
              <w:pStyle w:val="TableParagraph"/>
              <w:spacing w:line="191" w:lineRule="exact"/>
              <w:ind w:left="1567" w:right="2649"/>
              <w:jc w:val="center"/>
              <w:rPr>
                <w:b/>
                <w:sz w:val="20"/>
              </w:rPr>
            </w:pPr>
            <w:r>
              <w:rPr>
                <w:b/>
                <w:color w:val="FFFFFF"/>
                <w:sz w:val="20"/>
              </w:rPr>
              <w:t>Coeficiente</w:t>
            </w:r>
          </w:p>
          <w:p>
            <w:pPr>
              <w:pStyle w:val="TableParagraph"/>
              <w:tabs>
                <w:tab w:pos="3495" w:val="left" w:leader="none"/>
              </w:tabs>
              <w:spacing w:line="173" w:lineRule="exact"/>
              <w:ind w:left="605"/>
              <w:rPr>
                <w:b/>
                <w:sz w:val="20"/>
              </w:rPr>
            </w:pPr>
            <w:r>
              <w:rPr>
                <w:b/>
                <w:color w:val="FFFFFF"/>
                <w:sz w:val="20"/>
              </w:rPr>
              <w:t>Β</w:t>
              <w:tab/>
              <w:t>Significancia</w:t>
            </w:r>
          </w:p>
          <w:p>
            <w:pPr>
              <w:pStyle w:val="TableParagraph"/>
              <w:spacing w:line="201" w:lineRule="exact"/>
              <w:ind w:left="1564" w:right="2649"/>
              <w:jc w:val="center"/>
              <w:rPr>
                <w:b/>
                <w:sz w:val="20"/>
              </w:rPr>
            </w:pPr>
            <w:r>
              <w:rPr>
                <w:b/>
                <w:color w:val="FFFFFF"/>
                <w:sz w:val="20"/>
              </w:rPr>
              <w:t>Beta</w:t>
            </w:r>
          </w:p>
        </w:tc>
      </w:tr>
      <w:tr>
        <w:trPr>
          <w:trHeight w:val="351" w:hRule="exact"/>
        </w:trPr>
        <w:tc>
          <w:tcPr>
            <w:tcW w:w="6473" w:type="dxa"/>
            <w:gridSpan w:val="4"/>
            <w:tcBorders>
              <w:top w:val="single" w:sz="4" w:space="0" w:color="FFFFFF"/>
              <w:left w:val="single" w:sz="4" w:space="0" w:color="4F81BC"/>
              <w:right w:val="single" w:sz="4" w:space="0" w:color="4F81BC"/>
            </w:tcBorders>
            <w:shd w:val="clear" w:color="auto" w:fill="D2DFED"/>
          </w:tcPr>
          <w:p>
            <w:pPr>
              <w:pStyle w:val="TableParagraph"/>
              <w:spacing w:line="220" w:lineRule="exact"/>
              <w:ind w:left="2161" w:right="2156"/>
              <w:jc w:val="center"/>
              <w:rPr>
                <w:b/>
                <w:sz w:val="20"/>
              </w:rPr>
            </w:pPr>
            <w:r>
              <w:rPr>
                <w:b/>
                <w:sz w:val="20"/>
              </w:rPr>
              <w:t>Dentición mixta</w:t>
            </w:r>
          </w:p>
        </w:tc>
      </w:tr>
      <w:tr>
        <w:trPr>
          <w:trHeight w:val="370" w:hRule="exact"/>
        </w:trPr>
        <w:tc>
          <w:tcPr>
            <w:tcW w:w="1138" w:type="dxa"/>
            <w:tcBorders>
              <w:left w:val="single" w:sz="4" w:space="0" w:color="4F81BC"/>
            </w:tcBorders>
          </w:tcPr>
          <w:p>
            <w:pPr>
              <w:pStyle w:val="TableParagraph"/>
              <w:spacing w:line="236" w:lineRule="exact"/>
              <w:ind w:left="189" w:right="188"/>
              <w:jc w:val="center"/>
              <w:rPr>
                <w:b/>
                <w:sz w:val="20"/>
              </w:rPr>
            </w:pPr>
            <w:r>
              <w:rPr>
                <w:b/>
                <w:sz w:val="20"/>
              </w:rPr>
              <w:t>Fc</w:t>
            </w:r>
            <w:r>
              <w:rPr>
                <w:rFonts w:ascii="Symbol" w:hAnsi="Symbol"/>
                <w:b/>
                <w:sz w:val="20"/>
              </w:rPr>
              <w:t></w:t>
            </w:r>
            <w:r>
              <w:rPr>
                <w:b/>
                <w:sz w:val="20"/>
              </w:rPr>
              <w:t>R</w:t>
            </w:r>
          </w:p>
        </w:tc>
        <w:tc>
          <w:tcPr>
            <w:tcW w:w="1439" w:type="dxa"/>
          </w:tcPr>
          <w:p>
            <w:pPr>
              <w:pStyle w:val="TableParagraph"/>
              <w:spacing w:before="9"/>
              <w:ind w:left="297" w:right="373"/>
              <w:jc w:val="center"/>
              <w:rPr>
                <w:sz w:val="20"/>
              </w:rPr>
            </w:pPr>
            <w:r>
              <w:rPr>
                <w:sz w:val="20"/>
              </w:rPr>
              <w:t>-.378</w:t>
            </w:r>
          </w:p>
        </w:tc>
        <w:tc>
          <w:tcPr>
            <w:tcW w:w="1725" w:type="dxa"/>
          </w:tcPr>
          <w:p>
            <w:pPr>
              <w:pStyle w:val="TableParagraph"/>
              <w:spacing w:before="9"/>
              <w:ind w:left="382" w:right="734"/>
              <w:jc w:val="center"/>
              <w:rPr>
                <w:sz w:val="20"/>
              </w:rPr>
            </w:pPr>
            <w:r>
              <w:rPr>
                <w:sz w:val="20"/>
              </w:rPr>
              <w:t>[-.178]</w:t>
            </w:r>
          </w:p>
        </w:tc>
        <w:tc>
          <w:tcPr>
            <w:tcW w:w="2171" w:type="dxa"/>
            <w:tcBorders>
              <w:right w:val="single" w:sz="4" w:space="0" w:color="4F81BC"/>
            </w:tcBorders>
          </w:tcPr>
          <w:p>
            <w:pPr>
              <w:pStyle w:val="TableParagraph"/>
              <w:spacing w:before="9"/>
              <w:ind w:left="736" w:right="1000"/>
              <w:jc w:val="center"/>
              <w:rPr>
                <w:sz w:val="20"/>
              </w:rPr>
            </w:pPr>
            <w:r>
              <w:rPr>
                <w:sz w:val="20"/>
              </w:rPr>
              <w:t>.358</w:t>
            </w:r>
          </w:p>
        </w:tc>
      </w:tr>
      <w:tr>
        <w:trPr>
          <w:trHeight w:val="365" w:hRule="exact"/>
        </w:trPr>
        <w:tc>
          <w:tcPr>
            <w:tcW w:w="1138" w:type="dxa"/>
            <w:tcBorders>
              <w:left w:val="single" w:sz="4" w:space="0" w:color="4F81BC"/>
            </w:tcBorders>
            <w:shd w:val="clear" w:color="auto" w:fill="D2DFED"/>
          </w:tcPr>
          <w:p>
            <w:pPr>
              <w:pStyle w:val="TableParagraph"/>
              <w:spacing w:line="236" w:lineRule="exact"/>
              <w:ind w:left="189" w:right="188"/>
              <w:jc w:val="center"/>
              <w:rPr>
                <w:b/>
                <w:sz w:val="20"/>
              </w:rPr>
            </w:pPr>
            <w:r>
              <w:rPr>
                <w:b/>
                <w:sz w:val="20"/>
              </w:rPr>
              <w:t>Fc</w:t>
            </w:r>
            <w:r>
              <w:rPr>
                <w:rFonts w:ascii="Symbol" w:hAnsi="Symbol"/>
                <w:b/>
                <w:sz w:val="20"/>
              </w:rPr>
              <w:t></w:t>
            </w:r>
            <w:r>
              <w:rPr>
                <w:b/>
                <w:sz w:val="20"/>
              </w:rPr>
              <w:t>RIIB</w:t>
            </w:r>
          </w:p>
        </w:tc>
        <w:tc>
          <w:tcPr>
            <w:tcW w:w="1439" w:type="dxa"/>
            <w:shd w:val="clear" w:color="auto" w:fill="D2DFED"/>
          </w:tcPr>
          <w:p>
            <w:pPr>
              <w:pStyle w:val="TableParagraph"/>
              <w:spacing w:before="4"/>
              <w:ind w:left="297" w:right="373"/>
              <w:jc w:val="center"/>
              <w:rPr>
                <w:sz w:val="20"/>
              </w:rPr>
            </w:pPr>
            <w:r>
              <w:rPr>
                <w:sz w:val="20"/>
              </w:rPr>
              <w:t>-.178</w:t>
            </w:r>
          </w:p>
        </w:tc>
        <w:tc>
          <w:tcPr>
            <w:tcW w:w="1725" w:type="dxa"/>
            <w:shd w:val="clear" w:color="auto" w:fill="D2DFED"/>
          </w:tcPr>
          <w:p>
            <w:pPr>
              <w:pStyle w:val="TableParagraph"/>
              <w:spacing w:before="4"/>
              <w:ind w:left="382" w:right="734"/>
              <w:jc w:val="center"/>
              <w:rPr>
                <w:sz w:val="20"/>
              </w:rPr>
            </w:pPr>
            <w:r>
              <w:rPr>
                <w:sz w:val="20"/>
              </w:rPr>
              <w:t>[-.157]</w:t>
            </w:r>
          </w:p>
        </w:tc>
        <w:tc>
          <w:tcPr>
            <w:tcW w:w="2171" w:type="dxa"/>
            <w:tcBorders>
              <w:right w:val="single" w:sz="4" w:space="0" w:color="4F81BC"/>
            </w:tcBorders>
            <w:shd w:val="clear" w:color="auto" w:fill="D2DFED"/>
          </w:tcPr>
          <w:p>
            <w:pPr>
              <w:pStyle w:val="TableParagraph"/>
              <w:spacing w:before="4"/>
              <w:ind w:left="736" w:right="1000"/>
              <w:jc w:val="center"/>
              <w:rPr>
                <w:sz w:val="20"/>
              </w:rPr>
            </w:pPr>
            <w:r>
              <w:rPr>
                <w:sz w:val="20"/>
              </w:rPr>
              <w:t>.419</w:t>
            </w:r>
          </w:p>
        </w:tc>
      </w:tr>
      <w:tr>
        <w:trPr>
          <w:trHeight w:val="374" w:hRule="exact"/>
        </w:trPr>
        <w:tc>
          <w:tcPr>
            <w:tcW w:w="1138" w:type="dxa"/>
            <w:tcBorders>
              <w:left w:val="single" w:sz="4" w:space="0" w:color="4F81BC"/>
              <w:bottom w:val="single" w:sz="4" w:space="0" w:color="4F81BC"/>
            </w:tcBorders>
          </w:tcPr>
          <w:p>
            <w:pPr>
              <w:pStyle w:val="TableParagraph"/>
              <w:spacing w:line="236" w:lineRule="exact"/>
              <w:ind w:left="189" w:right="188"/>
              <w:jc w:val="center"/>
              <w:rPr>
                <w:b/>
                <w:sz w:val="20"/>
              </w:rPr>
            </w:pPr>
            <w:r>
              <w:rPr>
                <w:b/>
                <w:sz w:val="20"/>
              </w:rPr>
              <w:t>Fc</w:t>
            </w:r>
            <w:r>
              <w:rPr>
                <w:rFonts w:ascii="Symbol" w:hAnsi="Symbol"/>
                <w:b/>
                <w:sz w:val="20"/>
              </w:rPr>
              <w:t></w:t>
            </w:r>
            <w:r>
              <w:rPr>
                <w:b/>
                <w:sz w:val="20"/>
              </w:rPr>
              <w:t>R</w:t>
            </w:r>
          </w:p>
        </w:tc>
        <w:tc>
          <w:tcPr>
            <w:tcW w:w="1439" w:type="dxa"/>
            <w:tcBorders>
              <w:bottom w:val="single" w:sz="4" w:space="0" w:color="4F81BC"/>
            </w:tcBorders>
          </w:tcPr>
          <w:p>
            <w:pPr>
              <w:pStyle w:val="TableParagraph"/>
              <w:spacing w:before="9"/>
              <w:ind w:left="297" w:right="378"/>
              <w:jc w:val="center"/>
              <w:rPr>
                <w:sz w:val="20"/>
              </w:rPr>
            </w:pPr>
            <w:r>
              <w:rPr>
                <w:sz w:val="20"/>
              </w:rPr>
              <w:t>161.079</w:t>
            </w:r>
          </w:p>
        </w:tc>
        <w:tc>
          <w:tcPr>
            <w:tcW w:w="1725" w:type="dxa"/>
            <w:tcBorders>
              <w:bottom w:val="single" w:sz="4" w:space="0" w:color="4F81BC"/>
            </w:tcBorders>
          </w:tcPr>
          <w:p>
            <w:pPr>
              <w:pStyle w:val="TableParagraph"/>
              <w:spacing w:before="9"/>
              <w:ind w:left="382" w:right="734"/>
              <w:jc w:val="center"/>
              <w:rPr>
                <w:sz w:val="20"/>
              </w:rPr>
            </w:pPr>
            <w:r>
              <w:rPr>
                <w:sz w:val="20"/>
              </w:rPr>
              <w:t>[.306]</w:t>
            </w:r>
          </w:p>
        </w:tc>
        <w:tc>
          <w:tcPr>
            <w:tcW w:w="2171" w:type="dxa"/>
            <w:tcBorders>
              <w:bottom w:val="single" w:sz="4" w:space="0" w:color="4F81BC"/>
              <w:right w:val="single" w:sz="4" w:space="0" w:color="4F81BC"/>
            </w:tcBorders>
          </w:tcPr>
          <w:p>
            <w:pPr>
              <w:pStyle w:val="TableParagraph"/>
              <w:spacing w:before="9"/>
              <w:ind w:left="736" w:right="1000"/>
              <w:jc w:val="center"/>
              <w:rPr>
                <w:sz w:val="20"/>
              </w:rPr>
            </w:pPr>
            <w:r>
              <w:rPr>
                <w:sz w:val="20"/>
              </w:rPr>
              <w:t>.104</w:t>
            </w:r>
          </w:p>
        </w:tc>
      </w:tr>
      <w:tr>
        <w:trPr>
          <w:trHeight w:val="356" w:hRule="exact"/>
        </w:trPr>
        <w:tc>
          <w:tcPr>
            <w:tcW w:w="6473" w:type="dxa"/>
            <w:gridSpan w:val="4"/>
            <w:tcBorders>
              <w:top w:val="single" w:sz="4" w:space="0" w:color="4F81BC"/>
              <w:left w:val="single" w:sz="4" w:space="0" w:color="4F81BC"/>
              <w:bottom w:val="single" w:sz="4" w:space="0" w:color="4F81BC"/>
              <w:right w:val="single" w:sz="4" w:space="0" w:color="4F81BC"/>
            </w:tcBorders>
          </w:tcPr>
          <w:p>
            <w:pPr>
              <w:pStyle w:val="TableParagraph"/>
              <w:spacing w:line="221" w:lineRule="exact"/>
              <w:ind w:left="2161" w:right="2155"/>
              <w:jc w:val="center"/>
              <w:rPr>
                <w:b/>
                <w:sz w:val="20"/>
              </w:rPr>
            </w:pPr>
            <w:r>
              <w:rPr>
                <w:b/>
                <w:sz w:val="20"/>
              </w:rPr>
              <w:t>R</w:t>
            </w:r>
            <w:r>
              <w:rPr>
                <w:b/>
                <w:position w:val="10"/>
                <w:sz w:val="13"/>
              </w:rPr>
              <w:t>2</w:t>
            </w:r>
            <w:r>
              <w:rPr>
                <w:b/>
                <w:sz w:val="20"/>
              </w:rPr>
              <w:t>= .191</w:t>
            </w:r>
          </w:p>
        </w:tc>
      </w:tr>
      <w:tr>
        <w:trPr>
          <w:trHeight w:val="398" w:hRule="exact"/>
        </w:trPr>
        <w:tc>
          <w:tcPr>
            <w:tcW w:w="6473" w:type="dxa"/>
            <w:gridSpan w:val="4"/>
            <w:tcBorders>
              <w:top w:val="single" w:sz="4" w:space="0" w:color="4F81BC"/>
              <w:left w:val="single" w:sz="4" w:space="0" w:color="4F81BC"/>
              <w:right w:val="single" w:sz="4" w:space="0" w:color="4F81BC"/>
            </w:tcBorders>
            <w:shd w:val="clear" w:color="auto" w:fill="C5D9F0"/>
          </w:tcPr>
          <w:p>
            <w:pPr>
              <w:pStyle w:val="TableParagraph"/>
              <w:spacing w:before="14"/>
              <w:ind w:left="2161" w:right="2161"/>
              <w:jc w:val="center"/>
              <w:rPr>
                <w:b/>
                <w:sz w:val="20"/>
              </w:rPr>
            </w:pPr>
            <w:r>
              <w:rPr>
                <w:b/>
                <w:sz w:val="20"/>
              </w:rPr>
              <w:t>Dentición permanente</w:t>
            </w:r>
          </w:p>
        </w:tc>
      </w:tr>
      <w:tr>
        <w:trPr>
          <w:trHeight w:val="379" w:hRule="exact"/>
        </w:trPr>
        <w:tc>
          <w:tcPr>
            <w:tcW w:w="1138" w:type="dxa"/>
            <w:tcBorders>
              <w:left w:val="single" w:sz="4" w:space="0" w:color="4F81BC"/>
            </w:tcBorders>
          </w:tcPr>
          <w:p>
            <w:pPr>
              <w:pStyle w:val="TableParagraph"/>
              <w:spacing w:line="236" w:lineRule="exact"/>
              <w:ind w:left="189" w:right="188"/>
              <w:jc w:val="center"/>
              <w:rPr>
                <w:b/>
                <w:sz w:val="20"/>
              </w:rPr>
            </w:pPr>
            <w:r>
              <w:rPr>
                <w:b/>
                <w:sz w:val="20"/>
              </w:rPr>
              <w:t>Fc</w:t>
            </w:r>
            <w:r>
              <w:rPr>
                <w:rFonts w:ascii="Symbol" w:hAnsi="Symbol"/>
                <w:b/>
                <w:sz w:val="20"/>
              </w:rPr>
              <w:t></w:t>
            </w:r>
            <w:r>
              <w:rPr>
                <w:b/>
                <w:sz w:val="20"/>
              </w:rPr>
              <w:t>R</w:t>
            </w:r>
          </w:p>
        </w:tc>
        <w:tc>
          <w:tcPr>
            <w:tcW w:w="1439" w:type="dxa"/>
            <w:tcBorders>
              <w:bottom w:val="single" w:sz="6" w:space="0" w:color="C5D9F0"/>
            </w:tcBorders>
          </w:tcPr>
          <w:p>
            <w:pPr>
              <w:pStyle w:val="TableParagraph"/>
              <w:spacing w:before="4"/>
              <w:ind w:left="297" w:right="373"/>
              <w:jc w:val="center"/>
              <w:rPr>
                <w:sz w:val="20"/>
              </w:rPr>
            </w:pPr>
            <w:r>
              <w:rPr>
                <w:sz w:val="20"/>
              </w:rPr>
              <w:t>-.016</w:t>
            </w:r>
          </w:p>
        </w:tc>
        <w:tc>
          <w:tcPr>
            <w:tcW w:w="1725" w:type="dxa"/>
            <w:tcBorders>
              <w:bottom w:val="single" w:sz="6" w:space="0" w:color="C5D9F0"/>
            </w:tcBorders>
          </w:tcPr>
          <w:p>
            <w:pPr>
              <w:pStyle w:val="TableParagraph"/>
              <w:spacing w:before="4"/>
              <w:ind w:left="382" w:right="734"/>
              <w:jc w:val="center"/>
              <w:rPr>
                <w:sz w:val="20"/>
              </w:rPr>
            </w:pPr>
            <w:r>
              <w:rPr>
                <w:sz w:val="20"/>
              </w:rPr>
              <w:t>[-.040]</w:t>
            </w:r>
          </w:p>
        </w:tc>
        <w:tc>
          <w:tcPr>
            <w:tcW w:w="2171" w:type="dxa"/>
            <w:tcBorders>
              <w:bottom w:val="single" w:sz="6" w:space="0" w:color="C5D9F0"/>
              <w:right w:val="single" w:sz="4" w:space="0" w:color="4F81BC"/>
            </w:tcBorders>
          </w:tcPr>
          <w:p>
            <w:pPr>
              <w:pStyle w:val="TableParagraph"/>
              <w:spacing w:before="4"/>
              <w:ind w:left="736" w:right="1000"/>
              <w:jc w:val="center"/>
              <w:rPr>
                <w:sz w:val="20"/>
              </w:rPr>
            </w:pPr>
            <w:r>
              <w:rPr>
                <w:sz w:val="20"/>
              </w:rPr>
              <w:t>.785</w:t>
            </w:r>
          </w:p>
        </w:tc>
      </w:tr>
      <w:tr>
        <w:trPr>
          <w:trHeight w:val="346" w:hRule="exact"/>
        </w:trPr>
        <w:tc>
          <w:tcPr>
            <w:tcW w:w="1138" w:type="dxa"/>
            <w:tcBorders>
              <w:left w:val="single" w:sz="4" w:space="0" w:color="4F81BC"/>
            </w:tcBorders>
            <w:shd w:val="clear" w:color="auto" w:fill="C5D9F0"/>
          </w:tcPr>
          <w:p>
            <w:pPr>
              <w:pStyle w:val="TableParagraph"/>
              <w:spacing w:line="222" w:lineRule="exact"/>
              <w:ind w:left="189" w:right="188"/>
              <w:jc w:val="center"/>
              <w:rPr>
                <w:b/>
                <w:sz w:val="20"/>
              </w:rPr>
            </w:pPr>
            <w:r>
              <w:rPr>
                <w:b/>
                <w:sz w:val="20"/>
              </w:rPr>
              <w:t>Fc</w:t>
            </w:r>
            <w:r>
              <w:rPr>
                <w:rFonts w:ascii="Symbol" w:hAnsi="Symbol"/>
                <w:b/>
                <w:sz w:val="20"/>
              </w:rPr>
              <w:t></w:t>
            </w:r>
            <w:r>
              <w:rPr>
                <w:b/>
                <w:sz w:val="20"/>
              </w:rPr>
              <w:t>RIIB</w:t>
            </w:r>
          </w:p>
        </w:tc>
        <w:tc>
          <w:tcPr>
            <w:tcW w:w="1439" w:type="dxa"/>
            <w:shd w:val="clear" w:color="auto" w:fill="C5D9F0"/>
          </w:tcPr>
          <w:p>
            <w:pPr>
              <w:pStyle w:val="TableParagraph"/>
              <w:spacing w:line="225" w:lineRule="exact"/>
              <w:ind w:left="297" w:right="373"/>
              <w:jc w:val="center"/>
              <w:rPr>
                <w:sz w:val="20"/>
              </w:rPr>
            </w:pPr>
            <w:r>
              <w:rPr>
                <w:sz w:val="20"/>
              </w:rPr>
              <w:t>-.067</w:t>
            </w:r>
          </w:p>
        </w:tc>
        <w:tc>
          <w:tcPr>
            <w:tcW w:w="1725" w:type="dxa"/>
            <w:shd w:val="clear" w:color="auto" w:fill="C5D9F0"/>
          </w:tcPr>
          <w:p>
            <w:pPr>
              <w:pStyle w:val="TableParagraph"/>
              <w:spacing w:line="225" w:lineRule="exact"/>
              <w:ind w:left="382" w:right="734"/>
              <w:jc w:val="center"/>
              <w:rPr>
                <w:sz w:val="20"/>
              </w:rPr>
            </w:pPr>
            <w:r>
              <w:rPr>
                <w:sz w:val="20"/>
              </w:rPr>
              <w:t>[-.269]</w:t>
            </w:r>
          </w:p>
        </w:tc>
        <w:tc>
          <w:tcPr>
            <w:tcW w:w="2171" w:type="dxa"/>
            <w:tcBorders>
              <w:right w:val="single" w:sz="4" w:space="0" w:color="4F81BC"/>
            </w:tcBorders>
            <w:shd w:val="clear" w:color="auto" w:fill="C5D9F0"/>
          </w:tcPr>
          <w:p>
            <w:pPr>
              <w:pStyle w:val="TableParagraph"/>
              <w:spacing w:line="225" w:lineRule="exact"/>
              <w:ind w:left="736" w:right="1000"/>
              <w:jc w:val="center"/>
              <w:rPr>
                <w:sz w:val="20"/>
              </w:rPr>
            </w:pPr>
            <w:r>
              <w:rPr>
                <w:sz w:val="20"/>
              </w:rPr>
              <w:t>.185</w:t>
            </w:r>
          </w:p>
        </w:tc>
      </w:tr>
      <w:tr>
        <w:trPr>
          <w:trHeight w:val="380" w:hRule="exact"/>
        </w:trPr>
        <w:tc>
          <w:tcPr>
            <w:tcW w:w="1138" w:type="dxa"/>
            <w:tcBorders>
              <w:left w:val="single" w:sz="4" w:space="0" w:color="4F81BC"/>
              <w:bottom w:val="single" w:sz="4" w:space="0" w:color="4F81BC"/>
            </w:tcBorders>
          </w:tcPr>
          <w:p>
            <w:pPr>
              <w:pStyle w:val="TableParagraph"/>
              <w:spacing w:before="1"/>
              <w:ind w:left="189" w:right="188"/>
              <w:jc w:val="center"/>
              <w:rPr>
                <w:b/>
                <w:sz w:val="20"/>
              </w:rPr>
            </w:pPr>
            <w:r>
              <w:rPr>
                <w:b/>
                <w:sz w:val="20"/>
              </w:rPr>
              <w:t>Fc</w:t>
            </w:r>
            <w:r>
              <w:rPr>
                <w:rFonts w:ascii="Symbol" w:hAnsi="Symbol"/>
                <w:b/>
                <w:sz w:val="20"/>
              </w:rPr>
              <w:t></w:t>
            </w:r>
            <w:r>
              <w:rPr>
                <w:b/>
                <w:sz w:val="20"/>
              </w:rPr>
              <w:t>R</w:t>
            </w:r>
          </w:p>
        </w:tc>
        <w:tc>
          <w:tcPr>
            <w:tcW w:w="1439" w:type="dxa"/>
            <w:tcBorders>
              <w:top w:val="single" w:sz="4" w:space="0" w:color="C5D9F0"/>
              <w:bottom w:val="single" w:sz="4" w:space="0" w:color="4F81BC"/>
            </w:tcBorders>
          </w:tcPr>
          <w:p>
            <w:pPr>
              <w:pStyle w:val="TableParagraph"/>
              <w:spacing w:before="9"/>
              <w:ind w:right="83"/>
              <w:jc w:val="center"/>
              <w:rPr>
                <w:sz w:val="20"/>
              </w:rPr>
            </w:pPr>
            <w:r>
              <w:rPr>
                <w:w w:val="100"/>
                <w:sz w:val="20"/>
              </w:rPr>
              <w:t>.</w:t>
            </w:r>
          </w:p>
        </w:tc>
        <w:tc>
          <w:tcPr>
            <w:tcW w:w="1725" w:type="dxa"/>
            <w:tcBorders>
              <w:top w:val="single" w:sz="4" w:space="0" w:color="C5D9F0"/>
              <w:bottom w:val="single" w:sz="4" w:space="0" w:color="4F81BC"/>
            </w:tcBorders>
          </w:tcPr>
          <w:p>
            <w:pPr>
              <w:pStyle w:val="TableParagraph"/>
              <w:spacing w:before="9"/>
              <w:ind w:right="357"/>
              <w:jc w:val="center"/>
              <w:rPr>
                <w:sz w:val="20"/>
              </w:rPr>
            </w:pPr>
            <w:r>
              <w:rPr>
                <w:w w:val="100"/>
                <w:sz w:val="20"/>
              </w:rPr>
              <w:t>.</w:t>
            </w:r>
          </w:p>
        </w:tc>
        <w:tc>
          <w:tcPr>
            <w:tcW w:w="2171" w:type="dxa"/>
            <w:tcBorders>
              <w:top w:val="single" w:sz="4" w:space="0" w:color="C5D9F0"/>
              <w:bottom w:val="single" w:sz="4" w:space="0" w:color="4F81BC"/>
              <w:right w:val="single" w:sz="4" w:space="0" w:color="4F81BC"/>
            </w:tcBorders>
          </w:tcPr>
          <w:p>
            <w:pPr>
              <w:pStyle w:val="TableParagraph"/>
              <w:spacing w:before="9"/>
              <w:ind w:right="263"/>
              <w:jc w:val="center"/>
              <w:rPr>
                <w:sz w:val="20"/>
              </w:rPr>
            </w:pPr>
            <w:r>
              <w:rPr>
                <w:w w:val="100"/>
                <w:sz w:val="20"/>
              </w:rPr>
              <w:t>.</w:t>
            </w:r>
          </w:p>
        </w:tc>
      </w:tr>
      <w:tr>
        <w:trPr>
          <w:trHeight w:val="360" w:hRule="exact"/>
        </w:trPr>
        <w:tc>
          <w:tcPr>
            <w:tcW w:w="6473" w:type="dxa"/>
            <w:gridSpan w:val="4"/>
            <w:tcBorders>
              <w:top w:val="single" w:sz="4" w:space="0" w:color="4F81BC"/>
              <w:left w:val="single" w:sz="4" w:space="0" w:color="4F81BC"/>
              <w:bottom w:val="single" w:sz="4" w:space="0" w:color="4F81BC"/>
              <w:right w:val="single" w:sz="4" w:space="0" w:color="4F81BC"/>
            </w:tcBorders>
          </w:tcPr>
          <w:p>
            <w:pPr>
              <w:pStyle w:val="TableParagraph"/>
              <w:spacing w:line="225" w:lineRule="exact"/>
              <w:ind w:left="2161" w:right="2155"/>
              <w:jc w:val="center"/>
              <w:rPr>
                <w:b/>
                <w:sz w:val="20"/>
              </w:rPr>
            </w:pPr>
            <w:r>
              <w:rPr>
                <w:b/>
                <w:sz w:val="20"/>
              </w:rPr>
              <w:t>R</w:t>
            </w:r>
            <w:r>
              <w:rPr>
                <w:b/>
                <w:position w:val="10"/>
                <w:sz w:val="13"/>
              </w:rPr>
              <w:t>2</w:t>
            </w:r>
            <w:r>
              <w:rPr>
                <w:b/>
                <w:sz w:val="20"/>
              </w:rPr>
              <w:t>= .037</w:t>
            </w:r>
          </w:p>
        </w:tc>
      </w:tr>
    </w:tbl>
    <w:p>
      <w:pPr>
        <w:pStyle w:val="BodyText"/>
        <w:spacing w:before="1"/>
        <w:rPr>
          <w:b/>
          <w:sz w:val="8"/>
        </w:rPr>
      </w:pPr>
    </w:p>
    <w:p>
      <w:pPr>
        <w:pStyle w:val="BodyText"/>
        <w:ind w:left="6416"/>
        <w:rPr>
          <w:sz w:val="20"/>
        </w:rPr>
      </w:pPr>
      <w:r>
        <w:rPr>
          <w:sz w:val="20"/>
        </w:rPr>
        <w:pict>
          <v:group style="width:78.75pt;height:12pt;mso-position-horizontal-relative:char;mso-position-vertical-relative:line" coordorigin="0,0" coordsize="1575,240">
            <v:shape style="position:absolute;left:0;top:0;width:1574;height:240" type="#_x0000_t75" stroked="false">
              <v:imagedata r:id="rId79" o:title=""/>
            </v:shape>
            <v:shape style="position:absolute;left:0;top:0;width:1575;height:240" type="#_x0000_t202" filled="false" stroked="false">
              <v:textbox inset="0,0,0,0">
                <w:txbxContent>
                  <w:p>
                    <w:pPr>
                      <w:spacing w:line="180" w:lineRule="exact" w:before="0"/>
                      <w:ind w:left="411" w:right="0" w:firstLine="0"/>
                      <w:jc w:val="left"/>
                      <w:rPr>
                        <w:sz w:val="16"/>
                      </w:rPr>
                    </w:pPr>
                    <w:r>
                      <w:rPr>
                        <w:sz w:val="16"/>
                      </w:rPr>
                      <w:t>Fuente directa</w:t>
                    </w:r>
                  </w:p>
                </w:txbxContent>
              </v:textbox>
              <w10:wrap type="none"/>
            </v:shape>
          </v:group>
        </w:pict>
      </w:r>
      <w:r>
        <w:rPr>
          <w:sz w:val="20"/>
        </w:rPr>
      </w:r>
    </w:p>
    <w:p>
      <w:pPr>
        <w:spacing w:after="0"/>
        <w:rPr>
          <w:sz w:val="20"/>
        </w:rPr>
        <w:sectPr>
          <w:pgSz w:w="12240" w:h="15840"/>
          <w:pgMar w:header="726" w:footer="1031" w:top="1340" w:bottom="1220" w:left="1220" w:right="14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numPr>
          <w:ilvl w:val="0"/>
          <w:numId w:val="34"/>
        </w:numPr>
        <w:tabs>
          <w:tab w:pos="3991" w:val="left" w:leader="none"/>
        </w:tabs>
        <w:spacing w:line="240" w:lineRule="auto" w:before="173" w:after="0"/>
        <w:ind w:left="3990" w:right="0" w:hanging="634"/>
        <w:jc w:val="left"/>
      </w:pPr>
      <w:bookmarkStart w:name="_TOC_250009" w:id="57"/>
      <w:bookmarkEnd w:id="57"/>
      <w:r>
        <w:rPr/>
        <w:t>DISCUSIÓN</w:t>
      </w:r>
    </w:p>
    <w:p>
      <w:pPr>
        <w:spacing w:after="0" w:line="240" w:lineRule="auto"/>
        <w:jc w:val="left"/>
        <w:sectPr>
          <w:pgSz w:w="12240" w:h="15840"/>
          <w:pgMar w:header="726" w:footer="1031" w:top="1340" w:bottom="1220" w:left="1220" w:right="1420"/>
        </w:sectPr>
      </w:pPr>
    </w:p>
    <w:p>
      <w:pPr>
        <w:pStyle w:val="BodyText"/>
        <w:spacing w:before="3"/>
        <w:rPr>
          <w:b/>
          <w:sz w:val="23"/>
        </w:rPr>
      </w:pPr>
    </w:p>
    <w:p>
      <w:pPr>
        <w:pStyle w:val="BodyText"/>
        <w:spacing w:line="343" w:lineRule="auto" w:before="69"/>
        <w:ind w:left="196" w:right="289"/>
        <w:jc w:val="both"/>
        <w:rPr>
          <w:sz w:val="16"/>
        </w:rPr>
      </w:pPr>
      <w:r>
        <w:rPr/>
        <w:t>La saliva es un fluido corporal útil para el desarrollo de diagnósticos moleculares, ya que contiene componentes que se encuentran en el suero, y su colección tiene la ventaja de ser rentable, segura, fácil y no invasiva.</w:t>
      </w:r>
      <w:r>
        <w:rPr>
          <w:position w:val="11"/>
          <w:sz w:val="16"/>
        </w:rPr>
        <w:t>91</w:t>
      </w:r>
    </w:p>
    <w:p>
      <w:pPr>
        <w:pStyle w:val="BodyText"/>
        <w:spacing w:line="350" w:lineRule="auto" w:before="210"/>
        <w:ind w:left="196" w:right="279"/>
        <w:jc w:val="both"/>
      </w:pPr>
      <w:r>
        <w:rPr/>
        <w:t>Además, las proteínas salivales, como la </w:t>
      </w:r>
      <w:r>
        <w:rPr>
          <w:rFonts w:ascii="Symbol" w:hAnsi="Symbol"/>
        </w:rPr>
        <w:t></w:t>
      </w:r>
      <w:r>
        <w:rPr/>
        <w:t>-amilasa, albúmina, cistatinas, histatinas, IgA secretora, lactoferrina, mucinas, entre otras, sirven como biomarcadores para el estudio de la enfermedad,</w:t>
      </w:r>
      <w:r>
        <w:rPr>
          <w:position w:val="11"/>
          <w:sz w:val="16"/>
        </w:rPr>
        <w:t>55 </w:t>
      </w:r>
      <w:r>
        <w:rPr/>
        <w:t>por ejemplo, Shen Hu y colaboradores, en el 2007, realizaron  un  estudio  para  identificar  paneles  </w:t>
      </w:r>
      <w:r>
        <w:rPr>
          <w:spacing w:val="5"/>
        </w:rPr>
        <w:t>de  </w:t>
      </w:r>
      <w:r>
        <w:rPr/>
        <w:t>proteínas  y  biomarcadores </w:t>
      </w:r>
      <w:r>
        <w:rPr>
          <w:spacing w:val="55"/>
        </w:rPr>
        <w:t> </w:t>
      </w:r>
      <w:r>
        <w:rPr/>
        <w:t>de</w:t>
      </w:r>
    </w:p>
    <w:p>
      <w:pPr>
        <w:pStyle w:val="BodyText"/>
        <w:spacing w:line="364" w:lineRule="auto" w:before="13"/>
        <w:ind w:left="196" w:right="275"/>
        <w:jc w:val="both"/>
      </w:pPr>
      <w:r>
        <w:rPr/>
        <w:t>mRNA en saliva humana completa con la finalidad de detectar el síndrome  de Sjögren primario; concluyeron que la saliva de pacientes con este síndrome contenía</w:t>
      </w:r>
    </w:p>
    <w:p>
      <w:pPr>
        <w:pStyle w:val="BodyText"/>
        <w:spacing w:line="324" w:lineRule="auto"/>
        <w:ind w:left="196" w:right="275"/>
        <w:jc w:val="both"/>
        <w:rPr>
          <w:sz w:val="16"/>
        </w:rPr>
      </w:pPr>
      <w:r>
        <w:rPr/>
        <w:t>patrones de expresión génica que reflejan el daño de las células glandulares y una respuesta inmune activa en esta enfermedad autoinmune.</w:t>
      </w:r>
      <w:r>
        <w:rPr>
          <w:position w:val="11"/>
          <w:sz w:val="16"/>
        </w:rPr>
        <w:t>92</w:t>
      </w:r>
    </w:p>
    <w:p>
      <w:pPr>
        <w:pStyle w:val="BodyText"/>
        <w:spacing w:line="360" w:lineRule="auto" w:before="236"/>
        <w:ind w:left="196" w:right="274"/>
        <w:jc w:val="both"/>
      </w:pPr>
      <w:r>
        <w:rPr/>
        <w:t>Otro ejemplo es el estudio de Farrell y colaboradores, en el 2012, dónde realizaron una investigación acerca de las variaciones de la microbiota salival asociadas a cáncer de páncreas y pancreatitis crónica, esto mediante un perfil microbiano de expresión génica en saliva de pacientes diagnosticados con dichas enfermedades en comparación con pacientes sanos; concluyeron que </w:t>
      </w:r>
      <w:r>
        <w:rPr>
          <w:spacing w:val="-3"/>
        </w:rPr>
        <w:t>si </w:t>
      </w:r>
      <w:r>
        <w:rPr/>
        <w:t>existe asociación entre las variaciones de la microbiota salival de los pacientes con cáncer y pancreatitis crónica, e indicaron que los biomarcadores microbianos validados en la saliva   </w:t>
      </w:r>
      <w:r>
        <w:rPr>
          <w:spacing w:val="15"/>
        </w:rPr>
        <w:t> </w:t>
      </w:r>
      <w:r>
        <w:rPr/>
        <w:t>sean</w:t>
      </w:r>
    </w:p>
    <w:p>
      <w:pPr>
        <w:pStyle w:val="BodyText"/>
        <w:spacing w:line="279" w:lineRule="exact"/>
        <w:ind w:left="196"/>
        <w:jc w:val="both"/>
        <w:rPr>
          <w:sz w:val="16"/>
        </w:rPr>
      </w:pPr>
      <w:r>
        <w:rPr/>
        <w:t>probablemente específicos para la detección de cáncer de páncreas.</w:t>
      </w:r>
      <w:r>
        <w:rPr>
          <w:position w:val="11"/>
          <w:sz w:val="16"/>
        </w:rPr>
        <w:t>93</w:t>
      </w:r>
    </w:p>
    <w:p>
      <w:pPr>
        <w:pStyle w:val="BodyText"/>
        <w:spacing w:before="10"/>
        <w:rPr>
          <w:sz w:val="29"/>
        </w:rPr>
      </w:pPr>
    </w:p>
    <w:p>
      <w:pPr>
        <w:pStyle w:val="BodyText"/>
        <w:spacing w:line="340" w:lineRule="auto"/>
        <w:ind w:left="196" w:right="279"/>
        <w:jc w:val="both"/>
        <w:rPr>
          <w:sz w:val="16"/>
        </w:rPr>
      </w:pPr>
      <w:r>
        <w:rPr/>
        <w:t>En el área de la odontología, las proteínas salivales se ha utilizado para el estudio de las enfermedades orales, tales como las enfermedades periodontales y para evaluar el riesgo de caries.</w:t>
      </w:r>
      <w:r>
        <w:rPr>
          <w:position w:val="11"/>
          <w:sz w:val="16"/>
        </w:rPr>
        <w:t>94, 95</w:t>
      </w:r>
    </w:p>
    <w:p>
      <w:pPr>
        <w:pStyle w:val="BodyText"/>
        <w:spacing w:line="360" w:lineRule="auto" w:before="215"/>
        <w:ind w:left="196" w:right="279"/>
        <w:jc w:val="both"/>
      </w:pPr>
      <w:r>
        <w:rPr/>
        <w:t>En el presente estudio se utilizó saliva total como el medio para la conocer y cuantificar la expresión génica de los receptores las fracciones Fc de las inmunoglobulinas A (Fc</w:t>
      </w:r>
      <w:r>
        <w:rPr>
          <w:rFonts w:ascii="Symbol" w:hAnsi="Symbol"/>
        </w:rPr>
        <w:t></w:t>
      </w:r>
      <w:r>
        <w:rPr/>
        <w:t>R), G (Fc</w:t>
      </w:r>
      <w:r>
        <w:rPr>
          <w:rFonts w:ascii="Symbol" w:hAnsi="Symbol"/>
        </w:rPr>
        <w:t></w:t>
      </w:r>
      <w:r>
        <w:rPr/>
        <w:t>RIIB) y M (Fc</w:t>
      </w:r>
      <w:r>
        <w:rPr>
          <w:rFonts w:ascii="Symbol" w:hAnsi="Symbol"/>
        </w:rPr>
        <w:t></w:t>
      </w:r>
      <w:r>
        <w:rPr/>
        <w:t>R), así como identificar si existen diferencias de dicha expresión entre los grupos de estudio: 1) dentición mixta y 2) dentición permanente; además de averiguar si la expresión génica está asociada con la presencia de caries.</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0" w:lineRule="auto" w:before="69"/>
        <w:ind w:left="196" w:right="288"/>
        <w:jc w:val="both"/>
      </w:pPr>
      <w:r>
        <w:rPr/>
        <w:t>En primer término, el análisis estadístico de las características sociodemográficas de la población permitió conocer las similitudes de los grupos de estudio como en las variables sexo, estado civil y ocupación; y las diferencias en edad. En cuanto a los hábitos higiénico-dietéticos, la utilización de auxiliares de higiene es </w:t>
      </w:r>
      <w:r>
        <w:rPr>
          <w:spacing w:val="-3"/>
        </w:rPr>
        <w:t>más </w:t>
      </w:r>
      <w:r>
        <w:rPr/>
        <w:t>frecuente  en la dentición permanente que en la dentición mixta, proponiendo que existe una deficiencia en la higiene oral de dicho</w:t>
      </w:r>
      <w:r>
        <w:rPr>
          <w:spacing w:val="-21"/>
        </w:rPr>
        <w:t> </w:t>
      </w:r>
      <w:r>
        <w:rPr/>
        <w:t>grupo.</w:t>
      </w:r>
    </w:p>
    <w:p>
      <w:pPr>
        <w:pStyle w:val="BodyText"/>
        <w:spacing w:line="360" w:lineRule="auto" w:before="204"/>
        <w:ind w:left="196" w:right="274"/>
        <w:jc w:val="both"/>
      </w:pPr>
      <w:r>
        <w:rPr/>
        <w:t>La obtención de los cálculos de las unidades relativas de expresión admite la existencia de la expresión génica de Fc</w:t>
      </w:r>
      <w:r>
        <w:rPr>
          <w:rFonts w:ascii="Symbol" w:hAnsi="Symbol"/>
        </w:rPr>
        <w:t></w:t>
      </w:r>
      <w:r>
        <w:rPr/>
        <w:t>R, Fc</w:t>
      </w:r>
      <w:r>
        <w:rPr>
          <w:rFonts w:ascii="Symbol" w:hAnsi="Symbol"/>
        </w:rPr>
        <w:t></w:t>
      </w:r>
      <w:r>
        <w:rPr/>
        <w:t>RIIB, Fc</w:t>
      </w:r>
      <w:r>
        <w:rPr>
          <w:rFonts w:ascii="Symbol" w:hAnsi="Symbol"/>
        </w:rPr>
        <w:t></w:t>
      </w:r>
      <w:r>
        <w:rPr/>
        <w:t>R en la saliva. Es importante mencionar que la presente investigación es pionera en cuanto al estudio de la expresión génica de Fc</w:t>
      </w:r>
      <w:r>
        <w:rPr>
          <w:rFonts w:ascii="Symbol" w:hAnsi="Symbol"/>
        </w:rPr>
        <w:t></w:t>
      </w:r>
      <w:r>
        <w:rPr/>
        <w:t>R, Fc</w:t>
      </w:r>
      <w:r>
        <w:rPr>
          <w:rFonts w:ascii="Symbol" w:hAnsi="Symbol"/>
        </w:rPr>
        <w:t></w:t>
      </w:r>
      <w:r>
        <w:rPr/>
        <w:t>RIIB, Fc</w:t>
      </w:r>
      <w:r>
        <w:rPr>
          <w:rFonts w:ascii="Symbol" w:hAnsi="Symbol"/>
        </w:rPr>
        <w:t></w:t>
      </w:r>
      <w:r>
        <w:rPr/>
        <w:t>R en la saliva; ya que en base a la revisión bibliográfica realizada, los estudios de expresión génica se refieren a otras proteínas salivales, y la identificación de anticuerpos salivales se ejecuta mediante el proteoma salival, por lo cual no se cuenta con información para contrastar los resultados obtenidos en esta investigación; pero podemos analizar brevemente la expresión génica de los receptores.</w:t>
      </w:r>
    </w:p>
    <w:p>
      <w:pPr>
        <w:pStyle w:val="BodyText"/>
        <w:spacing w:line="352" w:lineRule="auto" w:before="207"/>
        <w:ind w:left="196" w:right="281"/>
        <w:jc w:val="both"/>
      </w:pPr>
      <w:r>
        <w:rPr/>
        <w:t>El Fc</w:t>
      </w:r>
      <w:r>
        <w:rPr>
          <w:rFonts w:ascii="Symbol" w:hAnsi="Symbol"/>
        </w:rPr>
        <w:t></w:t>
      </w:r>
      <w:r>
        <w:rPr/>
        <w:t>R se expresó en la saliva de todos los sujetos de ambos grupos, y de acuerdo a lo reportado con Monteiro y Van de Winkel se debe a la alta afinidad que tienen este receptor por la IgA, que en la cavidad oral se presenta </w:t>
      </w:r>
      <w:r>
        <w:rPr>
          <w:spacing w:val="-4"/>
        </w:rPr>
        <w:t>como </w:t>
      </w:r>
      <w:r>
        <w:rPr/>
        <w:t>IgA secretora, producida por </w:t>
      </w:r>
      <w:r>
        <w:rPr>
          <w:spacing w:val="2"/>
        </w:rPr>
        <w:t>las </w:t>
      </w:r>
      <w:r>
        <w:rPr/>
        <w:t>células plasmáticas locales; además el Fc</w:t>
      </w:r>
      <w:r>
        <w:rPr>
          <w:rFonts w:ascii="Symbol" w:hAnsi="Symbol"/>
        </w:rPr>
        <w:t></w:t>
      </w:r>
      <w:r>
        <w:rPr/>
        <w:t>R es un mediador clave en</w:t>
      </w:r>
      <w:r>
        <w:rPr>
          <w:spacing w:val="26"/>
        </w:rPr>
        <w:t> </w:t>
      </w:r>
      <w:r>
        <w:rPr/>
        <w:t>la</w:t>
      </w:r>
      <w:r>
        <w:rPr>
          <w:spacing w:val="31"/>
        </w:rPr>
        <w:t> </w:t>
      </w:r>
      <w:r>
        <w:rPr/>
        <w:t>función</w:t>
      </w:r>
      <w:r>
        <w:rPr>
          <w:spacing w:val="32"/>
        </w:rPr>
        <w:t> </w:t>
      </w:r>
      <w:r>
        <w:rPr/>
        <w:t>efectora</w:t>
      </w:r>
      <w:r>
        <w:rPr>
          <w:spacing w:val="31"/>
        </w:rPr>
        <w:t> </w:t>
      </w:r>
      <w:r>
        <w:rPr/>
        <w:t>de</w:t>
      </w:r>
      <w:r>
        <w:rPr>
          <w:spacing w:val="27"/>
        </w:rPr>
        <w:t> </w:t>
      </w:r>
      <w:r>
        <w:rPr/>
        <w:t>la</w:t>
      </w:r>
      <w:r>
        <w:rPr>
          <w:spacing w:val="31"/>
        </w:rPr>
        <w:t> </w:t>
      </w:r>
      <w:r>
        <w:rPr/>
        <w:t>IgA,</w:t>
      </w:r>
      <w:r>
        <w:rPr>
          <w:position w:val="11"/>
          <w:sz w:val="16"/>
        </w:rPr>
        <w:t>40 </w:t>
      </w:r>
      <w:r>
        <w:rPr>
          <w:spacing w:val="7"/>
          <w:position w:val="11"/>
          <w:sz w:val="16"/>
        </w:rPr>
        <w:t> </w:t>
      </w:r>
      <w:r>
        <w:rPr/>
        <w:t>siendo</w:t>
      </w:r>
      <w:r>
        <w:rPr>
          <w:spacing w:val="31"/>
        </w:rPr>
        <w:t> </w:t>
      </w:r>
      <w:r>
        <w:rPr/>
        <w:t>ésta</w:t>
      </w:r>
      <w:r>
        <w:rPr>
          <w:spacing w:val="34"/>
        </w:rPr>
        <w:t> </w:t>
      </w:r>
      <w:r>
        <w:rPr/>
        <w:t>una</w:t>
      </w:r>
      <w:r>
        <w:rPr>
          <w:spacing w:val="27"/>
        </w:rPr>
        <w:t> </w:t>
      </w:r>
      <w:r>
        <w:rPr/>
        <w:t>primera</w:t>
      </w:r>
      <w:r>
        <w:rPr>
          <w:spacing w:val="31"/>
        </w:rPr>
        <w:t> </w:t>
      </w:r>
      <w:r>
        <w:rPr/>
        <w:t>línea</w:t>
      </w:r>
      <w:r>
        <w:rPr>
          <w:spacing w:val="31"/>
        </w:rPr>
        <w:t> </w:t>
      </w:r>
      <w:r>
        <w:rPr/>
        <w:t>de</w:t>
      </w:r>
      <w:r>
        <w:rPr>
          <w:spacing w:val="31"/>
        </w:rPr>
        <w:t> </w:t>
      </w:r>
      <w:r>
        <w:rPr/>
        <w:t>defensa</w:t>
      </w:r>
      <w:r>
        <w:rPr>
          <w:spacing w:val="31"/>
        </w:rPr>
        <w:t> </w:t>
      </w:r>
      <w:r>
        <w:rPr/>
        <w:t>clave</w:t>
      </w:r>
    </w:p>
    <w:p>
      <w:pPr>
        <w:pStyle w:val="BodyText"/>
        <w:spacing w:line="324" w:lineRule="auto"/>
        <w:ind w:left="196" w:right="294"/>
        <w:jc w:val="both"/>
        <w:rPr>
          <w:sz w:val="16"/>
        </w:rPr>
      </w:pPr>
      <w:r>
        <w:rPr/>
        <w:t>contra la invasión de patógenos inhalados e ingeridos en las superficies mucosas vulnerables.</w:t>
      </w:r>
      <w:r>
        <w:rPr>
          <w:position w:val="11"/>
          <w:sz w:val="16"/>
        </w:rPr>
        <w:t>96</w:t>
      </w:r>
    </w:p>
    <w:p>
      <w:pPr>
        <w:pStyle w:val="BodyText"/>
        <w:spacing w:line="362" w:lineRule="auto" w:before="235"/>
        <w:ind w:left="196" w:right="277"/>
        <w:jc w:val="both"/>
      </w:pPr>
      <w:r>
        <w:rPr/>
        <w:t>La expresión de Fc</w:t>
      </w:r>
      <w:r>
        <w:rPr>
          <w:rFonts w:ascii="Symbol" w:hAnsi="Symbol"/>
        </w:rPr>
        <w:t></w:t>
      </w:r>
      <w:r>
        <w:rPr/>
        <w:t>RIIB ocurrió aproximadamente en la mitad de los sujetos de ambos grupos. La causa de esta expresión, según Naziruddin y colaboradores, se debe a que el fluido gingival crevicular (FGC) contiene neutrófilos polimorfonucleares (PMN), los cuales expresan receptores de baja afinidad para el dominio Fc de la  IgG</w:t>
      </w:r>
    </w:p>
    <w:p>
      <w:pPr>
        <w:pStyle w:val="BodyText"/>
        <w:spacing w:line="276" w:lineRule="exact"/>
        <w:ind w:left="196"/>
        <w:jc w:val="both"/>
      </w:pPr>
      <w:r>
        <w:rPr>
          <w:position w:val="11"/>
          <w:sz w:val="16"/>
        </w:rPr>
        <w:t>97</w:t>
      </w:r>
      <w:r>
        <w:rPr/>
        <w:t>, y representan la primera línea de defensa en el    surco gingival.</w:t>
      </w:r>
      <w:r>
        <w:rPr>
          <w:position w:val="11"/>
          <w:sz w:val="16"/>
        </w:rPr>
        <w:t>98  </w:t>
      </w:r>
      <w:r>
        <w:rPr/>
        <w:t>Sin embargo, la</w:t>
      </w:r>
    </w:p>
    <w:p>
      <w:pPr>
        <w:pStyle w:val="BodyText"/>
        <w:spacing w:line="362" w:lineRule="auto" w:before="135"/>
        <w:ind w:left="196" w:right="280"/>
        <w:jc w:val="both"/>
      </w:pPr>
      <w:r>
        <w:rPr/>
        <w:t>diferencia de la expresión génica de Fc</w:t>
      </w:r>
      <w:r>
        <w:rPr>
          <w:rFonts w:ascii="Symbol" w:hAnsi="Symbol"/>
        </w:rPr>
        <w:t></w:t>
      </w:r>
      <w:r>
        <w:rPr/>
        <w:t>RIIB entre los grupos de estudio fue significativa,   siendo   mayor   en   la   dentición   permanente;   al   respecto   podría</w:t>
      </w:r>
    </w:p>
    <w:p>
      <w:pPr>
        <w:spacing w:after="0" w:line="362" w:lineRule="auto"/>
        <w:jc w:val="both"/>
        <w:sectPr>
          <w:pgSz w:w="12240" w:h="15840"/>
          <w:pgMar w:header="726" w:footer="1031" w:top="1340" w:bottom="1220" w:left="1220" w:right="1420"/>
        </w:sectPr>
      </w:pPr>
    </w:p>
    <w:p>
      <w:pPr>
        <w:pStyle w:val="BodyText"/>
        <w:spacing w:before="3"/>
        <w:rPr>
          <w:sz w:val="23"/>
        </w:rPr>
      </w:pPr>
    </w:p>
    <w:p>
      <w:pPr>
        <w:pStyle w:val="BodyText"/>
        <w:spacing w:line="352" w:lineRule="auto" w:before="69"/>
        <w:ind w:left="196" w:right="275"/>
        <w:jc w:val="both"/>
      </w:pPr>
      <w:r>
        <w:rPr/>
        <w:t>mencionarse que la presencia de los neutrófilos PMN en la saliva se ha reportado de manera predominante, y que estas células inmunes se implican como las principales responsables de la progresión de la enfermedad periodontal;</w:t>
      </w:r>
      <w:r>
        <w:rPr>
          <w:position w:val="11"/>
          <w:sz w:val="16"/>
        </w:rPr>
        <w:t>99, 100, 101 </w:t>
      </w:r>
      <w:r>
        <w:rPr/>
        <w:t>ante esta observación, es probable que la expresión de Fc</w:t>
      </w:r>
      <w:r>
        <w:rPr>
          <w:rFonts w:ascii="Symbol" w:hAnsi="Symbol"/>
        </w:rPr>
        <w:t></w:t>
      </w:r>
      <w:r>
        <w:rPr/>
        <w:t>RIIB se relacione con la presencia de enfermedad gingival o periodontal en la dentición permanente.</w:t>
      </w:r>
    </w:p>
    <w:p>
      <w:pPr>
        <w:pStyle w:val="BodyText"/>
        <w:spacing w:before="10"/>
        <w:rPr>
          <w:sz w:val="18"/>
        </w:rPr>
      </w:pPr>
    </w:p>
    <w:p>
      <w:pPr>
        <w:pStyle w:val="BodyText"/>
        <w:spacing w:line="348" w:lineRule="auto"/>
        <w:ind w:left="196" w:right="278"/>
        <w:jc w:val="both"/>
      </w:pPr>
      <w:r>
        <w:rPr/>
        <w:t>Se observó una mínima expresión de FcαµR, y de acuerdo con Cho y colaboradores, este receptor tiene una mayor afinidad por la IgM, y al expresarse en los macrófagos, permite que el receptor cumpla con </w:t>
      </w:r>
      <w:r>
        <w:rPr>
          <w:spacing w:val="-3"/>
        </w:rPr>
        <w:t>su </w:t>
      </w:r>
      <w:r>
        <w:rPr/>
        <w:t>función de inducir la muerte microbiana.</w:t>
      </w:r>
      <w:r>
        <w:rPr>
          <w:position w:val="11"/>
          <w:sz w:val="16"/>
        </w:rPr>
        <w:t>102 </w:t>
      </w:r>
      <w:r>
        <w:rPr/>
        <w:t>La IgM es la primera inmunoglobulina producida durante una infección, actuando </w:t>
      </w:r>
      <w:r>
        <w:rPr>
          <w:spacing w:val="-4"/>
        </w:rPr>
        <w:t>como</w:t>
      </w:r>
      <w:r>
        <w:rPr>
          <w:spacing w:val="58"/>
        </w:rPr>
        <w:t> </w:t>
      </w:r>
      <w:r>
        <w:rPr/>
        <w:t>un mecanismo de defensa temprana contra patógenos sistémicos y de las mucosas;</w:t>
      </w:r>
      <w:r>
        <w:rPr>
          <w:position w:val="11"/>
          <w:sz w:val="16"/>
        </w:rPr>
        <w:t>103 </w:t>
      </w:r>
      <w:r>
        <w:rPr/>
        <w:t>proponiendo que la mayoría de los sujetos de estudio no presentaban procesos infecciosos activos o agudos.</w:t>
      </w:r>
    </w:p>
    <w:p>
      <w:pPr>
        <w:pStyle w:val="BodyText"/>
        <w:spacing w:before="4"/>
        <w:rPr>
          <w:sz w:val="19"/>
        </w:rPr>
      </w:pPr>
    </w:p>
    <w:p>
      <w:pPr>
        <w:pStyle w:val="BodyText"/>
        <w:spacing w:line="360" w:lineRule="auto"/>
        <w:ind w:left="196" w:right="275"/>
        <w:jc w:val="both"/>
      </w:pPr>
      <w:r>
        <w:rPr/>
        <w:t>Cabe mencionar que diversos estudios han relacionado las concentraciones de inmunoglobulinas en saliva con la presencia de caries, no obstante, los resultados son diversos. Bagherian y colaboradores, en el 2008, concluyen en su investigación que los niveles de IgA aumentan en presencia de caries; explicando que estos resultados se deben a la naturaleza infecciosa de la caries; dado que los sujetos del estudio presentaban altas cantidades de </w:t>
      </w:r>
      <w:r>
        <w:rPr>
          <w:i/>
        </w:rPr>
        <w:t>Streptococcus mutans </w:t>
      </w:r>
      <w:r>
        <w:rPr/>
        <w:t>en la cavidad oral, su</w:t>
      </w:r>
    </w:p>
    <w:p>
      <w:pPr>
        <w:pStyle w:val="BodyText"/>
        <w:spacing w:line="324" w:lineRule="auto" w:before="7"/>
        <w:ind w:left="196" w:right="275"/>
        <w:jc w:val="both"/>
        <w:rPr>
          <w:sz w:val="16"/>
        </w:rPr>
      </w:pPr>
      <w:r>
        <w:rPr/>
        <w:t>sistema inmunológico responde a la alta carga antigénica que conduce a una alta producción de inmunoglobulinas.</w:t>
      </w:r>
      <w:r>
        <w:rPr>
          <w:position w:val="11"/>
          <w:sz w:val="16"/>
        </w:rPr>
        <w:t>104</w:t>
      </w:r>
    </w:p>
    <w:p>
      <w:pPr>
        <w:pStyle w:val="BodyText"/>
        <w:spacing w:line="360" w:lineRule="auto" w:before="236"/>
        <w:ind w:left="196" w:right="271"/>
        <w:jc w:val="both"/>
      </w:pPr>
      <w:r>
        <w:rPr/>
        <w:t>Por otra parte, la investigación de Kuriacose y colaboradores, en el 2013, reporta que los niveles de IgA son significativamente menores en presencia de caries en comparación a los sujetos resistentes a la caries, argumentando la función de la   IgA</w:t>
      </w:r>
    </w:p>
    <w:p>
      <w:pPr>
        <w:pStyle w:val="BodyText"/>
        <w:spacing w:line="324" w:lineRule="auto" w:before="7"/>
        <w:ind w:left="196" w:right="276"/>
        <w:jc w:val="both"/>
        <w:rPr>
          <w:sz w:val="16"/>
        </w:rPr>
      </w:pPr>
      <w:r>
        <w:rPr/>
        <w:t>como defensa inmunitaria específica contra el </w:t>
      </w:r>
      <w:r>
        <w:rPr>
          <w:i/>
        </w:rPr>
        <w:t>Streptococcus mutans</w:t>
      </w:r>
      <w:r>
        <w:rPr/>
        <w:t>, este anticuerpo es producido por el sistema inmune de la mucosa común.</w:t>
      </w:r>
      <w:r>
        <w:rPr>
          <w:position w:val="11"/>
          <w:sz w:val="16"/>
        </w:rPr>
        <w:t>105</w:t>
      </w:r>
    </w:p>
    <w:p>
      <w:pPr>
        <w:pStyle w:val="BodyText"/>
        <w:spacing w:line="360" w:lineRule="auto" w:before="237"/>
        <w:ind w:left="196" w:right="274"/>
        <w:jc w:val="both"/>
      </w:pPr>
      <w:r>
        <w:rPr/>
        <w:t>Con lo antes referido, es importante mencionar que el presente estudio quedaría complementado con la cuantificación de la concentración de inmunoglobulinas, para verificar la producción de anticuerpos y encontrar alguna relación con la expresión</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0" w:lineRule="auto" w:before="69"/>
        <w:ind w:left="196" w:right="283"/>
        <w:jc w:val="both"/>
      </w:pPr>
      <w:r>
        <w:rPr/>
        <w:t>génica de los receptores Fc en la saliva; sin embargo carece de dicho procedimiento, lo cual es una limitación.</w:t>
      </w:r>
    </w:p>
    <w:p>
      <w:pPr>
        <w:pStyle w:val="BodyText"/>
        <w:spacing w:line="357" w:lineRule="auto" w:before="207"/>
        <w:ind w:left="196" w:right="275"/>
        <w:jc w:val="both"/>
      </w:pPr>
      <w:r>
        <w:rPr/>
        <w:t>En cuanto a la asociación de la expresión génica de Fc</w:t>
      </w:r>
      <w:r>
        <w:rPr>
          <w:rFonts w:ascii="Symbol" w:hAnsi="Symbol"/>
        </w:rPr>
        <w:t></w:t>
      </w:r>
      <w:r>
        <w:rPr/>
        <w:t>R, Fc</w:t>
      </w:r>
      <w:r>
        <w:rPr>
          <w:rFonts w:ascii="Symbol" w:hAnsi="Symbol"/>
        </w:rPr>
        <w:t></w:t>
      </w:r>
      <w:r>
        <w:rPr/>
        <w:t>RIIB, Fc</w:t>
      </w:r>
      <w:r>
        <w:rPr>
          <w:rFonts w:ascii="Symbol" w:hAnsi="Symbol"/>
        </w:rPr>
        <w:t></w:t>
      </w:r>
      <w:r>
        <w:rPr/>
        <w:t>R con la presencia de caries, la regresión lineal múltiple mostró la inexistencia de asociación significativa en los grupos de estudio; esto no puede ser comparado con otros estudios debido a la falta de los mismos.</w:t>
      </w:r>
    </w:p>
    <w:p>
      <w:pPr>
        <w:pStyle w:val="BodyText"/>
        <w:spacing w:line="360" w:lineRule="auto" w:before="210"/>
        <w:ind w:left="196" w:right="274"/>
        <w:jc w:val="both"/>
      </w:pPr>
      <w:r>
        <w:rPr/>
        <w:t>Así mismo, las observaciones realizadas respecto a la expresión de Fc</w:t>
      </w:r>
      <w:r>
        <w:rPr>
          <w:rFonts w:ascii="Symbol" w:hAnsi="Symbol"/>
        </w:rPr>
        <w:t></w:t>
      </w:r>
      <w:r>
        <w:rPr/>
        <w:t>RIIB no pueden inferirse a la población de estudio, ya que no se realizó la identificación de neutrófilos polimorfonucleares, ni el diagnóstico correspondiente a enfermedad periodontal, tampoco se consideraron hábitos como el tabaquismo o la ingesta de</w:t>
      </w:r>
    </w:p>
    <w:p>
      <w:pPr>
        <w:pStyle w:val="BodyText"/>
        <w:spacing w:line="328" w:lineRule="auto" w:before="2"/>
        <w:ind w:left="196" w:right="289"/>
        <w:jc w:val="both"/>
        <w:rPr>
          <w:sz w:val="16"/>
        </w:rPr>
      </w:pPr>
      <w:r>
        <w:rPr/>
        <w:t>alcohol, los cuales se consideran importantes en el conteo de neutrófilos polimorfonucleares presentes en la saliva.</w:t>
      </w:r>
      <w:r>
        <w:rPr>
          <w:position w:val="11"/>
          <w:sz w:val="16"/>
        </w:rPr>
        <w:t>98, 106</w:t>
      </w:r>
    </w:p>
    <w:p>
      <w:pPr>
        <w:pStyle w:val="BodyText"/>
        <w:spacing w:line="357" w:lineRule="auto" w:before="230"/>
        <w:ind w:left="196" w:right="279"/>
        <w:jc w:val="both"/>
      </w:pPr>
      <w:r>
        <w:rPr/>
        <w:t>Es importante mencionar que como muestra calibradora para el modelo matemático de Pfaffl se eligió la expresión génica de Fc</w:t>
      </w:r>
      <w:r>
        <w:rPr>
          <w:rFonts w:ascii="Symbol" w:hAnsi="Symbol"/>
        </w:rPr>
        <w:t></w:t>
      </w:r>
      <w:r>
        <w:rPr/>
        <w:t>R, Fc</w:t>
      </w:r>
      <w:r>
        <w:rPr>
          <w:rFonts w:ascii="Symbol" w:hAnsi="Symbol"/>
        </w:rPr>
        <w:t></w:t>
      </w:r>
      <w:r>
        <w:rPr/>
        <w:t>RIIB, Fc</w:t>
      </w:r>
      <w:r>
        <w:rPr>
          <w:rFonts w:ascii="Symbol" w:hAnsi="Symbol"/>
        </w:rPr>
        <w:t></w:t>
      </w:r>
      <w:r>
        <w:rPr/>
        <w:t>R de un sujeto libre de caries para cada grupo de estudio; ya que las unidades relativas de expresión génica obtenidas del cDNA Raji humano, aunque proporcionales, fueron mayores en comparación con las obtenidas de los sujetos libres de caries.</w:t>
      </w:r>
    </w:p>
    <w:p>
      <w:pPr>
        <w:pStyle w:val="BodyText"/>
        <w:spacing w:before="1"/>
        <w:rPr>
          <w:sz w:val="20"/>
        </w:rPr>
      </w:pPr>
    </w:p>
    <w:p>
      <w:pPr>
        <w:pStyle w:val="BodyText"/>
        <w:spacing w:line="360" w:lineRule="auto"/>
        <w:ind w:left="196" w:right="274"/>
        <w:jc w:val="both"/>
      </w:pPr>
      <w:r>
        <w:rPr/>
        <w:t>La  utilización del  método     permite  suponer que la eficiencia de reacción  de  Fc</w:t>
      </w:r>
      <w:r>
        <w:rPr>
          <w:rFonts w:ascii="Symbol" w:hAnsi="Symbol"/>
        </w:rPr>
        <w:t></w:t>
      </w:r>
      <w:r>
        <w:rPr/>
        <w:t>R, Fc</w:t>
      </w:r>
      <w:r>
        <w:rPr>
          <w:rFonts w:ascii="Symbol" w:hAnsi="Symbol"/>
        </w:rPr>
        <w:t></w:t>
      </w:r>
      <w:r>
        <w:rPr/>
        <w:t>RIIB, Fc</w:t>
      </w:r>
      <w:r>
        <w:rPr>
          <w:rFonts w:ascii="Symbol" w:hAnsi="Symbol"/>
        </w:rPr>
        <w:t></w:t>
      </w:r>
      <w:r>
        <w:rPr/>
        <w:t>R y del gen 18s es óptima e idéntica, lo que proporcionó una estimación rápida y relativa de la expresión génica del estudio. Sin embargo, se ha demostrado que el uso de un solo gen como gen de referencia es susceptible a tener errores en la interpretación de los resultados de la PCR en tiempo real, ya que la utilización de dos  o tres genes de referencia  permite  tener una  menor  </w:t>
      </w:r>
      <w:r>
        <w:rPr>
          <w:spacing w:val="9"/>
        </w:rPr>
        <w:t> </w:t>
      </w:r>
      <w:r>
        <w:rPr/>
        <w:t>variabilidad</w:t>
      </w:r>
    </w:p>
    <w:p>
      <w:pPr>
        <w:pStyle w:val="BodyText"/>
        <w:spacing w:line="338" w:lineRule="auto" w:before="2"/>
        <w:ind w:left="196" w:right="278"/>
        <w:jc w:val="both"/>
      </w:pPr>
      <w:r>
        <w:rPr/>
        <w:t>[variabilidad experimental (asociada con la tecnología) y variabilidad innata (entre tejidos, particulares)], mediante el uso de una media geométrica;</w:t>
      </w:r>
      <w:r>
        <w:rPr>
          <w:position w:val="11"/>
          <w:sz w:val="16"/>
        </w:rPr>
        <w:t>107 </w:t>
      </w:r>
      <w:r>
        <w:rPr/>
        <w:t>además de aumentar la resolución y la precisión de los resultados;</w:t>
      </w:r>
      <w:r>
        <w:rPr>
          <w:position w:val="11"/>
          <w:sz w:val="16"/>
        </w:rPr>
        <w:t>69 </w:t>
      </w:r>
      <w:r>
        <w:rPr/>
        <w:t>por lo tanto, es otra limitación del estudio.</w:t>
      </w:r>
    </w:p>
    <w:p>
      <w:pPr>
        <w:spacing w:after="0" w:line="338" w:lineRule="auto"/>
        <w:jc w:val="both"/>
        <w:sectPr>
          <w:pgSz w:w="12240" w:h="15840"/>
          <w:pgMar w:header="726" w:footer="1031" w:top="1340" w:bottom="1220" w:left="1220" w:right="1420"/>
        </w:sectPr>
      </w:pPr>
    </w:p>
    <w:p>
      <w:pPr>
        <w:pStyle w:val="BodyText"/>
        <w:spacing w:before="3"/>
        <w:rPr>
          <w:sz w:val="23"/>
        </w:rPr>
      </w:pPr>
    </w:p>
    <w:p>
      <w:pPr>
        <w:pStyle w:val="BodyText"/>
        <w:spacing w:line="360" w:lineRule="auto" w:before="69"/>
        <w:ind w:left="196" w:right="274"/>
        <w:jc w:val="both"/>
      </w:pPr>
      <w:r>
        <w:rPr/>
        <w:t>La importancia del presente estudio radica en la comprobación de la existencia de la expresión génica de Fc</w:t>
      </w:r>
      <w:r>
        <w:rPr>
          <w:rFonts w:ascii="Symbol" w:hAnsi="Symbol"/>
        </w:rPr>
        <w:t></w:t>
      </w:r>
      <w:r>
        <w:rPr/>
        <w:t>R, Fc</w:t>
      </w:r>
      <w:r>
        <w:rPr>
          <w:rFonts w:ascii="Symbol" w:hAnsi="Symbol"/>
        </w:rPr>
        <w:t></w:t>
      </w:r>
      <w:r>
        <w:rPr/>
        <w:t>RIIB, Fc</w:t>
      </w:r>
      <w:r>
        <w:rPr>
          <w:rFonts w:ascii="Symbol" w:hAnsi="Symbol"/>
        </w:rPr>
        <w:t></w:t>
      </w:r>
      <w:r>
        <w:rPr/>
        <w:t>R; ya que hasta el momento no se contaba con información al respecto. Además el empleo de técnicas de biología molecular permite expandir el conocimiento en el área odontológica, debido a que este estudio podría dar pauta a futuras investigaciones respecto a expresión de Fc</w:t>
      </w:r>
      <w:r>
        <w:rPr>
          <w:rFonts w:ascii="Symbol" w:hAnsi="Symbol"/>
        </w:rPr>
        <w:t></w:t>
      </w:r>
      <w:r>
        <w:rPr/>
        <w:t>RIIB y su relación en la enfermedad periodontal; o la expresión de Fc</w:t>
      </w:r>
      <w:r>
        <w:rPr>
          <w:rFonts w:ascii="Symbol" w:hAnsi="Symbol"/>
        </w:rPr>
        <w:t></w:t>
      </w:r>
      <w:r>
        <w:rPr/>
        <w:t>R y su desempeño en los procesos infecciosos orales; así mismo, encaminar las investigaciones referentes a la asociación de la inmunidad humoral y la caries para continuar profundizando y complementando la investigación en este ámbito.</w:t>
      </w:r>
    </w:p>
    <w:p>
      <w:pPr>
        <w:spacing w:after="0" w:line="360" w:lineRule="auto"/>
        <w:jc w:val="both"/>
        <w:sectPr>
          <w:footerReference w:type="default" r:id="rId81"/>
          <w:pgSz w:w="12240" w:h="15840"/>
          <w:pgMar w:footer="1031" w:header="726"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34"/>
        </w:numPr>
        <w:tabs>
          <w:tab w:pos="3050" w:val="left" w:leader="none"/>
        </w:tabs>
        <w:spacing w:line="240" w:lineRule="auto" w:before="173" w:after="0"/>
        <w:ind w:left="3049" w:right="0" w:hanging="778"/>
        <w:jc w:val="left"/>
      </w:pPr>
      <w:bookmarkStart w:name="_TOC_250008" w:id="58"/>
      <w:bookmarkEnd w:id="58"/>
      <w:r>
        <w:rPr/>
        <w:t>CONCLUSIONES</w:t>
      </w:r>
    </w:p>
    <w:p>
      <w:pPr>
        <w:spacing w:after="0" w:line="240" w:lineRule="auto"/>
        <w:jc w:val="left"/>
        <w:sectPr>
          <w:footerReference w:type="default" r:id="rId82"/>
          <w:pgSz w:w="12240" w:h="15840"/>
          <w:pgMar w:footer="1031" w:header="726" w:top="1340" w:bottom="1220" w:left="1220" w:right="1420"/>
          <w:pgNumType w:start="111"/>
        </w:sectPr>
      </w:pPr>
    </w:p>
    <w:p>
      <w:pPr>
        <w:pStyle w:val="BodyText"/>
        <w:spacing w:before="3"/>
        <w:rPr>
          <w:b/>
        </w:rPr>
      </w:pPr>
    </w:p>
    <w:p>
      <w:pPr>
        <w:pStyle w:val="ListParagraph"/>
        <w:numPr>
          <w:ilvl w:val="0"/>
          <w:numId w:val="40"/>
        </w:numPr>
        <w:tabs>
          <w:tab w:pos="917" w:val="left" w:leader="none"/>
        </w:tabs>
        <w:spacing w:line="357" w:lineRule="auto" w:before="56" w:after="0"/>
        <w:ind w:left="917" w:right="280" w:hanging="361"/>
        <w:jc w:val="both"/>
        <w:rPr>
          <w:sz w:val="24"/>
        </w:rPr>
      </w:pPr>
      <w:r>
        <w:rPr>
          <w:sz w:val="24"/>
        </w:rPr>
        <w:t>El empleo de saliva como factor asociado al huésped para el desarrollo de caries, es una vía adecuada para el estudio de elementos relacionados con el medio</w:t>
      </w:r>
      <w:r>
        <w:rPr>
          <w:spacing w:val="-4"/>
          <w:sz w:val="24"/>
        </w:rPr>
        <w:t> </w:t>
      </w:r>
      <w:r>
        <w:rPr>
          <w:sz w:val="24"/>
        </w:rPr>
        <w:t>bucal.</w:t>
      </w:r>
    </w:p>
    <w:p>
      <w:pPr>
        <w:pStyle w:val="ListParagraph"/>
        <w:numPr>
          <w:ilvl w:val="0"/>
          <w:numId w:val="40"/>
        </w:numPr>
        <w:tabs>
          <w:tab w:pos="917" w:val="left" w:leader="none"/>
        </w:tabs>
        <w:spacing w:line="362" w:lineRule="auto" w:before="3" w:after="0"/>
        <w:ind w:left="917" w:right="273" w:hanging="361"/>
        <w:jc w:val="both"/>
        <w:rPr>
          <w:sz w:val="24"/>
        </w:rPr>
      </w:pPr>
      <w:r>
        <w:rPr>
          <w:sz w:val="24"/>
        </w:rPr>
        <w:t>El uso de sondas Taqman en el estudio de los Fc</w:t>
      </w:r>
      <w:r>
        <w:rPr>
          <w:rFonts w:ascii="Symbol" w:hAnsi="Symbol"/>
          <w:sz w:val="24"/>
        </w:rPr>
        <w:t></w:t>
      </w:r>
      <w:r>
        <w:rPr>
          <w:sz w:val="24"/>
        </w:rPr>
        <w:t>R, Fc</w:t>
      </w:r>
      <w:r>
        <w:rPr>
          <w:rFonts w:ascii="Symbol" w:hAnsi="Symbol"/>
          <w:sz w:val="24"/>
        </w:rPr>
        <w:t></w:t>
      </w:r>
      <w:r>
        <w:rPr>
          <w:sz w:val="24"/>
        </w:rPr>
        <w:t>RIIB, Fc</w:t>
      </w:r>
      <w:r>
        <w:rPr>
          <w:rFonts w:ascii="Symbol" w:hAnsi="Symbol"/>
          <w:sz w:val="24"/>
        </w:rPr>
        <w:t></w:t>
      </w:r>
      <w:r>
        <w:rPr>
          <w:sz w:val="24"/>
        </w:rPr>
        <w:t>R, proporcionan una ventaja RT-qPCR, la cual se considera el “estándar de oro” en la cuantificación de ácidos</w:t>
      </w:r>
      <w:r>
        <w:rPr>
          <w:spacing w:val="-15"/>
          <w:sz w:val="24"/>
        </w:rPr>
        <w:t> </w:t>
      </w:r>
      <w:r>
        <w:rPr>
          <w:sz w:val="24"/>
        </w:rPr>
        <w:t>nucleicos.</w:t>
      </w:r>
    </w:p>
    <w:p>
      <w:pPr>
        <w:pStyle w:val="ListParagraph"/>
        <w:numPr>
          <w:ilvl w:val="0"/>
          <w:numId w:val="40"/>
        </w:numPr>
        <w:tabs>
          <w:tab w:pos="917" w:val="left" w:leader="none"/>
        </w:tabs>
        <w:spacing w:line="360" w:lineRule="auto" w:before="0" w:after="0"/>
        <w:ind w:left="917" w:right="278" w:hanging="361"/>
        <w:jc w:val="both"/>
        <w:rPr>
          <w:sz w:val="24"/>
        </w:rPr>
      </w:pPr>
      <w:r>
        <w:rPr>
          <w:sz w:val="24"/>
        </w:rPr>
        <w:t>Se ha comprobado la existencia de la expresión génica de Fc</w:t>
      </w:r>
      <w:r>
        <w:rPr>
          <w:rFonts w:ascii="Symbol" w:hAnsi="Symbol"/>
          <w:sz w:val="24"/>
        </w:rPr>
        <w:t></w:t>
      </w:r>
      <w:r>
        <w:rPr>
          <w:sz w:val="24"/>
        </w:rPr>
        <w:t>R, Fc</w:t>
      </w:r>
      <w:r>
        <w:rPr>
          <w:rFonts w:ascii="Symbol" w:hAnsi="Symbol"/>
          <w:sz w:val="24"/>
        </w:rPr>
        <w:t></w:t>
      </w:r>
      <w:r>
        <w:rPr>
          <w:sz w:val="24"/>
        </w:rPr>
        <w:t>RIIB, Fc</w:t>
      </w:r>
      <w:r>
        <w:rPr>
          <w:rFonts w:ascii="Symbol" w:hAnsi="Symbol"/>
          <w:sz w:val="24"/>
        </w:rPr>
        <w:t></w:t>
      </w:r>
      <w:r>
        <w:rPr>
          <w:sz w:val="24"/>
        </w:rPr>
        <w:t>R en la saliva; además se encontró una diferencia significativa en la expresión de Fc</w:t>
      </w:r>
      <w:r>
        <w:rPr>
          <w:rFonts w:ascii="Symbol" w:hAnsi="Symbol"/>
          <w:sz w:val="24"/>
        </w:rPr>
        <w:t></w:t>
      </w:r>
      <w:r>
        <w:rPr>
          <w:sz w:val="24"/>
        </w:rPr>
        <w:t>RIIB  entre la dentición mixta y la dentición</w:t>
      </w:r>
      <w:r>
        <w:rPr>
          <w:spacing w:val="-35"/>
          <w:sz w:val="24"/>
        </w:rPr>
        <w:t> </w:t>
      </w:r>
      <w:r>
        <w:rPr>
          <w:sz w:val="24"/>
        </w:rPr>
        <w:t>permanente.</w:t>
      </w:r>
    </w:p>
    <w:p>
      <w:pPr>
        <w:pStyle w:val="ListParagraph"/>
        <w:numPr>
          <w:ilvl w:val="0"/>
          <w:numId w:val="40"/>
        </w:numPr>
        <w:tabs>
          <w:tab w:pos="917" w:val="left" w:leader="none"/>
        </w:tabs>
        <w:spacing w:line="357" w:lineRule="auto" w:before="0" w:after="0"/>
        <w:ind w:left="917" w:right="276" w:hanging="361"/>
        <w:jc w:val="both"/>
        <w:rPr>
          <w:sz w:val="24"/>
        </w:rPr>
      </w:pPr>
      <w:r>
        <w:rPr>
          <w:sz w:val="24"/>
        </w:rPr>
        <w:t>En esta investigación, de acuerdo al análisis estadístico, no se encontró una asociación significativa de la expresión génica de Fc</w:t>
      </w:r>
      <w:r>
        <w:rPr>
          <w:rFonts w:ascii="Symbol" w:hAnsi="Symbol"/>
          <w:sz w:val="24"/>
        </w:rPr>
        <w:t></w:t>
      </w:r>
      <w:r>
        <w:rPr>
          <w:sz w:val="24"/>
        </w:rPr>
        <w:t>R, Fc</w:t>
      </w:r>
      <w:r>
        <w:rPr>
          <w:rFonts w:ascii="Symbol" w:hAnsi="Symbol"/>
          <w:sz w:val="24"/>
        </w:rPr>
        <w:t></w:t>
      </w:r>
      <w:r>
        <w:rPr>
          <w:sz w:val="24"/>
        </w:rPr>
        <w:t>RIIB, Fc</w:t>
      </w:r>
      <w:r>
        <w:rPr>
          <w:rFonts w:ascii="Symbol" w:hAnsi="Symbol"/>
          <w:sz w:val="24"/>
        </w:rPr>
        <w:t></w:t>
      </w:r>
      <w:r>
        <w:rPr>
          <w:sz w:val="24"/>
        </w:rPr>
        <w:t>R en </w:t>
      </w:r>
      <w:r>
        <w:rPr>
          <w:spacing w:val="2"/>
          <w:sz w:val="24"/>
        </w:rPr>
        <w:t>la </w:t>
      </w:r>
      <w:r>
        <w:rPr>
          <w:sz w:val="24"/>
        </w:rPr>
        <w:t>saliva con la presencia de</w:t>
      </w:r>
      <w:r>
        <w:rPr>
          <w:spacing w:val="-13"/>
          <w:sz w:val="24"/>
        </w:rPr>
        <w:t> </w:t>
      </w:r>
      <w:r>
        <w:rPr>
          <w:sz w:val="24"/>
        </w:rPr>
        <w:t>caries.</w:t>
      </w:r>
    </w:p>
    <w:p>
      <w:pPr>
        <w:pStyle w:val="ListParagraph"/>
        <w:numPr>
          <w:ilvl w:val="0"/>
          <w:numId w:val="40"/>
        </w:numPr>
        <w:tabs>
          <w:tab w:pos="917" w:val="left" w:leader="none"/>
        </w:tabs>
        <w:spacing w:line="357" w:lineRule="auto" w:before="4" w:after="0"/>
        <w:ind w:left="917" w:right="275" w:hanging="361"/>
        <w:jc w:val="both"/>
        <w:rPr>
          <w:sz w:val="24"/>
        </w:rPr>
      </w:pPr>
      <w:r>
        <w:rPr>
          <w:sz w:val="24"/>
        </w:rPr>
        <w:t>Se sugiere la elaboración de futuros estudios que impliquen la cuantificación protéica y la expresión génica de los receptores de las inmunoglobulinas presentes en saliva, con la finalidad de ampliar los conocimientos relacionados a la inmunidad humoral y los diversos acontecimientos en salud</w:t>
      </w:r>
      <w:r>
        <w:rPr>
          <w:spacing w:val="-31"/>
          <w:sz w:val="24"/>
        </w:rPr>
        <w:t> </w:t>
      </w:r>
      <w:r>
        <w:rPr>
          <w:sz w:val="24"/>
        </w:rPr>
        <w:t>oral.</w:t>
      </w:r>
    </w:p>
    <w:p>
      <w:pPr>
        <w:spacing w:after="0" w:line="357" w:lineRule="auto"/>
        <w:jc w:val="both"/>
        <w:rPr>
          <w:sz w:val="24"/>
        </w:rPr>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34"/>
        </w:numPr>
        <w:tabs>
          <w:tab w:pos="4177" w:val="left" w:leader="none"/>
          <w:tab w:pos="4178" w:val="left" w:leader="none"/>
        </w:tabs>
        <w:spacing w:line="240" w:lineRule="auto" w:before="173" w:after="0"/>
        <w:ind w:left="4177" w:right="0" w:hanging="1081"/>
        <w:jc w:val="left"/>
      </w:pPr>
      <w:r>
        <w:rPr/>
        <w:t>RESUMEN</w:t>
      </w:r>
    </w:p>
    <w:p>
      <w:pPr>
        <w:spacing w:after="0" w:line="240" w:lineRule="auto"/>
        <w:jc w:val="left"/>
        <w:sectPr>
          <w:pgSz w:w="12240" w:h="15840"/>
          <w:pgMar w:header="726" w:footer="1031" w:top="1340" w:bottom="1220" w:left="1220" w:right="1420"/>
        </w:sectPr>
      </w:pPr>
    </w:p>
    <w:p>
      <w:pPr>
        <w:pStyle w:val="BodyText"/>
        <w:spacing w:before="9"/>
        <w:rPr>
          <w:b/>
          <w:sz w:val="22"/>
        </w:rPr>
      </w:pPr>
    </w:p>
    <w:p>
      <w:pPr>
        <w:pStyle w:val="Heading2"/>
      </w:pPr>
      <w:r>
        <w:rPr/>
        <w:t>Introducción</w:t>
      </w:r>
    </w:p>
    <w:p>
      <w:pPr>
        <w:pStyle w:val="BodyText"/>
        <w:spacing w:line="360" w:lineRule="auto" w:before="147"/>
        <w:ind w:left="196" w:right="279"/>
        <w:jc w:val="both"/>
      </w:pPr>
      <w:r>
        <w:rPr/>
        <w:t>La caries dental es el problema de salud oral con mayor prevalencia en el mundo, afectando del 95 al 99% de la población. Es una enfermedad multifactorial, donde el componente inmunológico no ha sido estudiado en los diferentes tipos de dentición, sobre todo la expresión génica de los receptores para las inmunoglobulinas en saliva tales como Fc</w:t>
      </w:r>
      <w:r>
        <w:rPr>
          <w:rFonts w:ascii="Symbol" w:hAnsi="Symbol"/>
        </w:rPr>
        <w:t></w:t>
      </w:r>
      <w:r>
        <w:rPr/>
        <w:t>R (IgA), Fc</w:t>
      </w:r>
      <w:r>
        <w:rPr>
          <w:rFonts w:ascii="Symbol" w:hAnsi="Symbol"/>
        </w:rPr>
        <w:t></w:t>
      </w:r>
      <w:r>
        <w:rPr/>
        <w:t>RIIB (IgG) y Fc</w:t>
      </w:r>
      <w:r>
        <w:rPr>
          <w:rFonts w:ascii="Symbol" w:hAnsi="Symbol"/>
        </w:rPr>
        <w:t></w:t>
      </w:r>
      <w:r>
        <w:rPr/>
        <w:t>R (IgM).</w:t>
      </w:r>
    </w:p>
    <w:p>
      <w:pPr>
        <w:pStyle w:val="Heading2"/>
        <w:spacing w:before="194"/>
      </w:pPr>
      <w:r>
        <w:rPr/>
        <w:t>Objetivo</w:t>
      </w:r>
    </w:p>
    <w:p>
      <w:pPr>
        <w:pStyle w:val="BodyText"/>
        <w:spacing w:line="357" w:lineRule="auto" w:before="140"/>
        <w:ind w:left="196" w:right="278"/>
        <w:jc w:val="both"/>
      </w:pPr>
      <w:r>
        <w:rPr/>
        <w:t>Conocer la expresión génica de Fc</w:t>
      </w:r>
      <w:r>
        <w:rPr>
          <w:rFonts w:ascii="Symbol" w:hAnsi="Symbol"/>
        </w:rPr>
        <w:t></w:t>
      </w:r>
      <w:r>
        <w:rPr/>
        <w:t>R, Fc</w:t>
      </w:r>
      <w:r>
        <w:rPr>
          <w:rFonts w:ascii="Symbol" w:hAnsi="Symbol"/>
        </w:rPr>
        <w:t></w:t>
      </w:r>
      <w:r>
        <w:rPr/>
        <w:t>RIIB y Fc</w:t>
      </w:r>
      <w:r>
        <w:rPr>
          <w:rFonts w:ascii="Symbol" w:hAnsi="Symbol"/>
        </w:rPr>
        <w:t></w:t>
      </w:r>
      <w:r>
        <w:rPr/>
        <w:t>R en saliva de pacientes mexiquenses con dentición mixta y permanente que presentan caries.</w:t>
      </w:r>
    </w:p>
    <w:p>
      <w:pPr>
        <w:pStyle w:val="Heading2"/>
        <w:spacing w:before="207"/>
      </w:pPr>
      <w:r>
        <w:rPr/>
        <w:t>Metodología</w:t>
      </w:r>
    </w:p>
    <w:p>
      <w:pPr>
        <w:pStyle w:val="BodyText"/>
        <w:spacing w:line="360" w:lineRule="auto" w:before="141"/>
        <w:ind w:left="196" w:right="275"/>
        <w:jc w:val="both"/>
      </w:pPr>
      <w:r>
        <w:rPr/>
        <w:t>En este estudio no experimental, se estudiaron 100 pacientes mexiquenses con caries (50 pacientes con dentición mixta, y 50 con dentición permanente), diagnosticados con el dispositivo de fluorescencia láser DIAGNOdent Pen; de una muestra de saliva se extrajo el mRNA, se realizó transcripción inversa para obtener cDNA y se realizó la técnica de RT-qPCR para conocer la expresión génica de los receptores de las inmunoglobulinas de interés a través del método </w:t>
      </w:r>
      <w:r>
        <w:rPr>
          <w:sz w:val="20"/>
        </w:rPr>
        <w:t>2</w:t>
      </w:r>
      <w:r>
        <w:rPr>
          <w:position w:val="10"/>
          <w:sz w:val="13"/>
        </w:rPr>
        <w:t>-ΔΔCT</w:t>
      </w:r>
      <w:r>
        <w:rPr/>
        <w:t>.</w:t>
      </w:r>
    </w:p>
    <w:p>
      <w:pPr>
        <w:pStyle w:val="Heading2"/>
        <w:spacing w:before="204"/>
      </w:pPr>
      <w:r>
        <w:rPr/>
        <w:t>Resultados</w:t>
      </w:r>
    </w:p>
    <w:p>
      <w:pPr>
        <w:pStyle w:val="BodyText"/>
        <w:spacing w:line="360" w:lineRule="auto" w:before="141"/>
        <w:ind w:left="196" w:right="272"/>
        <w:jc w:val="both"/>
      </w:pPr>
      <w:r>
        <w:rPr/>
        <w:t>Se obtuvieron diferencias de medias de las unidades relativas de expresión génica entre los grupos de estudio (dentición mixta y permanente), de los cuales, Fc</w:t>
      </w:r>
      <w:r>
        <w:rPr>
          <w:rFonts w:ascii="Symbol" w:hAnsi="Symbol"/>
        </w:rPr>
        <w:t></w:t>
      </w:r>
      <w:r>
        <w:rPr/>
        <w:t>RIIB  fue significativa (p=0.025); Fc</w:t>
      </w:r>
      <w:r>
        <w:rPr>
          <w:rFonts w:ascii="Symbol" w:hAnsi="Symbol"/>
        </w:rPr>
        <w:t></w:t>
      </w:r>
      <w:r>
        <w:rPr/>
        <w:t>R y Fc</w:t>
      </w:r>
      <w:r>
        <w:rPr>
          <w:rFonts w:ascii="Symbol" w:hAnsi="Symbol"/>
        </w:rPr>
        <w:t></w:t>
      </w:r>
      <w:r>
        <w:rPr/>
        <w:t>R no presentaron diferencias significativas. Los datos de la regresión lineal múltiple para conocer la asociación entre la caries dental y la expresión génica de Fc</w:t>
      </w:r>
      <w:r>
        <w:rPr>
          <w:rFonts w:ascii="Symbol" w:hAnsi="Symbol"/>
        </w:rPr>
        <w:t></w:t>
      </w:r>
      <w:r>
        <w:rPr/>
        <w:t>R, Fc</w:t>
      </w:r>
      <w:r>
        <w:rPr>
          <w:rFonts w:ascii="Symbol" w:hAnsi="Symbol"/>
        </w:rPr>
        <w:t></w:t>
      </w:r>
      <w:r>
        <w:rPr/>
        <w:t>RIIB y Fc</w:t>
      </w:r>
      <w:r>
        <w:rPr>
          <w:rFonts w:ascii="Symbol" w:hAnsi="Symbol"/>
        </w:rPr>
        <w:t></w:t>
      </w:r>
      <w:r>
        <w:rPr/>
        <w:t>R, muestran que no existió significancia alguna entre dichas variables, tanto en dentición mixta como en </w:t>
      </w:r>
      <w:r>
        <w:rPr>
          <w:spacing w:val="4"/>
        </w:rPr>
        <w:t>la </w:t>
      </w:r>
      <w:r>
        <w:rPr/>
        <w:t>dentición</w:t>
      </w:r>
      <w:r>
        <w:rPr>
          <w:spacing w:val="-9"/>
        </w:rPr>
        <w:t> </w:t>
      </w:r>
      <w:r>
        <w:rPr/>
        <w:t>permanente.</w:t>
      </w:r>
    </w:p>
    <w:p>
      <w:pPr>
        <w:pStyle w:val="Heading2"/>
        <w:spacing w:before="204"/>
      </w:pPr>
      <w:r>
        <w:rPr/>
        <w:t>Conclusiones</w:t>
      </w:r>
    </w:p>
    <w:p>
      <w:pPr>
        <w:pStyle w:val="BodyText"/>
        <w:spacing w:line="360" w:lineRule="auto" w:before="140"/>
        <w:ind w:left="196" w:right="275"/>
        <w:jc w:val="both"/>
      </w:pPr>
      <w:r>
        <w:rPr/>
        <w:t>Se comprobó la existencia de la expresión génica de Fc</w:t>
      </w:r>
      <w:r>
        <w:rPr>
          <w:rFonts w:ascii="Symbol" w:hAnsi="Symbol"/>
        </w:rPr>
        <w:t></w:t>
      </w:r>
      <w:r>
        <w:rPr/>
        <w:t>R, Fc</w:t>
      </w:r>
      <w:r>
        <w:rPr>
          <w:rFonts w:ascii="Symbol" w:hAnsi="Symbol"/>
        </w:rPr>
        <w:t></w:t>
      </w:r>
      <w:r>
        <w:rPr/>
        <w:t>RIIB y Fc</w:t>
      </w:r>
      <w:r>
        <w:rPr>
          <w:rFonts w:ascii="Symbol" w:hAnsi="Symbol"/>
        </w:rPr>
        <w:t></w:t>
      </w:r>
      <w:r>
        <w:rPr/>
        <w:t>R en la saliva, encontrando una diferencia significativa en la expresión de Fc</w:t>
      </w:r>
      <w:r>
        <w:rPr>
          <w:rFonts w:ascii="Symbol" w:hAnsi="Symbol"/>
        </w:rPr>
        <w:t></w:t>
      </w:r>
      <w:r>
        <w:rPr/>
        <w:t>RIIB entre la dentición mixta y la dentición permanente; es posible que los receptores Fc sirvan</w:t>
      </w:r>
    </w:p>
    <w:p>
      <w:pPr>
        <w:spacing w:after="0" w:line="360" w:lineRule="auto"/>
        <w:jc w:val="both"/>
        <w:sectPr>
          <w:pgSz w:w="12240" w:h="15840"/>
          <w:pgMar w:header="726" w:footer="1031" w:top="1340" w:bottom="1220" w:left="1220" w:right="1420"/>
        </w:sectPr>
      </w:pPr>
    </w:p>
    <w:p>
      <w:pPr>
        <w:pStyle w:val="BodyText"/>
        <w:spacing w:before="3"/>
        <w:rPr>
          <w:sz w:val="23"/>
        </w:rPr>
      </w:pPr>
    </w:p>
    <w:p>
      <w:pPr>
        <w:pStyle w:val="BodyText"/>
        <w:spacing w:line="364" w:lineRule="auto" w:before="69"/>
        <w:ind w:left="196" w:right="538"/>
      </w:pPr>
      <w:r>
        <w:rPr/>
        <w:t>como biomarcadores de condiciones orales mediante el estudio de su expresión génica.</w:t>
      </w:r>
    </w:p>
    <w:p>
      <w:pPr>
        <w:spacing w:after="0" w:line="364" w:lineRule="auto"/>
        <w:sectPr>
          <w:pgSz w:w="12240" w:h="15840"/>
          <w:pgMar w:header="726" w:footer="1031" w:top="1340" w:bottom="1220" w:left="1220" w:right="1420"/>
        </w:sectPr>
      </w:pPr>
    </w:p>
    <w:p>
      <w:pPr>
        <w:pStyle w:val="BodyText"/>
        <w:spacing w:before="9"/>
        <w:rPr>
          <w:sz w:val="22"/>
        </w:rPr>
      </w:pPr>
    </w:p>
    <w:p>
      <w:pPr>
        <w:pStyle w:val="Heading2"/>
      </w:pPr>
      <w:r>
        <w:rPr/>
        <w:t>Introduction</w:t>
      </w:r>
    </w:p>
    <w:p>
      <w:pPr>
        <w:pStyle w:val="BodyText"/>
        <w:spacing w:line="357" w:lineRule="auto" w:before="147"/>
        <w:ind w:left="196" w:right="272"/>
        <w:jc w:val="both"/>
      </w:pPr>
      <w:r>
        <w:rPr/>
        <w:t>Tooth decay is the most prevalent oral health problem in the world, affecting 95 to 99% of the population. It is a multifactorial disease, where the immune component has not been studied in different types of dentition, especially gene expression of immunoglobulins receptors in saliva, such as Fc</w:t>
      </w:r>
      <w:r>
        <w:rPr>
          <w:rFonts w:ascii="Symbol" w:hAnsi="Symbol"/>
        </w:rPr>
        <w:t></w:t>
      </w:r>
      <w:r>
        <w:rPr/>
        <w:t>R (IgA), Fc</w:t>
      </w:r>
      <w:r>
        <w:rPr>
          <w:rFonts w:ascii="Symbol" w:hAnsi="Symbol"/>
        </w:rPr>
        <w:t></w:t>
      </w:r>
      <w:r>
        <w:rPr/>
        <w:t>RIIB (IgG) and Fc</w:t>
      </w:r>
      <w:r>
        <w:rPr>
          <w:rFonts w:ascii="Symbol" w:hAnsi="Symbol"/>
        </w:rPr>
        <w:t></w:t>
      </w:r>
      <w:r>
        <w:rPr/>
        <w:t>R (IgM).</w:t>
      </w:r>
    </w:p>
    <w:p>
      <w:pPr>
        <w:pStyle w:val="Heading2"/>
        <w:spacing w:before="207"/>
      </w:pPr>
      <w:r>
        <w:rPr/>
        <w:t>Objective</w:t>
      </w:r>
    </w:p>
    <w:p>
      <w:pPr>
        <w:pStyle w:val="BodyText"/>
        <w:spacing w:line="360" w:lineRule="auto" w:before="140"/>
        <w:ind w:left="196" w:right="275"/>
        <w:jc w:val="both"/>
      </w:pPr>
      <w:r>
        <w:rPr/>
        <w:t>Analyse the gene expression of the immunoglobulin receptors Fc</w:t>
      </w:r>
      <w:r>
        <w:rPr>
          <w:rFonts w:ascii="Symbol" w:hAnsi="Symbol"/>
        </w:rPr>
        <w:t></w:t>
      </w:r>
      <w:r>
        <w:rPr/>
        <w:t>R, Fc</w:t>
      </w:r>
      <w:r>
        <w:rPr>
          <w:rFonts w:ascii="Symbol" w:hAnsi="Symbol"/>
        </w:rPr>
        <w:t></w:t>
      </w:r>
      <w:r>
        <w:rPr/>
        <w:t>RIIB, and Fc</w:t>
      </w:r>
      <w:r>
        <w:rPr>
          <w:rFonts w:ascii="Symbol" w:hAnsi="Symbol"/>
        </w:rPr>
        <w:t></w:t>
      </w:r>
      <w:r>
        <w:rPr/>
        <w:t>R in saliva of Mexican patients with mixed and permanent dentition with tooth decay.</w:t>
      </w:r>
    </w:p>
    <w:p>
      <w:pPr>
        <w:pStyle w:val="Heading2"/>
        <w:spacing w:before="204"/>
      </w:pPr>
      <w:r>
        <w:rPr/>
        <w:t>Methodology</w:t>
      </w:r>
    </w:p>
    <w:p>
      <w:pPr>
        <w:pStyle w:val="BodyText"/>
        <w:spacing w:line="360" w:lineRule="auto" w:before="142"/>
        <w:ind w:left="196" w:right="279"/>
        <w:jc w:val="both"/>
      </w:pPr>
      <w:r>
        <w:rPr/>
        <w:t>In this non-experimental study, 100 patients whit tooth decay (50 with mixed dentition and 50 with permanent dentition), diagnosed with the laser fluorescence device DIAGNOdent   Pen.   From   a   sample   of   saliva   was   obtained   mRNA,   reverse</w:t>
      </w:r>
    </w:p>
    <w:p>
      <w:pPr>
        <w:pStyle w:val="BodyText"/>
        <w:spacing w:line="324" w:lineRule="auto" w:before="2"/>
        <w:ind w:left="196" w:right="279"/>
        <w:jc w:val="both"/>
      </w:pPr>
      <w:r>
        <w:rPr/>
        <w:t>transcription was used to obtain cDNA and RT-qPCR was realized to observe the gene expression of the immunoglobulin receptors of interest by method 2 </w:t>
      </w:r>
      <w:r>
        <w:rPr>
          <w:position w:val="11"/>
          <w:sz w:val="16"/>
        </w:rPr>
        <w:t>-ΔΔCT</w:t>
      </w:r>
      <w:r>
        <w:rPr/>
        <w:t>.</w:t>
      </w:r>
    </w:p>
    <w:p>
      <w:pPr>
        <w:pStyle w:val="Heading2"/>
        <w:spacing w:before="231"/>
      </w:pPr>
      <w:r>
        <w:rPr/>
        <w:t>Results</w:t>
      </w:r>
    </w:p>
    <w:p>
      <w:pPr>
        <w:pStyle w:val="BodyText"/>
        <w:spacing w:line="360" w:lineRule="auto" w:before="141"/>
        <w:ind w:left="196" w:right="275"/>
        <w:jc w:val="both"/>
      </w:pPr>
      <w:r>
        <w:rPr/>
        <w:t>Mean differences of relative units of gene expression between the study groups (mixed and permanent dentition) were obtained, of which Fc</w:t>
      </w:r>
      <w:r>
        <w:rPr>
          <w:rFonts w:ascii="Symbol" w:hAnsi="Symbol"/>
        </w:rPr>
        <w:t></w:t>
      </w:r>
      <w:r>
        <w:rPr/>
        <w:t>RIIB was significant (p = 0.025); Fc</w:t>
      </w:r>
      <w:r>
        <w:rPr>
          <w:rFonts w:ascii="Symbol" w:hAnsi="Symbol"/>
        </w:rPr>
        <w:t></w:t>
      </w:r>
      <w:r>
        <w:rPr/>
        <w:t>R Fc</w:t>
      </w:r>
      <w:r>
        <w:rPr>
          <w:rFonts w:ascii="Symbol" w:hAnsi="Symbol"/>
        </w:rPr>
        <w:t></w:t>
      </w:r>
      <w:r>
        <w:rPr/>
        <w:t>R and no significant differences. Data from the multiple linear regression to determine the association between tooth decay and gene expression Fc</w:t>
      </w:r>
      <w:r>
        <w:rPr>
          <w:rFonts w:ascii="Symbol" w:hAnsi="Symbol"/>
        </w:rPr>
        <w:t></w:t>
      </w:r>
      <w:r>
        <w:rPr/>
        <w:t>R, Fc</w:t>
      </w:r>
      <w:r>
        <w:rPr>
          <w:rFonts w:ascii="Symbol" w:hAnsi="Symbol"/>
        </w:rPr>
        <w:t></w:t>
      </w:r>
      <w:r>
        <w:rPr/>
        <w:t>RIIB, and Fc</w:t>
      </w:r>
      <w:r>
        <w:rPr>
          <w:rFonts w:ascii="Symbol" w:hAnsi="Symbol"/>
        </w:rPr>
        <w:t></w:t>
      </w:r>
      <w:r>
        <w:rPr/>
        <w:t>R, show that there was any significance between these variables, in mixed dentition and permanent dentition.</w:t>
      </w:r>
    </w:p>
    <w:p>
      <w:pPr>
        <w:pStyle w:val="Heading2"/>
        <w:spacing w:before="194"/>
      </w:pPr>
      <w:r>
        <w:rPr/>
        <w:t>Conclusions</w:t>
      </w:r>
    </w:p>
    <w:p>
      <w:pPr>
        <w:pStyle w:val="BodyText"/>
        <w:spacing w:before="1"/>
        <w:rPr>
          <w:b/>
          <w:sz w:val="30"/>
        </w:rPr>
      </w:pPr>
    </w:p>
    <w:p>
      <w:pPr>
        <w:pStyle w:val="BodyText"/>
        <w:spacing w:line="360" w:lineRule="auto" w:before="1"/>
        <w:ind w:left="196" w:right="276"/>
        <w:jc w:val="both"/>
      </w:pPr>
      <w:r>
        <w:rPr/>
        <w:t>The presence of gene expression of Fc</w:t>
      </w:r>
      <w:r>
        <w:rPr>
          <w:rFonts w:ascii="Symbol" w:hAnsi="Symbol"/>
        </w:rPr>
        <w:t></w:t>
      </w:r>
      <w:r>
        <w:rPr/>
        <w:t>R, Fc</w:t>
      </w:r>
      <w:r>
        <w:rPr>
          <w:rFonts w:ascii="Symbol" w:hAnsi="Symbol"/>
        </w:rPr>
        <w:t></w:t>
      </w:r>
      <w:r>
        <w:rPr/>
        <w:t>RIIB, and Fc</w:t>
      </w:r>
      <w:r>
        <w:rPr>
          <w:rFonts w:ascii="Symbol" w:hAnsi="Symbol"/>
        </w:rPr>
        <w:t></w:t>
      </w:r>
      <w:r>
        <w:rPr/>
        <w:t>R was proved in saliva, found a significant difference in Fc</w:t>
      </w:r>
      <w:r>
        <w:rPr>
          <w:rFonts w:ascii="Symbol" w:hAnsi="Symbol"/>
        </w:rPr>
        <w:t></w:t>
      </w:r>
      <w:r>
        <w:rPr/>
        <w:t>RIIB expression between mixed dentition and permanent dentition; probably, the Fc receptors serve as biomarkers of oral  conditions by means of the study of his gene</w:t>
      </w:r>
      <w:r>
        <w:rPr>
          <w:spacing w:val="-13"/>
        </w:rPr>
        <w:t> </w:t>
      </w:r>
      <w:r>
        <w:rPr/>
        <w:t>expression.</w:t>
      </w:r>
    </w:p>
    <w:p>
      <w:pPr>
        <w:spacing w:after="0" w:line="360" w:lineRule="auto"/>
        <w:jc w:val="both"/>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34"/>
        </w:numPr>
        <w:tabs>
          <w:tab w:pos="3602" w:val="left" w:leader="none"/>
        </w:tabs>
        <w:spacing w:line="240" w:lineRule="auto" w:before="168" w:after="0"/>
        <w:ind w:left="3601" w:right="0" w:hanging="1081"/>
        <w:jc w:val="left"/>
      </w:pPr>
      <w:bookmarkStart w:name="_TOC_250007" w:id="59"/>
      <w:bookmarkEnd w:id="59"/>
      <w:r>
        <w:rPr/>
        <w:t>BIBLIOGRAFÍA</w:t>
      </w:r>
    </w:p>
    <w:p>
      <w:pPr>
        <w:spacing w:after="0" w:line="240" w:lineRule="auto"/>
        <w:jc w:val="left"/>
        <w:sectPr>
          <w:pgSz w:w="12240" w:h="15840"/>
          <w:pgMar w:header="726" w:footer="1031" w:top="1340" w:bottom="1220" w:left="1220" w:right="1420"/>
        </w:sectPr>
      </w:pPr>
    </w:p>
    <w:p>
      <w:pPr>
        <w:pStyle w:val="BodyText"/>
        <w:spacing w:before="3"/>
        <w:rPr>
          <w:b/>
          <w:sz w:val="23"/>
        </w:rPr>
      </w:pPr>
    </w:p>
    <w:p>
      <w:pPr>
        <w:pStyle w:val="ListParagraph"/>
        <w:numPr>
          <w:ilvl w:val="0"/>
          <w:numId w:val="41"/>
        </w:numPr>
        <w:tabs>
          <w:tab w:pos="917" w:val="left" w:leader="none"/>
        </w:tabs>
        <w:spacing w:line="364" w:lineRule="auto" w:before="69" w:after="0"/>
        <w:ind w:left="917" w:right="286" w:hanging="361"/>
        <w:jc w:val="both"/>
        <w:rPr>
          <w:sz w:val="24"/>
        </w:rPr>
      </w:pPr>
      <w:r>
        <w:rPr>
          <w:sz w:val="24"/>
        </w:rPr>
        <w:t>Henostroza HG. Caries dental, principios y procedimientos para el diagnóstico. Lima, Perú: Ed. Ripano; 2007. p. 17, 20, 21, 23,</w:t>
      </w:r>
      <w:r>
        <w:rPr>
          <w:spacing w:val="-23"/>
          <w:sz w:val="24"/>
        </w:rPr>
        <w:t> </w:t>
      </w:r>
      <w:r>
        <w:rPr>
          <w:sz w:val="24"/>
        </w:rPr>
        <w:t>27-32.</w:t>
      </w:r>
    </w:p>
    <w:p>
      <w:pPr>
        <w:pStyle w:val="ListParagraph"/>
        <w:numPr>
          <w:ilvl w:val="0"/>
          <w:numId w:val="41"/>
        </w:numPr>
        <w:tabs>
          <w:tab w:pos="917" w:val="left" w:leader="none"/>
        </w:tabs>
        <w:spacing w:line="360" w:lineRule="auto" w:before="0" w:after="0"/>
        <w:ind w:left="917" w:right="277" w:hanging="361"/>
        <w:jc w:val="both"/>
        <w:rPr>
          <w:sz w:val="24"/>
        </w:rPr>
      </w:pPr>
      <w:r>
        <w:rPr>
          <w:sz w:val="24"/>
        </w:rPr>
        <w:t>Higashida B. Odontología preventiva. 2ª ed. México: Ed. McGraw-Hill Interamericana; 2009. p. 64, 117, 120,</w:t>
      </w:r>
      <w:r>
        <w:rPr>
          <w:spacing w:val="-18"/>
          <w:sz w:val="24"/>
        </w:rPr>
        <w:t> </w:t>
      </w:r>
      <w:r>
        <w:rPr>
          <w:sz w:val="24"/>
        </w:rPr>
        <w:t>121.</w:t>
      </w:r>
    </w:p>
    <w:p>
      <w:pPr>
        <w:pStyle w:val="ListParagraph"/>
        <w:numPr>
          <w:ilvl w:val="0"/>
          <w:numId w:val="41"/>
        </w:numPr>
        <w:tabs>
          <w:tab w:pos="917" w:val="left" w:leader="none"/>
        </w:tabs>
        <w:spacing w:line="360" w:lineRule="auto" w:before="2" w:after="0"/>
        <w:ind w:left="917" w:right="286" w:hanging="361"/>
        <w:jc w:val="left"/>
        <w:rPr>
          <w:sz w:val="24"/>
        </w:rPr>
      </w:pPr>
      <w:r>
        <w:rPr>
          <w:sz w:val="24"/>
        </w:rPr>
        <w:t>Duque de Estrada RJ, Rodríguez CA, Coutin MG, Riveron HF. Factores de riesgo asociados con la enfermedad caries dental en niños. Rev Cubana Estomatol [en línea] 2003 [Acceso el 03 de julio de 2014]; 40 (2): [aprox.13 p.]. Disponible en: </w:t>
      </w:r>
      <w:hyperlink r:id="rId83">
        <w:r>
          <w:rPr>
            <w:sz w:val="24"/>
          </w:rPr>
          <w:t>http://scielo.sld.cu/scielo.php?script=sci_arttext&amp;pid=S0034750720030002000</w:t>
        </w:r>
      </w:hyperlink>
      <w:r>
        <w:rPr>
          <w:sz w:val="24"/>
        </w:rPr>
        <w:t> 01&amp;lng=es</w:t>
      </w:r>
    </w:p>
    <w:p>
      <w:pPr>
        <w:pStyle w:val="ListParagraph"/>
        <w:numPr>
          <w:ilvl w:val="0"/>
          <w:numId w:val="41"/>
        </w:numPr>
        <w:tabs>
          <w:tab w:pos="917" w:val="left" w:leader="none"/>
        </w:tabs>
        <w:spacing w:line="360" w:lineRule="auto" w:before="2" w:after="0"/>
        <w:ind w:left="917" w:right="278" w:hanging="361"/>
        <w:jc w:val="both"/>
        <w:rPr>
          <w:sz w:val="24"/>
        </w:rPr>
      </w:pPr>
      <w:r>
        <w:rPr>
          <w:sz w:val="24"/>
        </w:rPr>
        <w:t>Oropeza OA, Molina FN, Castañeda CE, Zaragoza RY, Cruz LD. Caries dental en primeros molares permanentes de escolares de la delegación Tláhuac. Rev ADM 2012; 69 (2):</w:t>
      </w:r>
      <w:r>
        <w:rPr>
          <w:spacing w:val="-8"/>
          <w:sz w:val="24"/>
        </w:rPr>
        <w:t> </w:t>
      </w:r>
      <w:r>
        <w:rPr>
          <w:sz w:val="24"/>
        </w:rPr>
        <w:t>63-68.</w:t>
      </w:r>
    </w:p>
    <w:p>
      <w:pPr>
        <w:pStyle w:val="ListParagraph"/>
        <w:numPr>
          <w:ilvl w:val="0"/>
          <w:numId w:val="41"/>
        </w:numPr>
        <w:tabs>
          <w:tab w:pos="917" w:val="left" w:leader="none"/>
        </w:tabs>
        <w:spacing w:line="360" w:lineRule="auto" w:before="7" w:after="0"/>
        <w:ind w:left="917" w:right="278" w:hanging="361"/>
        <w:jc w:val="both"/>
        <w:rPr>
          <w:sz w:val="24"/>
        </w:rPr>
      </w:pPr>
      <w:r>
        <w:rPr>
          <w:sz w:val="24"/>
        </w:rPr>
        <w:t>García CJ, Medina SC, Loyola RJ, Mejía CJ, Medina CE, Pontigo LA. Dental caries experience, prevalence and severity in Mexican adolescents and young adults. Rev Salud Publica (Bogotá) 2009; 11 (1):</w:t>
      </w:r>
      <w:r>
        <w:rPr>
          <w:spacing w:val="-19"/>
          <w:sz w:val="24"/>
        </w:rPr>
        <w:t> </w:t>
      </w:r>
      <w:r>
        <w:rPr>
          <w:sz w:val="24"/>
        </w:rPr>
        <w:t>82-91.</w:t>
      </w:r>
    </w:p>
    <w:p>
      <w:pPr>
        <w:pStyle w:val="ListParagraph"/>
        <w:numPr>
          <w:ilvl w:val="0"/>
          <w:numId w:val="41"/>
        </w:numPr>
        <w:tabs>
          <w:tab w:pos="917" w:val="left" w:leader="none"/>
        </w:tabs>
        <w:spacing w:line="360" w:lineRule="auto" w:before="3" w:after="0"/>
        <w:ind w:left="917" w:right="282" w:hanging="361"/>
        <w:jc w:val="both"/>
        <w:rPr>
          <w:sz w:val="24"/>
        </w:rPr>
      </w:pPr>
      <w:r>
        <w:rPr>
          <w:sz w:val="24"/>
        </w:rPr>
        <w:t>Segovia-Villanueva A, Estrella-Rodríguez R, Medina-Solís CE, Maupomé G. Dental caries experience and factors among preschoolers in Southeastern Mexico: A brief communication. J Public Health Dent 2006; 66:</w:t>
      </w:r>
      <w:r>
        <w:rPr>
          <w:spacing w:val="-22"/>
          <w:sz w:val="24"/>
        </w:rPr>
        <w:t> </w:t>
      </w:r>
      <w:r>
        <w:rPr>
          <w:sz w:val="24"/>
        </w:rPr>
        <w:t>88-91.</w:t>
      </w:r>
    </w:p>
    <w:p>
      <w:pPr>
        <w:pStyle w:val="ListParagraph"/>
        <w:numPr>
          <w:ilvl w:val="0"/>
          <w:numId w:val="41"/>
        </w:numPr>
        <w:tabs>
          <w:tab w:pos="917" w:val="left" w:leader="none"/>
        </w:tabs>
        <w:spacing w:line="360" w:lineRule="auto" w:before="2" w:after="0"/>
        <w:ind w:left="917" w:right="279" w:hanging="361"/>
        <w:jc w:val="both"/>
        <w:rPr>
          <w:sz w:val="24"/>
        </w:rPr>
      </w:pPr>
      <w:r>
        <w:rPr>
          <w:sz w:val="24"/>
        </w:rPr>
        <w:t>Vallejos-Sánchez AA, Medina-Solís CE, Casanova-Rosado JF, Maupomé G, Casanova-Rosado AJ, Minaya-Sanchéz M. Defectos del esmalte, caries en dentición primaria, fuentes de fluoruro y su relación con caries en dientes permanentes. Gac Sanit 2007; 21:</w:t>
      </w:r>
      <w:r>
        <w:rPr>
          <w:spacing w:val="-12"/>
          <w:sz w:val="24"/>
        </w:rPr>
        <w:t> </w:t>
      </w:r>
      <w:r>
        <w:rPr>
          <w:sz w:val="24"/>
        </w:rPr>
        <w:t>227-234.</w:t>
      </w:r>
    </w:p>
    <w:p>
      <w:pPr>
        <w:pStyle w:val="ListParagraph"/>
        <w:numPr>
          <w:ilvl w:val="0"/>
          <w:numId w:val="41"/>
        </w:numPr>
        <w:tabs>
          <w:tab w:pos="917" w:val="left" w:leader="none"/>
        </w:tabs>
        <w:spacing w:line="360" w:lineRule="auto" w:before="3" w:after="0"/>
        <w:ind w:left="917" w:right="275" w:hanging="361"/>
        <w:jc w:val="both"/>
        <w:rPr>
          <w:sz w:val="24"/>
        </w:rPr>
      </w:pPr>
      <w:r>
        <w:rPr>
          <w:sz w:val="24"/>
        </w:rPr>
        <w:t>Casanova-Rosado AJ, Medina-Solís CE, Casanova-Rosado JF, Vallejos- Sánchez AA, Maupomé G, Avila-Burgos L. Dental caries and associated factor in Mexican schoolchildren aged 6-13 years. Acta Odontol Scand 2005; 63: 245-251.</w:t>
      </w:r>
    </w:p>
    <w:p>
      <w:pPr>
        <w:pStyle w:val="ListParagraph"/>
        <w:numPr>
          <w:ilvl w:val="0"/>
          <w:numId w:val="41"/>
        </w:numPr>
        <w:tabs>
          <w:tab w:pos="917" w:val="left" w:leader="none"/>
        </w:tabs>
        <w:spacing w:line="360" w:lineRule="auto" w:before="3" w:after="0"/>
        <w:ind w:left="917" w:right="277" w:hanging="361"/>
        <w:jc w:val="both"/>
        <w:rPr>
          <w:sz w:val="24"/>
        </w:rPr>
      </w:pPr>
      <w:r>
        <w:rPr>
          <w:sz w:val="24"/>
        </w:rPr>
        <w:t>Kruger E, Thomson </w:t>
      </w:r>
      <w:r>
        <w:rPr>
          <w:spacing w:val="3"/>
          <w:sz w:val="24"/>
        </w:rPr>
        <w:t>WM, </w:t>
      </w:r>
      <w:r>
        <w:rPr>
          <w:sz w:val="24"/>
        </w:rPr>
        <w:t>Poulton R, Davies S, Brown RH, Silva PA. Dental caries and changes in dental anxiety in late adolescence. Community Dent Oral Epidemiol 1998; 26:</w:t>
      </w:r>
      <w:r>
        <w:rPr>
          <w:spacing w:val="-12"/>
          <w:sz w:val="24"/>
        </w:rPr>
        <w:t> </w:t>
      </w:r>
      <w:r>
        <w:rPr>
          <w:sz w:val="24"/>
        </w:rPr>
        <w:t>355-359.</w:t>
      </w:r>
    </w:p>
    <w:p>
      <w:pPr>
        <w:spacing w:after="0" w:line="360" w:lineRule="auto"/>
        <w:jc w:val="both"/>
        <w:rPr>
          <w:sz w:val="24"/>
        </w:rPr>
        <w:sectPr>
          <w:pgSz w:w="12240" w:h="15840"/>
          <w:pgMar w:header="726" w:footer="1031" w:top="1340" w:bottom="1220" w:left="1220" w:right="1420"/>
        </w:sectPr>
      </w:pPr>
    </w:p>
    <w:p>
      <w:pPr>
        <w:pStyle w:val="BodyText"/>
        <w:spacing w:before="3"/>
        <w:rPr>
          <w:sz w:val="23"/>
        </w:rPr>
      </w:pPr>
    </w:p>
    <w:p>
      <w:pPr>
        <w:pStyle w:val="ListParagraph"/>
        <w:numPr>
          <w:ilvl w:val="0"/>
          <w:numId w:val="41"/>
        </w:numPr>
        <w:tabs>
          <w:tab w:pos="917" w:val="left" w:leader="none"/>
        </w:tabs>
        <w:spacing w:line="362" w:lineRule="auto" w:before="69" w:after="0"/>
        <w:ind w:left="917" w:right="287" w:hanging="361"/>
        <w:jc w:val="both"/>
        <w:rPr>
          <w:sz w:val="24"/>
        </w:rPr>
      </w:pPr>
      <w:r>
        <w:rPr>
          <w:sz w:val="24"/>
        </w:rPr>
        <w:t>Petti S, Tarsitani G, Panfili P, Simonetti D'Arca A. Oral hygiene, sucrose consumption and dental caries prevalence in adolescent systemic fluoride nonusers. Community Dent Oral Epidemiol 1997; 25:</w:t>
      </w:r>
      <w:r>
        <w:rPr>
          <w:spacing w:val="-15"/>
          <w:sz w:val="24"/>
        </w:rPr>
        <w:t> </w:t>
      </w:r>
      <w:r>
        <w:rPr>
          <w:sz w:val="24"/>
        </w:rPr>
        <w:t>334-336.</w:t>
      </w:r>
    </w:p>
    <w:p>
      <w:pPr>
        <w:pStyle w:val="ListParagraph"/>
        <w:numPr>
          <w:ilvl w:val="0"/>
          <w:numId w:val="41"/>
        </w:numPr>
        <w:tabs>
          <w:tab w:pos="917" w:val="left" w:leader="none"/>
        </w:tabs>
        <w:spacing w:line="360" w:lineRule="auto" w:before="0" w:after="0"/>
        <w:ind w:left="917" w:right="274" w:hanging="361"/>
        <w:jc w:val="both"/>
        <w:rPr>
          <w:sz w:val="24"/>
        </w:rPr>
      </w:pPr>
      <w:r>
        <w:rPr>
          <w:sz w:val="24"/>
        </w:rPr>
        <w:t>Pontigo-Loyola AP, Medina-Solis CE, Borges-Yáñez SA, Patiño-Marín N, Islas-Márquez A, Maupomé G. Prevalence and severity of dental caries in adolescents ages 12 and 15 living in communities with various fluoride concentrations. J Public Health Dent 2007; </w:t>
      </w:r>
      <w:r>
        <w:rPr>
          <w:spacing w:val="-3"/>
          <w:sz w:val="24"/>
        </w:rPr>
        <w:t>67:</w:t>
      </w:r>
      <w:r>
        <w:rPr>
          <w:spacing w:val="-4"/>
          <w:sz w:val="24"/>
        </w:rPr>
        <w:t> </w:t>
      </w:r>
      <w:r>
        <w:rPr>
          <w:sz w:val="24"/>
        </w:rPr>
        <w:t>8-13.</w:t>
      </w:r>
    </w:p>
    <w:p>
      <w:pPr>
        <w:pStyle w:val="ListParagraph"/>
        <w:numPr>
          <w:ilvl w:val="0"/>
          <w:numId w:val="41"/>
        </w:numPr>
        <w:tabs>
          <w:tab w:pos="917" w:val="left" w:leader="none"/>
        </w:tabs>
        <w:spacing w:line="362" w:lineRule="auto" w:before="2" w:after="0"/>
        <w:ind w:left="917" w:right="279" w:hanging="361"/>
        <w:jc w:val="both"/>
        <w:rPr>
          <w:sz w:val="24"/>
        </w:rPr>
      </w:pPr>
      <w:r>
        <w:rPr>
          <w:sz w:val="24"/>
        </w:rPr>
        <w:t>Guerrero RV, Godínez </w:t>
      </w:r>
      <w:r>
        <w:rPr>
          <w:spacing w:val="-2"/>
          <w:sz w:val="24"/>
        </w:rPr>
        <w:t>MA, </w:t>
      </w:r>
      <w:r>
        <w:rPr>
          <w:sz w:val="24"/>
        </w:rPr>
        <w:t>Melchor SC, Rodríguez GM, Luengas QE. Epidemiología de caries dental y factores de riesgo asociados a la dentición primaria en preescolares. Rev ADM 2009; 65 (3):</w:t>
      </w:r>
      <w:r>
        <w:rPr>
          <w:spacing w:val="-13"/>
          <w:sz w:val="24"/>
        </w:rPr>
        <w:t> </w:t>
      </w:r>
      <w:r>
        <w:rPr>
          <w:sz w:val="24"/>
        </w:rPr>
        <w:t>10-20.</w:t>
      </w:r>
    </w:p>
    <w:p>
      <w:pPr>
        <w:pStyle w:val="ListParagraph"/>
        <w:numPr>
          <w:ilvl w:val="0"/>
          <w:numId w:val="41"/>
        </w:numPr>
        <w:tabs>
          <w:tab w:pos="917" w:val="left" w:leader="none"/>
        </w:tabs>
        <w:spacing w:line="240" w:lineRule="auto" w:before="0" w:after="0"/>
        <w:ind w:left="917" w:right="0" w:hanging="361"/>
        <w:jc w:val="left"/>
        <w:rPr>
          <w:sz w:val="24"/>
        </w:rPr>
      </w:pPr>
      <w:r>
        <w:rPr>
          <w:sz w:val="24"/>
        </w:rPr>
        <w:t>Pérez-Domínguez J, González-García A, Niebla-Fuentes M, </w:t>
      </w:r>
      <w:r>
        <w:rPr>
          <w:spacing w:val="24"/>
          <w:sz w:val="24"/>
        </w:rPr>
        <w:t> </w:t>
      </w:r>
      <w:r>
        <w:rPr>
          <w:sz w:val="24"/>
        </w:rPr>
        <w:t>Ascencio-Montiel</w:t>
      </w:r>
    </w:p>
    <w:p>
      <w:pPr>
        <w:pStyle w:val="ListParagraph"/>
        <w:numPr>
          <w:ilvl w:val="1"/>
          <w:numId w:val="41"/>
        </w:numPr>
        <w:tabs>
          <w:tab w:pos="1123" w:val="left" w:leader="none"/>
        </w:tabs>
        <w:spacing w:line="360" w:lineRule="auto" w:before="137" w:after="0"/>
        <w:ind w:left="917" w:right="292" w:firstLine="0"/>
        <w:jc w:val="left"/>
        <w:rPr>
          <w:sz w:val="24"/>
        </w:rPr>
      </w:pPr>
      <w:r>
        <w:rPr>
          <w:sz w:val="24"/>
        </w:rPr>
        <w:t>Encuesta de prevalencia de caries dental en niños y adolescentes. Rev Med Inst Mex Seguro Soc 2010; 48 (1):</w:t>
      </w:r>
      <w:r>
        <w:rPr>
          <w:spacing w:val="-16"/>
          <w:sz w:val="24"/>
        </w:rPr>
        <w:t> </w:t>
      </w:r>
      <w:r>
        <w:rPr>
          <w:sz w:val="24"/>
        </w:rPr>
        <w:t>17-23.</w:t>
      </w:r>
    </w:p>
    <w:p>
      <w:pPr>
        <w:pStyle w:val="ListParagraph"/>
        <w:numPr>
          <w:ilvl w:val="0"/>
          <w:numId w:val="41"/>
        </w:numPr>
        <w:tabs>
          <w:tab w:pos="917" w:val="left" w:leader="none"/>
        </w:tabs>
        <w:spacing w:line="360" w:lineRule="auto" w:before="7" w:after="0"/>
        <w:ind w:left="917" w:right="283" w:hanging="361"/>
        <w:jc w:val="both"/>
        <w:rPr>
          <w:sz w:val="24"/>
        </w:rPr>
      </w:pPr>
      <w:r>
        <w:rPr>
          <w:sz w:val="24"/>
        </w:rPr>
        <w:t>Martínez PK, Monjarás AA, Patiño MN, Loyola RJ, Mandeville PB, Medina SC, </w:t>
      </w:r>
      <w:r>
        <w:rPr>
          <w:i/>
          <w:sz w:val="24"/>
        </w:rPr>
        <w:t>et al</w:t>
      </w:r>
      <w:r>
        <w:rPr>
          <w:sz w:val="24"/>
        </w:rPr>
        <w:t>. Estudio epidemiológico sobre caries dental y necesidades de tratamiento en escolares de 6 a 12 años de edad de San Luis Potosí. Rev Invest Clin 2010; 62 (3):</w:t>
      </w:r>
      <w:r>
        <w:rPr>
          <w:spacing w:val="-8"/>
          <w:sz w:val="24"/>
        </w:rPr>
        <w:t> </w:t>
      </w:r>
      <w:r>
        <w:rPr>
          <w:sz w:val="24"/>
        </w:rPr>
        <w:t>206-213.</w:t>
      </w:r>
    </w:p>
    <w:p>
      <w:pPr>
        <w:pStyle w:val="ListParagraph"/>
        <w:numPr>
          <w:ilvl w:val="0"/>
          <w:numId w:val="41"/>
        </w:numPr>
        <w:tabs>
          <w:tab w:pos="917" w:val="left" w:leader="none"/>
        </w:tabs>
        <w:spacing w:line="360" w:lineRule="auto" w:before="7" w:after="0"/>
        <w:ind w:left="917" w:right="273" w:hanging="361"/>
        <w:jc w:val="both"/>
        <w:rPr>
          <w:sz w:val="24"/>
        </w:rPr>
      </w:pPr>
      <w:r>
        <w:rPr>
          <w:sz w:val="24"/>
        </w:rPr>
        <w:t>Salazar LA, Vásquez C, Almuna A, Oporto G, Santana R, Herrera CL, </w:t>
      </w:r>
      <w:r>
        <w:rPr>
          <w:i/>
          <w:sz w:val="24"/>
        </w:rPr>
        <w:t>et al</w:t>
      </w:r>
      <w:r>
        <w:rPr>
          <w:sz w:val="24"/>
        </w:rPr>
        <w:t>. Detección molecular de estreptococos cariogénicos en saliva. Int J Morphol 2008; 26 (4):</w:t>
      </w:r>
      <w:r>
        <w:rPr>
          <w:spacing w:val="-9"/>
          <w:sz w:val="24"/>
        </w:rPr>
        <w:t> </w:t>
      </w:r>
      <w:r>
        <w:rPr>
          <w:sz w:val="24"/>
        </w:rPr>
        <w:t>951-958.</w:t>
      </w:r>
    </w:p>
    <w:p>
      <w:pPr>
        <w:pStyle w:val="ListParagraph"/>
        <w:numPr>
          <w:ilvl w:val="0"/>
          <w:numId w:val="41"/>
        </w:numPr>
        <w:tabs>
          <w:tab w:pos="917" w:val="left" w:leader="none"/>
        </w:tabs>
        <w:spacing w:line="360" w:lineRule="auto" w:before="3" w:after="0"/>
        <w:ind w:left="917" w:right="286" w:hanging="361"/>
        <w:jc w:val="both"/>
        <w:rPr>
          <w:sz w:val="24"/>
        </w:rPr>
      </w:pPr>
      <w:r>
        <w:rPr>
          <w:sz w:val="24"/>
        </w:rPr>
        <w:t>Moncada CG, Urzúa AI. Cariología clínica. Bases preventivas y restauradoras. Santiago, Chile: Ed. Basualto; 2008. p. 52, 53, 60, 61,</w:t>
      </w:r>
      <w:r>
        <w:rPr>
          <w:spacing w:val="-30"/>
          <w:sz w:val="24"/>
        </w:rPr>
        <w:t> </w:t>
      </w:r>
      <w:r>
        <w:rPr>
          <w:sz w:val="24"/>
        </w:rPr>
        <w:t>66.</w:t>
      </w:r>
    </w:p>
    <w:p>
      <w:pPr>
        <w:pStyle w:val="ListParagraph"/>
        <w:numPr>
          <w:ilvl w:val="0"/>
          <w:numId w:val="41"/>
        </w:numPr>
        <w:tabs>
          <w:tab w:pos="917" w:val="left" w:leader="none"/>
        </w:tabs>
        <w:spacing w:line="360" w:lineRule="auto" w:before="7" w:after="0"/>
        <w:ind w:left="917" w:right="275" w:hanging="361"/>
        <w:jc w:val="both"/>
        <w:rPr>
          <w:sz w:val="24"/>
        </w:rPr>
      </w:pPr>
      <w:r>
        <w:rPr>
          <w:sz w:val="24"/>
        </w:rPr>
        <w:t>Cornejo LS, Brunotto M, Hilas E. Factores asociados a prevalencia e incremento de caries dental en escolares rurales. Rev Saúde Pública 2008; 42 (1):</w:t>
      </w:r>
      <w:r>
        <w:rPr>
          <w:spacing w:val="-1"/>
          <w:sz w:val="24"/>
        </w:rPr>
        <w:t> </w:t>
      </w:r>
      <w:r>
        <w:rPr>
          <w:sz w:val="24"/>
        </w:rPr>
        <w:t>19-25.</w:t>
      </w:r>
    </w:p>
    <w:p>
      <w:pPr>
        <w:pStyle w:val="ListParagraph"/>
        <w:numPr>
          <w:ilvl w:val="0"/>
          <w:numId w:val="41"/>
        </w:numPr>
        <w:tabs>
          <w:tab w:pos="917" w:val="left" w:leader="none"/>
        </w:tabs>
        <w:spacing w:line="362" w:lineRule="auto" w:before="2" w:after="0"/>
        <w:ind w:left="917" w:right="284" w:hanging="361"/>
        <w:jc w:val="both"/>
        <w:rPr>
          <w:sz w:val="24"/>
        </w:rPr>
      </w:pPr>
      <w:r>
        <w:rPr>
          <w:sz w:val="24"/>
        </w:rPr>
        <w:t>Veitía EL, Acevedo </w:t>
      </w:r>
      <w:r>
        <w:rPr>
          <w:spacing w:val="-2"/>
          <w:sz w:val="24"/>
        </w:rPr>
        <w:t>AM, </w:t>
      </w:r>
      <w:r>
        <w:rPr>
          <w:sz w:val="24"/>
        </w:rPr>
        <w:t>Rojas SF. Métodos convencionales y no convencionales para la detección de lesión inicial de caries. Revisión bibliográfica. Acta Odontol Venez 2011; 49 (2):</w:t>
      </w:r>
      <w:r>
        <w:rPr>
          <w:spacing w:val="-17"/>
          <w:sz w:val="24"/>
        </w:rPr>
        <w:t> </w:t>
      </w:r>
      <w:r>
        <w:rPr>
          <w:sz w:val="24"/>
        </w:rPr>
        <w:t>1-14.</w:t>
      </w:r>
    </w:p>
    <w:p>
      <w:pPr>
        <w:pStyle w:val="ListParagraph"/>
        <w:numPr>
          <w:ilvl w:val="0"/>
          <w:numId w:val="41"/>
        </w:numPr>
        <w:tabs>
          <w:tab w:pos="917" w:val="left" w:leader="none"/>
        </w:tabs>
        <w:spacing w:line="360" w:lineRule="auto" w:before="0" w:after="0"/>
        <w:ind w:left="917" w:right="278" w:hanging="361"/>
        <w:jc w:val="both"/>
        <w:rPr>
          <w:sz w:val="24"/>
        </w:rPr>
      </w:pPr>
      <w:r>
        <w:rPr>
          <w:sz w:val="24"/>
        </w:rPr>
        <w:t>Pinheiro IV, Medeiros MC, Ferreira </w:t>
      </w:r>
      <w:r>
        <w:rPr>
          <w:spacing w:val="-2"/>
          <w:sz w:val="24"/>
        </w:rPr>
        <w:t>MA, </w:t>
      </w:r>
      <w:r>
        <w:rPr>
          <w:sz w:val="24"/>
        </w:rPr>
        <w:t>Lima KC. Uso de fluorescencia láser (DIAGNOdent®) para diagnóstico in vivo de caries oclusales: un análisis sistemático. J Minim Interv Dent 2008; 1</w:t>
      </w:r>
      <w:r>
        <w:rPr>
          <w:spacing w:val="-11"/>
          <w:sz w:val="24"/>
        </w:rPr>
        <w:t> </w:t>
      </w:r>
      <w:r>
        <w:rPr>
          <w:sz w:val="24"/>
        </w:rPr>
        <w:t>(1):47-53.</w:t>
      </w:r>
    </w:p>
    <w:p>
      <w:pPr>
        <w:spacing w:after="0" w:line="360" w:lineRule="auto"/>
        <w:jc w:val="both"/>
        <w:rPr>
          <w:sz w:val="24"/>
        </w:rPr>
        <w:sectPr>
          <w:pgSz w:w="12240" w:h="15840"/>
          <w:pgMar w:header="726" w:footer="1031" w:top="1340" w:bottom="1220" w:left="1220" w:right="1420"/>
        </w:sectPr>
      </w:pPr>
    </w:p>
    <w:p>
      <w:pPr>
        <w:pStyle w:val="BodyText"/>
        <w:spacing w:before="3"/>
        <w:rPr>
          <w:sz w:val="23"/>
        </w:rPr>
      </w:pPr>
    </w:p>
    <w:p>
      <w:pPr>
        <w:pStyle w:val="ListParagraph"/>
        <w:numPr>
          <w:ilvl w:val="0"/>
          <w:numId w:val="41"/>
        </w:numPr>
        <w:tabs>
          <w:tab w:pos="917" w:val="left" w:leader="none"/>
        </w:tabs>
        <w:spacing w:line="364" w:lineRule="auto" w:before="69" w:after="0"/>
        <w:ind w:left="917" w:right="282" w:hanging="361"/>
        <w:jc w:val="both"/>
        <w:rPr>
          <w:sz w:val="24"/>
        </w:rPr>
      </w:pPr>
      <w:r>
        <w:rPr>
          <w:sz w:val="24"/>
        </w:rPr>
        <w:t>Carrillo SC. Diagnóstico de lesiones incipientes de caries. ¿Es este el futuro  de la Odontología? Rev ADM 2010; 67 (1):</w:t>
      </w:r>
      <w:r>
        <w:rPr>
          <w:spacing w:val="-16"/>
          <w:sz w:val="24"/>
        </w:rPr>
        <w:t> </w:t>
      </w:r>
      <w:r>
        <w:rPr>
          <w:sz w:val="24"/>
        </w:rPr>
        <w:t>13-20.</w:t>
      </w:r>
    </w:p>
    <w:p>
      <w:pPr>
        <w:pStyle w:val="ListParagraph"/>
        <w:numPr>
          <w:ilvl w:val="0"/>
          <w:numId w:val="41"/>
        </w:numPr>
        <w:tabs>
          <w:tab w:pos="917" w:val="left" w:leader="none"/>
        </w:tabs>
        <w:spacing w:line="360" w:lineRule="auto" w:before="0" w:after="0"/>
        <w:ind w:left="917" w:right="285" w:hanging="361"/>
        <w:jc w:val="both"/>
        <w:rPr>
          <w:sz w:val="24"/>
        </w:rPr>
      </w:pPr>
      <w:r>
        <w:rPr>
          <w:sz w:val="24"/>
        </w:rPr>
        <w:t>Sánchez FA. Laser Fluorescence Detection of Occlusal Caries. Kavo. EUA 2001 [Acceso el 15 de febrero de 2013] Disponible en: </w:t>
      </w:r>
      <w:hyperlink r:id="rId85">
        <w:r>
          <w:rPr>
            <w:spacing w:val="-1"/>
            <w:sz w:val="24"/>
          </w:rPr>
          <w:t>http://www.kavo.com/img_cpm/global/files/009/diagnodent/DIAGNOdent_Laser</w:t>
        </w:r>
      </w:hyperlink>
      <w:r>
        <w:rPr>
          <w:spacing w:val="-1"/>
          <w:sz w:val="24"/>
        </w:rPr>
        <w:t> </w:t>
      </w:r>
      <w:r>
        <w:rPr>
          <w:sz w:val="24"/>
        </w:rPr>
        <w:t>Detection.pdf</w:t>
      </w:r>
    </w:p>
    <w:p>
      <w:pPr>
        <w:pStyle w:val="ListParagraph"/>
        <w:numPr>
          <w:ilvl w:val="0"/>
          <w:numId w:val="41"/>
        </w:numPr>
        <w:tabs>
          <w:tab w:pos="917" w:val="left" w:leader="none"/>
        </w:tabs>
        <w:spacing w:line="360" w:lineRule="auto" w:before="2" w:after="0"/>
        <w:ind w:left="917" w:right="287" w:hanging="361"/>
        <w:jc w:val="both"/>
        <w:rPr>
          <w:sz w:val="24"/>
        </w:rPr>
      </w:pPr>
      <w:r>
        <w:rPr>
          <w:sz w:val="24"/>
        </w:rPr>
        <w:t>Cedillo VJ. Uso de los derivados de la caseína en los procedimientos de remineralización. Rev ADM 2012; 69 (4):</w:t>
      </w:r>
      <w:r>
        <w:rPr>
          <w:spacing w:val="-16"/>
          <w:sz w:val="24"/>
        </w:rPr>
        <w:t> </w:t>
      </w:r>
      <w:r>
        <w:rPr>
          <w:sz w:val="24"/>
        </w:rPr>
        <w:t>191-199.</w:t>
      </w:r>
    </w:p>
    <w:p>
      <w:pPr>
        <w:pStyle w:val="ListParagraph"/>
        <w:numPr>
          <w:ilvl w:val="0"/>
          <w:numId w:val="41"/>
        </w:numPr>
        <w:tabs>
          <w:tab w:pos="917" w:val="left" w:leader="none"/>
        </w:tabs>
        <w:spacing w:line="362" w:lineRule="auto" w:before="2" w:after="0"/>
        <w:ind w:left="917" w:right="276" w:hanging="361"/>
        <w:jc w:val="both"/>
        <w:rPr>
          <w:sz w:val="24"/>
        </w:rPr>
      </w:pPr>
      <w:r>
        <w:rPr>
          <w:sz w:val="24"/>
        </w:rPr>
        <w:t>Abbas AK, Lichtman AH, Pober JS. Inmunología celular y molecular. 7ª ed. Barcelona, España: Ed. Elsevier; 2002. p.1-8, 13, 26, 89, 91-95, 146, 159, 188-191, 256-259, 274, 276, 430,</w:t>
      </w:r>
      <w:r>
        <w:rPr>
          <w:spacing w:val="-22"/>
          <w:sz w:val="24"/>
        </w:rPr>
        <w:t> </w:t>
      </w:r>
      <w:r>
        <w:rPr>
          <w:sz w:val="24"/>
        </w:rPr>
        <w:t>431.</w:t>
      </w:r>
    </w:p>
    <w:p>
      <w:pPr>
        <w:pStyle w:val="ListParagraph"/>
        <w:numPr>
          <w:ilvl w:val="0"/>
          <w:numId w:val="41"/>
        </w:numPr>
        <w:tabs>
          <w:tab w:pos="917" w:val="left" w:leader="none"/>
        </w:tabs>
        <w:spacing w:line="360" w:lineRule="auto" w:before="0" w:after="0"/>
        <w:ind w:left="917" w:right="287" w:hanging="361"/>
        <w:jc w:val="both"/>
        <w:rPr>
          <w:sz w:val="24"/>
        </w:rPr>
      </w:pPr>
      <w:r>
        <w:rPr>
          <w:sz w:val="24"/>
        </w:rPr>
        <w:t>Salinas CM. La inmunología en la salud y la enfermedad. México: Ed. Médica Panamericana; 2010. p. 11, 24, 25, 33-38, 57, 58, 82-89, 98, 101,</w:t>
      </w:r>
      <w:r>
        <w:rPr>
          <w:spacing w:val="-31"/>
          <w:sz w:val="24"/>
        </w:rPr>
        <w:t> </w:t>
      </w:r>
      <w:r>
        <w:rPr>
          <w:sz w:val="24"/>
        </w:rPr>
        <w:t>102.</w:t>
      </w:r>
    </w:p>
    <w:p>
      <w:pPr>
        <w:pStyle w:val="ListParagraph"/>
        <w:numPr>
          <w:ilvl w:val="0"/>
          <w:numId w:val="41"/>
        </w:numPr>
        <w:tabs>
          <w:tab w:pos="917" w:val="left" w:leader="none"/>
        </w:tabs>
        <w:spacing w:line="360" w:lineRule="auto" w:before="7" w:after="0"/>
        <w:ind w:left="917" w:right="286" w:hanging="361"/>
        <w:jc w:val="both"/>
        <w:rPr>
          <w:sz w:val="24"/>
        </w:rPr>
      </w:pPr>
      <w:r>
        <w:rPr>
          <w:sz w:val="24"/>
        </w:rPr>
        <w:t>Roitt IM. Inmunología. Fundamentos. 11ª ed. Buenos Aires, Argentina: Ed. Médica Panamericana; 2008. p. 1, 47-51, 67, 70,</w:t>
      </w:r>
      <w:r>
        <w:rPr>
          <w:spacing w:val="-23"/>
          <w:sz w:val="24"/>
        </w:rPr>
        <w:t> </w:t>
      </w:r>
      <w:r>
        <w:rPr>
          <w:sz w:val="24"/>
        </w:rPr>
        <w:t>199.</w:t>
      </w:r>
    </w:p>
    <w:p>
      <w:pPr>
        <w:pStyle w:val="ListParagraph"/>
        <w:numPr>
          <w:ilvl w:val="0"/>
          <w:numId w:val="41"/>
        </w:numPr>
        <w:tabs>
          <w:tab w:pos="917" w:val="left" w:leader="none"/>
        </w:tabs>
        <w:spacing w:line="360" w:lineRule="auto" w:before="2" w:after="0"/>
        <w:ind w:left="917" w:right="290" w:hanging="361"/>
        <w:jc w:val="both"/>
        <w:rPr>
          <w:sz w:val="24"/>
        </w:rPr>
      </w:pPr>
      <w:r>
        <w:rPr>
          <w:sz w:val="24"/>
        </w:rPr>
        <w:t>Schroeder HW, Cavacini L. Structure and function of immunoglobulins. J Allergy Clin Immunol 2010; 125 (2):</w:t>
      </w:r>
      <w:r>
        <w:rPr>
          <w:spacing w:val="-13"/>
          <w:sz w:val="24"/>
        </w:rPr>
        <w:t> </w:t>
      </w:r>
      <w:r>
        <w:rPr>
          <w:sz w:val="24"/>
        </w:rPr>
        <w:t>41-52.</w:t>
      </w:r>
    </w:p>
    <w:p>
      <w:pPr>
        <w:pStyle w:val="ListParagraph"/>
        <w:numPr>
          <w:ilvl w:val="0"/>
          <w:numId w:val="41"/>
        </w:numPr>
        <w:tabs>
          <w:tab w:pos="917" w:val="left" w:leader="none"/>
        </w:tabs>
        <w:spacing w:line="360" w:lineRule="auto" w:before="7" w:after="0"/>
        <w:ind w:left="917" w:right="284" w:hanging="361"/>
        <w:jc w:val="both"/>
        <w:rPr>
          <w:sz w:val="24"/>
        </w:rPr>
      </w:pPr>
      <w:r>
        <w:rPr>
          <w:sz w:val="24"/>
        </w:rPr>
        <w:t>Rojas EO. Inmunología (de memoria). 3ª ed. México: Ed Panamericana; 2006. p.</w:t>
      </w:r>
      <w:r>
        <w:rPr>
          <w:spacing w:val="-1"/>
          <w:sz w:val="24"/>
        </w:rPr>
        <w:t> </w:t>
      </w:r>
      <w:r>
        <w:rPr>
          <w:sz w:val="24"/>
        </w:rPr>
        <w:t>494.</w:t>
      </w:r>
    </w:p>
    <w:p>
      <w:pPr>
        <w:pStyle w:val="ListParagraph"/>
        <w:numPr>
          <w:ilvl w:val="0"/>
          <w:numId w:val="41"/>
        </w:numPr>
        <w:tabs>
          <w:tab w:pos="917" w:val="left" w:leader="none"/>
        </w:tabs>
        <w:spacing w:line="360" w:lineRule="auto" w:before="2" w:after="0"/>
        <w:ind w:left="917" w:right="288" w:hanging="361"/>
        <w:jc w:val="both"/>
        <w:rPr>
          <w:sz w:val="24"/>
        </w:rPr>
      </w:pPr>
      <w:r>
        <w:rPr>
          <w:sz w:val="24"/>
        </w:rPr>
        <w:t>Murphy K, Travers P, Walport M. Inmunología de Janeway. 7ª ed. México: Ed. McGraw Hill; 2009. p. 113-115, 118, 119, 410,</w:t>
      </w:r>
      <w:r>
        <w:rPr>
          <w:spacing w:val="-22"/>
          <w:sz w:val="24"/>
        </w:rPr>
        <w:t> </w:t>
      </w:r>
      <w:r>
        <w:rPr>
          <w:sz w:val="24"/>
        </w:rPr>
        <w:t>411.</w:t>
      </w:r>
    </w:p>
    <w:p>
      <w:pPr>
        <w:pStyle w:val="ListParagraph"/>
        <w:numPr>
          <w:ilvl w:val="0"/>
          <w:numId w:val="41"/>
        </w:numPr>
        <w:tabs>
          <w:tab w:pos="985" w:val="left" w:leader="none"/>
        </w:tabs>
        <w:spacing w:line="240" w:lineRule="auto" w:before="2" w:after="0"/>
        <w:ind w:left="984" w:right="0" w:hanging="428"/>
        <w:jc w:val="left"/>
        <w:rPr>
          <w:sz w:val="24"/>
        </w:rPr>
      </w:pPr>
      <w:r>
        <w:rPr>
          <w:sz w:val="24"/>
        </w:rPr>
        <w:t>Yel L. Selective IgA deficiency. J Clin Immunol 2010; 30 (1):</w:t>
      </w:r>
      <w:r>
        <w:rPr>
          <w:spacing w:val="-20"/>
          <w:sz w:val="24"/>
        </w:rPr>
        <w:t> </w:t>
      </w:r>
      <w:r>
        <w:rPr>
          <w:sz w:val="24"/>
        </w:rPr>
        <w:t>10-16.</w:t>
      </w:r>
    </w:p>
    <w:p>
      <w:pPr>
        <w:pStyle w:val="ListParagraph"/>
        <w:numPr>
          <w:ilvl w:val="0"/>
          <w:numId w:val="41"/>
        </w:numPr>
        <w:tabs>
          <w:tab w:pos="917" w:val="left" w:leader="none"/>
        </w:tabs>
        <w:spacing w:line="360" w:lineRule="auto" w:before="141" w:after="0"/>
        <w:ind w:left="917" w:right="280" w:hanging="361"/>
        <w:jc w:val="both"/>
        <w:rPr>
          <w:sz w:val="24"/>
        </w:rPr>
      </w:pPr>
      <w:r>
        <w:rPr>
          <w:sz w:val="24"/>
        </w:rPr>
        <w:t>Trochimiak T, Hübner-Wozniak E. Effect of exercise on the level of immunoglobulin A in saliva. Biol Sport 2012; 29 (4):</w:t>
      </w:r>
      <w:r>
        <w:rPr>
          <w:spacing w:val="-23"/>
          <w:sz w:val="24"/>
        </w:rPr>
        <w:t> </w:t>
      </w:r>
      <w:r>
        <w:rPr>
          <w:sz w:val="24"/>
        </w:rPr>
        <w:t>255-261.</w:t>
      </w:r>
    </w:p>
    <w:p>
      <w:pPr>
        <w:pStyle w:val="ListParagraph"/>
        <w:numPr>
          <w:ilvl w:val="0"/>
          <w:numId w:val="41"/>
        </w:numPr>
        <w:tabs>
          <w:tab w:pos="917" w:val="left" w:leader="none"/>
        </w:tabs>
        <w:spacing w:line="360" w:lineRule="auto" w:before="2" w:after="0"/>
        <w:ind w:left="917" w:right="273" w:hanging="361"/>
        <w:jc w:val="both"/>
        <w:rPr>
          <w:sz w:val="24"/>
        </w:rPr>
      </w:pPr>
      <w:r>
        <w:rPr>
          <w:sz w:val="24"/>
        </w:rPr>
        <w:t>Szefler SJ, Wenzel S, Brown R, Erzurum SC, Fahy JV, Hamilton RG, </w:t>
      </w:r>
      <w:r>
        <w:rPr>
          <w:i/>
          <w:sz w:val="24"/>
        </w:rPr>
        <w:t>et al</w:t>
      </w:r>
      <w:r>
        <w:rPr>
          <w:sz w:val="24"/>
        </w:rPr>
        <w:t>. Asthma outcomes: Biomarkers. J Allergy Clin Immunol 2012; 129 (Suppl 3): 9- 23.</w:t>
      </w:r>
    </w:p>
    <w:p>
      <w:pPr>
        <w:pStyle w:val="ListParagraph"/>
        <w:numPr>
          <w:ilvl w:val="0"/>
          <w:numId w:val="41"/>
        </w:numPr>
        <w:tabs>
          <w:tab w:pos="917" w:val="left" w:leader="none"/>
        </w:tabs>
        <w:spacing w:line="360" w:lineRule="auto" w:before="3" w:after="0"/>
        <w:ind w:left="917" w:right="285" w:hanging="361"/>
        <w:jc w:val="both"/>
        <w:rPr>
          <w:sz w:val="24"/>
        </w:rPr>
      </w:pPr>
      <w:r>
        <w:rPr>
          <w:sz w:val="24"/>
        </w:rPr>
        <w:t>Chen K, Cerutti A. The function and regulation of immunoglobulin D. Curr Opin Immunol 2011; 23 (3):</w:t>
      </w:r>
      <w:r>
        <w:rPr>
          <w:spacing w:val="-11"/>
          <w:sz w:val="24"/>
        </w:rPr>
        <w:t> </w:t>
      </w:r>
      <w:r>
        <w:rPr>
          <w:sz w:val="24"/>
        </w:rPr>
        <w:t>345-352.</w:t>
      </w:r>
    </w:p>
    <w:p>
      <w:pPr>
        <w:pStyle w:val="ListParagraph"/>
        <w:numPr>
          <w:ilvl w:val="0"/>
          <w:numId w:val="41"/>
        </w:numPr>
        <w:tabs>
          <w:tab w:pos="917" w:val="left" w:leader="none"/>
        </w:tabs>
        <w:spacing w:line="362" w:lineRule="auto" w:before="2" w:after="0"/>
        <w:ind w:left="917" w:right="291" w:hanging="361"/>
        <w:jc w:val="both"/>
        <w:rPr>
          <w:sz w:val="24"/>
        </w:rPr>
      </w:pPr>
      <w:r>
        <w:rPr>
          <w:sz w:val="24"/>
        </w:rPr>
        <w:t>Chen K, Cerutti A. New insights into the enigma of immunoglobulin D. Immunol Rev 2010; 237 (1):</w:t>
      </w:r>
      <w:r>
        <w:rPr>
          <w:spacing w:val="-10"/>
          <w:sz w:val="24"/>
        </w:rPr>
        <w:t> </w:t>
      </w:r>
      <w:r>
        <w:rPr>
          <w:sz w:val="24"/>
        </w:rPr>
        <w:t>160-179.</w:t>
      </w:r>
    </w:p>
    <w:p>
      <w:pPr>
        <w:spacing w:after="0" w:line="362" w:lineRule="auto"/>
        <w:jc w:val="both"/>
        <w:rPr>
          <w:sz w:val="24"/>
        </w:rPr>
        <w:sectPr>
          <w:footerReference w:type="default" r:id="rId84"/>
          <w:pgSz w:w="12240" w:h="15840"/>
          <w:pgMar w:footer="1031" w:header="726" w:top="1340" w:bottom="1220" w:left="1220" w:right="1420"/>
        </w:sectPr>
      </w:pPr>
    </w:p>
    <w:p>
      <w:pPr>
        <w:pStyle w:val="BodyText"/>
        <w:spacing w:before="3"/>
        <w:rPr>
          <w:sz w:val="23"/>
        </w:rPr>
      </w:pPr>
    </w:p>
    <w:p>
      <w:pPr>
        <w:pStyle w:val="ListParagraph"/>
        <w:numPr>
          <w:ilvl w:val="0"/>
          <w:numId w:val="41"/>
        </w:numPr>
        <w:tabs>
          <w:tab w:pos="917" w:val="left" w:leader="none"/>
        </w:tabs>
        <w:spacing w:line="362" w:lineRule="auto" w:before="69" w:after="0"/>
        <w:ind w:left="917" w:right="277" w:hanging="361"/>
        <w:jc w:val="both"/>
        <w:rPr>
          <w:sz w:val="24"/>
        </w:rPr>
      </w:pPr>
      <w:r>
        <w:rPr>
          <w:sz w:val="24"/>
        </w:rPr>
        <w:t>Gillis C, Gouel-Chéron A, Jönsson F, Bruhns P. Contribution of human </w:t>
      </w:r>
      <w:r>
        <w:rPr>
          <w:spacing w:val="2"/>
          <w:sz w:val="24"/>
        </w:rPr>
        <w:t>FcγRs </w:t>
      </w:r>
      <w:r>
        <w:rPr>
          <w:sz w:val="24"/>
        </w:rPr>
        <w:t>to disease with evidence from human polymorphisms and transgenic animal studies. Front Immunol 2014; 5:</w:t>
      </w:r>
      <w:r>
        <w:rPr>
          <w:spacing w:val="-10"/>
          <w:sz w:val="24"/>
        </w:rPr>
        <w:t> </w:t>
      </w:r>
      <w:r>
        <w:rPr>
          <w:sz w:val="24"/>
        </w:rPr>
        <w:t>1-13.</w:t>
      </w:r>
    </w:p>
    <w:p>
      <w:pPr>
        <w:pStyle w:val="ListParagraph"/>
        <w:numPr>
          <w:ilvl w:val="0"/>
          <w:numId w:val="41"/>
        </w:numPr>
        <w:tabs>
          <w:tab w:pos="917" w:val="left" w:leader="none"/>
        </w:tabs>
        <w:spacing w:line="360" w:lineRule="auto" w:before="0" w:after="0"/>
        <w:ind w:left="917" w:right="288" w:hanging="361"/>
        <w:jc w:val="both"/>
        <w:rPr>
          <w:sz w:val="24"/>
        </w:rPr>
      </w:pPr>
      <w:r>
        <w:rPr>
          <w:sz w:val="24"/>
        </w:rPr>
        <w:t>Lu J, Marjon KD, Mold C, Du Clos TW. Pentraxins and Fc receptors. Immunol Rev 2012; 250 (1):</w:t>
      </w:r>
      <w:r>
        <w:rPr>
          <w:spacing w:val="-10"/>
          <w:sz w:val="24"/>
        </w:rPr>
        <w:t> </w:t>
      </w:r>
      <w:r>
        <w:rPr>
          <w:sz w:val="24"/>
        </w:rPr>
        <w:t>230-238.</w:t>
      </w:r>
    </w:p>
    <w:p>
      <w:pPr>
        <w:pStyle w:val="ListParagraph"/>
        <w:numPr>
          <w:ilvl w:val="0"/>
          <w:numId w:val="41"/>
        </w:numPr>
        <w:tabs>
          <w:tab w:pos="917" w:val="left" w:leader="none"/>
        </w:tabs>
        <w:spacing w:line="357" w:lineRule="auto" w:before="6" w:after="0"/>
        <w:ind w:left="917" w:right="283" w:hanging="361"/>
        <w:jc w:val="both"/>
        <w:rPr>
          <w:sz w:val="24"/>
        </w:rPr>
      </w:pPr>
      <w:r>
        <w:rPr>
          <w:sz w:val="24"/>
        </w:rPr>
        <w:t>Goméz LM, Cañas C, Anaya JM. Receptores </w:t>
      </w:r>
      <w:r>
        <w:rPr>
          <w:spacing w:val="2"/>
          <w:sz w:val="24"/>
        </w:rPr>
        <w:t>Fc</w:t>
      </w:r>
      <w:r>
        <w:rPr>
          <w:rFonts w:ascii="Symbol" w:hAnsi="Symbol"/>
          <w:spacing w:val="2"/>
          <w:sz w:val="24"/>
        </w:rPr>
        <w:t></w:t>
      </w:r>
      <w:r>
        <w:rPr>
          <w:rFonts w:ascii="Times New Roman" w:hAnsi="Times New Roman"/>
          <w:spacing w:val="2"/>
          <w:sz w:val="24"/>
        </w:rPr>
        <w:t> </w:t>
      </w:r>
      <w:r>
        <w:rPr>
          <w:sz w:val="24"/>
        </w:rPr>
        <w:t>y autoinmunidad. Acta Médica Colombiana 2005; 30 (1):</w:t>
      </w:r>
      <w:r>
        <w:rPr>
          <w:spacing w:val="-12"/>
          <w:sz w:val="24"/>
        </w:rPr>
        <w:t> </w:t>
      </w:r>
      <w:r>
        <w:rPr>
          <w:sz w:val="24"/>
        </w:rPr>
        <w:t>27-35.</w:t>
      </w:r>
    </w:p>
    <w:p>
      <w:pPr>
        <w:pStyle w:val="ListParagraph"/>
        <w:numPr>
          <w:ilvl w:val="0"/>
          <w:numId w:val="41"/>
        </w:numPr>
        <w:tabs>
          <w:tab w:pos="917" w:val="left" w:leader="none"/>
        </w:tabs>
        <w:spacing w:line="360" w:lineRule="auto" w:before="10" w:after="0"/>
        <w:ind w:left="917" w:right="279" w:hanging="361"/>
        <w:jc w:val="both"/>
        <w:rPr>
          <w:sz w:val="24"/>
        </w:rPr>
      </w:pPr>
      <w:r>
        <w:rPr>
          <w:sz w:val="24"/>
        </w:rPr>
        <w:t>Bournazos S, Woof JM, Hart SP, Dransfield I. Functional and clinical consequences of Fc receptor polymorphic and copy number variants. Clin </w:t>
      </w:r>
      <w:r>
        <w:rPr>
          <w:spacing w:val="-3"/>
          <w:sz w:val="24"/>
        </w:rPr>
        <w:t>Exp </w:t>
      </w:r>
      <w:r>
        <w:rPr>
          <w:sz w:val="24"/>
        </w:rPr>
        <w:t>Immunol 2009; 157 (2):</w:t>
      </w:r>
      <w:r>
        <w:rPr>
          <w:spacing w:val="-11"/>
          <w:sz w:val="24"/>
        </w:rPr>
        <w:t> </w:t>
      </w:r>
      <w:r>
        <w:rPr>
          <w:sz w:val="24"/>
        </w:rPr>
        <w:t>244-254.</w:t>
      </w:r>
    </w:p>
    <w:p>
      <w:pPr>
        <w:pStyle w:val="ListParagraph"/>
        <w:numPr>
          <w:ilvl w:val="0"/>
          <w:numId w:val="41"/>
        </w:numPr>
        <w:tabs>
          <w:tab w:pos="917" w:val="left" w:leader="none"/>
        </w:tabs>
        <w:spacing w:line="362" w:lineRule="auto" w:before="2" w:after="0"/>
        <w:ind w:left="917" w:right="286" w:hanging="361"/>
        <w:jc w:val="both"/>
        <w:rPr>
          <w:sz w:val="24"/>
        </w:rPr>
      </w:pPr>
      <w:r>
        <w:rPr>
          <w:sz w:val="24"/>
        </w:rPr>
        <w:t>Mora N, Rosales C. Funciones de receptors Fc en mecanismos de defensa y regulación inmunológica. Rev Invest Clin 2009; 61 (4):</w:t>
      </w:r>
      <w:r>
        <w:rPr>
          <w:spacing w:val="-24"/>
          <w:sz w:val="24"/>
        </w:rPr>
        <w:t> </w:t>
      </w:r>
      <w:r>
        <w:rPr>
          <w:sz w:val="24"/>
        </w:rPr>
        <w:t>313-326.</w:t>
      </w:r>
    </w:p>
    <w:p>
      <w:pPr>
        <w:pStyle w:val="ListParagraph"/>
        <w:numPr>
          <w:ilvl w:val="0"/>
          <w:numId w:val="41"/>
        </w:numPr>
        <w:tabs>
          <w:tab w:pos="917" w:val="left" w:leader="none"/>
        </w:tabs>
        <w:spacing w:line="362" w:lineRule="auto" w:before="0" w:after="0"/>
        <w:ind w:left="917" w:right="283" w:hanging="361"/>
        <w:jc w:val="both"/>
        <w:rPr>
          <w:sz w:val="24"/>
        </w:rPr>
      </w:pPr>
      <w:r>
        <w:rPr>
          <w:sz w:val="24"/>
        </w:rPr>
        <w:t>Kim JM, Ashkenazi A. Fc</w:t>
      </w:r>
      <w:r>
        <w:rPr>
          <w:rFonts w:ascii="Symbol" w:hAnsi="Symbol"/>
          <w:sz w:val="24"/>
        </w:rPr>
        <w:t></w:t>
      </w:r>
      <w:r>
        <w:rPr>
          <w:rFonts w:ascii="Times New Roman" w:hAnsi="Times New Roman"/>
          <w:sz w:val="24"/>
        </w:rPr>
        <w:t> </w:t>
      </w:r>
      <w:r>
        <w:rPr>
          <w:sz w:val="24"/>
        </w:rPr>
        <w:t>receptors enable anticancer action of proapoptotic and immune-modulatory antibodies. J </w:t>
      </w:r>
      <w:r>
        <w:rPr>
          <w:spacing w:val="-3"/>
          <w:sz w:val="24"/>
        </w:rPr>
        <w:t>Exp </w:t>
      </w:r>
      <w:r>
        <w:rPr>
          <w:sz w:val="24"/>
        </w:rPr>
        <w:t>Med 2013; 210 (9):</w:t>
      </w:r>
      <w:r>
        <w:rPr>
          <w:spacing w:val="-11"/>
          <w:sz w:val="24"/>
        </w:rPr>
        <w:t> </w:t>
      </w:r>
      <w:r>
        <w:rPr>
          <w:sz w:val="24"/>
        </w:rPr>
        <w:t>1647-1651.</w:t>
      </w:r>
    </w:p>
    <w:p>
      <w:pPr>
        <w:pStyle w:val="ListParagraph"/>
        <w:numPr>
          <w:ilvl w:val="0"/>
          <w:numId w:val="41"/>
        </w:numPr>
        <w:tabs>
          <w:tab w:pos="917" w:val="left" w:leader="none"/>
        </w:tabs>
        <w:spacing w:line="360" w:lineRule="auto" w:before="0" w:after="0"/>
        <w:ind w:left="917" w:right="280" w:hanging="361"/>
        <w:jc w:val="both"/>
        <w:rPr>
          <w:sz w:val="24"/>
        </w:rPr>
      </w:pPr>
      <w:r>
        <w:rPr>
          <w:sz w:val="24"/>
        </w:rPr>
        <w:t>Monteiro RC, Van de Winkel JC. IgA Fc receptors. Annu Rev Immunol 2003; 21:</w:t>
      </w:r>
      <w:r>
        <w:rPr>
          <w:spacing w:val="-3"/>
          <w:sz w:val="24"/>
        </w:rPr>
        <w:t> </w:t>
      </w:r>
      <w:r>
        <w:rPr>
          <w:sz w:val="24"/>
        </w:rPr>
        <w:t>177-204.</w:t>
      </w:r>
    </w:p>
    <w:p>
      <w:pPr>
        <w:pStyle w:val="ListParagraph"/>
        <w:numPr>
          <w:ilvl w:val="0"/>
          <w:numId w:val="41"/>
        </w:numPr>
        <w:tabs>
          <w:tab w:pos="917" w:val="left" w:leader="none"/>
        </w:tabs>
        <w:spacing w:line="360" w:lineRule="auto" w:before="8" w:after="0"/>
        <w:ind w:left="917" w:right="273" w:hanging="361"/>
        <w:jc w:val="both"/>
        <w:rPr>
          <w:sz w:val="24"/>
        </w:rPr>
      </w:pPr>
      <w:r>
        <w:rPr>
          <w:sz w:val="24"/>
        </w:rPr>
        <w:t>Bannert C, Bidmon-Fliegenschenee B, Stary G, Hotzy F, Stift J, Nurko S, </w:t>
      </w:r>
      <w:r>
        <w:rPr>
          <w:i/>
          <w:sz w:val="24"/>
        </w:rPr>
        <w:t>et al</w:t>
      </w:r>
      <w:r>
        <w:rPr>
          <w:sz w:val="24"/>
        </w:rPr>
        <w:t>. Fc-Epsilon-RI, the High Affinity IgE-Receptor, Is Robustly Expressed in the Upper Gastrointestinal Tract and Modulated by Mucosal Inflammation. PLos One 2012; 7 (7):</w:t>
      </w:r>
      <w:r>
        <w:rPr>
          <w:spacing w:val="-9"/>
          <w:sz w:val="24"/>
        </w:rPr>
        <w:t> </w:t>
      </w:r>
      <w:r>
        <w:rPr>
          <w:sz w:val="24"/>
        </w:rPr>
        <w:t>e42066.</w:t>
      </w:r>
    </w:p>
    <w:p>
      <w:pPr>
        <w:pStyle w:val="ListParagraph"/>
        <w:numPr>
          <w:ilvl w:val="0"/>
          <w:numId w:val="41"/>
        </w:numPr>
        <w:tabs>
          <w:tab w:pos="917" w:val="left" w:leader="none"/>
        </w:tabs>
        <w:spacing w:line="360" w:lineRule="auto" w:before="8" w:after="0"/>
        <w:ind w:left="917" w:right="280" w:hanging="361"/>
        <w:jc w:val="both"/>
        <w:rPr>
          <w:sz w:val="24"/>
        </w:rPr>
      </w:pPr>
      <w:r>
        <w:rPr>
          <w:sz w:val="24"/>
        </w:rPr>
        <w:t>Zhang M, Murphy RF, Agrawal DK. Decoding IgE receptors. Immunol Res 2007; 37:</w:t>
      </w:r>
      <w:r>
        <w:rPr>
          <w:spacing w:val="-5"/>
          <w:sz w:val="24"/>
        </w:rPr>
        <w:t> </w:t>
      </w:r>
      <w:r>
        <w:rPr>
          <w:sz w:val="24"/>
        </w:rPr>
        <w:t>1-16.</w:t>
      </w:r>
    </w:p>
    <w:p>
      <w:pPr>
        <w:pStyle w:val="ListParagraph"/>
        <w:numPr>
          <w:ilvl w:val="0"/>
          <w:numId w:val="41"/>
        </w:numPr>
        <w:tabs>
          <w:tab w:pos="917" w:val="left" w:leader="none"/>
        </w:tabs>
        <w:spacing w:line="360" w:lineRule="auto" w:before="2" w:after="0"/>
        <w:ind w:left="917" w:right="281" w:hanging="361"/>
        <w:jc w:val="both"/>
        <w:rPr>
          <w:sz w:val="24"/>
        </w:rPr>
      </w:pPr>
      <w:r>
        <w:rPr>
          <w:sz w:val="24"/>
        </w:rPr>
        <w:t>Setia S, Gambhir RS, Kapoor V. Immunology in Prevention of Dental Caries. Univ Res J Dent 2012; 2 (2):</w:t>
      </w:r>
      <w:r>
        <w:rPr>
          <w:spacing w:val="-11"/>
          <w:sz w:val="24"/>
        </w:rPr>
        <w:t> </w:t>
      </w:r>
      <w:r>
        <w:rPr>
          <w:sz w:val="24"/>
        </w:rPr>
        <w:t>58-63.</w:t>
      </w:r>
    </w:p>
    <w:p>
      <w:pPr>
        <w:pStyle w:val="ListParagraph"/>
        <w:numPr>
          <w:ilvl w:val="0"/>
          <w:numId w:val="41"/>
        </w:numPr>
        <w:tabs>
          <w:tab w:pos="917" w:val="left" w:leader="none"/>
        </w:tabs>
        <w:spacing w:line="360" w:lineRule="auto" w:before="2" w:after="0"/>
        <w:ind w:left="917" w:right="278" w:hanging="361"/>
        <w:jc w:val="both"/>
        <w:rPr>
          <w:sz w:val="24"/>
        </w:rPr>
      </w:pPr>
      <w:r>
        <w:rPr>
          <w:sz w:val="24"/>
        </w:rPr>
        <w:t>Kirtaniya BC, Chawla HS, Tiwari A, Ganguly NK, Sachdev V. Natural prevalence of antibody titres to GTF of </w:t>
      </w:r>
      <w:r>
        <w:rPr>
          <w:i/>
          <w:sz w:val="24"/>
        </w:rPr>
        <w:t>S. mutans </w:t>
      </w:r>
      <w:r>
        <w:rPr>
          <w:sz w:val="24"/>
        </w:rPr>
        <w:t>in saliva in high and low caries active children. J Indian Soc Pedod Prev Dent 2009; 27 (3):</w:t>
      </w:r>
      <w:r>
        <w:rPr>
          <w:spacing w:val="-22"/>
          <w:sz w:val="24"/>
        </w:rPr>
        <w:t> </w:t>
      </w:r>
      <w:r>
        <w:rPr>
          <w:sz w:val="24"/>
        </w:rPr>
        <w:t>135-138.</w:t>
      </w:r>
    </w:p>
    <w:p>
      <w:pPr>
        <w:pStyle w:val="ListParagraph"/>
        <w:numPr>
          <w:ilvl w:val="0"/>
          <w:numId w:val="41"/>
        </w:numPr>
        <w:tabs>
          <w:tab w:pos="917" w:val="left" w:leader="none"/>
        </w:tabs>
        <w:spacing w:line="360" w:lineRule="auto" w:before="3" w:after="0"/>
        <w:ind w:left="917" w:right="274" w:hanging="361"/>
        <w:jc w:val="both"/>
        <w:rPr>
          <w:sz w:val="24"/>
        </w:rPr>
      </w:pPr>
      <w:r>
        <w:rPr>
          <w:sz w:val="24"/>
        </w:rPr>
        <w:t>Yan HM. Salivary IgA enhancement strategy for development of a nasal-spray anti-caries mucosal vaccine. </w:t>
      </w:r>
      <w:r>
        <w:rPr>
          <w:spacing w:val="-3"/>
          <w:sz w:val="24"/>
        </w:rPr>
        <w:t>Sci </w:t>
      </w:r>
      <w:r>
        <w:rPr>
          <w:sz w:val="24"/>
        </w:rPr>
        <w:t>China Life </w:t>
      </w:r>
      <w:r>
        <w:rPr>
          <w:spacing w:val="-3"/>
          <w:sz w:val="24"/>
        </w:rPr>
        <w:t>Sci </w:t>
      </w:r>
      <w:r>
        <w:rPr>
          <w:sz w:val="24"/>
        </w:rPr>
        <w:t>2013; 56 (5): 406-413.</w:t>
      </w:r>
    </w:p>
    <w:p>
      <w:pPr>
        <w:spacing w:after="0" w:line="360" w:lineRule="auto"/>
        <w:jc w:val="both"/>
        <w:rPr>
          <w:sz w:val="24"/>
        </w:rPr>
        <w:sectPr>
          <w:footerReference w:type="default" r:id="rId86"/>
          <w:pgSz w:w="12240" w:h="15840"/>
          <w:pgMar w:footer="1031" w:header="726" w:top="1340" w:bottom="1220" w:left="1220" w:right="1420"/>
          <w:pgNumType w:start="121"/>
        </w:sectPr>
      </w:pPr>
    </w:p>
    <w:p>
      <w:pPr>
        <w:pStyle w:val="BodyText"/>
        <w:spacing w:before="3"/>
        <w:rPr>
          <w:sz w:val="23"/>
        </w:rPr>
      </w:pPr>
    </w:p>
    <w:p>
      <w:pPr>
        <w:pStyle w:val="ListParagraph"/>
        <w:numPr>
          <w:ilvl w:val="0"/>
          <w:numId w:val="41"/>
        </w:numPr>
        <w:tabs>
          <w:tab w:pos="917" w:val="left" w:leader="none"/>
        </w:tabs>
        <w:spacing w:line="364" w:lineRule="auto" w:before="69" w:after="0"/>
        <w:ind w:left="917" w:right="274" w:hanging="361"/>
        <w:jc w:val="both"/>
        <w:rPr>
          <w:sz w:val="24"/>
        </w:rPr>
      </w:pPr>
      <w:r>
        <w:rPr>
          <w:sz w:val="24"/>
        </w:rPr>
        <w:t>Gambhir RS, Singh S, Singh G, Singh R, Nanda T, Kakar H. Vaccine against Dental Caries- An Urgent Need. J Vaccines Vaccin 2012; 3 (2):</w:t>
      </w:r>
      <w:r>
        <w:rPr>
          <w:spacing w:val="-20"/>
          <w:sz w:val="24"/>
        </w:rPr>
        <w:t> </w:t>
      </w:r>
      <w:r>
        <w:rPr>
          <w:sz w:val="24"/>
        </w:rPr>
        <w:t>136.</w:t>
      </w:r>
    </w:p>
    <w:p>
      <w:pPr>
        <w:pStyle w:val="ListParagraph"/>
        <w:numPr>
          <w:ilvl w:val="0"/>
          <w:numId w:val="41"/>
        </w:numPr>
        <w:tabs>
          <w:tab w:pos="917" w:val="left" w:leader="none"/>
        </w:tabs>
        <w:spacing w:line="360" w:lineRule="auto" w:before="0" w:after="0"/>
        <w:ind w:left="917" w:right="276" w:hanging="361"/>
        <w:jc w:val="both"/>
        <w:rPr>
          <w:sz w:val="24"/>
        </w:rPr>
      </w:pPr>
      <w:r>
        <w:rPr>
          <w:sz w:val="24"/>
        </w:rPr>
        <w:t>Gornowicz A, Tokajuk G, Bielawska A, Maciorkowska </w:t>
      </w:r>
      <w:r>
        <w:rPr>
          <w:spacing w:val="3"/>
          <w:sz w:val="24"/>
        </w:rPr>
        <w:t>E</w:t>
      </w:r>
      <w:r>
        <w:rPr>
          <w:b/>
          <w:spacing w:val="3"/>
          <w:sz w:val="24"/>
        </w:rPr>
        <w:t>, </w:t>
      </w:r>
      <w:r>
        <w:rPr>
          <w:sz w:val="24"/>
        </w:rPr>
        <w:t>Jabłoński R, Wójcicka A, </w:t>
      </w:r>
      <w:r>
        <w:rPr>
          <w:i/>
          <w:sz w:val="24"/>
        </w:rPr>
        <w:t>et al</w:t>
      </w:r>
      <w:r>
        <w:rPr>
          <w:sz w:val="24"/>
        </w:rPr>
        <w:t>. The assessment of sIgA, histatin-5, and lactoperoxidase levels in  saliva of adolescents with dental caries. Med Sci Monit 2014; 20:</w:t>
      </w:r>
      <w:r>
        <w:rPr>
          <w:spacing w:val="-25"/>
          <w:sz w:val="24"/>
        </w:rPr>
        <w:t> </w:t>
      </w:r>
      <w:r>
        <w:rPr>
          <w:sz w:val="24"/>
        </w:rPr>
        <w:t>1095-1100.</w:t>
      </w:r>
    </w:p>
    <w:p>
      <w:pPr>
        <w:pStyle w:val="ListParagraph"/>
        <w:numPr>
          <w:ilvl w:val="0"/>
          <w:numId w:val="41"/>
        </w:numPr>
        <w:tabs>
          <w:tab w:pos="917" w:val="left" w:leader="none"/>
        </w:tabs>
        <w:spacing w:line="360" w:lineRule="auto" w:before="8" w:after="0"/>
        <w:ind w:left="917" w:right="279" w:hanging="361"/>
        <w:jc w:val="both"/>
        <w:rPr>
          <w:sz w:val="24"/>
        </w:rPr>
      </w:pPr>
      <w:r>
        <w:rPr>
          <w:sz w:val="24"/>
        </w:rPr>
        <w:t>Geetha PP, Asokan S, Karthick K, Reddy NV, Rao VA. Effect of dental treatments on salivary immunoglobulin A of children with and without dental caries: A comparative study. Indian J Dent Res 2013; 24:</w:t>
      </w:r>
      <w:r>
        <w:rPr>
          <w:spacing w:val="-21"/>
          <w:sz w:val="24"/>
        </w:rPr>
        <w:t> </w:t>
      </w:r>
      <w:r>
        <w:rPr>
          <w:sz w:val="24"/>
        </w:rPr>
        <w:t>394.</w:t>
      </w:r>
    </w:p>
    <w:p>
      <w:pPr>
        <w:pStyle w:val="ListParagraph"/>
        <w:numPr>
          <w:ilvl w:val="0"/>
          <w:numId w:val="41"/>
        </w:numPr>
        <w:tabs>
          <w:tab w:pos="917" w:val="left" w:leader="none"/>
        </w:tabs>
        <w:spacing w:line="360" w:lineRule="auto" w:before="2" w:after="0"/>
        <w:ind w:left="917" w:right="275" w:hanging="361"/>
        <w:jc w:val="both"/>
        <w:rPr>
          <w:sz w:val="24"/>
        </w:rPr>
      </w:pPr>
      <w:r>
        <w:rPr>
          <w:sz w:val="24"/>
        </w:rPr>
        <w:t>Pal S, Mitra M, Mishra J, Saha S, Bhattacharya B. Correlation of total salivary secretory immunoglobulin A (SIgA) and </w:t>
      </w:r>
      <w:r>
        <w:rPr>
          <w:i/>
          <w:sz w:val="24"/>
        </w:rPr>
        <w:t>mutans </w:t>
      </w:r>
      <w:r>
        <w:rPr>
          <w:sz w:val="24"/>
        </w:rPr>
        <w:t>specific SIgA in children  having different caries status. J Indian Soc Pedod Prev Dent 2013; 31 (4): 270- 274.</w:t>
      </w:r>
    </w:p>
    <w:p>
      <w:pPr>
        <w:pStyle w:val="ListParagraph"/>
        <w:numPr>
          <w:ilvl w:val="0"/>
          <w:numId w:val="41"/>
        </w:numPr>
        <w:tabs>
          <w:tab w:pos="917" w:val="left" w:leader="none"/>
        </w:tabs>
        <w:spacing w:line="360" w:lineRule="auto" w:before="3" w:after="0"/>
        <w:ind w:left="917" w:right="275" w:hanging="361"/>
        <w:jc w:val="both"/>
        <w:rPr>
          <w:sz w:val="24"/>
        </w:rPr>
      </w:pPr>
      <w:r>
        <w:rPr>
          <w:sz w:val="24"/>
        </w:rPr>
        <w:t>Chamorro-Jiménez AL, Ospina-Cataño A, Arango- Rincón JC, Martínez- Delgado CM. Acción de la inmunoglobulina A secretora en el proceso de adherencia del </w:t>
      </w:r>
      <w:r>
        <w:rPr>
          <w:i/>
          <w:sz w:val="24"/>
        </w:rPr>
        <w:t>Streptococcus mutans </w:t>
      </w:r>
      <w:r>
        <w:rPr>
          <w:sz w:val="24"/>
        </w:rPr>
        <w:t>al diente humano. Revista CES Odontología 2013; 26 (2):</w:t>
      </w:r>
      <w:r>
        <w:rPr>
          <w:spacing w:val="-11"/>
          <w:sz w:val="24"/>
        </w:rPr>
        <w:t> </w:t>
      </w:r>
      <w:r>
        <w:rPr>
          <w:sz w:val="24"/>
        </w:rPr>
        <w:t>76-106.</w:t>
      </w:r>
    </w:p>
    <w:p>
      <w:pPr>
        <w:pStyle w:val="ListParagraph"/>
        <w:numPr>
          <w:ilvl w:val="0"/>
          <w:numId w:val="41"/>
        </w:numPr>
        <w:tabs>
          <w:tab w:pos="917" w:val="left" w:leader="none"/>
        </w:tabs>
        <w:spacing w:line="362" w:lineRule="auto" w:before="3" w:after="0"/>
        <w:ind w:left="917" w:right="279" w:hanging="361"/>
        <w:jc w:val="both"/>
        <w:rPr>
          <w:sz w:val="24"/>
        </w:rPr>
      </w:pPr>
      <w:r>
        <w:rPr>
          <w:sz w:val="24"/>
        </w:rPr>
        <w:t>Shivakumar </w:t>
      </w:r>
      <w:r>
        <w:rPr>
          <w:spacing w:val="-2"/>
          <w:sz w:val="24"/>
        </w:rPr>
        <w:t>KM, </w:t>
      </w:r>
      <w:r>
        <w:rPr>
          <w:sz w:val="24"/>
        </w:rPr>
        <w:t>Vidya SK, Chandu GN. Dental caries vaccine. Indian J Dent Res 2009; 20:</w:t>
      </w:r>
      <w:r>
        <w:rPr>
          <w:spacing w:val="-6"/>
          <w:sz w:val="24"/>
        </w:rPr>
        <w:t> </w:t>
      </w:r>
      <w:r>
        <w:rPr>
          <w:sz w:val="24"/>
        </w:rPr>
        <w:t>99-106.</w:t>
      </w:r>
    </w:p>
    <w:p>
      <w:pPr>
        <w:pStyle w:val="ListParagraph"/>
        <w:numPr>
          <w:ilvl w:val="0"/>
          <w:numId w:val="41"/>
        </w:numPr>
        <w:tabs>
          <w:tab w:pos="917" w:val="left" w:leader="none"/>
        </w:tabs>
        <w:spacing w:line="360" w:lineRule="auto" w:before="0" w:after="0"/>
        <w:ind w:left="917" w:right="275" w:hanging="361"/>
        <w:jc w:val="both"/>
        <w:rPr>
          <w:sz w:val="24"/>
        </w:rPr>
      </w:pPr>
      <w:r>
        <w:rPr>
          <w:sz w:val="24"/>
        </w:rPr>
        <w:t>Kaur A, Gupta N, Sharma S. Immunology of dental caries and caries vaccine - Part I. Int J Pharm Biomed Sci 2013; 4(4):</w:t>
      </w:r>
      <w:r>
        <w:rPr>
          <w:spacing w:val="-15"/>
          <w:sz w:val="24"/>
        </w:rPr>
        <w:t> </w:t>
      </w:r>
      <w:r>
        <w:rPr>
          <w:sz w:val="24"/>
        </w:rPr>
        <w:t>131-136.</w:t>
      </w:r>
    </w:p>
    <w:p>
      <w:pPr>
        <w:pStyle w:val="ListParagraph"/>
        <w:numPr>
          <w:ilvl w:val="0"/>
          <w:numId w:val="41"/>
        </w:numPr>
        <w:tabs>
          <w:tab w:pos="917" w:val="left" w:leader="none"/>
        </w:tabs>
        <w:spacing w:line="360" w:lineRule="auto" w:before="3" w:after="0"/>
        <w:ind w:left="917" w:right="291" w:hanging="361"/>
        <w:jc w:val="both"/>
        <w:rPr>
          <w:sz w:val="24"/>
        </w:rPr>
      </w:pPr>
      <w:r>
        <w:rPr>
          <w:sz w:val="24"/>
        </w:rPr>
        <w:t>Marsh PD, Martin </w:t>
      </w:r>
      <w:r>
        <w:rPr>
          <w:spacing w:val="-2"/>
          <w:sz w:val="24"/>
        </w:rPr>
        <w:t>MV. </w:t>
      </w:r>
      <w:r>
        <w:rPr>
          <w:sz w:val="24"/>
        </w:rPr>
        <w:t>Microbiología oral. 5ª ed. Gran Bretaña: Ed. Amolca; 2011. p.</w:t>
      </w:r>
      <w:r>
        <w:rPr>
          <w:spacing w:val="-6"/>
          <w:sz w:val="24"/>
        </w:rPr>
        <w:t> </w:t>
      </w:r>
      <w:r>
        <w:rPr>
          <w:sz w:val="24"/>
        </w:rPr>
        <w:t>11-14.</w:t>
      </w:r>
    </w:p>
    <w:p>
      <w:pPr>
        <w:pStyle w:val="ListParagraph"/>
        <w:numPr>
          <w:ilvl w:val="0"/>
          <w:numId w:val="41"/>
        </w:numPr>
        <w:tabs>
          <w:tab w:pos="917" w:val="left" w:leader="none"/>
        </w:tabs>
        <w:spacing w:line="360" w:lineRule="auto" w:before="7" w:after="0"/>
        <w:ind w:left="917" w:right="288" w:hanging="361"/>
        <w:jc w:val="both"/>
        <w:rPr>
          <w:sz w:val="24"/>
        </w:rPr>
      </w:pPr>
      <w:r>
        <w:rPr>
          <w:sz w:val="24"/>
        </w:rPr>
        <w:t>Llena-Puy C. The rôle of saliva in maintaining oral health and as an aid to diagnosis. Med Oral Patol Oral Cir Bucal 2006; 11:</w:t>
      </w:r>
      <w:r>
        <w:rPr>
          <w:spacing w:val="-16"/>
          <w:sz w:val="24"/>
        </w:rPr>
        <w:t> </w:t>
      </w:r>
      <w:r>
        <w:rPr>
          <w:sz w:val="24"/>
        </w:rPr>
        <w:t>E449-55.</w:t>
      </w:r>
    </w:p>
    <w:p>
      <w:pPr>
        <w:pStyle w:val="ListParagraph"/>
        <w:numPr>
          <w:ilvl w:val="0"/>
          <w:numId w:val="41"/>
        </w:numPr>
        <w:tabs>
          <w:tab w:pos="917" w:val="left" w:leader="none"/>
        </w:tabs>
        <w:spacing w:line="360" w:lineRule="auto" w:before="2" w:after="0"/>
        <w:ind w:left="917" w:right="287" w:hanging="361"/>
        <w:jc w:val="both"/>
        <w:rPr>
          <w:sz w:val="24"/>
        </w:rPr>
      </w:pPr>
      <w:r>
        <w:rPr>
          <w:sz w:val="24"/>
        </w:rPr>
        <w:t>Cheng YS, Rees T, Wright J. A review of research on salivary biomarkers for oral cancer detection. Clin Transl Med 2014; 3 (1):</w:t>
      </w:r>
      <w:r>
        <w:rPr>
          <w:spacing w:val="-21"/>
          <w:sz w:val="24"/>
        </w:rPr>
        <w:t> </w:t>
      </w:r>
      <w:r>
        <w:rPr>
          <w:sz w:val="24"/>
        </w:rPr>
        <w:t>3.</w:t>
      </w:r>
    </w:p>
    <w:p>
      <w:pPr>
        <w:pStyle w:val="ListParagraph"/>
        <w:numPr>
          <w:ilvl w:val="0"/>
          <w:numId w:val="41"/>
        </w:numPr>
        <w:tabs>
          <w:tab w:pos="917" w:val="left" w:leader="none"/>
        </w:tabs>
        <w:spacing w:line="360" w:lineRule="auto" w:before="7" w:after="0"/>
        <w:ind w:left="917" w:right="274" w:hanging="361"/>
        <w:jc w:val="both"/>
        <w:rPr>
          <w:sz w:val="24"/>
        </w:rPr>
      </w:pPr>
      <w:r>
        <w:rPr>
          <w:sz w:val="24"/>
        </w:rPr>
        <w:t>Deepa T, Thirrunavukkarasu N. Saliva as a potential diagnostic tool. Indian J Med Sci 2010; 64 (7):</w:t>
      </w:r>
      <w:r>
        <w:rPr>
          <w:spacing w:val="-11"/>
          <w:sz w:val="24"/>
        </w:rPr>
        <w:t> </w:t>
      </w:r>
      <w:r>
        <w:rPr>
          <w:sz w:val="24"/>
        </w:rPr>
        <w:t>293-306.</w:t>
      </w:r>
    </w:p>
    <w:p>
      <w:pPr>
        <w:pStyle w:val="ListParagraph"/>
        <w:numPr>
          <w:ilvl w:val="0"/>
          <w:numId w:val="41"/>
        </w:numPr>
        <w:tabs>
          <w:tab w:pos="917" w:val="left" w:leader="none"/>
        </w:tabs>
        <w:spacing w:line="360" w:lineRule="auto" w:before="2" w:after="0"/>
        <w:ind w:left="917" w:right="291" w:hanging="361"/>
        <w:jc w:val="both"/>
        <w:rPr>
          <w:sz w:val="24"/>
        </w:rPr>
      </w:pPr>
      <w:r>
        <w:rPr>
          <w:sz w:val="24"/>
        </w:rPr>
        <w:t>Bonne NJ, Wong TD. Salivary biomarker development using genomic, proteomic and metabolomic approaches. Genome Med 2012; 4 (10):</w:t>
      </w:r>
      <w:r>
        <w:rPr>
          <w:spacing w:val="-21"/>
          <w:sz w:val="24"/>
        </w:rPr>
        <w:t> </w:t>
      </w:r>
      <w:r>
        <w:rPr>
          <w:sz w:val="24"/>
        </w:rPr>
        <w:t>82.</w:t>
      </w:r>
    </w:p>
    <w:p>
      <w:pPr>
        <w:spacing w:after="0" w:line="360" w:lineRule="auto"/>
        <w:jc w:val="both"/>
        <w:rPr>
          <w:sz w:val="24"/>
        </w:rPr>
        <w:sectPr>
          <w:pgSz w:w="12240" w:h="15840"/>
          <w:pgMar w:header="726" w:footer="1031" w:top="1340" w:bottom="1220" w:left="1220" w:right="1420"/>
        </w:sectPr>
      </w:pPr>
    </w:p>
    <w:p>
      <w:pPr>
        <w:pStyle w:val="BodyText"/>
        <w:spacing w:before="3"/>
        <w:rPr>
          <w:sz w:val="23"/>
        </w:rPr>
      </w:pPr>
    </w:p>
    <w:p>
      <w:pPr>
        <w:pStyle w:val="ListParagraph"/>
        <w:numPr>
          <w:ilvl w:val="0"/>
          <w:numId w:val="41"/>
        </w:numPr>
        <w:tabs>
          <w:tab w:pos="917" w:val="left" w:leader="none"/>
        </w:tabs>
        <w:spacing w:line="362" w:lineRule="auto" w:before="69" w:after="0"/>
        <w:ind w:left="917" w:right="274" w:hanging="361"/>
        <w:jc w:val="both"/>
        <w:rPr>
          <w:sz w:val="24"/>
        </w:rPr>
      </w:pPr>
      <w:r>
        <w:rPr>
          <w:sz w:val="24"/>
        </w:rPr>
        <w:t>Shah FD, Begum R, Vajaria BN, Patel KR, Patel JB, Shukla SN, </w:t>
      </w:r>
      <w:r>
        <w:rPr>
          <w:i/>
          <w:sz w:val="24"/>
        </w:rPr>
        <w:t>et al</w:t>
      </w:r>
      <w:r>
        <w:rPr>
          <w:sz w:val="24"/>
        </w:rPr>
        <w:t>. A review on salivary genomics and proteomics biomarkers in oral cancer. Ind J Clin Biochem 2011; 26 (4):</w:t>
      </w:r>
      <w:r>
        <w:rPr>
          <w:spacing w:val="-10"/>
          <w:sz w:val="24"/>
        </w:rPr>
        <w:t> </w:t>
      </w:r>
      <w:r>
        <w:rPr>
          <w:sz w:val="24"/>
        </w:rPr>
        <w:t>326-334.</w:t>
      </w:r>
    </w:p>
    <w:p>
      <w:pPr>
        <w:pStyle w:val="ListParagraph"/>
        <w:numPr>
          <w:ilvl w:val="0"/>
          <w:numId w:val="41"/>
        </w:numPr>
        <w:tabs>
          <w:tab w:pos="917" w:val="left" w:leader="none"/>
        </w:tabs>
        <w:spacing w:line="360" w:lineRule="auto" w:before="0" w:after="0"/>
        <w:ind w:left="917" w:right="279" w:hanging="361"/>
        <w:jc w:val="both"/>
        <w:rPr>
          <w:sz w:val="24"/>
        </w:rPr>
      </w:pPr>
      <w:r>
        <w:rPr>
          <w:sz w:val="24"/>
        </w:rPr>
        <w:t>Spielmann N, Wong DT. Saliva: diagnostics and therapeutic perspectives. Oral Dis 2011; 17 (4):</w:t>
      </w:r>
      <w:r>
        <w:rPr>
          <w:spacing w:val="-7"/>
          <w:sz w:val="24"/>
        </w:rPr>
        <w:t> </w:t>
      </w:r>
      <w:r>
        <w:rPr>
          <w:sz w:val="24"/>
        </w:rPr>
        <w:t>345-354.</w:t>
      </w:r>
    </w:p>
    <w:p>
      <w:pPr>
        <w:pStyle w:val="ListParagraph"/>
        <w:numPr>
          <w:ilvl w:val="0"/>
          <w:numId w:val="41"/>
        </w:numPr>
        <w:tabs>
          <w:tab w:pos="917" w:val="left" w:leader="none"/>
        </w:tabs>
        <w:spacing w:line="360" w:lineRule="auto" w:before="8" w:after="0"/>
        <w:ind w:left="917" w:right="276" w:hanging="361"/>
        <w:jc w:val="both"/>
        <w:rPr>
          <w:sz w:val="24"/>
        </w:rPr>
      </w:pPr>
      <w:r>
        <w:rPr>
          <w:sz w:val="24"/>
        </w:rPr>
        <w:t>Helmerhorst EJ, Oppenheim FG. Saliva: a dynamic proteome. J Dent Res 2007; 86:</w:t>
      </w:r>
      <w:r>
        <w:rPr>
          <w:spacing w:val="-6"/>
          <w:sz w:val="24"/>
        </w:rPr>
        <w:t> </w:t>
      </w:r>
      <w:r>
        <w:rPr>
          <w:sz w:val="24"/>
        </w:rPr>
        <w:t>680-693.</w:t>
      </w:r>
    </w:p>
    <w:p>
      <w:pPr>
        <w:pStyle w:val="ListParagraph"/>
        <w:numPr>
          <w:ilvl w:val="0"/>
          <w:numId w:val="41"/>
        </w:numPr>
        <w:tabs>
          <w:tab w:pos="917" w:val="left" w:leader="none"/>
        </w:tabs>
        <w:spacing w:line="362" w:lineRule="auto" w:before="2" w:after="0"/>
        <w:ind w:left="917" w:right="275" w:hanging="361"/>
        <w:jc w:val="both"/>
        <w:rPr>
          <w:sz w:val="24"/>
        </w:rPr>
      </w:pPr>
      <w:r>
        <w:rPr>
          <w:sz w:val="24"/>
        </w:rPr>
        <w:t>Giannobile </w:t>
      </w:r>
      <w:r>
        <w:rPr>
          <w:spacing w:val="2"/>
          <w:sz w:val="24"/>
        </w:rPr>
        <w:t>WV, </w:t>
      </w:r>
      <w:r>
        <w:rPr>
          <w:sz w:val="24"/>
        </w:rPr>
        <w:t>McDevitt JT, Niedbala RS, Malamud D. Translational and clinical applications of salivary diagnostics. Adv Dent Res 2011; 23 (4): 375- 380.</w:t>
      </w:r>
    </w:p>
    <w:p>
      <w:pPr>
        <w:pStyle w:val="ListParagraph"/>
        <w:numPr>
          <w:ilvl w:val="0"/>
          <w:numId w:val="41"/>
        </w:numPr>
        <w:tabs>
          <w:tab w:pos="917" w:val="left" w:leader="none"/>
        </w:tabs>
        <w:spacing w:line="360" w:lineRule="auto" w:before="0" w:after="0"/>
        <w:ind w:left="917" w:right="281" w:hanging="361"/>
        <w:jc w:val="both"/>
        <w:rPr>
          <w:sz w:val="24"/>
        </w:rPr>
      </w:pPr>
      <w:r>
        <w:rPr>
          <w:sz w:val="24"/>
        </w:rPr>
        <w:t>Li Y, Zhou X, St John </w:t>
      </w:r>
      <w:r>
        <w:rPr>
          <w:spacing w:val="-2"/>
          <w:sz w:val="24"/>
        </w:rPr>
        <w:t>MA, </w:t>
      </w:r>
      <w:r>
        <w:rPr>
          <w:spacing w:val="2"/>
          <w:sz w:val="24"/>
        </w:rPr>
        <w:t>Wong </w:t>
      </w:r>
      <w:r>
        <w:rPr>
          <w:sz w:val="24"/>
        </w:rPr>
        <w:t>DT. RNA profiling of cell-free saliva using microarray technology. J Dent Res 2004; 83 (3):</w:t>
      </w:r>
      <w:r>
        <w:rPr>
          <w:spacing w:val="-14"/>
          <w:sz w:val="24"/>
        </w:rPr>
        <w:t> </w:t>
      </w:r>
      <w:r>
        <w:rPr>
          <w:sz w:val="24"/>
        </w:rPr>
        <w:t>199-203.</w:t>
      </w:r>
    </w:p>
    <w:p>
      <w:pPr>
        <w:pStyle w:val="ListParagraph"/>
        <w:numPr>
          <w:ilvl w:val="0"/>
          <w:numId w:val="41"/>
        </w:numPr>
        <w:tabs>
          <w:tab w:pos="917" w:val="left" w:leader="none"/>
        </w:tabs>
        <w:spacing w:line="360" w:lineRule="auto" w:before="3" w:after="0"/>
        <w:ind w:left="917" w:right="275" w:hanging="361"/>
        <w:jc w:val="both"/>
        <w:rPr>
          <w:sz w:val="24"/>
        </w:rPr>
      </w:pPr>
      <w:r>
        <w:rPr>
          <w:sz w:val="24"/>
        </w:rPr>
        <w:t>Elashoff D, Zhou H, Reiss J, Wang J, Henson B, Hu S, el al. Pre-Validation of salivary biomarkers for oral cancer detection. Cancer Epidemiol Biomarkers Prev 2012; 21 (4):</w:t>
      </w:r>
      <w:r>
        <w:rPr>
          <w:spacing w:val="-10"/>
          <w:sz w:val="24"/>
        </w:rPr>
        <w:t> </w:t>
      </w:r>
      <w:r>
        <w:rPr>
          <w:sz w:val="24"/>
        </w:rPr>
        <w:t>664-672.</w:t>
      </w:r>
    </w:p>
    <w:p>
      <w:pPr>
        <w:pStyle w:val="ListParagraph"/>
        <w:numPr>
          <w:ilvl w:val="0"/>
          <w:numId w:val="41"/>
        </w:numPr>
        <w:tabs>
          <w:tab w:pos="917" w:val="left" w:leader="none"/>
        </w:tabs>
        <w:spacing w:line="362" w:lineRule="auto" w:before="2" w:after="0"/>
        <w:ind w:left="917" w:right="274" w:hanging="361"/>
        <w:jc w:val="both"/>
        <w:rPr>
          <w:sz w:val="24"/>
        </w:rPr>
      </w:pPr>
      <w:r>
        <w:rPr>
          <w:sz w:val="24"/>
        </w:rPr>
        <w:t>Zhang L, Farrell J, Zhou H, Elashoff D, Akin D, Park NH, </w:t>
      </w:r>
      <w:r>
        <w:rPr>
          <w:i/>
          <w:sz w:val="24"/>
        </w:rPr>
        <w:t>et al</w:t>
      </w:r>
      <w:r>
        <w:rPr>
          <w:sz w:val="24"/>
        </w:rPr>
        <w:t>. Salivary transcriptomic biomarkers for detection of resectable pancreatic cancer. Gastroenterology 2010; 138 (3):</w:t>
      </w:r>
      <w:r>
        <w:rPr>
          <w:spacing w:val="-13"/>
          <w:sz w:val="24"/>
        </w:rPr>
        <w:t> </w:t>
      </w:r>
      <w:r>
        <w:rPr>
          <w:sz w:val="24"/>
        </w:rPr>
        <w:t>949–957.</w:t>
      </w:r>
    </w:p>
    <w:p>
      <w:pPr>
        <w:pStyle w:val="ListParagraph"/>
        <w:numPr>
          <w:ilvl w:val="0"/>
          <w:numId w:val="41"/>
        </w:numPr>
        <w:tabs>
          <w:tab w:pos="917" w:val="left" w:leader="none"/>
        </w:tabs>
        <w:spacing w:line="360" w:lineRule="auto" w:before="0" w:after="0"/>
        <w:ind w:left="917" w:right="277" w:hanging="361"/>
        <w:jc w:val="both"/>
        <w:rPr>
          <w:sz w:val="24"/>
        </w:rPr>
      </w:pPr>
      <w:r>
        <w:rPr>
          <w:sz w:val="24"/>
        </w:rPr>
        <w:t>Ruhl S. The scientific exploration of saliva in the post-proteomic era: from database back to basic function. Expert Rev Proteomics 2012; 9 (1):</w:t>
      </w:r>
      <w:r>
        <w:rPr>
          <w:spacing w:val="-20"/>
          <w:sz w:val="24"/>
        </w:rPr>
        <w:t> </w:t>
      </w:r>
      <w:r>
        <w:rPr>
          <w:sz w:val="24"/>
        </w:rPr>
        <w:t>85-96.</w:t>
      </w:r>
    </w:p>
    <w:p>
      <w:pPr>
        <w:pStyle w:val="ListParagraph"/>
        <w:numPr>
          <w:ilvl w:val="0"/>
          <w:numId w:val="41"/>
        </w:numPr>
        <w:tabs>
          <w:tab w:pos="917" w:val="left" w:leader="none"/>
        </w:tabs>
        <w:spacing w:line="360" w:lineRule="auto" w:before="3" w:after="0"/>
        <w:ind w:left="917" w:right="282" w:hanging="361"/>
        <w:jc w:val="both"/>
        <w:rPr>
          <w:sz w:val="24"/>
        </w:rPr>
      </w:pPr>
      <w:r>
        <w:rPr>
          <w:sz w:val="24"/>
        </w:rPr>
        <w:t>Ito T, Komiya-Ito A, Arataki T, Furuya Y, Yajima Y, Yamada S, </w:t>
      </w:r>
      <w:r>
        <w:rPr>
          <w:i/>
          <w:sz w:val="24"/>
        </w:rPr>
        <w:t>et al</w:t>
      </w:r>
      <w:r>
        <w:rPr>
          <w:sz w:val="24"/>
        </w:rPr>
        <w:t>. Relationship between antimicrobial protein levels in whole saliva and periodontitis. J Periodontol 2008; 79 (2):</w:t>
      </w:r>
      <w:r>
        <w:rPr>
          <w:spacing w:val="-21"/>
          <w:sz w:val="24"/>
        </w:rPr>
        <w:t> </w:t>
      </w:r>
      <w:r>
        <w:rPr>
          <w:sz w:val="24"/>
        </w:rPr>
        <w:t>316-322.</w:t>
      </w:r>
    </w:p>
    <w:p>
      <w:pPr>
        <w:pStyle w:val="ListParagraph"/>
        <w:numPr>
          <w:ilvl w:val="0"/>
          <w:numId w:val="41"/>
        </w:numPr>
        <w:tabs>
          <w:tab w:pos="917" w:val="left" w:leader="none"/>
        </w:tabs>
        <w:spacing w:line="360" w:lineRule="auto" w:before="3" w:after="0"/>
        <w:ind w:left="917" w:right="284" w:hanging="361"/>
        <w:jc w:val="both"/>
        <w:rPr>
          <w:sz w:val="24"/>
        </w:rPr>
      </w:pPr>
      <w:r>
        <w:rPr>
          <w:sz w:val="24"/>
        </w:rPr>
        <w:t>Rudney JD, Staikov RK, Johnson JD. Potential biomarkers of human salivary function: a modified proteomic approach. Arch Oral Biol 2009; 54 (1):</w:t>
      </w:r>
      <w:r>
        <w:rPr>
          <w:spacing w:val="-25"/>
          <w:sz w:val="24"/>
        </w:rPr>
        <w:t> </w:t>
      </w:r>
      <w:r>
        <w:rPr>
          <w:sz w:val="24"/>
        </w:rPr>
        <w:t>91-100.</w:t>
      </w:r>
    </w:p>
    <w:p>
      <w:pPr>
        <w:pStyle w:val="ListParagraph"/>
        <w:numPr>
          <w:ilvl w:val="0"/>
          <w:numId w:val="41"/>
        </w:numPr>
        <w:tabs>
          <w:tab w:pos="917" w:val="left" w:leader="none"/>
        </w:tabs>
        <w:spacing w:line="362" w:lineRule="auto" w:before="2" w:after="0"/>
        <w:ind w:left="917" w:right="279" w:hanging="361"/>
        <w:jc w:val="both"/>
        <w:rPr>
          <w:sz w:val="24"/>
        </w:rPr>
      </w:pPr>
      <w:r>
        <w:rPr>
          <w:sz w:val="24"/>
        </w:rPr>
        <w:t>Thompson MW, McInnes RR, Willard HF. Genética en medicina. 4ª ed. Barcelona, España: Ed. Masson; 1996. p.</w:t>
      </w:r>
      <w:r>
        <w:rPr>
          <w:spacing w:val="-18"/>
          <w:sz w:val="24"/>
        </w:rPr>
        <w:t> </w:t>
      </w:r>
      <w:r>
        <w:rPr>
          <w:sz w:val="24"/>
        </w:rPr>
        <w:t>330-2.</w:t>
      </w:r>
    </w:p>
    <w:p>
      <w:pPr>
        <w:pStyle w:val="ListParagraph"/>
        <w:numPr>
          <w:ilvl w:val="0"/>
          <w:numId w:val="41"/>
        </w:numPr>
        <w:tabs>
          <w:tab w:pos="917" w:val="left" w:leader="none"/>
        </w:tabs>
        <w:spacing w:line="360" w:lineRule="auto" w:before="0" w:after="0"/>
        <w:ind w:left="917" w:right="277" w:hanging="361"/>
        <w:jc w:val="both"/>
        <w:rPr>
          <w:sz w:val="24"/>
        </w:rPr>
      </w:pPr>
      <w:r>
        <w:rPr>
          <w:sz w:val="24"/>
        </w:rPr>
        <w:t>Kozera B, Rapacz M. Reference genes in real-time PCR. J Appl Genetics 2013; 54:</w:t>
      </w:r>
      <w:r>
        <w:rPr>
          <w:spacing w:val="-6"/>
          <w:sz w:val="24"/>
        </w:rPr>
        <w:t> </w:t>
      </w:r>
      <w:r>
        <w:rPr>
          <w:sz w:val="24"/>
        </w:rPr>
        <w:t>391-406</w:t>
      </w:r>
    </w:p>
    <w:p>
      <w:pPr>
        <w:pStyle w:val="ListParagraph"/>
        <w:numPr>
          <w:ilvl w:val="0"/>
          <w:numId w:val="41"/>
        </w:numPr>
        <w:tabs>
          <w:tab w:pos="917" w:val="left" w:leader="none"/>
        </w:tabs>
        <w:spacing w:line="362" w:lineRule="auto" w:before="2" w:after="0"/>
        <w:ind w:left="917" w:right="275" w:hanging="361"/>
        <w:jc w:val="both"/>
        <w:rPr>
          <w:sz w:val="24"/>
        </w:rPr>
      </w:pPr>
      <w:r>
        <w:rPr>
          <w:sz w:val="24"/>
        </w:rPr>
        <w:t>Sistemas de detección de patógenos por PCR a tiempo real. Guía de Interpretación de resultados. Microbial. México</w:t>
      </w:r>
      <w:r>
        <w:rPr>
          <w:spacing w:val="-14"/>
          <w:sz w:val="24"/>
        </w:rPr>
        <w:t> </w:t>
      </w:r>
      <w:r>
        <w:rPr>
          <w:sz w:val="24"/>
        </w:rPr>
        <w:t>2009</w:t>
      </w:r>
    </w:p>
    <w:p>
      <w:pPr>
        <w:spacing w:after="0" w:line="362" w:lineRule="auto"/>
        <w:jc w:val="both"/>
        <w:rPr>
          <w:sz w:val="24"/>
        </w:rPr>
        <w:sectPr>
          <w:pgSz w:w="12240" w:h="15840"/>
          <w:pgMar w:header="726" w:footer="1031" w:top="1340" w:bottom="1220" w:left="1220" w:right="1420"/>
        </w:sectPr>
      </w:pPr>
    </w:p>
    <w:p>
      <w:pPr>
        <w:pStyle w:val="BodyText"/>
        <w:spacing w:before="3"/>
        <w:rPr>
          <w:sz w:val="23"/>
        </w:rPr>
      </w:pPr>
    </w:p>
    <w:p>
      <w:pPr>
        <w:pStyle w:val="BodyText"/>
        <w:spacing w:line="364" w:lineRule="auto" w:before="69"/>
        <w:ind w:left="916"/>
      </w:pPr>
      <w:r>
        <w:rPr/>
        <w:t>[Acceso el 27 de marzo de 2013] Disponible en: http://www.microbial- systems.com/web/docs/Guia_interpretacion_resultados_SPAv2.pdf</w:t>
      </w:r>
    </w:p>
    <w:p>
      <w:pPr>
        <w:pStyle w:val="ListParagraph"/>
        <w:numPr>
          <w:ilvl w:val="0"/>
          <w:numId w:val="41"/>
        </w:numPr>
        <w:tabs>
          <w:tab w:pos="917" w:val="left" w:leader="none"/>
        </w:tabs>
        <w:spacing w:line="360" w:lineRule="auto" w:before="0" w:after="0"/>
        <w:ind w:left="917" w:right="275" w:hanging="361"/>
        <w:jc w:val="both"/>
        <w:rPr>
          <w:sz w:val="24"/>
        </w:rPr>
      </w:pPr>
      <w:r>
        <w:rPr>
          <w:sz w:val="24"/>
        </w:rPr>
        <w:t>Roche. PCR: an outstanding method. EUA. [Acceso el 21 de Febrero de 2013] Disponible en:</w:t>
      </w:r>
      <w:r>
        <w:rPr>
          <w:spacing w:val="-26"/>
          <w:sz w:val="24"/>
        </w:rPr>
        <w:t> </w:t>
      </w:r>
      <w:hyperlink r:id="rId87">
        <w:r>
          <w:rPr>
            <w:sz w:val="24"/>
          </w:rPr>
          <w:t>http://www.roche.com/pages/facets/pcr_e.pdf</w:t>
        </w:r>
      </w:hyperlink>
    </w:p>
    <w:p>
      <w:pPr>
        <w:pStyle w:val="ListParagraph"/>
        <w:numPr>
          <w:ilvl w:val="0"/>
          <w:numId w:val="41"/>
        </w:numPr>
        <w:tabs>
          <w:tab w:pos="917" w:val="left" w:leader="none"/>
        </w:tabs>
        <w:spacing w:line="362" w:lineRule="auto" w:before="2" w:after="0"/>
        <w:ind w:left="917" w:right="287" w:hanging="361"/>
        <w:jc w:val="both"/>
        <w:rPr>
          <w:sz w:val="24"/>
        </w:rPr>
      </w:pPr>
      <w:r>
        <w:rPr>
          <w:sz w:val="24"/>
        </w:rPr>
        <w:t>Vinueza-Burgos C. PCR en Tiempo Real: la nueva era de la información genética celular. Revista Electrónica de Veterinaria 2009; 10 (2):</w:t>
      </w:r>
      <w:r>
        <w:rPr>
          <w:spacing w:val="-22"/>
          <w:sz w:val="24"/>
        </w:rPr>
        <w:t> </w:t>
      </w:r>
      <w:r>
        <w:rPr>
          <w:sz w:val="24"/>
        </w:rPr>
        <w:t>1-13.</w:t>
      </w:r>
    </w:p>
    <w:p>
      <w:pPr>
        <w:pStyle w:val="ListParagraph"/>
        <w:numPr>
          <w:ilvl w:val="0"/>
          <w:numId w:val="41"/>
        </w:numPr>
        <w:tabs>
          <w:tab w:pos="917" w:val="left" w:leader="none"/>
        </w:tabs>
        <w:spacing w:line="360" w:lineRule="auto" w:before="0" w:after="0"/>
        <w:ind w:left="917" w:right="278" w:hanging="361"/>
        <w:jc w:val="both"/>
        <w:rPr>
          <w:sz w:val="24"/>
        </w:rPr>
      </w:pPr>
      <w:r>
        <w:rPr>
          <w:sz w:val="24"/>
        </w:rPr>
        <w:t>VanGuilder HE, Vrana KE, Freeman </w:t>
      </w:r>
      <w:r>
        <w:rPr>
          <w:spacing w:val="3"/>
          <w:sz w:val="24"/>
        </w:rPr>
        <w:t>WM. </w:t>
      </w:r>
      <w:r>
        <w:rPr>
          <w:sz w:val="24"/>
        </w:rPr>
        <w:t>Twenty-five years of quantitative PCR for gene expression analysis BioTechniques 2008; 44 (5):</w:t>
      </w:r>
      <w:r>
        <w:rPr>
          <w:spacing w:val="-21"/>
          <w:sz w:val="24"/>
        </w:rPr>
        <w:t> </w:t>
      </w:r>
      <w:r>
        <w:rPr>
          <w:sz w:val="24"/>
        </w:rPr>
        <w:t>619-626.</w:t>
      </w:r>
    </w:p>
    <w:p>
      <w:pPr>
        <w:pStyle w:val="ListParagraph"/>
        <w:numPr>
          <w:ilvl w:val="0"/>
          <w:numId w:val="41"/>
        </w:numPr>
        <w:tabs>
          <w:tab w:pos="917" w:val="left" w:leader="none"/>
        </w:tabs>
        <w:spacing w:line="364" w:lineRule="auto" w:before="2" w:after="0"/>
        <w:ind w:left="917" w:right="278" w:hanging="361"/>
        <w:jc w:val="both"/>
        <w:rPr>
          <w:sz w:val="24"/>
        </w:rPr>
      </w:pPr>
      <w:r>
        <w:rPr>
          <w:sz w:val="24"/>
        </w:rPr>
        <w:t>Bolivar </w:t>
      </w:r>
      <w:r>
        <w:rPr>
          <w:spacing w:val="-2"/>
          <w:sz w:val="24"/>
        </w:rPr>
        <w:t>AM, </w:t>
      </w:r>
      <w:r>
        <w:rPr>
          <w:sz w:val="24"/>
        </w:rPr>
        <w:t>Rojas A, Garcia Lugo P. PCR y PCR-Múltiple: parámetros críticos y protocolo de estandarización. Avances en Biomedicina 2014; 3 (1):</w:t>
      </w:r>
      <w:r>
        <w:rPr>
          <w:spacing w:val="-26"/>
          <w:sz w:val="24"/>
        </w:rPr>
        <w:t> </w:t>
      </w:r>
      <w:r>
        <w:rPr>
          <w:sz w:val="24"/>
        </w:rPr>
        <w:t>25-33.</w:t>
      </w:r>
    </w:p>
    <w:p>
      <w:pPr>
        <w:pStyle w:val="ListParagraph"/>
        <w:numPr>
          <w:ilvl w:val="0"/>
          <w:numId w:val="41"/>
        </w:numPr>
        <w:tabs>
          <w:tab w:pos="917" w:val="left" w:leader="none"/>
        </w:tabs>
        <w:spacing w:line="360" w:lineRule="auto" w:before="0" w:after="0"/>
        <w:ind w:left="917" w:right="278" w:hanging="361"/>
        <w:jc w:val="both"/>
        <w:rPr>
          <w:sz w:val="24"/>
        </w:rPr>
      </w:pPr>
      <w:r>
        <w:rPr>
          <w:sz w:val="24"/>
        </w:rPr>
        <w:t>Hunt Margaret. Microbiology and Immunology On-line. University of South Carolina School of Medicine. EUA 2010 [Acceso el 17 de marzo de 2013] Disponible en:</w:t>
      </w:r>
      <w:r>
        <w:rPr>
          <w:spacing w:val="-22"/>
          <w:sz w:val="24"/>
        </w:rPr>
        <w:t> </w:t>
      </w:r>
      <w:hyperlink r:id="rId88">
        <w:r>
          <w:rPr>
            <w:sz w:val="24"/>
          </w:rPr>
          <w:t>http://pathmicro.med.sc.edu/pcr/realtime-home.htm</w:t>
        </w:r>
      </w:hyperlink>
    </w:p>
    <w:p>
      <w:pPr>
        <w:pStyle w:val="ListParagraph"/>
        <w:numPr>
          <w:ilvl w:val="0"/>
          <w:numId w:val="41"/>
        </w:numPr>
        <w:tabs>
          <w:tab w:pos="917" w:val="left" w:leader="none"/>
        </w:tabs>
        <w:spacing w:line="360" w:lineRule="auto" w:before="7" w:after="0"/>
        <w:ind w:left="917" w:right="281" w:hanging="361"/>
        <w:jc w:val="both"/>
        <w:rPr>
          <w:sz w:val="24"/>
        </w:rPr>
      </w:pPr>
      <w:r>
        <w:rPr>
          <w:sz w:val="24"/>
        </w:rPr>
        <w:t>Vandesompele J. qPCR guide. Eurogentec. EUA 2008 [Acceso el 6 de marzo de 2013] Disponible en:</w:t>
      </w:r>
      <w:r>
        <w:rPr>
          <w:spacing w:val="-18"/>
          <w:sz w:val="24"/>
        </w:rPr>
        <w:t> </w:t>
      </w:r>
      <w:hyperlink r:id="rId89">
        <w:r>
          <w:rPr>
            <w:sz w:val="24"/>
          </w:rPr>
          <w:t>http://www.eurogentec.com/uploads/qPCR-guide.pdf</w:t>
        </w:r>
      </w:hyperlink>
    </w:p>
    <w:p>
      <w:pPr>
        <w:pStyle w:val="ListParagraph"/>
        <w:numPr>
          <w:ilvl w:val="0"/>
          <w:numId w:val="41"/>
        </w:numPr>
        <w:tabs>
          <w:tab w:pos="917" w:val="left" w:leader="none"/>
        </w:tabs>
        <w:spacing w:line="360" w:lineRule="auto" w:before="2" w:after="0"/>
        <w:ind w:left="917" w:right="280" w:hanging="361"/>
        <w:jc w:val="both"/>
        <w:rPr>
          <w:sz w:val="24"/>
        </w:rPr>
      </w:pPr>
      <w:r>
        <w:rPr>
          <w:sz w:val="24"/>
        </w:rPr>
        <w:t>Wong ML, Medrano JF. Real-time PCR for mRNA quantitation. Biotechniques 2005; 39 (1):</w:t>
      </w:r>
      <w:r>
        <w:rPr>
          <w:spacing w:val="-9"/>
          <w:sz w:val="24"/>
        </w:rPr>
        <w:t> </w:t>
      </w:r>
      <w:r>
        <w:rPr>
          <w:sz w:val="24"/>
        </w:rPr>
        <w:t>75-85.</w:t>
      </w:r>
    </w:p>
    <w:p>
      <w:pPr>
        <w:pStyle w:val="ListParagraph"/>
        <w:numPr>
          <w:ilvl w:val="0"/>
          <w:numId w:val="41"/>
        </w:numPr>
        <w:tabs>
          <w:tab w:pos="917" w:val="left" w:leader="none"/>
        </w:tabs>
        <w:spacing w:line="360" w:lineRule="auto" w:before="7" w:after="0"/>
        <w:ind w:left="917" w:right="275" w:hanging="361"/>
        <w:jc w:val="both"/>
        <w:rPr>
          <w:sz w:val="24"/>
        </w:rPr>
      </w:pPr>
      <w:r>
        <w:rPr>
          <w:sz w:val="24"/>
        </w:rPr>
        <w:t>Livak KJ, Schmittgen TD. Analysis of relative gene expression data using real- time quantitative PCR and the 2(-Delta Delta C(T) Method. Methods 2001; 25 (4):</w:t>
      </w:r>
      <w:r>
        <w:rPr>
          <w:spacing w:val="-4"/>
          <w:sz w:val="24"/>
        </w:rPr>
        <w:t> </w:t>
      </w:r>
      <w:r>
        <w:rPr>
          <w:sz w:val="24"/>
        </w:rPr>
        <w:t>402-408.</w:t>
      </w:r>
    </w:p>
    <w:p>
      <w:pPr>
        <w:pStyle w:val="ListParagraph"/>
        <w:numPr>
          <w:ilvl w:val="0"/>
          <w:numId w:val="41"/>
        </w:numPr>
        <w:tabs>
          <w:tab w:pos="917" w:val="left" w:leader="none"/>
        </w:tabs>
        <w:spacing w:line="360" w:lineRule="auto" w:before="3" w:after="0"/>
        <w:ind w:left="917" w:right="284" w:hanging="361"/>
        <w:jc w:val="both"/>
        <w:rPr>
          <w:sz w:val="24"/>
        </w:rPr>
      </w:pPr>
      <w:r>
        <w:rPr>
          <w:sz w:val="24"/>
        </w:rPr>
        <w:t>Pfaffl MW. A new mathematical model for relative quantification in real-time RT-PCR. Nucleic Acids Res 2001;</w:t>
      </w:r>
      <w:r>
        <w:rPr>
          <w:spacing w:val="-15"/>
          <w:sz w:val="24"/>
        </w:rPr>
        <w:t> </w:t>
      </w:r>
      <w:r>
        <w:rPr>
          <w:sz w:val="24"/>
        </w:rPr>
        <w:t>29(9):e45.</w:t>
      </w:r>
    </w:p>
    <w:p>
      <w:pPr>
        <w:pStyle w:val="ListParagraph"/>
        <w:numPr>
          <w:ilvl w:val="0"/>
          <w:numId w:val="41"/>
        </w:numPr>
        <w:tabs>
          <w:tab w:pos="917" w:val="left" w:leader="none"/>
        </w:tabs>
        <w:spacing w:line="360" w:lineRule="auto" w:before="7" w:after="0"/>
        <w:ind w:left="917" w:right="278" w:hanging="361"/>
        <w:jc w:val="left"/>
        <w:rPr>
          <w:sz w:val="24"/>
        </w:rPr>
      </w:pPr>
      <w:r>
        <w:rPr>
          <w:sz w:val="24"/>
        </w:rPr>
        <w:t>Córdova-Villalobos JA, </w:t>
      </w:r>
      <w:r>
        <w:rPr>
          <w:i/>
          <w:sz w:val="24"/>
        </w:rPr>
        <w:t>et al</w:t>
      </w:r>
      <w:r>
        <w:rPr>
          <w:sz w:val="24"/>
        </w:rPr>
        <w:t>. Perfil epidemiológico de la salud bucal en México 2010. [monografía en Internet]. México: Secretaria de Salud; 2011 [Acceso el  4 de Abril de 2013]. Disponible en: </w:t>
      </w:r>
      <w:hyperlink r:id="rId90">
        <w:r>
          <w:rPr>
            <w:sz w:val="24"/>
          </w:rPr>
          <w:t>http://www.epidemiologia.salud.gob.mx/doctos/infoepid/publicaciones/2011/mo</w:t>
        </w:r>
      </w:hyperlink>
      <w:r>
        <w:rPr>
          <w:sz w:val="24"/>
        </w:rPr>
        <w:t> nografias/P_EPI_DE_LA_SALUD_BUCAL_EN_MEXICO_2010.pdf</w:t>
      </w:r>
    </w:p>
    <w:p>
      <w:pPr>
        <w:pStyle w:val="ListParagraph"/>
        <w:numPr>
          <w:ilvl w:val="0"/>
          <w:numId w:val="41"/>
        </w:numPr>
        <w:tabs>
          <w:tab w:pos="917" w:val="left" w:leader="none"/>
        </w:tabs>
        <w:spacing w:line="360" w:lineRule="auto" w:before="3" w:after="0"/>
        <w:ind w:left="917" w:right="287" w:hanging="361"/>
        <w:jc w:val="both"/>
        <w:rPr>
          <w:sz w:val="24"/>
        </w:rPr>
      </w:pPr>
      <w:r>
        <w:rPr>
          <w:sz w:val="24"/>
        </w:rPr>
        <w:t>Organización Mundial de la Salud [Sede Web]. Ginebra, OMS; 2007 [Acceso  el 3 de Abril de 2013]. Salud Bucodental. Nota informativa N° 318. Disponible en:</w:t>
      </w:r>
      <w:r>
        <w:rPr>
          <w:spacing w:val="-23"/>
          <w:sz w:val="24"/>
        </w:rPr>
        <w:t> </w:t>
      </w:r>
      <w:hyperlink r:id="rId91">
        <w:r>
          <w:rPr>
            <w:sz w:val="24"/>
          </w:rPr>
          <w:t>http://www.who.int/mediacentre/factsheets/fs318/es/</w:t>
        </w:r>
      </w:hyperlink>
    </w:p>
    <w:p>
      <w:pPr>
        <w:spacing w:after="0" w:line="360" w:lineRule="auto"/>
        <w:jc w:val="both"/>
        <w:rPr>
          <w:sz w:val="24"/>
        </w:rPr>
        <w:sectPr>
          <w:pgSz w:w="12240" w:h="15840"/>
          <w:pgMar w:header="726" w:footer="1031" w:top="1340" w:bottom="1220" w:left="1220" w:right="1420"/>
        </w:sectPr>
      </w:pPr>
    </w:p>
    <w:p>
      <w:pPr>
        <w:pStyle w:val="BodyText"/>
        <w:spacing w:before="3"/>
        <w:rPr>
          <w:sz w:val="23"/>
        </w:rPr>
      </w:pPr>
    </w:p>
    <w:p>
      <w:pPr>
        <w:pStyle w:val="ListParagraph"/>
        <w:numPr>
          <w:ilvl w:val="0"/>
          <w:numId w:val="41"/>
        </w:numPr>
        <w:tabs>
          <w:tab w:pos="917" w:val="left" w:leader="none"/>
        </w:tabs>
        <w:spacing w:line="360" w:lineRule="auto" w:before="69" w:after="0"/>
        <w:ind w:left="917" w:right="282" w:hanging="361"/>
        <w:jc w:val="both"/>
        <w:rPr>
          <w:sz w:val="24"/>
        </w:rPr>
      </w:pPr>
      <w:r>
        <w:rPr>
          <w:sz w:val="24"/>
        </w:rPr>
        <w:t>Juan-López M, </w:t>
      </w:r>
      <w:r>
        <w:rPr>
          <w:i/>
          <w:sz w:val="24"/>
        </w:rPr>
        <w:t>et al</w:t>
      </w:r>
      <w:r>
        <w:rPr>
          <w:sz w:val="24"/>
        </w:rPr>
        <w:t>. Resultados del Sistema de Vigilancia Epidemiológica de Patologías Bucales (SIVEPAB) 2012 [monografía en Internet]. México: Secretaria de Salud; 2012 [Acceso el 3 de Abril de 2013]. Disponible en: </w:t>
      </w:r>
      <w:hyperlink r:id="rId92">
        <w:r>
          <w:rPr>
            <w:sz w:val="24"/>
          </w:rPr>
          <w:t>http://www.epidemiologia.salud.gob.mx/doctos/infoepid/bol_sivepab/SIVEPAB-</w:t>
        </w:r>
      </w:hyperlink>
      <w:r>
        <w:rPr>
          <w:sz w:val="24"/>
        </w:rPr>
        <w:t> 2012.pdf</w:t>
      </w:r>
    </w:p>
    <w:p>
      <w:pPr>
        <w:pStyle w:val="ListParagraph"/>
        <w:numPr>
          <w:ilvl w:val="0"/>
          <w:numId w:val="41"/>
        </w:numPr>
        <w:tabs>
          <w:tab w:pos="917" w:val="left" w:leader="none"/>
        </w:tabs>
        <w:spacing w:line="360" w:lineRule="auto" w:before="8" w:after="0"/>
        <w:ind w:left="917" w:right="288" w:hanging="361"/>
        <w:jc w:val="both"/>
        <w:rPr>
          <w:sz w:val="24"/>
        </w:rPr>
      </w:pPr>
      <w:r>
        <w:rPr>
          <w:sz w:val="24"/>
        </w:rPr>
        <w:t>Diccionario de la Lengua Española. Vigésima segunda edición [Sede Web]. España: Real Academia Española; 2001 [Acceso 8 de febrero de 2013]. Disponible en:</w:t>
      </w:r>
      <w:r>
        <w:rPr>
          <w:spacing w:val="-16"/>
          <w:sz w:val="24"/>
        </w:rPr>
        <w:t> </w:t>
      </w:r>
      <w:hyperlink r:id="rId93">
        <w:r>
          <w:rPr>
            <w:sz w:val="24"/>
          </w:rPr>
          <w:t>http://lema.rae.es/drae/</w:t>
        </w:r>
      </w:hyperlink>
    </w:p>
    <w:p>
      <w:pPr>
        <w:pStyle w:val="ListParagraph"/>
        <w:numPr>
          <w:ilvl w:val="0"/>
          <w:numId w:val="41"/>
        </w:numPr>
        <w:tabs>
          <w:tab w:pos="917" w:val="left" w:leader="none"/>
        </w:tabs>
        <w:spacing w:line="364" w:lineRule="auto" w:before="2" w:after="0"/>
        <w:ind w:left="917" w:right="281" w:hanging="361"/>
        <w:jc w:val="both"/>
        <w:rPr>
          <w:sz w:val="24"/>
        </w:rPr>
      </w:pPr>
      <w:r>
        <w:rPr>
          <w:sz w:val="24"/>
        </w:rPr>
        <w:t>Arturo Valencia Zea, Álvaro Ortiz Monsalve, Derecho Civil, Tomo I. Parte General y Personas. 16ª ed. Colombia: Ed. Librería Temis;</w:t>
      </w:r>
      <w:r>
        <w:rPr>
          <w:spacing w:val="-30"/>
          <w:sz w:val="24"/>
        </w:rPr>
        <w:t> </w:t>
      </w:r>
      <w:r>
        <w:rPr>
          <w:sz w:val="24"/>
        </w:rPr>
        <w:t>2008.</w:t>
      </w:r>
    </w:p>
    <w:p>
      <w:pPr>
        <w:pStyle w:val="ListParagraph"/>
        <w:numPr>
          <w:ilvl w:val="0"/>
          <w:numId w:val="41"/>
        </w:numPr>
        <w:tabs>
          <w:tab w:pos="917" w:val="left" w:leader="none"/>
          <w:tab w:pos="1765" w:val="left" w:leader="none"/>
          <w:tab w:pos="2931" w:val="left" w:leader="none"/>
          <w:tab w:pos="3376" w:val="left" w:leader="none"/>
          <w:tab w:pos="3952" w:val="left" w:leader="none"/>
          <w:tab w:pos="4719" w:val="left" w:leader="none"/>
          <w:tab w:pos="5299" w:val="left" w:leader="none"/>
          <w:tab w:pos="6272" w:val="left" w:leader="none"/>
          <w:tab w:pos="7548" w:val="left" w:leader="none"/>
          <w:tab w:pos="8977" w:val="left" w:leader="none"/>
        </w:tabs>
        <w:spacing w:line="360" w:lineRule="auto" w:before="0" w:after="0"/>
        <w:ind w:left="917" w:right="285" w:hanging="361"/>
        <w:jc w:val="left"/>
        <w:rPr>
          <w:sz w:val="24"/>
        </w:rPr>
      </w:pPr>
      <w:r>
        <w:rPr>
          <w:sz w:val="24"/>
        </w:rPr>
        <w:t>Instituto Nacional de Estadística y Geografía [Sede Web]. México,  INEGI; 2011</w:t>
        <w:tab/>
        <w:t>[Acceso</w:t>
        <w:tab/>
        <w:t>3</w:t>
        <w:tab/>
        <w:t>de</w:t>
        <w:tab/>
        <w:t>abril</w:t>
        <w:tab/>
        <w:t>de</w:t>
        <w:tab/>
        <w:t>2014].</w:t>
        <w:tab/>
        <w:t>Glosario.</w:t>
        <w:tab/>
        <w:t>Disponible</w:t>
        <w:tab/>
        <w:t>en: </w:t>
      </w:r>
      <w:hyperlink r:id="rId94">
        <w:r>
          <w:rPr>
            <w:sz w:val="24"/>
          </w:rPr>
          <w:t>http://www.inegi.org.mx/est/contenidos/espanol/rutinas/glogen/default.aspx?t=</w:t>
        </w:r>
      </w:hyperlink>
      <w:r>
        <w:rPr>
          <w:sz w:val="24"/>
        </w:rPr>
        <w:t> cp&amp;s=est&amp;c=10249</w:t>
      </w:r>
    </w:p>
    <w:p>
      <w:pPr>
        <w:pStyle w:val="ListParagraph"/>
        <w:numPr>
          <w:ilvl w:val="0"/>
          <w:numId w:val="41"/>
        </w:numPr>
        <w:tabs>
          <w:tab w:pos="917" w:val="left" w:leader="none"/>
        </w:tabs>
        <w:spacing w:line="360" w:lineRule="auto" w:before="2" w:after="0"/>
        <w:ind w:left="917" w:right="286" w:hanging="361"/>
        <w:jc w:val="both"/>
        <w:rPr>
          <w:sz w:val="24"/>
        </w:rPr>
      </w:pPr>
      <w:r>
        <w:rPr>
          <w:sz w:val="24"/>
        </w:rPr>
        <w:t>Clasificación Mexicana de Ocupaciones (CMO). Volumen I [monografía en Internet]. México: INEGI; 2009 [Acceso el 23 de marzo de 2014] Disponible en: </w:t>
      </w:r>
      <w:hyperlink r:id="rId95">
        <w:r>
          <w:rPr>
            <w:sz w:val="24"/>
          </w:rPr>
          <w:t>http://www.inegi.org.mx/est/contenidos/espanol/metodologias/enoe/clasificador</w:t>
        </w:r>
      </w:hyperlink>
      <w:r>
        <w:rPr>
          <w:sz w:val="24"/>
        </w:rPr>
        <w:t> es/cmo_vol1.pdf</w:t>
      </w:r>
    </w:p>
    <w:p>
      <w:pPr>
        <w:pStyle w:val="ListParagraph"/>
        <w:numPr>
          <w:ilvl w:val="0"/>
          <w:numId w:val="41"/>
        </w:numPr>
        <w:tabs>
          <w:tab w:pos="917" w:val="left" w:leader="none"/>
        </w:tabs>
        <w:spacing w:line="360" w:lineRule="auto" w:before="2" w:after="0"/>
        <w:ind w:left="917" w:right="285" w:hanging="361"/>
        <w:jc w:val="both"/>
        <w:rPr>
          <w:sz w:val="24"/>
        </w:rPr>
      </w:pPr>
      <w:r>
        <w:rPr>
          <w:sz w:val="24"/>
        </w:rPr>
        <w:t>Martín </w:t>
      </w:r>
      <w:r>
        <w:rPr>
          <w:spacing w:val="-2"/>
          <w:sz w:val="24"/>
        </w:rPr>
        <w:t>MV, </w:t>
      </w:r>
      <w:r>
        <w:rPr>
          <w:sz w:val="24"/>
        </w:rPr>
        <w:t>Molina CM, Fernández RF, Moreno FA, Lucas VJ. Hábitos dietéticos y de higiene personal en adolescentes de una población rural. Rev Esp Salud Pública 1996; 70 (3):</w:t>
      </w:r>
      <w:r>
        <w:rPr>
          <w:spacing w:val="-15"/>
          <w:sz w:val="24"/>
        </w:rPr>
        <w:t> </w:t>
      </w:r>
      <w:r>
        <w:rPr>
          <w:sz w:val="24"/>
        </w:rPr>
        <w:t>331-343.</w:t>
      </w:r>
    </w:p>
    <w:p>
      <w:pPr>
        <w:pStyle w:val="ListParagraph"/>
        <w:numPr>
          <w:ilvl w:val="0"/>
          <w:numId w:val="41"/>
        </w:numPr>
        <w:tabs>
          <w:tab w:pos="917" w:val="left" w:leader="none"/>
        </w:tabs>
        <w:spacing w:line="362" w:lineRule="auto" w:before="2" w:after="0"/>
        <w:ind w:left="917" w:right="278" w:hanging="361"/>
        <w:jc w:val="both"/>
        <w:rPr>
          <w:sz w:val="24"/>
        </w:rPr>
      </w:pPr>
      <w:r>
        <w:rPr>
          <w:sz w:val="24"/>
        </w:rPr>
        <w:t>Zamora CE, Duarte IS. Atlas de cefalometría. Análisis Clínico y Práctico. Argentina: Ed. Amolca. 2003. p.</w:t>
      </w:r>
      <w:r>
        <w:rPr>
          <w:spacing w:val="-14"/>
          <w:sz w:val="24"/>
        </w:rPr>
        <w:t> </w:t>
      </w:r>
      <w:r>
        <w:rPr>
          <w:sz w:val="24"/>
        </w:rPr>
        <w:t>378-380.</w:t>
      </w:r>
    </w:p>
    <w:p>
      <w:pPr>
        <w:pStyle w:val="ListParagraph"/>
        <w:numPr>
          <w:ilvl w:val="0"/>
          <w:numId w:val="41"/>
        </w:numPr>
        <w:tabs>
          <w:tab w:pos="917" w:val="left" w:leader="none"/>
        </w:tabs>
        <w:spacing w:line="360" w:lineRule="auto" w:before="0" w:after="0"/>
        <w:ind w:left="917" w:right="294" w:hanging="361"/>
        <w:jc w:val="both"/>
        <w:rPr>
          <w:sz w:val="24"/>
        </w:rPr>
      </w:pPr>
      <w:r>
        <w:rPr>
          <w:sz w:val="24"/>
        </w:rPr>
        <w:t>Cavagnari </w:t>
      </w:r>
      <w:r>
        <w:rPr>
          <w:spacing w:val="-2"/>
          <w:sz w:val="24"/>
        </w:rPr>
        <w:t>BM. </w:t>
      </w:r>
      <w:r>
        <w:rPr>
          <w:sz w:val="24"/>
        </w:rPr>
        <w:t>Regulation of gene expression: how do epigenetic mechanisms work. Arch Argent Pediatr 2012; 110 (2):</w:t>
      </w:r>
      <w:r>
        <w:rPr>
          <w:spacing w:val="-16"/>
          <w:sz w:val="24"/>
        </w:rPr>
        <w:t> </w:t>
      </w:r>
      <w:r>
        <w:rPr>
          <w:sz w:val="24"/>
        </w:rPr>
        <w:t>35-45.</w:t>
      </w:r>
    </w:p>
    <w:p>
      <w:pPr>
        <w:pStyle w:val="ListParagraph"/>
        <w:numPr>
          <w:ilvl w:val="0"/>
          <w:numId w:val="41"/>
        </w:numPr>
        <w:tabs>
          <w:tab w:pos="917" w:val="left" w:leader="none"/>
        </w:tabs>
        <w:spacing w:line="360" w:lineRule="auto" w:before="2" w:after="0"/>
        <w:ind w:left="917" w:right="274" w:hanging="361"/>
        <w:jc w:val="both"/>
        <w:rPr>
          <w:sz w:val="24"/>
        </w:rPr>
      </w:pPr>
      <w:r>
        <w:rPr>
          <w:sz w:val="24"/>
        </w:rPr>
        <w:t>Santillán-Benítez JG, Mendieta-Zerón H, </w:t>
      </w:r>
      <w:r>
        <w:rPr>
          <w:spacing w:val="-4"/>
          <w:sz w:val="24"/>
        </w:rPr>
        <w:t>Gómez  </w:t>
      </w:r>
      <w:r>
        <w:rPr>
          <w:sz w:val="24"/>
        </w:rPr>
        <w:t>Oliván LM, Ordóñez Quiroz  A, Torres-Juárez JJ, González-Bañales JM. JAK2, STAT3 and SOCS3 gene expression in woman with and without breast cancer. Gene 2014; 547 (1): </w:t>
      </w:r>
      <w:r>
        <w:rPr>
          <w:spacing w:val="3"/>
          <w:sz w:val="24"/>
        </w:rPr>
        <w:t>70- </w:t>
      </w:r>
      <w:r>
        <w:rPr>
          <w:sz w:val="24"/>
        </w:rPr>
        <w:t>76.</w:t>
      </w:r>
    </w:p>
    <w:p>
      <w:pPr>
        <w:pStyle w:val="ListParagraph"/>
        <w:numPr>
          <w:ilvl w:val="0"/>
          <w:numId w:val="41"/>
        </w:numPr>
        <w:tabs>
          <w:tab w:pos="917" w:val="left" w:leader="none"/>
        </w:tabs>
        <w:spacing w:line="362" w:lineRule="auto" w:before="2" w:after="0"/>
        <w:ind w:left="917" w:right="277" w:hanging="361"/>
        <w:jc w:val="both"/>
        <w:rPr>
          <w:sz w:val="24"/>
        </w:rPr>
      </w:pPr>
      <w:r>
        <w:rPr>
          <w:sz w:val="24"/>
        </w:rPr>
        <w:t>Spielmann N, Wong DT. Saliva: diagnostics and therapeutic perspectives. Oral Dis 2011; 17 (4):</w:t>
      </w:r>
      <w:r>
        <w:rPr>
          <w:spacing w:val="-7"/>
          <w:sz w:val="24"/>
        </w:rPr>
        <w:t> </w:t>
      </w:r>
      <w:r>
        <w:rPr>
          <w:sz w:val="24"/>
        </w:rPr>
        <w:t>345-354.</w:t>
      </w:r>
    </w:p>
    <w:p>
      <w:pPr>
        <w:spacing w:after="0" w:line="362" w:lineRule="auto"/>
        <w:jc w:val="both"/>
        <w:rPr>
          <w:sz w:val="24"/>
        </w:rPr>
        <w:sectPr>
          <w:pgSz w:w="12240" w:h="15840"/>
          <w:pgMar w:header="726" w:footer="1031" w:top="1340" w:bottom="1220" w:left="1220" w:right="1420"/>
        </w:sectPr>
      </w:pPr>
    </w:p>
    <w:p>
      <w:pPr>
        <w:pStyle w:val="BodyText"/>
        <w:spacing w:before="3"/>
        <w:rPr>
          <w:sz w:val="23"/>
        </w:rPr>
      </w:pPr>
    </w:p>
    <w:p>
      <w:pPr>
        <w:pStyle w:val="ListParagraph"/>
        <w:numPr>
          <w:ilvl w:val="0"/>
          <w:numId w:val="41"/>
        </w:numPr>
        <w:tabs>
          <w:tab w:pos="917" w:val="left" w:leader="none"/>
        </w:tabs>
        <w:spacing w:line="362" w:lineRule="auto" w:before="69" w:after="0"/>
        <w:ind w:left="917" w:right="282" w:hanging="361"/>
        <w:jc w:val="both"/>
        <w:rPr>
          <w:sz w:val="24"/>
        </w:rPr>
      </w:pPr>
      <w:r>
        <w:rPr>
          <w:sz w:val="24"/>
        </w:rPr>
        <w:t>Hu S, </w:t>
      </w:r>
      <w:r>
        <w:rPr>
          <w:spacing w:val="2"/>
          <w:sz w:val="24"/>
        </w:rPr>
        <w:t>Wang </w:t>
      </w:r>
      <w:r>
        <w:rPr>
          <w:sz w:val="24"/>
        </w:rPr>
        <w:t>J, Meijier J, Ieong S, Xie Y,Yu T, </w:t>
      </w:r>
      <w:r>
        <w:rPr>
          <w:i/>
          <w:sz w:val="24"/>
        </w:rPr>
        <w:t>et al</w:t>
      </w:r>
      <w:r>
        <w:rPr>
          <w:sz w:val="24"/>
        </w:rPr>
        <w:t>. Salivary Proteomic and Genomic Biomarkers for Primary Sjögren’s Syndrome. Arthritis Rheum 2007; 56 (11):</w:t>
      </w:r>
      <w:r>
        <w:rPr>
          <w:spacing w:val="-7"/>
          <w:sz w:val="24"/>
        </w:rPr>
        <w:t> </w:t>
      </w:r>
      <w:r>
        <w:rPr>
          <w:sz w:val="24"/>
        </w:rPr>
        <w:t>3588–3600.</w:t>
      </w:r>
    </w:p>
    <w:p>
      <w:pPr>
        <w:pStyle w:val="ListParagraph"/>
        <w:numPr>
          <w:ilvl w:val="0"/>
          <w:numId w:val="41"/>
        </w:numPr>
        <w:tabs>
          <w:tab w:pos="917" w:val="left" w:leader="none"/>
        </w:tabs>
        <w:spacing w:line="362" w:lineRule="auto" w:before="0" w:after="0"/>
        <w:ind w:left="917" w:right="277" w:hanging="361"/>
        <w:jc w:val="both"/>
        <w:rPr>
          <w:sz w:val="24"/>
        </w:rPr>
      </w:pPr>
      <w:r>
        <w:rPr>
          <w:sz w:val="24"/>
        </w:rPr>
        <w:t>Farrell J, Zhang L, Zhou H, Chia D, Elashoff D, Akin D, </w:t>
      </w:r>
      <w:r>
        <w:rPr>
          <w:i/>
          <w:sz w:val="24"/>
        </w:rPr>
        <w:t>et al</w:t>
      </w:r>
      <w:r>
        <w:rPr>
          <w:sz w:val="24"/>
        </w:rPr>
        <w:t>. Variations of oral microbiota are associated with pancreatic diseases including pancreatic cancer. Gut 2012; 61 (4):</w:t>
      </w:r>
      <w:r>
        <w:rPr>
          <w:spacing w:val="-11"/>
          <w:sz w:val="24"/>
        </w:rPr>
        <w:t> </w:t>
      </w:r>
      <w:r>
        <w:rPr>
          <w:sz w:val="24"/>
        </w:rPr>
        <w:t>582-588.</w:t>
      </w:r>
    </w:p>
    <w:p>
      <w:pPr>
        <w:pStyle w:val="ListParagraph"/>
        <w:numPr>
          <w:ilvl w:val="0"/>
          <w:numId w:val="41"/>
        </w:numPr>
        <w:tabs>
          <w:tab w:pos="917" w:val="left" w:leader="none"/>
        </w:tabs>
        <w:spacing w:line="360" w:lineRule="auto" w:before="0" w:after="0"/>
        <w:ind w:left="917" w:right="289" w:hanging="361"/>
        <w:jc w:val="both"/>
        <w:rPr>
          <w:sz w:val="24"/>
        </w:rPr>
      </w:pPr>
      <w:r>
        <w:rPr>
          <w:sz w:val="24"/>
        </w:rPr>
        <w:t>Masunaga H, Tsutae </w:t>
      </w:r>
      <w:r>
        <w:rPr>
          <w:spacing w:val="4"/>
          <w:sz w:val="24"/>
        </w:rPr>
        <w:t>W, </w:t>
      </w:r>
      <w:r>
        <w:rPr>
          <w:sz w:val="24"/>
        </w:rPr>
        <w:t>Shinozuka N, Kishimoto N, Ogata Y. Use of quantitative PCR to evaluate methods of bacteria sampling in periodontal patients. J Oral Sci 2010; 52 (4):</w:t>
      </w:r>
      <w:r>
        <w:rPr>
          <w:spacing w:val="-13"/>
          <w:sz w:val="24"/>
        </w:rPr>
        <w:t> </w:t>
      </w:r>
      <w:r>
        <w:rPr>
          <w:sz w:val="24"/>
        </w:rPr>
        <w:t>615-21.</w:t>
      </w:r>
    </w:p>
    <w:p>
      <w:pPr>
        <w:pStyle w:val="ListParagraph"/>
        <w:numPr>
          <w:ilvl w:val="0"/>
          <w:numId w:val="41"/>
        </w:numPr>
        <w:tabs>
          <w:tab w:pos="917" w:val="left" w:leader="none"/>
        </w:tabs>
        <w:spacing w:line="360" w:lineRule="auto" w:before="8" w:after="0"/>
        <w:ind w:left="917" w:right="274" w:hanging="361"/>
        <w:jc w:val="both"/>
        <w:rPr>
          <w:sz w:val="24"/>
        </w:rPr>
      </w:pPr>
      <w:r>
        <w:rPr>
          <w:sz w:val="24"/>
        </w:rPr>
        <w:t>Sánchez-Acedo M, Montiel-Company JM, Dasí-Fernández F, Almerich-Silla, JM. Streptococcus mutants and Streptococcus sobrinus detection by Polymerase Chain Reaction and their relation to dental caries in </w:t>
      </w:r>
      <w:r>
        <w:rPr>
          <w:spacing w:val="2"/>
          <w:sz w:val="24"/>
        </w:rPr>
        <w:t>12- </w:t>
      </w:r>
      <w:r>
        <w:rPr>
          <w:sz w:val="24"/>
        </w:rPr>
        <w:t>and 15- year-old schoolchildren in Valencia (Spain). Med Oral Patol Oral Cir Bucal 2013; 18 (6):</w:t>
      </w:r>
      <w:r>
        <w:rPr>
          <w:spacing w:val="-8"/>
          <w:sz w:val="24"/>
        </w:rPr>
        <w:t> </w:t>
      </w:r>
      <w:r>
        <w:rPr>
          <w:sz w:val="24"/>
        </w:rPr>
        <w:t>e839-45.</w:t>
      </w:r>
    </w:p>
    <w:p>
      <w:pPr>
        <w:pStyle w:val="ListParagraph"/>
        <w:numPr>
          <w:ilvl w:val="0"/>
          <w:numId w:val="41"/>
        </w:numPr>
        <w:tabs>
          <w:tab w:pos="917" w:val="left" w:leader="none"/>
        </w:tabs>
        <w:spacing w:line="360" w:lineRule="auto" w:before="2" w:after="0"/>
        <w:ind w:left="917" w:right="272" w:hanging="361"/>
        <w:jc w:val="both"/>
        <w:rPr>
          <w:sz w:val="24"/>
        </w:rPr>
      </w:pPr>
      <w:r>
        <w:rPr>
          <w:sz w:val="24"/>
        </w:rPr>
        <w:t>Woof JM, Kerr </w:t>
      </w:r>
      <w:r>
        <w:rPr>
          <w:spacing w:val="-2"/>
          <w:sz w:val="24"/>
        </w:rPr>
        <w:t>MA. </w:t>
      </w:r>
      <w:r>
        <w:rPr>
          <w:sz w:val="24"/>
        </w:rPr>
        <w:t>IgA function - variations on a theme. Immunology  2004; 113 (2):</w:t>
      </w:r>
      <w:r>
        <w:rPr>
          <w:spacing w:val="-4"/>
          <w:sz w:val="24"/>
        </w:rPr>
        <w:t> </w:t>
      </w:r>
      <w:r>
        <w:rPr>
          <w:sz w:val="24"/>
        </w:rPr>
        <w:t>175-177.</w:t>
      </w:r>
    </w:p>
    <w:p>
      <w:pPr>
        <w:pStyle w:val="ListParagraph"/>
        <w:numPr>
          <w:ilvl w:val="0"/>
          <w:numId w:val="41"/>
        </w:numPr>
        <w:tabs>
          <w:tab w:pos="917" w:val="left" w:leader="none"/>
        </w:tabs>
        <w:spacing w:line="360" w:lineRule="auto" w:before="3" w:after="0"/>
        <w:ind w:left="917" w:right="275" w:hanging="361"/>
        <w:jc w:val="both"/>
        <w:rPr>
          <w:sz w:val="24"/>
        </w:rPr>
      </w:pPr>
      <w:r>
        <w:rPr>
          <w:sz w:val="24"/>
        </w:rPr>
        <w:t>Naziruddin B, Duffy BF, Tucker J, Mohanakumar T. Evidence for cross- regulation of Fc </w:t>
      </w:r>
      <w:r>
        <w:rPr>
          <w:spacing w:val="-3"/>
          <w:sz w:val="24"/>
        </w:rPr>
        <w:t>gamma </w:t>
      </w:r>
      <w:r>
        <w:rPr>
          <w:sz w:val="24"/>
        </w:rPr>
        <w:t>RIIIB (CD16) receptor-mediated signaling by Fc gamma RII (CD32) expressed on polymorphonuclear neutrophils. J Immunol 1992; 149 (11):</w:t>
      </w:r>
      <w:r>
        <w:rPr>
          <w:spacing w:val="-9"/>
          <w:sz w:val="24"/>
        </w:rPr>
        <w:t> </w:t>
      </w:r>
      <w:r>
        <w:rPr>
          <w:sz w:val="24"/>
        </w:rPr>
        <w:t>3702-3709.</w:t>
      </w:r>
    </w:p>
    <w:p>
      <w:pPr>
        <w:pStyle w:val="ListParagraph"/>
        <w:numPr>
          <w:ilvl w:val="0"/>
          <w:numId w:val="41"/>
        </w:numPr>
        <w:tabs>
          <w:tab w:pos="917" w:val="left" w:leader="none"/>
        </w:tabs>
        <w:spacing w:line="360" w:lineRule="auto" w:before="3" w:after="0"/>
        <w:ind w:left="917" w:right="276" w:hanging="361"/>
        <w:jc w:val="both"/>
        <w:rPr>
          <w:sz w:val="24"/>
        </w:rPr>
      </w:pPr>
      <w:r>
        <w:rPr>
          <w:sz w:val="24"/>
        </w:rPr>
        <w:t>Güntsch A, Erler M, Preshaw PM, </w:t>
      </w:r>
      <w:r>
        <w:rPr>
          <w:i/>
          <w:sz w:val="24"/>
        </w:rPr>
        <w:t>et al</w:t>
      </w:r>
      <w:r>
        <w:rPr>
          <w:sz w:val="24"/>
        </w:rPr>
        <w:t>. Effect of smoking on crevicular polymorphonuclear neutrophil function in periodontally healthy subjects. J Periodontal Res 2006; 41</w:t>
      </w:r>
      <w:r>
        <w:rPr>
          <w:spacing w:val="-13"/>
          <w:sz w:val="24"/>
        </w:rPr>
        <w:t> </w:t>
      </w:r>
      <w:r>
        <w:rPr>
          <w:sz w:val="24"/>
        </w:rPr>
        <w:t>(3):184-188.</w:t>
      </w:r>
    </w:p>
    <w:p>
      <w:pPr>
        <w:pStyle w:val="ListParagraph"/>
        <w:numPr>
          <w:ilvl w:val="0"/>
          <w:numId w:val="41"/>
        </w:numPr>
        <w:tabs>
          <w:tab w:pos="917" w:val="left" w:leader="none"/>
        </w:tabs>
        <w:spacing w:line="360" w:lineRule="auto" w:before="3" w:after="0"/>
        <w:ind w:left="917" w:right="282" w:hanging="361"/>
        <w:jc w:val="both"/>
        <w:rPr>
          <w:sz w:val="24"/>
        </w:rPr>
      </w:pPr>
      <w:r>
        <w:rPr>
          <w:sz w:val="24"/>
        </w:rPr>
        <w:t>Vidović A, Vidović JD, Vučićević BV, Lukač J, Grubišić-Ilić M, Rak D, </w:t>
      </w:r>
      <w:r>
        <w:rPr>
          <w:i/>
          <w:sz w:val="24"/>
        </w:rPr>
        <w:t>et al</w:t>
      </w:r>
      <w:r>
        <w:rPr>
          <w:sz w:val="24"/>
        </w:rPr>
        <w:t>. Determination of leucocyte subsets in human saliva by flow cytometry. Arch Oral Biol 2012; 57 (5):</w:t>
      </w:r>
      <w:r>
        <w:rPr>
          <w:spacing w:val="-11"/>
          <w:sz w:val="24"/>
        </w:rPr>
        <w:t> </w:t>
      </w:r>
      <w:r>
        <w:rPr>
          <w:sz w:val="24"/>
        </w:rPr>
        <w:t>577-583.</w:t>
      </w:r>
    </w:p>
    <w:p>
      <w:pPr>
        <w:pStyle w:val="ListParagraph"/>
        <w:numPr>
          <w:ilvl w:val="0"/>
          <w:numId w:val="41"/>
        </w:numPr>
        <w:tabs>
          <w:tab w:pos="1047" w:val="left" w:leader="none"/>
        </w:tabs>
        <w:spacing w:line="360" w:lineRule="auto" w:before="7" w:after="0"/>
        <w:ind w:left="917" w:right="283" w:hanging="361"/>
        <w:jc w:val="both"/>
        <w:rPr>
          <w:sz w:val="24"/>
        </w:rPr>
      </w:pPr>
      <w:r>
        <w:rPr>
          <w:sz w:val="24"/>
        </w:rPr>
        <w:t>Lakschevitz FS, Aboodi GM, Glogauer M. Oral neutrophil transcriptome changes result in a pro-survival phenotype in periodontal diseases. PLoS One. 2013; 8 (7):</w:t>
      </w:r>
      <w:r>
        <w:rPr>
          <w:spacing w:val="-10"/>
          <w:sz w:val="24"/>
        </w:rPr>
        <w:t> </w:t>
      </w:r>
      <w:r>
        <w:rPr>
          <w:sz w:val="24"/>
        </w:rPr>
        <w:t>e68983.</w:t>
      </w:r>
    </w:p>
    <w:p>
      <w:pPr>
        <w:spacing w:after="0" w:line="360" w:lineRule="auto"/>
        <w:jc w:val="both"/>
        <w:rPr>
          <w:sz w:val="24"/>
        </w:rPr>
        <w:sectPr>
          <w:pgSz w:w="12240" w:h="15840"/>
          <w:pgMar w:header="726" w:footer="1031" w:top="1340" w:bottom="1220" w:left="1220" w:right="1420"/>
        </w:sectPr>
      </w:pPr>
    </w:p>
    <w:p>
      <w:pPr>
        <w:pStyle w:val="BodyText"/>
        <w:spacing w:before="3"/>
        <w:rPr>
          <w:sz w:val="23"/>
        </w:rPr>
      </w:pPr>
    </w:p>
    <w:p>
      <w:pPr>
        <w:pStyle w:val="ListParagraph"/>
        <w:numPr>
          <w:ilvl w:val="0"/>
          <w:numId w:val="41"/>
        </w:numPr>
        <w:tabs>
          <w:tab w:pos="1047" w:val="left" w:leader="none"/>
        </w:tabs>
        <w:spacing w:line="362" w:lineRule="auto" w:before="69" w:after="0"/>
        <w:ind w:left="917" w:right="287" w:hanging="361"/>
        <w:jc w:val="both"/>
        <w:rPr>
          <w:sz w:val="24"/>
        </w:rPr>
      </w:pPr>
      <w:r>
        <w:rPr>
          <w:sz w:val="24"/>
        </w:rPr>
        <w:t>Asif K, Kothiwale SV. Phagocytic activity of peripheral blood and crevicular phagocytes in health and periodontal disease. J Indian Soc Periodontol 2010; 14 (1):</w:t>
      </w:r>
      <w:r>
        <w:rPr>
          <w:spacing w:val="-4"/>
          <w:sz w:val="24"/>
        </w:rPr>
        <w:t> </w:t>
      </w:r>
      <w:r>
        <w:rPr>
          <w:sz w:val="24"/>
        </w:rPr>
        <w:t>8-11.</w:t>
      </w:r>
    </w:p>
    <w:p>
      <w:pPr>
        <w:pStyle w:val="ListParagraph"/>
        <w:numPr>
          <w:ilvl w:val="0"/>
          <w:numId w:val="41"/>
        </w:numPr>
        <w:tabs>
          <w:tab w:pos="1047" w:val="left" w:leader="none"/>
        </w:tabs>
        <w:spacing w:line="362" w:lineRule="auto" w:before="0" w:after="0"/>
        <w:ind w:left="917" w:right="275" w:hanging="361"/>
        <w:jc w:val="both"/>
        <w:rPr>
          <w:sz w:val="24"/>
        </w:rPr>
      </w:pPr>
      <w:r>
        <w:rPr>
          <w:sz w:val="24"/>
        </w:rPr>
        <w:t>Cho Y, Usui K, Honda S, Tahara-Hanaoka S, Shibuya K, Shibuya A. Molecular characteristics of Iga and IgM Fc binding to the Fcá/ìR. Biochem Biophys Res </w:t>
      </w:r>
      <w:r>
        <w:rPr>
          <w:spacing w:val="-3"/>
          <w:sz w:val="24"/>
        </w:rPr>
        <w:t>Comm </w:t>
      </w:r>
      <w:r>
        <w:rPr>
          <w:sz w:val="24"/>
        </w:rPr>
        <w:t>2006; 345:</w:t>
      </w:r>
      <w:r>
        <w:rPr>
          <w:spacing w:val="3"/>
          <w:sz w:val="24"/>
        </w:rPr>
        <w:t> </w:t>
      </w:r>
      <w:r>
        <w:rPr>
          <w:sz w:val="24"/>
        </w:rPr>
        <w:t>474-478.</w:t>
      </w:r>
    </w:p>
    <w:p>
      <w:pPr>
        <w:pStyle w:val="ListParagraph"/>
        <w:numPr>
          <w:ilvl w:val="0"/>
          <w:numId w:val="41"/>
        </w:numPr>
        <w:tabs>
          <w:tab w:pos="1047" w:val="left" w:leader="none"/>
        </w:tabs>
        <w:spacing w:line="240" w:lineRule="auto" w:before="0" w:after="0"/>
        <w:ind w:left="1046" w:right="0" w:hanging="490"/>
        <w:jc w:val="left"/>
        <w:rPr>
          <w:sz w:val="24"/>
        </w:rPr>
      </w:pPr>
      <w:r>
        <w:rPr>
          <w:sz w:val="24"/>
        </w:rPr>
        <w:t>Baumgarth N, Herman OC, Jager GC, Brown LE, Herzenberg LA, Chen J. </w:t>
      </w:r>
      <w:r>
        <w:rPr>
          <w:spacing w:val="12"/>
          <w:sz w:val="24"/>
        </w:rPr>
        <w:t> </w:t>
      </w:r>
      <w:r>
        <w:rPr>
          <w:sz w:val="24"/>
        </w:rPr>
        <w:t>B-</w:t>
      </w:r>
    </w:p>
    <w:p>
      <w:pPr>
        <w:pStyle w:val="BodyText"/>
        <w:spacing w:line="362" w:lineRule="auto" w:before="137"/>
        <w:ind w:left="916" w:right="285"/>
        <w:jc w:val="both"/>
      </w:pPr>
      <w:r>
        <w:rPr/>
        <w:t>1 and B-2 cell-derived immunoglobulin M antibodies are nonredundant components of the proactive response to influenza virus infection. J Exp Med 2000; 192 (2): 271-280.</w:t>
      </w:r>
    </w:p>
    <w:p>
      <w:pPr>
        <w:pStyle w:val="ListParagraph"/>
        <w:numPr>
          <w:ilvl w:val="0"/>
          <w:numId w:val="41"/>
        </w:numPr>
        <w:tabs>
          <w:tab w:pos="1047" w:val="left" w:leader="none"/>
        </w:tabs>
        <w:spacing w:line="360" w:lineRule="auto" w:before="0" w:after="0"/>
        <w:ind w:left="917" w:right="275" w:hanging="361"/>
        <w:jc w:val="both"/>
        <w:rPr>
          <w:sz w:val="24"/>
        </w:rPr>
      </w:pPr>
      <w:r>
        <w:rPr>
          <w:sz w:val="24"/>
        </w:rPr>
        <w:t>Bagherian A, Jafarzadeh A, Rezaeian M, </w:t>
      </w:r>
      <w:r>
        <w:rPr>
          <w:spacing w:val="-3"/>
          <w:sz w:val="24"/>
        </w:rPr>
        <w:t>Ahmadi </w:t>
      </w:r>
      <w:r>
        <w:rPr>
          <w:sz w:val="24"/>
        </w:rPr>
        <w:t>S, Rezaity MT. Comparison of the salivary immunoglobulin concentration levels between children with early childhood caries and caries-free children. Iran. J Immunol 2008; 5 (4):  217- 221.</w:t>
      </w:r>
    </w:p>
    <w:p>
      <w:pPr>
        <w:pStyle w:val="ListParagraph"/>
        <w:numPr>
          <w:ilvl w:val="0"/>
          <w:numId w:val="41"/>
        </w:numPr>
        <w:tabs>
          <w:tab w:pos="1047" w:val="left" w:leader="none"/>
        </w:tabs>
        <w:spacing w:line="360" w:lineRule="auto" w:before="2" w:after="0"/>
        <w:ind w:left="917" w:right="276" w:hanging="361"/>
        <w:jc w:val="both"/>
        <w:rPr>
          <w:sz w:val="24"/>
        </w:rPr>
      </w:pPr>
      <w:r>
        <w:rPr>
          <w:sz w:val="24"/>
        </w:rPr>
        <w:t>Kuriakose S, Sundaresan C, Mathai V, Khosla E, Gaffoor FM. A comparative study of salivary buffering capacity, flow rate, resting pH, and salivary Immunoglobulin A in children with rampant caries and caries-resistant children. J Indian Soc Pedod Prev Dent 2013; 31:</w:t>
      </w:r>
      <w:r>
        <w:rPr>
          <w:spacing w:val="-18"/>
          <w:sz w:val="24"/>
        </w:rPr>
        <w:t> </w:t>
      </w:r>
      <w:r>
        <w:rPr>
          <w:sz w:val="24"/>
        </w:rPr>
        <w:t>69-73.</w:t>
      </w:r>
    </w:p>
    <w:p>
      <w:pPr>
        <w:pStyle w:val="ListParagraph"/>
        <w:numPr>
          <w:ilvl w:val="0"/>
          <w:numId w:val="41"/>
        </w:numPr>
        <w:tabs>
          <w:tab w:pos="1047" w:val="left" w:leader="none"/>
        </w:tabs>
        <w:spacing w:line="360" w:lineRule="auto" w:before="2" w:after="0"/>
        <w:ind w:left="917" w:right="280" w:hanging="361"/>
        <w:jc w:val="both"/>
        <w:rPr>
          <w:sz w:val="24"/>
        </w:rPr>
      </w:pPr>
      <w:r>
        <w:rPr>
          <w:sz w:val="24"/>
        </w:rPr>
        <w:t>Waszkiewicz N, Zalewska-Szajda B, Zalewska A, Waszkiewicz M,  Szajda SD, Repka B. Decrease in salivary lactoferrin output in chronically intoxicated alcohol-dependent patients. Folia Histochem Cytobiol 2012; 50 (2):</w:t>
      </w:r>
      <w:r>
        <w:rPr>
          <w:spacing w:val="-27"/>
          <w:sz w:val="24"/>
        </w:rPr>
        <w:t> </w:t>
      </w:r>
      <w:r>
        <w:rPr>
          <w:sz w:val="24"/>
        </w:rPr>
        <w:t>248-254.</w:t>
      </w:r>
    </w:p>
    <w:p>
      <w:pPr>
        <w:pStyle w:val="ListParagraph"/>
        <w:numPr>
          <w:ilvl w:val="0"/>
          <w:numId w:val="41"/>
        </w:numPr>
        <w:tabs>
          <w:tab w:pos="1047" w:val="left" w:leader="none"/>
        </w:tabs>
        <w:spacing w:line="362" w:lineRule="auto" w:before="0" w:after="0"/>
        <w:ind w:left="917" w:right="273" w:hanging="361"/>
        <w:jc w:val="both"/>
        <w:rPr>
          <w:sz w:val="24"/>
        </w:rPr>
      </w:pPr>
      <w:r>
        <w:rPr>
          <w:sz w:val="24"/>
        </w:rPr>
        <w:t>Chervoneva I, Li Y</w:t>
      </w:r>
      <w:r>
        <w:rPr>
          <w:b/>
          <w:sz w:val="24"/>
        </w:rPr>
        <w:t>, </w:t>
      </w:r>
      <w:r>
        <w:rPr>
          <w:sz w:val="24"/>
        </w:rPr>
        <w:t>Schulz S</w:t>
      </w:r>
      <w:r>
        <w:rPr>
          <w:b/>
          <w:sz w:val="24"/>
        </w:rPr>
        <w:t>, </w:t>
      </w:r>
      <w:r>
        <w:rPr>
          <w:sz w:val="24"/>
        </w:rPr>
        <w:t>Croker S</w:t>
      </w:r>
      <w:r>
        <w:rPr>
          <w:b/>
          <w:sz w:val="24"/>
        </w:rPr>
        <w:t>, </w:t>
      </w:r>
      <w:r>
        <w:rPr>
          <w:sz w:val="24"/>
        </w:rPr>
        <w:t>Wilson C</w:t>
      </w:r>
      <w:r>
        <w:rPr>
          <w:b/>
          <w:sz w:val="24"/>
        </w:rPr>
        <w:t>, </w:t>
      </w:r>
      <w:r>
        <w:rPr>
          <w:sz w:val="24"/>
        </w:rPr>
        <w:t>Waldman SA, </w:t>
      </w:r>
      <w:r>
        <w:rPr>
          <w:i/>
          <w:sz w:val="24"/>
        </w:rPr>
        <w:t>et al</w:t>
      </w:r>
      <w:r>
        <w:rPr>
          <w:sz w:val="24"/>
        </w:rPr>
        <w:t>. Selection of optimal reference genes for normalization </w:t>
      </w:r>
      <w:r>
        <w:rPr>
          <w:spacing w:val="7"/>
          <w:sz w:val="24"/>
        </w:rPr>
        <w:t>in </w:t>
      </w:r>
      <w:r>
        <w:rPr>
          <w:sz w:val="24"/>
        </w:rPr>
        <w:t>quantitative RT-PCR. </w:t>
      </w:r>
      <w:r>
        <w:rPr>
          <w:i/>
          <w:sz w:val="24"/>
        </w:rPr>
        <w:t>BMC Bioinformatics </w:t>
      </w:r>
      <w:r>
        <w:rPr>
          <w:sz w:val="24"/>
        </w:rPr>
        <w:t>2010, 11:</w:t>
      </w:r>
      <w:r>
        <w:rPr>
          <w:spacing w:val="-14"/>
          <w:sz w:val="24"/>
        </w:rPr>
        <w:t> </w:t>
      </w:r>
      <w:r>
        <w:rPr>
          <w:sz w:val="24"/>
        </w:rPr>
        <w:t>253.</w:t>
      </w:r>
    </w:p>
    <w:p>
      <w:pPr>
        <w:spacing w:after="0" w:line="362" w:lineRule="auto"/>
        <w:jc w:val="both"/>
        <w:rPr>
          <w:sz w:val="24"/>
        </w:rPr>
        <w:sectPr>
          <w:pgSz w:w="12240" w:h="15840"/>
          <w:pgMar w:header="726" w:footer="1031" w:top="1340" w:bottom="1220" w:left="12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0"/>
          <w:numId w:val="34"/>
        </w:numPr>
        <w:tabs>
          <w:tab w:pos="4229" w:val="left" w:leader="none"/>
        </w:tabs>
        <w:spacing w:line="240" w:lineRule="auto" w:before="168" w:after="0"/>
        <w:ind w:left="4228" w:right="0" w:hanging="1132"/>
        <w:jc w:val="left"/>
      </w:pPr>
      <w:bookmarkStart w:name="_TOC_250006" w:id="60"/>
      <w:bookmarkEnd w:id="60"/>
      <w:r>
        <w:rPr/>
        <w:t>ANEXOS</w:t>
      </w:r>
    </w:p>
    <w:p>
      <w:pPr>
        <w:spacing w:after="0" w:line="240" w:lineRule="auto"/>
        <w:jc w:val="left"/>
        <w:sectPr>
          <w:pgSz w:w="12240" w:h="15840"/>
          <w:pgMar w:header="726" w:footer="1031" w:top="1340" w:bottom="1220" w:left="1220" w:right="1420"/>
        </w:sectPr>
      </w:pPr>
    </w:p>
    <w:p>
      <w:pPr>
        <w:pStyle w:val="BodyText"/>
        <w:spacing w:before="4"/>
        <w:rPr>
          <w:b/>
          <w:sz w:val="22"/>
        </w:rPr>
      </w:pPr>
    </w:p>
    <w:p>
      <w:pPr>
        <w:pStyle w:val="Heading2"/>
      </w:pPr>
      <w:bookmarkStart w:name="_TOC_250005" w:id="61"/>
      <w:bookmarkEnd w:id="61"/>
      <w:r>
        <w:rPr/>
        <w:t>Anexo 1. Consentimiento Informado</w:t>
      </w:r>
    </w:p>
    <w:p>
      <w:pPr>
        <w:pStyle w:val="BodyText"/>
        <w:spacing w:before="2"/>
        <w:rPr>
          <w:b/>
          <w:sz w:val="22"/>
        </w:rPr>
      </w:pPr>
    </w:p>
    <w:p>
      <w:pPr>
        <w:spacing w:line="273" w:lineRule="auto" w:before="0"/>
        <w:ind w:left="739" w:right="272" w:hanging="327"/>
        <w:jc w:val="left"/>
        <w:rPr>
          <w:rFonts w:ascii="Calibri" w:hAnsi="Calibri"/>
          <w:b/>
          <w:sz w:val="24"/>
        </w:rPr>
      </w:pPr>
      <w:r>
        <w:rPr>
          <w:rFonts w:ascii="Calibri" w:hAnsi="Calibri"/>
          <w:b/>
          <w:sz w:val="24"/>
        </w:rPr>
        <w:t>“EXPRESION GÉNICA DE Fc</w:t>
      </w:r>
      <w:r>
        <w:rPr>
          <w:rFonts w:ascii="Symbol" w:hAnsi="Symbol"/>
          <w:b/>
          <w:sz w:val="24"/>
        </w:rPr>
        <w:t></w:t>
      </w:r>
      <w:r>
        <w:rPr>
          <w:rFonts w:ascii="Calibri" w:hAnsi="Calibri"/>
          <w:b/>
          <w:sz w:val="24"/>
        </w:rPr>
        <w:t>R, Fc</w:t>
      </w:r>
      <w:r>
        <w:rPr>
          <w:rFonts w:ascii="Symbol" w:hAnsi="Symbol"/>
          <w:b/>
          <w:sz w:val="24"/>
        </w:rPr>
        <w:t></w:t>
      </w:r>
      <w:r>
        <w:rPr>
          <w:rFonts w:ascii="Calibri" w:hAnsi="Calibri"/>
          <w:b/>
          <w:sz w:val="24"/>
        </w:rPr>
        <w:t>RIIB Y Fc</w:t>
      </w:r>
      <w:r>
        <w:rPr>
          <w:rFonts w:ascii="Symbol" w:hAnsi="Symbol"/>
          <w:b/>
          <w:sz w:val="24"/>
        </w:rPr>
        <w:t></w:t>
      </w:r>
      <w:r>
        <w:rPr>
          <w:rFonts w:ascii="Calibri" w:hAnsi="Calibri"/>
          <w:b/>
          <w:sz w:val="24"/>
        </w:rPr>
        <w:t>R EN SALIVA DE PACIENTES MEXIQUENSES CON DENTICIÓN MIXTA Y PERMANENTE QUE PRESENTAN CARIES DENTAL; 2013”</w:t>
      </w:r>
    </w:p>
    <w:p>
      <w:pPr>
        <w:spacing w:before="208"/>
        <w:ind w:left="196" w:right="0" w:firstLine="0"/>
        <w:jc w:val="both"/>
        <w:rPr>
          <w:rFonts w:ascii="Calibri" w:hAnsi="Calibri"/>
          <w:sz w:val="22"/>
        </w:rPr>
      </w:pPr>
      <w:r>
        <w:rPr>
          <w:rFonts w:ascii="Calibri" w:hAnsi="Calibri"/>
          <w:b/>
          <w:sz w:val="22"/>
        </w:rPr>
        <w:t>Investigador responsable: </w:t>
      </w:r>
      <w:r>
        <w:rPr>
          <w:rFonts w:ascii="Calibri" w:hAnsi="Calibri"/>
          <w:sz w:val="22"/>
        </w:rPr>
        <w:t>C.D. Gema Regina Guadarrama Santín</w:t>
      </w:r>
    </w:p>
    <w:p>
      <w:pPr>
        <w:pStyle w:val="BodyText"/>
        <w:spacing w:before="8"/>
        <w:rPr>
          <w:rFonts w:ascii="Calibri"/>
          <w:sz w:val="19"/>
        </w:rPr>
      </w:pPr>
    </w:p>
    <w:p>
      <w:pPr>
        <w:spacing w:line="276" w:lineRule="auto" w:before="0"/>
        <w:ind w:left="196" w:right="273" w:firstLine="0"/>
        <w:jc w:val="both"/>
        <w:rPr>
          <w:rFonts w:ascii="Calibri" w:hAnsi="Calibri"/>
          <w:sz w:val="22"/>
        </w:rPr>
      </w:pPr>
      <w:r>
        <w:rPr>
          <w:rFonts w:ascii="Calibri" w:hAnsi="Calibri"/>
          <w:sz w:val="22"/>
        </w:rPr>
        <w:t>El consentimiento informado le proporciona información sobre el estudio al que se le está invitando a participar, por ello es de suma importancia que lo lea cuidadosamente antes de tomar alguna decisión. Si usted tiene preguntas puede hacerlas directamente al personal del estudio quienes le ayudarán a resolver cualquier inquietud.</w:t>
      </w:r>
    </w:p>
    <w:p>
      <w:pPr>
        <w:pStyle w:val="BodyText"/>
        <w:spacing w:before="4"/>
        <w:rPr>
          <w:rFonts w:ascii="Calibri"/>
          <w:sz w:val="16"/>
        </w:rPr>
      </w:pPr>
    </w:p>
    <w:p>
      <w:pPr>
        <w:spacing w:line="276" w:lineRule="auto" w:before="0"/>
        <w:ind w:left="196" w:right="277" w:firstLine="0"/>
        <w:jc w:val="both"/>
        <w:rPr>
          <w:rFonts w:ascii="Calibri" w:hAnsi="Calibri"/>
          <w:sz w:val="22"/>
        </w:rPr>
      </w:pPr>
      <w:r>
        <w:rPr>
          <w:rFonts w:ascii="Calibri" w:hAnsi="Calibri"/>
          <w:sz w:val="22"/>
        </w:rPr>
        <w:t>A usted se le está invitando a participar en este estudio de investigación que formará parte de una tesis de Maestría de la Facultad de Odontología de la UAEM. Antes de decidir </w:t>
      </w:r>
      <w:r>
        <w:rPr>
          <w:rFonts w:ascii="Calibri" w:hAnsi="Calibri"/>
          <w:spacing w:val="-3"/>
          <w:sz w:val="22"/>
        </w:rPr>
        <w:t>si </w:t>
      </w:r>
      <w:r>
        <w:rPr>
          <w:rFonts w:ascii="Calibri" w:hAnsi="Calibri"/>
          <w:sz w:val="22"/>
        </w:rPr>
        <w:t>participa o no, debe conocer y comprender cada uno de los siguientes apartados. Este proceso se conoce como consentimiento informado. Siéntase con absoluta libertad para preguntar sobre cualquier aspecto que le ayude a aclarar sus dudas al</w:t>
      </w:r>
      <w:r>
        <w:rPr>
          <w:rFonts w:ascii="Calibri" w:hAnsi="Calibri"/>
          <w:spacing w:val="-20"/>
          <w:sz w:val="22"/>
        </w:rPr>
        <w:t> </w:t>
      </w:r>
      <w:r>
        <w:rPr>
          <w:rFonts w:ascii="Calibri" w:hAnsi="Calibri"/>
          <w:sz w:val="22"/>
        </w:rPr>
        <w:t>respecto.</w:t>
      </w:r>
    </w:p>
    <w:p>
      <w:pPr>
        <w:spacing w:line="276" w:lineRule="auto" w:before="197"/>
        <w:ind w:left="196" w:right="280" w:firstLine="0"/>
        <w:jc w:val="both"/>
        <w:rPr>
          <w:rFonts w:ascii="Calibri" w:hAnsi="Calibri"/>
          <w:sz w:val="22"/>
        </w:rPr>
      </w:pPr>
      <w:r>
        <w:rPr>
          <w:rFonts w:ascii="Calibri" w:hAnsi="Calibri"/>
          <w:sz w:val="22"/>
        </w:rPr>
        <w:t>El estudio lleva por nombre “Expresión génica </w:t>
      </w:r>
      <w:r>
        <w:rPr>
          <w:rFonts w:ascii="Calibri" w:hAnsi="Calibri"/>
          <w:sz w:val="24"/>
        </w:rPr>
        <w:t>Fc</w:t>
      </w:r>
      <w:r>
        <w:rPr>
          <w:rFonts w:ascii="Symbol" w:hAnsi="Symbol"/>
          <w:sz w:val="24"/>
        </w:rPr>
        <w:t></w:t>
      </w:r>
      <w:r>
        <w:rPr>
          <w:rFonts w:ascii="Calibri" w:hAnsi="Calibri"/>
          <w:sz w:val="24"/>
        </w:rPr>
        <w:t>R, Fc</w:t>
      </w:r>
      <w:r>
        <w:rPr>
          <w:rFonts w:ascii="Symbol" w:hAnsi="Symbol"/>
          <w:sz w:val="24"/>
        </w:rPr>
        <w:t></w:t>
      </w:r>
      <w:r>
        <w:rPr>
          <w:rFonts w:ascii="Calibri" w:hAnsi="Calibri"/>
          <w:sz w:val="24"/>
        </w:rPr>
        <w:t>RIIB y Fc</w:t>
      </w:r>
      <w:r>
        <w:rPr>
          <w:rFonts w:ascii="Symbol" w:hAnsi="Symbol"/>
          <w:sz w:val="24"/>
        </w:rPr>
        <w:t></w:t>
      </w:r>
      <w:r>
        <w:rPr>
          <w:rFonts w:ascii="Calibri" w:hAnsi="Calibri"/>
          <w:sz w:val="24"/>
        </w:rPr>
        <w:t>R </w:t>
      </w:r>
      <w:r>
        <w:rPr>
          <w:rFonts w:ascii="Calibri" w:hAnsi="Calibri"/>
          <w:sz w:val="22"/>
        </w:rPr>
        <w:t>en saliva de pacientes con dentición mixta y permanente que presentan caries dental, en el Estado de México; 2013”.El cual se realizará por un equipo de trabajo conformado por profesionales del área de la salud de la Facultad  de Odontología de la UAEM y del Centro de Investigación en Ciencias</w:t>
      </w:r>
      <w:r>
        <w:rPr>
          <w:rFonts w:ascii="Calibri" w:hAnsi="Calibri"/>
          <w:spacing w:val="-31"/>
          <w:sz w:val="22"/>
        </w:rPr>
        <w:t> </w:t>
      </w:r>
      <w:r>
        <w:rPr>
          <w:rFonts w:ascii="Calibri" w:hAnsi="Calibri"/>
          <w:sz w:val="22"/>
        </w:rPr>
        <w:t>Médicas.</w:t>
      </w:r>
    </w:p>
    <w:p>
      <w:pPr>
        <w:pStyle w:val="BodyText"/>
        <w:spacing w:before="5"/>
        <w:rPr>
          <w:rFonts w:ascii="Calibri"/>
          <w:sz w:val="16"/>
        </w:rPr>
      </w:pPr>
    </w:p>
    <w:p>
      <w:pPr>
        <w:pStyle w:val="ListParagraph"/>
        <w:numPr>
          <w:ilvl w:val="0"/>
          <w:numId w:val="42"/>
        </w:numPr>
        <w:tabs>
          <w:tab w:pos="557" w:val="left" w:leader="none"/>
        </w:tabs>
        <w:spacing w:line="240" w:lineRule="auto" w:before="0" w:after="0"/>
        <w:ind w:left="556" w:right="0" w:hanging="360"/>
        <w:jc w:val="both"/>
        <w:rPr>
          <w:rFonts w:ascii="Calibri" w:hAnsi="Calibri"/>
          <w:b/>
          <w:sz w:val="22"/>
        </w:rPr>
      </w:pPr>
      <w:r>
        <w:rPr>
          <w:rFonts w:ascii="Calibri" w:hAnsi="Calibri"/>
          <w:b/>
          <w:sz w:val="22"/>
        </w:rPr>
        <w:t>Propósito del</w:t>
      </w:r>
      <w:r>
        <w:rPr>
          <w:rFonts w:ascii="Calibri" w:hAnsi="Calibri"/>
          <w:b/>
          <w:spacing w:val="-7"/>
          <w:sz w:val="22"/>
        </w:rPr>
        <w:t> </w:t>
      </w:r>
      <w:r>
        <w:rPr>
          <w:rFonts w:ascii="Calibri" w:hAnsi="Calibri"/>
          <w:b/>
          <w:sz w:val="22"/>
        </w:rPr>
        <w:t>estudio</w:t>
      </w:r>
    </w:p>
    <w:p>
      <w:pPr>
        <w:pStyle w:val="BodyText"/>
        <w:spacing w:before="5"/>
        <w:rPr>
          <w:rFonts w:ascii="Calibri"/>
          <w:b/>
          <w:sz w:val="19"/>
        </w:rPr>
      </w:pPr>
    </w:p>
    <w:p>
      <w:pPr>
        <w:spacing w:line="276" w:lineRule="auto" w:before="0"/>
        <w:ind w:left="196" w:right="278" w:firstLine="0"/>
        <w:jc w:val="both"/>
        <w:rPr>
          <w:rFonts w:ascii="Calibri" w:hAnsi="Calibri"/>
          <w:sz w:val="22"/>
        </w:rPr>
      </w:pPr>
      <w:r>
        <w:rPr>
          <w:rFonts w:ascii="Calibri" w:hAnsi="Calibri"/>
          <w:sz w:val="22"/>
        </w:rPr>
        <w:t>El objetivo principal del estudio es conocer la expresión génica de </w:t>
      </w:r>
      <w:r>
        <w:rPr>
          <w:rFonts w:ascii="Calibri" w:hAnsi="Calibri"/>
          <w:sz w:val="24"/>
        </w:rPr>
        <w:t>Fc</w:t>
      </w:r>
      <w:r>
        <w:rPr>
          <w:rFonts w:ascii="Symbol" w:hAnsi="Symbol"/>
          <w:sz w:val="24"/>
        </w:rPr>
        <w:t></w:t>
      </w:r>
      <w:r>
        <w:rPr>
          <w:rFonts w:ascii="Calibri" w:hAnsi="Calibri"/>
          <w:sz w:val="24"/>
        </w:rPr>
        <w:t>R, Fc</w:t>
      </w:r>
      <w:r>
        <w:rPr>
          <w:rFonts w:ascii="Symbol" w:hAnsi="Symbol"/>
          <w:sz w:val="24"/>
        </w:rPr>
        <w:t></w:t>
      </w:r>
      <w:r>
        <w:rPr>
          <w:rFonts w:ascii="Calibri" w:hAnsi="Calibri"/>
          <w:sz w:val="24"/>
        </w:rPr>
        <w:t>RIIB Y Fc</w:t>
      </w:r>
      <w:r>
        <w:rPr>
          <w:rFonts w:ascii="Symbol" w:hAnsi="Symbol"/>
          <w:sz w:val="24"/>
        </w:rPr>
        <w:t></w:t>
      </w:r>
      <w:r>
        <w:rPr>
          <w:rFonts w:ascii="Calibri" w:hAnsi="Calibri"/>
          <w:sz w:val="24"/>
        </w:rPr>
        <w:t>R </w:t>
      </w:r>
      <w:r>
        <w:rPr>
          <w:rFonts w:ascii="Calibri" w:hAnsi="Calibri"/>
          <w:sz w:val="22"/>
        </w:rPr>
        <w:t>en saliva de individuos con dentición mixta y permanente </w:t>
      </w:r>
      <w:r>
        <w:rPr>
          <w:rFonts w:ascii="Calibri" w:hAnsi="Calibri"/>
          <w:spacing w:val="-3"/>
          <w:sz w:val="22"/>
        </w:rPr>
        <w:t>que </w:t>
      </w:r>
      <w:r>
        <w:rPr>
          <w:rFonts w:ascii="Calibri" w:hAnsi="Calibri"/>
          <w:sz w:val="22"/>
        </w:rPr>
        <w:t>presenten caries, residentes del Estado de México; durante el periodo regular primavera</w:t>
      </w:r>
      <w:r>
        <w:rPr>
          <w:rFonts w:ascii="Calibri" w:hAnsi="Calibri"/>
          <w:spacing w:val="-20"/>
          <w:sz w:val="22"/>
        </w:rPr>
        <w:t> </w:t>
      </w:r>
      <w:r>
        <w:rPr>
          <w:rFonts w:ascii="Calibri" w:hAnsi="Calibri"/>
          <w:sz w:val="22"/>
        </w:rPr>
        <w:t>2013.</w:t>
      </w:r>
    </w:p>
    <w:p>
      <w:pPr>
        <w:pStyle w:val="BodyText"/>
        <w:spacing w:before="5"/>
        <w:rPr>
          <w:rFonts w:ascii="Calibri"/>
          <w:sz w:val="16"/>
        </w:rPr>
      </w:pPr>
    </w:p>
    <w:p>
      <w:pPr>
        <w:pStyle w:val="ListParagraph"/>
        <w:numPr>
          <w:ilvl w:val="0"/>
          <w:numId w:val="42"/>
        </w:numPr>
        <w:tabs>
          <w:tab w:pos="557" w:val="left" w:leader="none"/>
        </w:tabs>
        <w:spacing w:line="240" w:lineRule="auto" w:before="0" w:after="0"/>
        <w:ind w:left="556" w:right="0" w:hanging="360"/>
        <w:jc w:val="both"/>
        <w:rPr>
          <w:rFonts w:ascii="Calibri"/>
          <w:b/>
          <w:sz w:val="22"/>
        </w:rPr>
      </w:pPr>
      <w:r>
        <w:rPr>
          <w:rFonts w:ascii="Calibri"/>
          <w:b/>
          <w:sz w:val="22"/>
        </w:rPr>
        <w:t>Procedimiento del</w:t>
      </w:r>
      <w:r>
        <w:rPr>
          <w:rFonts w:ascii="Calibri"/>
          <w:b/>
          <w:spacing w:val="-11"/>
          <w:sz w:val="22"/>
        </w:rPr>
        <w:t> </w:t>
      </w:r>
      <w:r>
        <w:rPr>
          <w:rFonts w:ascii="Calibri"/>
          <w:b/>
          <w:sz w:val="22"/>
        </w:rPr>
        <w:t>estudio</w:t>
      </w:r>
    </w:p>
    <w:p>
      <w:pPr>
        <w:pStyle w:val="BodyText"/>
        <w:spacing w:before="8"/>
        <w:rPr>
          <w:rFonts w:ascii="Calibri"/>
          <w:b/>
          <w:sz w:val="19"/>
        </w:rPr>
      </w:pPr>
    </w:p>
    <w:p>
      <w:pPr>
        <w:spacing w:line="276" w:lineRule="auto" w:before="0"/>
        <w:ind w:left="196" w:right="279" w:firstLine="0"/>
        <w:jc w:val="both"/>
        <w:rPr>
          <w:rFonts w:ascii="Calibri" w:hAnsi="Calibri"/>
          <w:sz w:val="22"/>
        </w:rPr>
      </w:pPr>
      <w:r>
        <w:rPr>
          <w:rFonts w:ascii="Calibri" w:hAnsi="Calibri"/>
          <w:sz w:val="22"/>
        </w:rPr>
        <w:t>Si usted decide participar en el estudio, al terminar de dar lectura a la presente carta y después de haberla firmado se le realizará un diagnóstico de sus dientes empleando el sistema DIAGNOdent, el cual es un método de fluorescencia láser para </w:t>
      </w:r>
      <w:r>
        <w:rPr>
          <w:rFonts w:ascii="Calibri" w:hAnsi="Calibri"/>
          <w:spacing w:val="-3"/>
          <w:sz w:val="22"/>
        </w:rPr>
        <w:t>el </w:t>
      </w:r>
      <w:r>
        <w:rPr>
          <w:rFonts w:ascii="Calibri" w:hAnsi="Calibri"/>
          <w:sz w:val="22"/>
        </w:rPr>
        <w:t>diagnóstico precoz de caries, en ese mismo diagnóstico se determinará su tipo de dentición de acuerdo al tipo de dientes presentes en la boca (temporales, permanentes o ambos). Después se le aplicará un cuestionario, las preguntas que se le harán serán relacionadas a: 1) algunas características de usted como edad, sexo, estado civil, escolaridad y ocupación, y 2) sobre aspectos higiénicos y dietéticos. Posteriormente a la aplicación  del cuestionario se le tomará una muestra de saliva mediante el empleo de un cono plástico desinfectado y un cepillo de citología estéril, </w:t>
      </w:r>
      <w:r>
        <w:rPr>
          <w:rFonts w:ascii="Calibri" w:hAnsi="Calibri"/>
          <w:spacing w:val="-3"/>
          <w:sz w:val="22"/>
        </w:rPr>
        <w:t>el </w:t>
      </w:r>
      <w:r>
        <w:rPr>
          <w:rFonts w:ascii="Calibri" w:hAnsi="Calibri"/>
          <w:sz w:val="22"/>
        </w:rPr>
        <w:t>cual se frotara sobre la mucosa de sus carrillos. La realización del procedimiento tiene una duración aproximada de 20 minutos. La información resultante será resguarda por </w:t>
      </w:r>
      <w:r>
        <w:rPr>
          <w:rFonts w:ascii="Calibri" w:hAnsi="Calibri"/>
          <w:spacing w:val="-3"/>
          <w:sz w:val="22"/>
        </w:rPr>
        <w:t>el </w:t>
      </w:r>
      <w:r>
        <w:rPr>
          <w:rFonts w:ascii="Calibri" w:hAnsi="Calibri"/>
          <w:sz w:val="22"/>
        </w:rPr>
        <w:t>equipo de trabajo y será confidencial. Dicha información solo </w:t>
      </w:r>
      <w:r>
        <w:rPr>
          <w:rFonts w:ascii="Calibri" w:hAnsi="Calibri"/>
          <w:spacing w:val="-3"/>
          <w:sz w:val="22"/>
        </w:rPr>
        <w:t>se </w:t>
      </w:r>
      <w:r>
        <w:rPr>
          <w:rFonts w:ascii="Calibri" w:hAnsi="Calibri"/>
          <w:sz w:val="22"/>
        </w:rPr>
        <w:t>utilizará para los fines de la</w:t>
      </w:r>
      <w:r>
        <w:rPr>
          <w:rFonts w:ascii="Calibri" w:hAnsi="Calibri"/>
          <w:spacing w:val="-20"/>
          <w:sz w:val="22"/>
        </w:rPr>
        <w:t> </w:t>
      </w:r>
      <w:r>
        <w:rPr>
          <w:rFonts w:ascii="Calibri" w:hAnsi="Calibri"/>
          <w:sz w:val="22"/>
        </w:rPr>
        <w:t>investigación.</w:t>
      </w:r>
    </w:p>
    <w:p>
      <w:pPr>
        <w:spacing w:after="0" w:line="276" w:lineRule="auto"/>
        <w:jc w:val="both"/>
        <w:rPr>
          <w:rFonts w:ascii="Calibri" w:hAnsi="Calibri"/>
          <w:sz w:val="22"/>
        </w:rPr>
        <w:sectPr>
          <w:pgSz w:w="12240" w:h="15840"/>
          <w:pgMar w:header="726" w:footer="1031" w:top="1340" w:bottom="1220" w:left="1220" w:right="1420"/>
        </w:sectPr>
      </w:pPr>
    </w:p>
    <w:p>
      <w:pPr>
        <w:pStyle w:val="BodyText"/>
        <w:spacing w:before="6"/>
        <w:rPr>
          <w:rFonts w:ascii="Calibri"/>
          <w:sz w:val="23"/>
        </w:rPr>
      </w:pPr>
    </w:p>
    <w:p>
      <w:pPr>
        <w:pStyle w:val="ListParagraph"/>
        <w:numPr>
          <w:ilvl w:val="0"/>
          <w:numId w:val="42"/>
        </w:numPr>
        <w:tabs>
          <w:tab w:pos="557" w:val="left" w:leader="none"/>
        </w:tabs>
        <w:spacing w:line="240" w:lineRule="auto" w:before="56" w:after="0"/>
        <w:ind w:left="556" w:right="0" w:hanging="360"/>
        <w:jc w:val="both"/>
        <w:rPr>
          <w:rFonts w:ascii="Calibri"/>
          <w:b/>
          <w:sz w:val="22"/>
        </w:rPr>
      </w:pPr>
      <w:r>
        <w:rPr>
          <w:rFonts w:ascii="Calibri"/>
          <w:b/>
          <w:sz w:val="22"/>
        </w:rPr>
        <w:t>Posibles</w:t>
      </w:r>
      <w:r>
        <w:rPr>
          <w:rFonts w:ascii="Calibri"/>
          <w:b/>
          <w:spacing w:val="-10"/>
          <w:sz w:val="22"/>
        </w:rPr>
        <w:t> </w:t>
      </w:r>
      <w:r>
        <w:rPr>
          <w:rFonts w:ascii="Calibri"/>
          <w:b/>
          <w:sz w:val="22"/>
        </w:rPr>
        <w:t>riesgos</w:t>
      </w:r>
    </w:p>
    <w:p>
      <w:pPr>
        <w:pStyle w:val="BodyText"/>
        <w:spacing w:before="8"/>
        <w:rPr>
          <w:rFonts w:ascii="Calibri"/>
          <w:b/>
          <w:sz w:val="19"/>
        </w:rPr>
      </w:pPr>
    </w:p>
    <w:p>
      <w:pPr>
        <w:spacing w:line="276" w:lineRule="auto" w:before="1"/>
        <w:ind w:left="196" w:right="277" w:firstLine="0"/>
        <w:jc w:val="both"/>
        <w:rPr>
          <w:rFonts w:ascii="Calibri" w:hAnsi="Calibri"/>
          <w:sz w:val="22"/>
        </w:rPr>
      </w:pPr>
      <w:r>
        <w:rPr>
          <w:rFonts w:ascii="Calibri" w:hAnsi="Calibri"/>
          <w:sz w:val="22"/>
        </w:rPr>
        <w:t>Participar en este estudio tiene un riesgo mínimo para usted que va desde alguna pequeña laceración de los tejidos bucales que pudiera presentarse mientras se realiza el diagnóstico con el sistema DIAGNOdent.</w:t>
      </w:r>
    </w:p>
    <w:p>
      <w:pPr>
        <w:pStyle w:val="BodyText"/>
        <w:spacing w:before="4"/>
        <w:rPr>
          <w:rFonts w:ascii="Calibri"/>
          <w:sz w:val="16"/>
        </w:rPr>
      </w:pPr>
    </w:p>
    <w:p>
      <w:pPr>
        <w:pStyle w:val="ListParagraph"/>
        <w:numPr>
          <w:ilvl w:val="0"/>
          <w:numId w:val="42"/>
        </w:numPr>
        <w:tabs>
          <w:tab w:pos="557" w:val="left" w:leader="none"/>
        </w:tabs>
        <w:spacing w:line="240" w:lineRule="auto" w:before="0" w:after="0"/>
        <w:ind w:left="556" w:right="0" w:hanging="360"/>
        <w:jc w:val="both"/>
        <w:rPr>
          <w:rFonts w:ascii="Calibri"/>
          <w:b/>
          <w:sz w:val="22"/>
        </w:rPr>
      </w:pPr>
      <w:r>
        <w:rPr>
          <w:rFonts w:ascii="Calibri"/>
          <w:b/>
          <w:sz w:val="22"/>
        </w:rPr>
        <w:t>Beneficios del</w:t>
      </w:r>
      <w:r>
        <w:rPr>
          <w:rFonts w:ascii="Calibri"/>
          <w:b/>
          <w:spacing w:val="-12"/>
          <w:sz w:val="22"/>
        </w:rPr>
        <w:t> </w:t>
      </w:r>
      <w:r>
        <w:rPr>
          <w:rFonts w:ascii="Calibri"/>
          <w:b/>
          <w:sz w:val="22"/>
        </w:rPr>
        <w:t>Estudio</w:t>
      </w:r>
    </w:p>
    <w:p>
      <w:pPr>
        <w:pStyle w:val="BodyText"/>
        <w:spacing w:before="8"/>
        <w:rPr>
          <w:rFonts w:ascii="Calibri"/>
          <w:b/>
          <w:sz w:val="19"/>
        </w:rPr>
      </w:pPr>
    </w:p>
    <w:p>
      <w:pPr>
        <w:spacing w:line="273" w:lineRule="auto" w:before="0"/>
        <w:ind w:left="196" w:right="278" w:firstLine="0"/>
        <w:jc w:val="both"/>
        <w:rPr>
          <w:rFonts w:ascii="Calibri" w:hAnsi="Calibri"/>
          <w:sz w:val="22"/>
        </w:rPr>
      </w:pPr>
      <w:r>
        <w:rPr>
          <w:rFonts w:ascii="Calibri" w:hAnsi="Calibri"/>
          <w:sz w:val="22"/>
        </w:rPr>
        <w:t>El participar en el presente estudio le permitirá conocer el estado de sus dientes mediante el diagnóstico realizado y así poder tomar la decisión sobre recibir atención odontológica.</w:t>
      </w:r>
    </w:p>
    <w:p>
      <w:pPr>
        <w:pStyle w:val="BodyText"/>
        <w:spacing w:before="7"/>
        <w:rPr>
          <w:rFonts w:ascii="Calibri"/>
          <w:sz w:val="16"/>
        </w:rPr>
      </w:pPr>
    </w:p>
    <w:p>
      <w:pPr>
        <w:pStyle w:val="ListParagraph"/>
        <w:numPr>
          <w:ilvl w:val="0"/>
          <w:numId w:val="42"/>
        </w:numPr>
        <w:tabs>
          <w:tab w:pos="557" w:val="left" w:leader="none"/>
        </w:tabs>
        <w:spacing w:line="240" w:lineRule="auto" w:before="0" w:after="0"/>
        <w:ind w:left="556" w:right="0" w:hanging="360"/>
        <w:jc w:val="both"/>
        <w:rPr>
          <w:rFonts w:ascii="Calibri"/>
          <w:b/>
          <w:sz w:val="22"/>
        </w:rPr>
      </w:pPr>
      <w:r>
        <w:rPr>
          <w:rFonts w:ascii="Calibri"/>
          <w:b/>
          <w:sz w:val="22"/>
        </w:rPr>
        <w:t>Confidencialidad</w:t>
      </w:r>
    </w:p>
    <w:p>
      <w:pPr>
        <w:pStyle w:val="BodyText"/>
        <w:spacing w:before="8"/>
        <w:rPr>
          <w:rFonts w:ascii="Calibri"/>
          <w:b/>
          <w:sz w:val="19"/>
        </w:rPr>
      </w:pPr>
    </w:p>
    <w:p>
      <w:pPr>
        <w:spacing w:line="276" w:lineRule="auto" w:before="1"/>
        <w:ind w:left="196" w:right="282" w:firstLine="0"/>
        <w:jc w:val="both"/>
        <w:rPr>
          <w:rFonts w:ascii="Calibri" w:hAnsi="Calibri"/>
          <w:sz w:val="22"/>
        </w:rPr>
      </w:pPr>
      <w:r>
        <w:rPr>
          <w:rFonts w:ascii="Calibri" w:hAnsi="Calibri"/>
          <w:sz w:val="22"/>
        </w:rPr>
        <w:t>Todas las respuestas serán protegidas bajo el principio de su integridad como persona. Por lo tanto, en el instrumento de recolección de información se omitirá su nombre y solo se utilizarán iniciales y en los reportes o publicaciones no aparecerá ningún dato que lo identifique de manera particular. La captura de la información se realizará por profesionales del equipo de trabajo.</w:t>
      </w:r>
    </w:p>
    <w:p>
      <w:pPr>
        <w:pStyle w:val="BodyText"/>
        <w:spacing w:before="4"/>
        <w:rPr>
          <w:rFonts w:ascii="Calibri"/>
          <w:sz w:val="16"/>
        </w:rPr>
      </w:pPr>
    </w:p>
    <w:p>
      <w:pPr>
        <w:pStyle w:val="ListParagraph"/>
        <w:numPr>
          <w:ilvl w:val="0"/>
          <w:numId w:val="42"/>
        </w:numPr>
        <w:tabs>
          <w:tab w:pos="557" w:val="left" w:leader="none"/>
        </w:tabs>
        <w:spacing w:line="240" w:lineRule="auto" w:before="0" w:after="0"/>
        <w:ind w:left="556" w:right="0" w:hanging="360"/>
        <w:jc w:val="both"/>
        <w:rPr>
          <w:rFonts w:ascii="Calibri" w:hAnsi="Calibri"/>
          <w:b/>
          <w:sz w:val="22"/>
        </w:rPr>
      </w:pPr>
      <w:r>
        <w:rPr>
          <w:rFonts w:ascii="Calibri" w:hAnsi="Calibri"/>
          <w:b/>
          <w:sz w:val="22"/>
        </w:rPr>
        <w:t>Participación</w:t>
      </w:r>
      <w:r>
        <w:rPr>
          <w:rFonts w:ascii="Calibri" w:hAnsi="Calibri"/>
          <w:b/>
          <w:spacing w:val="-10"/>
          <w:sz w:val="22"/>
        </w:rPr>
        <w:t> </w:t>
      </w:r>
      <w:r>
        <w:rPr>
          <w:rFonts w:ascii="Calibri" w:hAnsi="Calibri"/>
          <w:b/>
          <w:sz w:val="22"/>
        </w:rPr>
        <w:t>Voluntaria</w:t>
      </w:r>
    </w:p>
    <w:p>
      <w:pPr>
        <w:pStyle w:val="BodyText"/>
        <w:spacing w:before="9"/>
        <w:rPr>
          <w:rFonts w:ascii="Calibri"/>
          <w:b/>
          <w:sz w:val="28"/>
        </w:rPr>
      </w:pPr>
    </w:p>
    <w:p>
      <w:pPr>
        <w:pStyle w:val="ListParagraph"/>
        <w:numPr>
          <w:ilvl w:val="1"/>
          <w:numId w:val="42"/>
        </w:numPr>
        <w:tabs>
          <w:tab w:pos="916" w:val="left" w:leader="none"/>
          <w:tab w:pos="917" w:val="left" w:leader="none"/>
        </w:tabs>
        <w:spacing w:line="240" w:lineRule="auto" w:before="0" w:after="0"/>
        <w:ind w:left="917" w:right="0" w:hanging="361"/>
        <w:jc w:val="left"/>
        <w:rPr>
          <w:rFonts w:ascii="Calibri" w:hAnsi="Calibri"/>
          <w:sz w:val="22"/>
        </w:rPr>
      </w:pPr>
      <w:r>
        <w:rPr>
          <w:rFonts w:ascii="Calibri" w:hAnsi="Calibri"/>
          <w:sz w:val="22"/>
        </w:rPr>
        <w:t>Su decisión de participar en el estudio es completamente</w:t>
      </w:r>
      <w:r>
        <w:rPr>
          <w:rFonts w:ascii="Calibri" w:hAnsi="Calibri"/>
          <w:spacing w:val="-31"/>
          <w:sz w:val="22"/>
        </w:rPr>
        <w:t> </w:t>
      </w:r>
      <w:r>
        <w:rPr>
          <w:rFonts w:ascii="Calibri" w:hAnsi="Calibri"/>
          <w:sz w:val="22"/>
        </w:rPr>
        <w:t>voluntaria.</w:t>
      </w:r>
    </w:p>
    <w:p>
      <w:pPr>
        <w:pStyle w:val="ListParagraph"/>
        <w:numPr>
          <w:ilvl w:val="1"/>
          <w:numId w:val="42"/>
        </w:numPr>
        <w:tabs>
          <w:tab w:pos="916" w:val="left" w:leader="none"/>
          <w:tab w:pos="917" w:val="left" w:leader="none"/>
        </w:tabs>
        <w:spacing w:line="240" w:lineRule="auto" w:before="38" w:after="0"/>
        <w:ind w:left="917" w:right="0" w:hanging="361"/>
        <w:jc w:val="left"/>
        <w:rPr>
          <w:rFonts w:ascii="Calibri" w:hAnsi="Calibri"/>
          <w:sz w:val="22"/>
        </w:rPr>
      </w:pPr>
      <w:r>
        <w:rPr>
          <w:rFonts w:ascii="Calibri" w:hAnsi="Calibri"/>
          <w:sz w:val="22"/>
        </w:rPr>
        <w:t>No</w:t>
      </w:r>
      <w:r>
        <w:rPr>
          <w:rFonts w:ascii="Calibri" w:hAnsi="Calibri"/>
          <w:spacing w:val="-4"/>
          <w:sz w:val="22"/>
        </w:rPr>
        <w:t> </w:t>
      </w:r>
      <w:r>
        <w:rPr>
          <w:rFonts w:ascii="Calibri" w:hAnsi="Calibri"/>
          <w:sz w:val="22"/>
        </w:rPr>
        <w:t>habrá</w:t>
      </w:r>
      <w:r>
        <w:rPr>
          <w:rFonts w:ascii="Calibri" w:hAnsi="Calibri"/>
          <w:spacing w:val="-4"/>
          <w:sz w:val="22"/>
        </w:rPr>
        <w:t> </w:t>
      </w:r>
      <w:r>
        <w:rPr>
          <w:rFonts w:ascii="Calibri" w:hAnsi="Calibri"/>
          <w:sz w:val="22"/>
        </w:rPr>
        <w:t>ninguna</w:t>
      </w:r>
      <w:r>
        <w:rPr>
          <w:rFonts w:ascii="Calibri" w:hAnsi="Calibri"/>
          <w:spacing w:val="-3"/>
          <w:sz w:val="22"/>
        </w:rPr>
        <w:t> </w:t>
      </w:r>
      <w:r>
        <w:rPr>
          <w:rFonts w:ascii="Calibri" w:hAnsi="Calibri"/>
          <w:sz w:val="22"/>
        </w:rPr>
        <w:t>consecuencia</w:t>
      </w:r>
      <w:r>
        <w:rPr>
          <w:rFonts w:ascii="Calibri" w:hAnsi="Calibri"/>
          <w:spacing w:val="-3"/>
          <w:sz w:val="22"/>
        </w:rPr>
        <w:t> </w:t>
      </w:r>
      <w:r>
        <w:rPr>
          <w:rFonts w:ascii="Calibri" w:hAnsi="Calibri"/>
          <w:sz w:val="22"/>
        </w:rPr>
        <w:t>desfavorable</w:t>
      </w:r>
      <w:r>
        <w:rPr>
          <w:rFonts w:ascii="Calibri" w:hAnsi="Calibri"/>
          <w:spacing w:val="-3"/>
          <w:sz w:val="22"/>
        </w:rPr>
        <w:t> </w:t>
      </w:r>
      <w:r>
        <w:rPr>
          <w:rFonts w:ascii="Calibri" w:hAnsi="Calibri"/>
          <w:sz w:val="22"/>
        </w:rPr>
        <w:t>para</w:t>
      </w:r>
      <w:r>
        <w:rPr>
          <w:rFonts w:ascii="Calibri" w:hAnsi="Calibri"/>
          <w:spacing w:val="-4"/>
          <w:sz w:val="22"/>
        </w:rPr>
        <w:t> </w:t>
      </w:r>
      <w:r>
        <w:rPr>
          <w:rFonts w:ascii="Calibri" w:hAnsi="Calibri"/>
          <w:sz w:val="22"/>
        </w:rPr>
        <w:t>usted,</w:t>
      </w:r>
      <w:r>
        <w:rPr>
          <w:rFonts w:ascii="Calibri" w:hAnsi="Calibri"/>
          <w:spacing w:val="-6"/>
          <w:sz w:val="22"/>
        </w:rPr>
        <w:t> </w:t>
      </w:r>
      <w:r>
        <w:rPr>
          <w:rFonts w:ascii="Calibri" w:hAnsi="Calibri"/>
          <w:sz w:val="22"/>
        </w:rPr>
        <w:t>en</w:t>
      </w:r>
      <w:r>
        <w:rPr>
          <w:rFonts w:ascii="Calibri" w:hAnsi="Calibri"/>
          <w:spacing w:val="-4"/>
          <w:sz w:val="22"/>
        </w:rPr>
        <w:t> </w:t>
      </w:r>
      <w:r>
        <w:rPr>
          <w:rFonts w:ascii="Calibri" w:hAnsi="Calibri"/>
          <w:sz w:val="22"/>
        </w:rPr>
        <w:t>caso de</w:t>
      </w:r>
      <w:r>
        <w:rPr>
          <w:rFonts w:ascii="Calibri" w:hAnsi="Calibri"/>
          <w:spacing w:val="-3"/>
          <w:sz w:val="22"/>
        </w:rPr>
        <w:t> </w:t>
      </w:r>
      <w:r>
        <w:rPr>
          <w:rFonts w:ascii="Calibri" w:hAnsi="Calibri"/>
          <w:sz w:val="22"/>
        </w:rPr>
        <w:t>no aceptar</w:t>
      </w:r>
      <w:r>
        <w:rPr>
          <w:rFonts w:ascii="Calibri" w:hAnsi="Calibri"/>
          <w:spacing w:val="-4"/>
          <w:sz w:val="22"/>
        </w:rPr>
        <w:t> </w:t>
      </w:r>
      <w:r>
        <w:rPr>
          <w:rFonts w:ascii="Calibri" w:hAnsi="Calibri"/>
          <w:sz w:val="22"/>
        </w:rPr>
        <w:t>la</w:t>
      </w:r>
      <w:r>
        <w:rPr>
          <w:rFonts w:ascii="Calibri" w:hAnsi="Calibri"/>
          <w:spacing w:val="-3"/>
          <w:sz w:val="22"/>
        </w:rPr>
        <w:t> </w:t>
      </w:r>
      <w:r>
        <w:rPr>
          <w:rFonts w:ascii="Calibri" w:hAnsi="Calibri"/>
          <w:sz w:val="22"/>
        </w:rPr>
        <w:t>invitación.</w:t>
      </w:r>
    </w:p>
    <w:p>
      <w:pPr>
        <w:pStyle w:val="ListParagraph"/>
        <w:numPr>
          <w:ilvl w:val="1"/>
          <w:numId w:val="42"/>
        </w:numPr>
        <w:tabs>
          <w:tab w:pos="916" w:val="left" w:leader="none"/>
          <w:tab w:pos="917" w:val="left" w:leader="none"/>
        </w:tabs>
        <w:spacing w:line="273" w:lineRule="auto" w:before="43" w:after="0"/>
        <w:ind w:left="917" w:right="278" w:hanging="361"/>
        <w:jc w:val="left"/>
        <w:rPr>
          <w:rFonts w:ascii="Calibri" w:hAnsi="Calibri"/>
          <w:sz w:val="22"/>
        </w:rPr>
      </w:pPr>
      <w:r>
        <w:rPr>
          <w:rFonts w:ascii="Calibri" w:hAnsi="Calibri"/>
          <w:sz w:val="22"/>
        </w:rPr>
        <w:t>Si decide participar en </w:t>
      </w:r>
      <w:r>
        <w:rPr>
          <w:rFonts w:ascii="Calibri" w:hAnsi="Calibri"/>
          <w:spacing w:val="-3"/>
          <w:sz w:val="22"/>
        </w:rPr>
        <w:t>el </w:t>
      </w:r>
      <w:r>
        <w:rPr>
          <w:rFonts w:ascii="Calibri" w:hAnsi="Calibri"/>
          <w:sz w:val="22"/>
        </w:rPr>
        <w:t>estudio, puede retirarse </w:t>
      </w:r>
      <w:r>
        <w:rPr>
          <w:rFonts w:ascii="Calibri" w:hAnsi="Calibri"/>
          <w:spacing w:val="-3"/>
          <w:sz w:val="22"/>
        </w:rPr>
        <w:t>en </w:t>
      </w:r>
      <w:r>
        <w:rPr>
          <w:rFonts w:ascii="Calibri" w:hAnsi="Calibri"/>
          <w:sz w:val="22"/>
        </w:rPr>
        <w:t>el momento que lo desee, pudiendo informar o no las razones de su decisión, la cual será respetada en su</w:t>
      </w:r>
      <w:r>
        <w:rPr>
          <w:rFonts w:ascii="Calibri" w:hAnsi="Calibri"/>
          <w:spacing w:val="-32"/>
          <w:sz w:val="22"/>
        </w:rPr>
        <w:t> </w:t>
      </w:r>
      <w:r>
        <w:rPr>
          <w:rFonts w:ascii="Calibri" w:hAnsi="Calibri"/>
          <w:sz w:val="22"/>
        </w:rPr>
        <w:t>integridad.</w:t>
      </w:r>
    </w:p>
    <w:p>
      <w:pPr>
        <w:pStyle w:val="ListParagraph"/>
        <w:numPr>
          <w:ilvl w:val="1"/>
          <w:numId w:val="42"/>
        </w:numPr>
        <w:tabs>
          <w:tab w:pos="916" w:val="left" w:leader="none"/>
          <w:tab w:pos="917" w:val="left" w:leader="none"/>
        </w:tabs>
        <w:spacing w:line="240" w:lineRule="auto" w:before="6" w:after="0"/>
        <w:ind w:left="917" w:right="0" w:hanging="361"/>
        <w:jc w:val="left"/>
        <w:rPr>
          <w:rFonts w:ascii="Calibri" w:hAnsi="Calibri"/>
          <w:sz w:val="22"/>
        </w:rPr>
      </w:pPr>
      <w:r>
        <w:rPr>
          <w:rFonts w:ascii="Calibri" w:hAnsi="Calibri"/>
          <w:sz w:val="22"/>
        </w:rPr>
        <w:t>No tendrá que hacer gasto alguno durante el</w:t>
      </w:r>
      <w:r>
        <w:rPr>
          <w:rFonts w:ascii="Calibri" w:hAnsi="Calibri"/>
          <w:spacing w:val="-18"/>
          <w:sz w:val="22"/>
        </w:rPr>
        <w:t> </w:t>
      </w:r>
      <w:r>
        <w:rPr>
          <w:rFonts w:ascii="Calibri" w:hAnsi="Calibri"/>
          <w:sz w:val="22"/>
        </w:rPr>
        <w:t>estudio.</w:t>
      </w:r>
    </w:p>
    <w:p>
      <w:pPr>
        <w:pStyle w:val="ListParagraph"/>
        <w:numPr>
          <w:ilvl w:val="1"/>
          <w:numId w:val="42"/>
        </w:numPr>
        <w:tabs>
          <w:tab w:pos="916" w:val="left" w:leader="none"/>
          <w:tab w:pos="917" w:val="left" w:leader="none"/>
        </w:tabs>
        <w:spacing w:line="240" w:lineRule="auto" w:before="38" w:after="0"/>
        <w:ind w:left="917" w:right="0" w:hanging="361"/>
        <w:jc w:val="left"/>
        <w:rPr>
          <w:rFonts w:ascii="Calibri" w:hAnsi="Calibri"/>
          <w:sz w:val="22"/>
        </w:rPr>
      </w:pPr>
      <w:r>
        <w:rPr>
          <w:rFonts w:ascii="Calibri" w:hAnsi="Calibri"/>
          <w:sz w:val="22"/>
        </w:rPr>
        <w:t>No recibirá pago por su</w:t>
      </w:r>
      <w:r>
        <w:rPr>
          <w:rFonts w:ascii="Calibri" w:hAnsi="Calibri"/>
          <w:spacing w:val="-18"/>
          <w:sz w:val="22"/>
        </w:rPr>
        <w:t> </w:t>
      </w:r>
      <w:r>
        <w:rPr>
          <w:rFonts w:ascii="Calibri" w:hAnsi="Calibri"/>
          <w:sz w:val="22"/>
        </w:rPr>
        <w:t>participación.</w:t>
      </w:r>
    </w:p>
    <w:p>
      <w:pPr>
        <w:pStyle w:val="ListParagraph"/>
        <w:numPr>
          <w:ilvl w:val="1"/>
          <w:numId w:val="42"/>
        </w:numPr>
        <w:tabs>
          <w:tab w:pos="916" w:val="left" w:leader="none"/>
          <w:tab w:pos="917" w:val="left" w:leader="none"/>
        </w:tabs>
        <w:spacing w:line="278" w:lineRule="auto" w:before="38" w:after="0"/>
        <w:ind w:left="917" w:right="274" w:hanging="361"/>
        <w:jc w:val="left"/>
        <w:rPr>
          <w:rFonts w:ascii="Calibri" w:hAnsi="Calibri"/>
          <w:sz w:val="22"/>
        </w:rPr>
      </w:pPr>
      <w:r>
        <w:rPr>
          <w:rFonts w:ascii="Calibri" w:hAnsi="Calibri"/>
          <w:sz w:val="22"/>
        </w:rPr>
        <w:t>Si considera que no hay dudas </w:t>
      </w:r>
      <w:r>
        <w:rPr>
          <w:rFonts w:ascii="Calibri" w:hAnsi="Calibri"/>
          <w:spacing w:val="-3"/>
          <w:sz w:val="22"/>
        </w:rPr>
        <w:t>ni </w:t>
      </w:r>
      <w:r>
        <w:rPr>
          <w:rFonts w:ascii="Calibri" w:hAnsi="Calibri"/>
          <w:sz w:val="22"/>
        </w:rPr>
        <w:t>preguntas acerca de su participación, puede, si así lo desea, firmar</w:t>
      </w:r>
      <w:r>
        <w:rPr>
          <w:rFonts w:ascii="Calibri" w:hAnsi="Calibri"/>
          <w:spacing w:val="-5"/>
          <w:sz w:val="22"/>
        </w:rPr>
        <w:t> </w:t>
      </w:r>
      <w:r>
        <w:rPr>
          <w:rFonts w:ascii="Calibri" w:hAnsi="Calibri"/>
          <w:sz w:val="22"/>
        </w:rPr>
        <w:t>la</w:t>
      </w:r>
      <w:r>
        <w:rPr>
          <w:rFonts w:ascii="Calibri" w:hAnsi="Calibri"/>
          <w:spacing w:val="-4"/>
          <w:sz w:val="22"/>
        </w:rPr>
        <w:t> </w:t>
      </w:r>
      <w:r>
        <w:rPr>
          <w:rFonts w:ascii="Calibri" w:hAnsi="Calibri"/>
          <w:sz w:val="22"/>
        </w:rPr>
        <w:t>Carta</w:t>
      </w:r>
      <w:r>
        <w:rPr>
          <w:rFonts w:ascii="Calibri" w:hAnsi="Calibri"/>
          <w:spacing w:val="-4"/>
          <w:sz w:val="22"/>
        </w:rPr>
        <w:t> </w:t>
      </w:r>
      <w:r>
        <w:rPr>
          <w:rFonts w:ascii="Calibri" w:hAnsi="Calibri"/>
          <w:sz w:val="22"/>
        </w:rPr>
        <w:t>de</w:t>
      </w:r>
      <w:r>
        <w:rPr>
          <w:rFonts w:ascii="Calibri" w:hAnsi="Calibri"/>
          <w:spacing w:val="-4"/>
          <w:sz w:val="22"/>
        </w:rPr>
        <w:t> </w:t>
      </w:r>
      <w:r>
        <w:rPr>
          <w:rFonts w:ascii="Calibri" w:hAnsi="Calibri"/>
          <w:sz w:val="22"/>
        </w:rPr>
        <w:t>Consentimiento</w:t>
      </w:r>
      <w:r>
        <w:rPr>
          <w:rFonts w:ascii="Calibri" w:hAnsi="Calibri"/>
          <w:spacing w:val="-5"/>
          <w:sz w:val="22"/>
        </w:rPr>
        <w:t> </w:t>
      </w:r>
      <w:r>
        <w:rPr>
          <w:rFonts w:ascii="Calibri" w:hAnsi="Calibri"/>
          <w:sz w:val="22"/>
        </w:rPr>
        <w:t>Informado</w:t>
      </w:r>
      <w:r>
        <w:rPr>
          <w:rFonts w:ascii="Calibri" w:hAnsi="Calibri"/>
          <w:spacing w:val="-5"/>
          <w:sz w:val="22"/>
        </w:rPr>
        <w:t> </w:t>
      </w:r>
      <w:r>
        <w:rPr>
          <w:rFonts w:ascii="Calibri" w:hAnsi="Calibri"/>
          <w:sz w:val="22"/>
        </w:rPr>
        <w:t>que</w:t>
      </w:r>
      <w:r>
        <w:rPr>
          <w:rFonts w:ascii="Calibri" w:hAnsi="Calibri"/>
          <w:spacing w:val="-4"/>
          <w:sz w:val="22"/>
        </w:rPr>
        <w:t> </w:t>
      </w:r>
      <w:r>
        <w:rPr>
          <w:rFonts w:ascii="Calibri" w:hAnsi="Calibri"/>
          <w:sz w:val="22"/>
        </w:rPr>
        <w:t>forma</w:t>
      </w:r>
      <w:r>
        <w:rPr>
          <w:rFonts w:ascii="Calibri" w:hAnsi="Calibri"/>
          <w:spacing w:val="-4"/>
          <w:sz w:val="22"/>
        </w:rPr>
        <w:t> </w:t>
      </w:r>
      <w:r>
        <w:rPr>
          <w:rFonts w:ascii="Calibri" w:hAnsi="Calibri"/>
          <w:sz w:val="22"/>
        </w:rPr>
        <w:t>parte</w:t>
      </w:r>
      <w:r>
        <w:rPr>
          <w:rFonts w:ascii="Calibri" w:hAnsi="Calibri"/>
          <w:spacing w:val="-4"/>
          <w:sz w:val="22"/>
        </w:rPr>
        <w:t> </w:t>
      </w:r>
      <w:r>
        <w:rPr>
          <w:rFonts w:ascii="Calibri" w:hAnsi="Calibri"/>
          <w:sz w:val="22"/>
        </w:rPr>
        <w:t>de</w:t>
      </w:r>
      <w:r>
        <w:rPr>
          <w:rFonts w:ascii="Calibri" w:hAnsi="Calibri"/>
          <w:spacing w:val="-4"/>
          <w:sz w:val="22"/>
        </w:rPr>
        <w:t> </w:t>
      </w:r>
      <w:r>
        <w:rPr>
          <w:rFonts w:ascii="Calibri" w:hAnsi="Calibri"/>
          <w:sz w:val="22"/>
        </w:rPr>
        <w:t>este</w:t>
      </w:r>
      <w:r>
        <w:rPr>
          <w:rFonts w:ascii="Calibri" w:hAnsi="Calibri"/>
          <w:spacing w:val="-4"/>
          <w:sz w:val="22"/>
        </w:rPr>
        <w:t> </w:t>
      </w:r>
      <w:r>
        <w:rPr>
          <w:rFonts w:ascii="Calibri" w:hAnsi="Calibri"/>
          <w:sz w:val="22"/>
        </w:rPr>
        <w:t>documento.</w:t>
      </w:r>
    </w:p>
    <w:p>
      <w:pPr>
        <w:pStyle w:val="BodyText"/>
        <w:spacing w:before="10"/>
        <w:rPr>
          <w:rFonts w:ascii="Calibri"/>
        </w:rPr>
      </w:pPr>
    </w:p>
    <w:p>
      <w:pPr>
        <w:pStyle w:val="ListParagraph"/>
        <w:numPr>
          <w:ilvl w:val="0"/>
          <w:numId w:val="42"/>
        </w:numPr>
        <w:tabs>
          <w:tab w:pos="557" w:val="left" w:leader="none"/>
        </w:tabs>
        <w:spacing w:line="240" w:lineRule="auto" w:before="0" w:after="0"/>
        <w:ind w:left="556" w:right="0" w:hanging="360"/>
        <w:jc w:val="both"/>
        <w:rPr>
          <w:rFonts w:ascii="Calibri"/>
          <w:b/>
          <w:sz w:val="22"/>
        </w:rPr>
      </w:pPr>
      <w:r>
        <w:rPr>
          <w:rFonts w:ascii="Calibri"/>
          <w:b/>
          <w:sz w:val="22"/>
        </w:rPr>
        <w:t>Personal</w:t>
      </w:r>
      <w:r>
        <w:rPr>
          <w:rFonts w:ascii="Calibri"/>
          <w:b/>
          <w:spacing w:val="-5"/>
          <w:sz w:val="22"/>
        </w:rPr>
        <w:t> </w:t>
      </w:r>
      <w:r>
        <w:rPr>
          <w:rFonts w:ascii="Calibri"/>
          <w:b/>
          <w:sz w:val="22"/>
        </w:rPr>
        <w:t>Responsable</w:t>
      </w:r>
    </w:p>
    <w:p>
      <w:pPr>
        <w:pStyle w:val="BodyText"/>
        <w:spacing w:before="8"/>
        <w:rPr>
          <w:rFonts w:ascii="Calibri"/>
          <w:b/>
          <w:sz w:val="19"/>
        </w:rPr>
      </w:pPr>
    </w:p>
    <w:p>
      <w:pPr>
        <w:spacing w:line="276" w:lineRule="auto" w:before="0"/>
        <w:ind w:left="196" w:right="279" w:firstLine="0"/>
        <w:jc w:val="both"/>
        <w:rPr>
          <w:rFonts w:ascii="Calibri" w:hAnsi="Calibri"/>
          <w:sz w:val="22"/>
        </w:rPr>
      </w:pPr>
      <w:r>
        <w:rPr>
          <w:rFonts w:ascii="Calibri" w:hAnsi="Calibri"/>
          <w:sz w:val="22"/>
        </w:rPr>
        <w:t>Para cualquier pregunta acerca del presente estudio, duda acerca de sus derechos como participante o cuando usted considere que no se haya respetado alguno de sus derechos individuales se le proporcionará una tarjeta con los datos del responsable del estudio, así como los datos de la  Comisión de Ética de la Facultad de Odontología de la UAEM, con quien se podrá comunicar a cualquier hora y en el momento que usted lo requiera. (Se</w:t>
      </w:r>
      <w:r>
        <w:rPr>
          <w:rFonts w:ascii="Calibri" w:hAnsi="Calibri"/>
          <w:spacing w:val="-26"/>
          <w:sz w:val="22"/>
        </w:rPr>
        <w:t> </w:t>
      </w:r>
      <w:r>
        <w:rPr>
          <w:rFonts w:ascii="Calibri" w:hAnsi="Calibri"/>
          <w:sz w:val="22"/>
        </w:rPr>
        <w:t>anexa)</w:t>
      </w:r>
    </w:p>
    <w:p>
      <w:pPr>
        <w:spacing w:after="0" w:line="276" w:lineRule="auto"/>
        <w:jc w:val="both"/>
        <w:rPr>
          <w:rFonts w:ascii="Calibri" w:hAnsi="Calibri"/>
          <w:sz w:val="22"/>
        </w:rPr>
        <w:sectPr>
          <w:footerReference w:type="default" r:id="rId96"/>
          <w:pgSz w:w="12240" w:h="15840"/>
          <w:pgMar w:footer="1031" w:header="726" w:top="1340" w:bottom="1220" w:left="1220" w:right="1420"/>
        </w:sectPr>
      </w:pPr>
    </w:p>
    <w:p>
      <w:pPr>
        <w:pStyle w:val="BodyText"/>
        <w:spacing w:before="6"/>
        <w:rPr>
          <w:rFonts w:ascii="Calibri"/>
          <w:sz w:val="23"/>
        </w:rPr>
      </w:pPr>
    </w:p>
    <w:p>
      <w:pPr>
        <w:spacing w:before="56"/>
        <w:ind w:left="2828" w:right="1246" w:firstLine="0"/>
        <w:jc w:val="left"/>
        <w:rPr>
          <w:rFonts w:ascii="Calibri"/>
          <w:b/>
          <w:sz w:val="22"/>
        </w:rPr>
      </w:pPr>
      <w:r>
        <w:rPr>
          <w:rFonts w:ascii="Calibri"/>
          <w:b/>
          <w:sz w:val="22"/>
        </w:rPr>
        <w:t>CARTA DE CONSENTIMIENTO INFORMADO</w:t>
      </w:r>
    </w:p>
    <w:p>
      <w:pPr>
        <w:pStyle w:val="BodyText"/>
        <w:spacing w:before="8"/>
        <w:rPr>
          <w:rFonts w:ascii="Calibri"/>
          <w:b/>
          <w:sz w:val="19"/>
        </w:rPr>
      </w:pPr>
    </w:p>
    <w:p>
      <w:pPr>
        <w:spacing w:line="276" w:lineRule="auto" w:before="1"/>
        <w:ind w:left="216" w:right="276" w:firstLine="0"/>
        <w:jc w:val="both"/>
        <w:rPr>
          <w:rFonts w:ascii="Calibri" w:hAnsi="Calibri"/>
          <w:sz w:val="22"/>
        </w:rPr>
      </w:pPr>
      <w:r>
        <w:rPr>
          <w:rFonts w:ascii="Calibri" w:hAnsi="Calibri"/>
          <w:sz w:val="22"/>
        </w:rPr>
        <w:t>He leído y comprendido la información anterior y mis preguntas han sido respondidas de manera satisfactoria. He sido informado y entiendo que los datos obtenidos en el estudio pueden ser publicados o difundidos con fines científicos. Convengo en participar en este estudio de investigación. Recibiré una copia firmada y fechada de esta forma de consentimiento.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4"/>
        </w:rPr>
      </w:pPr>
      <w:r>
        <w:rPr/>
        <w:pict>
          <v:line style="position:absolute;mso-position-horizontal-relative:page;mso-position-vertical-relative:paragraph;z-index:2536;mso-wrap-distance-left:0;mso-wrap-distance-right:0" from="95.328003pt,10.919688pt" to="259.957091pt,10.919688pt" stroked="true" strokeweight=".71691pt" strokecolor="#000000">
            <w10:wrap type="topAndBottom"/>
          </v:line>
        </w:pict>
      </w:r>
      <w:r>
        <w:rPr/>
        <w:pict>
          <v:line style="position:absolute;mso-position-horizontal-relative:page;mso-position-vertical-relative:paragraph;z-index:2560;mso-wrap-distance-left:0;mso-wrap-distance-right:0" from="320.040009pt,10.919688pt" to="484.592531pt,10.919688pt" stroked="true" strokeweight=".71691pt" strokecolor="#000000">
            <w10:wrap type="topAndBottom"/>
          </v:line>
        </w:pict>
      </w:r>
    </w:p>
    <w:p>
      <w:pPr>
        <w:pStyle w:val="BodyText"/>
        <w:spacing w:before="3"/>
        <w:rPr>
          <w:rFonts w:ascii="Calibri"/>
          <w:sz w:val="14"/>
        </w:rPr>
      </w:pPr>
    </w:p>
    <w:p>
      <w:pPr>
        <w:tabs>
          <w:tab w:pos="5210" w:val="left" w:leader="none"/>
        </w:tabs>
        <w:spacing w:before="56"/>
        <w:ind w:left="1263" w:right="0" w:firstLine="0"/>
        <w:jc w:val="left"/>
        <w:rPr>
          <w:rFonts w:ascii="Calibri"/>
          <w:sz w:val="22"/>
        </w:rPr>
      </w:pPr>
      <w:r>
        <w:rPr>
          <w:rFonts w:ascii="Calibri"/>
          <w:sz w:val="22"/>
        </w:rPr>
        <w:t>Iniciales</w:t>
      </w:r>
      <w:r>
        <w:rPr>
          <w:rFonts w:ascii="Calibri"/>
          <w:spacing w:val="-4"/>
          <w:sz w:val="22"/>
        </w:rPr>
        <w:t> </w:t>
      </w:r>
      <w:r>
        <w:rPr>
          <w:rFonts w:ascii="Calibri"/>
          <w:sz w:val="22"/>
        </w:rPr>
        <w:t>del</w:t>
      </w:r>
      <w:r>
        <w:rPr>
          <w:rFonts w:ascii="Calibri"/>
          <w:spacing w:val="-2"/>
          <w:sz w:val="22"/>
        </w:rPr>
        <w:t> </w:t>
      </w:r>
      <w:r>
        <w:rPr>
          <w:rFonts w:ascii="Calibri"/>
          <w:sz w:val="22"/>
        </w:rPr>
        <w:t>participante</w:t>
        <w:tab/>
        <w:t>Firma del participante, padre o</w:t>
      </w:r>
      <w:r>
        <w:rPr>
          <w:rFonts w:ascii="Calibri"/>
          <w:spacing w:val="-15"/>
          <w:sz w:val="22"/>
        </w:rPr>
        <w:t> </w:t>
      </w:r>
      <w:r>
        <w:rPr>
          <w:rFonts w:ascii="Calibri"/>
          <w:sz w:val="22"/>
        </w:rPr>
        <w:t>tutor</w:t>
      </w:r>
    </w:p>
    <w:p>
      <w:pPr>
        <w:pStyle w:val="BodyText"/>
        <w:rPr>
          <w:rFonts w:ascii="Calibri"/>
          <w:sz w:val="20"/>
        </w:rPr>
      </w:pPr>
    </w:p>
    <w:p>
      <w:pPr>
        <w:pStyle w:val="BodyText"/>
        <w:rPr>
          <w:rFonts w:ascii="Calibri"/>
          <w:sz w:val="20"/>
        </w:rPr>
      </w:pPr>
    </w:p>
    <w:p>
      <w:pPr>
        <w:pStyle w:val="BodyText"/>
        <w:rPr>
          <w:rFonts w:ascii="Calibri"/>
          <w:sz w:val="18"/>
        </w:rPr>
      </w:pPr>
      <w:r>
        <w:rPr/>
        <w:pict>
          <v:shape style="position:absolute;margin-left:65.304001pt;margin-top:14.421853pt;width:449.25pt;height:364pt;mso-position-horizontal-relative:page;mso-position-vertical-relative:paragraph;z-index:2584;mso-wrap-distance-left:0;mso-wrap-distance-right:0" type="#_x0000_t202" filled="false" stroked="true" strokeweight="2.88pt" strokecolor="#000000">
            <v:textbox inset="0,0,0,0">
              <w:txbxContent>
                <w:p>
                  <w:pPr>
                    <w:pStyle w:val="BodyText"/>
                    <w:spacing w:before="5"/>
                    <w:rPr>
                      <w:rFonts w:ascii="Calibri"/>
                      <w:sz w:val="25"/>
                    </w:rPr>
                  </w:pPr>
                </w:p>
                <w:p>
                  <w:pPr>
                    <w:spacing w:before="0"/>
                    <w:ind w:left="1471" w:right="1466" w:firstLine="0"/>
                    <w:jc w:val="center"/>
                    <w:rPr>
                      <w:rFonts w:ascii="Calibri" w:hAnsi="Calibri"/>
                      <w:b/>
                      <w:sz w:val="24"/>
                    </w:rPr>
                  </w:pPr>
                  <w:r>
                    <w:rPr>
                      <w:rFonts w:ascii="Calibri" w:hAnsi="Calibri"/>
                      <w:b/>
                      <w:sz w:val="22"/>
                    </w:rPr>
                    <w:t>“EXPRESION GÉNICA DE </w:t>
                  </w:r>
                  <w:r>
                    <w:rPr>
                      <w:rFonts w:ascii="Calibri" w:hAnsi="Calibri"/>
                      <w:b/>
                      <w:sz w:val="24"/>
                    </w:rPr>
                    <w:t>Fc</w:t>
                  </w:r>
                  <w:r>
                    <w:rPr>
                      <w:rFonts w:ascii="Symbol" w:hAnsi="Symbol"/>
                      <w:b/>
                      <w:sz w:val="24"/>
                    </w:rPr>
                    <w:t></w:t>
                  </w:r>
                  <w:r>
                    <w:rPr>
                      <w:rFonts w:ascii="Calibri" w:hAnsi="Calibri"/>
                      <w:b/>
                      <w:sz w:val="24"/>
                    </w:rPr>
                    <w:t>R, Fc</w:t>
                  </w:r>
                  <w:r>
                    <w:rPr>
                      <w:rFonts w:ascii="Symbol" w:hAnsi="Symbol"/>
                      <w:b/>
                      <w:sz w:val="24"/>
                    </w:rPr>
                    <w:t></w:t>
                  </w:r>
                  <w:r>
                    <w:rPr>
                      <w:rFonts w:ascii="Calibri" w:hAnsi="Calibri"/>
                      <w:b/>
                      <w:sz w:val="24"/>
                    </w:rPr>
                    <w:t>RIIB Y Fc</w:t>
                  </w:r>
                  <w:r>
                    <w:rPr>
                      <w:rFonts w:ascii="Symbol" w:hAnsi="Symbol"/>
                      <w:b/>
                      <w:sz w:val="24"/>
                    </w:rPr>
                    <w:t></w:t>
                  </w:r>
                  <w:r>
                    <w:rPr>
                      <w:rFonts w:ascii="Calibri" w:hAnsi="Calibri"/>
                      <w:b/>
                      <w:sz w:val="24"/>
                    </w:rPr>
                    <w:t>R</w:t>
                  </w:r>
                </w:p>
                <w:p>
                  <w:pPr>
                    <w:spacing w:line="278" w:lineRule="auto" w:before="47"/>
                    <w:ind w:left="1471" w:right="1473" w:firstLine="0"/>
                    <w:jc w:val="center"/>
                    <w:rPr>
                      <w:rFonts w:ascii="Calibri" w:hAnsi="Calibri"/>
                      <w:b/>
                      <w:sz w:val="22"/>
                    </w:rPr>
                  </w:pPr>
                  <w:r>
                    <w:rPr>
                      <w:rFonts w:ascii="Calibri" w:hAnsi="Calibri"/>
                      <w:b/>
                      <w:sz w:val="22"/>
                    </w:rPr>
                    <w:t>EN SALIVA DE PACIENTES CON DENTICIÓN MIXTA Y PERMANENTE QUE PRESENTAN CARIES DENTAL,</w:t>
                  </w:r>
                </w:p>
                <w:p>
                  <w:pPr>
                    <w:spacing w:line="264" w:lineRule="exact" w:before="0"/>
                    <w:ind w:left="1465" w:right="1473" w:firstLine="0"/>
                    <w:jc w:val="center"/>
                    <w:rPr>
                      <w:rFonts w:ascii="Calibri" w:hAnsi="Calibri"/>
                      <w:b/>
                      <w:sz w:val="22"/>
                    </w:rPr>
                  </w:pPr>
                  <w:r>
                    <w:rPr>
                      <w:rFonts w:ascii="Calibri" w:hAnsi="Calibri"/>
                      <w:b/>
                      <w:sz w:val="22"/>
                    </w:rPr>
                    <w:t>EN EL ESTADO DE MEXICO; 2013”</w:t>
                  </w:r>
                </w:p>
                <w:p>
                  <w:pPr>
                    <w:pStyle w:val="BodyText"/>
                    <w:rPr>
                      <w:rFonts w:ascii="Calibri"/>
                      <w:sz w:val="22"/>
                    </w:rPr>
                  </w:pPr>
                </w:p>
                <w:p>
                  <w:pPr>
                    <w:pStyle w:val="BodyText"/>
                    <w:rPr>
                      <w:rFonts w:ascii="Calibri"/>
                      <w:sz w:val="22"/>
                    </w:rPr>
                  </w:pPr>
                </w:p>
                <w:p>
                  <w:pPr>
                    <w:pStyle w:val="BodyText"/>
                    <w:spacing w:before="10"/>
                    <w:rPr>
                      <w:rFonts w:ascii="Calibri"/>
                    </w:rPr>
                  </w:pPr>
                </w:p>
                <w:p>
                  <w:pPr>
                    <w:spacing w:line="360" w:lineRule="auto" w:before="0"/>
                    <w:ind w:left="81" w:right="79" w:firstLine="0"/>
                    <w:jc w:val="both"/>
                    <w:rPr>
                      <w:rFonts w:ascii="Calibri" w:hAnsi="Calibri"/>
                      <w:sz w:val="22"/>
                    </w:rPr>
                  </w:pPr>
                  <w:r>
                    <w:rPr>
                      <w:rFonts w:ascii="Calibri" w:hAnsi="Calibri"/>
                      <w:sz w:val="22"/>
                    </w:rPr>
                    <w:t>En caso de que usted tenga alguna duda, comentario, sugerencia o queja relacionada con sus derechos como participante en este estudio, favor de comunicarse a cualquier hora con la C.D. Gema Regina Guadarrama Santín, responsable del proyecto, al teléfono celular (722) 5716092 o con la Comisión de Ética de la Facultad de Odontología de la UAEM al (722) 3228612.</w:t>
                  </w:r>
                </w:p>
                <w:p>
                  <w:pPr>
                    <w:pStyle w:val="BodyText"/>
                    <w:rPr>
                      <w:rFonts w:ascii="Calibri"/>
                      <w:sz w:val="22"/>
                    </w:rPr>
                  </w:pPr>
                </w:p>
                <w:p>
                  <w:pPr>
                    <w:pStyle w:val="BodyText"/>
                    <w:rPr>
                      <w:rFonts w:ascii="Calibri"/>
                      <w:sz w:val="22"/>
                    </w:rPr>
                  </w:pPr>
                </w:p>
                <w:p>
                  <w:pPr>
                    <w:pStyle w:val="BodyText"/>
                    <w:spacing w:before="9"/>
                    <w:rPr>
                      <w:rFonts w:ascii="Calibri"/>
                      <w:sz w:val="21"/>
                    </w:rPr>
                  </w:pPr>
                </w:p>
                <w:p>
                  <w:pPr>
                    <w:spacing w:before="0"/>
                    <w:ind w:left="1471" w:right="1473" w:firstLine="0"/>
                    <w:jc w:val="center"/>
                    <w:rPr>
                      <w:rFonts w:ascii="Calibri" w:hAnsi="Calibri"/>
                      <w:b/>
                      <w:sz w:val="22"/>
                    </w:rPr>
                  </w:pPr>
                  <w:r>
                    <w:rPr>
                      <w:rFonts w:ascii="Calibri" w:hAnsi="Calibri"/>
                      <w:b/>
                      <w:sz w:val="22"/>
                    </w:rPr>
                    <w:t>Agradecemos su participación</w:t>
                  </w:r>
                </w:p>
                <w:p>
                  <w:pPr>
                    <w:pStyle w:val="BodyText"/>
                    <w:spacing w:before="6"/>
                    <w:rPr>
                      <w:rFonts w:ascii="Calibri"/>
                      <w:sz w:val="27"/>
                    </w:rPr>
                  </w:pPr>
                </w:p>
                <w:p>
                  <w:pPr>
                    <w:tabs>
                      <w:tab w:pos="7931" w:val="left" w:leader="none"/>
                      <w:tab w:pos="8348" w:val="left" w:leader="none"/>
                      <w:tab w:pos="8761" w:val="left" w:leader="none"/>
                    </w:tabs>
                    <w:spacing w:line="537" w:lineRule="auto" w:before="0"/>
                    <w:ind w:left="6895" w:right="78" w:hanging="327"/>
                    <w:jc w:val="right"/>
                    <w:rPr>
                      <w:rFonts w:ascii="Calibri" w:hAnsi="Calibri"/>
                      <w:sz w:val="22"/>
                    </w:rPr>
                  </w:pPr>
                  <w:r>
                    <w:rPr>
                      <w:rFonts w:ascii="Calibri" w:hAnsi="Calibri"/>
                      <w:sz w:val="22"/>
                    </w:rPr>
                    <w:t>Toluca, Estado</w:t>
                  </w:r>
                  <w:r>
                    <w:rPr>
                      <w:rFonts w:ascii="Calibri" w:hAnsi="Calibri"/>
                      <w:spacing w:val="-11"/>
                      <w:sz w:val="22"/>
                    </w:rPr>
                    <w:t> </w:t>
                  </w:r>
                  <w:r>
                    <w:rPr>
                      <w:rFonts w:ascii="Calibri" w:hAnsi="Calibri"/>
                      <w:sz w:val="22"/>
                    </w:rPr>
                    <w:t>de</w:t>
                  </w:r>
                  <w:r>
                    <w:rPr>
                      <w:rFonts w:ascii="Calibri" w:hAnsi="Calibri"/>
                      <w:spacing w:val="-2"/>
                      <w:sz w:val="22"/>
                    </w:rPr>
                    <w:t> </w:t>
                  </w:r>
                  <w:r>
                    <w:rPr>
                      <w:rFonts w:ascii="Calibri" w:hAnsi="Calibri"/>
                      <w:sz w:val="22"/>
                    </w:rPr>
                    <w:t>México</w:t>
                  </w:r>
                  <w:r>
                    <w:rPr>
                      <w:rFonts w:ascii="Calibri" w:hAnsi="Calibri"/>
                      <w:w w:val="100"/>
                      <w:sz w:val="22"/>
                    </w:rPr>
                    <w:t> </w:t>
                  </w:r>
                  <w:r>
                    <w:rPr>
                      <w:rFonts w:ascii="Calibri" w:hAnsi="Calibri"/>
                      <w:sz w:val="22"/>
                    </w:rPr>
                    <w:t>Fecha</w:t>
                  </w:r>
                  <w:r>
                    <w:rPr>
                      <w:rFonts w:ascii="Calibri" w:hAnsi="Calibri"/>
                      <w:spacing w:val="44"/>
                      <w:sz w:val="22"/>
                    </w:rPr>
                    <w:t> </w:t>
                  </w:r>
                  <w:r>
                    <w:rPr>
                      <w:rFonts w:ascii="Calibri" w:hAnsi="Calibri"/>
                      <w:sz w:val="22"/>
                    </w:rPr>
                    <w:t>/</w:t>
                  </w:r>
                  <w:r>
                    <w:rPr>
                      <w:rFonts w:ascii="Calibri" w:hAnsi="Calibri"/>
                      <w:sz w:val="22"/>
                      <w:u w:val="single"/>
                    </w:rPr>
                    <w:t> </w:t>
                    <w:tab/>
                  </w:r>
                  <w:r>
                    <w:rPr>
                      <w:rFonts w:ascii="Calibri" w:hAnsi="Calibri"/>
                      <w:sz w:val="22"/>
                    </w:rPr>
                    <w:t>/</w:t>
                  </w:r>
                  <w:r>
                    <w:rPr>
                      <w:rFonts w:ascii="Calibri" w:hAnsi="Calibri"/>
                      <w:sz w:val="22"/>
                      <w:u w:val="single"/>
                    </w:rPr>
                    <w:t> </w:t>
                    <w:tab/>
                  </w:r>
                  <w:r>
                    <w:rPr>
                      <w:rFonts w:ascii="Calibri" w:hAnsi="Calibri"/>
                      <w:sz w:val="22"/>
                    </w:rPr>
                    <w:t>/</w:t>
                  </w:r>
                  <w:r>
                    <w:rPr>
                      <w:rFonts w:ascii="Calibri" w:hAnsi="Calibri"/>
                      <w:sz w:val="22"/>
                      <w:u w:val="single"/>
                    </w:rPr>
                    <w:t> </w:t>
                    <w:tab/>
                  </w:r>
                  <w:r>
                    <w:rPr>
                      <w:rFonts w:ascii="Calibri" w:hAnsi="Calibri"/>
                      <w:sz w:val="22"/>
                    </w:rPr>
                    <w:t>/</w:t>
                  </w:r>
                </w:p>
                <w:p>
                  <w:pPr>
                    <w:spacing w:before="3"/>
                    <w:ind w:left="0" w:right="83" w:firstLine="0"/>
                    <w:jc w:val="right"/>
                    <w:rPr>
                      <w:rFonts w:ascii="Calibri" w:hAnsi="Calibri"/>
                      <w:sz w:val="22"/>
                    </w:rPr>
                  </w:pPr>
                  <w:r>
                    <w:rPr>
                      <w:rFonts w:ascii="Calibri" w:hAnsi="Calibri"/>
                      <w:sz w:val="22"/>
                    </w:rPr>
                    <w:t>Día  Mes Año</w:t>
                  </w:r>
                </w:p>
              </w:txbxContent>
            </v:textbox>
            <w10:wrap type="topAndBottom"/>
          </v:shape>
        </w:pict>
      </w:r>
    </w:p>
    <w:p>
      <w:pPr>
        <w:spacing w:after="0"/>
        <w:rPr>
          <w:rFonts w:ascii="Calibri"/>
          <w:sz w:val="18"/>
        </w:rPr>
        <w:sectPr>
          <w:footerReference w:type="default" r:id="rId97"/>
          <w:pgSz w:w="12240" w:h="15840"/>
          <w:pgMar w:footer="1031" w:header="726" w:top="1340" w:bottom="1220" w:left="1200" w:right="1420"/>
          <w:pgNumType w:start="131"/>
        </w:sectPr>
      </w:pPr>
    </w:p>
    <w:p>
      <w:pPr>
        <w:pStyle w:val="BodyText"/>
        <w:spacing w:before="1"/>
        <w:rPr>
          <w:rFonts w:ascii="Calibri"/>
          <w:sz w:val="21"/>
        </w:rPr>
      </w:pPr>
      <w:r>
        <w:rPr/>
        <w:pict>
          <v:group style="position:absolute;margin-left:91.599998pt;margin-top:244.210007pt;width:426.85pt;height:265.150pt;mso-position-horizontal-relative:page;mso-position-vertical-relative:page;z-index:-174472" coordorigin="1832,4884" coordsize="8537,5303">
            <v:shape style="position:absolute;left:1832;top:5442;width:7996;height:4745" type="#_x0000_t75" stroked="false">
              <v:imagedata r:id="rId98" o:title=""/>
            </v:shape>
            <v:shape style="position:absolute;left:8487;top:4884;width:1882;height:730" type="#_x0000_t75" stroked="false">
              <v:imagedata r:id="rId99" o:title=""/>
            </v:shape>
            <w10:wrap type="none"/>
          </v:group>
        </w:pict>
      </w:r>
    </w:p>
    <w:p>
      <w:pPr>
        <w:pStyle w:val="Heading2"/>
        <w:ind w:left="216" w:right="1246"/>
        <w:jc w:val="left"/>
      </w:pPr>
      <w:bookmarkStart w:name="_TOC_250004" w:id="62"/>
      <w:bookmarkEnd w:id="62"/>
      <w:r>
        <w:rPr/>
        <w:t>Anexo 2. Instrumento de recolección de información</w:t>
      </w:r>
    </w:p>
    <w:p>
      <w:pPr>
        <w:pStyle w:val="BodyText"/>
        <w:spacing w:before="3"/>
        <w:rPr>
          <w:b/>
          <w:sz w:val="22"/>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5"/>
        <w:gridCol w:w="1748"/>
        <w:gridCol w:w="1200"/>
        <w:gridCol w:w="168"/>
        <w:gridCol w:w="2271"/>
        <w:gridCol w:w="2088"/>
      </w:tblGrid>
      <w:tr>
        <w:trPr>
          <w:trHeight w:val="373" w:hRule="exact"/>
        </w:trPr>
        <w:tc>
          <w:tcPr>
            <w:tcW w:w="9061" w:type="dxa"/>
            <w:gridSpan w:val="6"/>
            <w:tcBorders>
              <w:bottom w:val="double" w:sz="12" w:space="0" w:color="000000"/>
            </w:tcBorders>
            <w:shd w:val="clear" w:color="auto" w:fill="BEBEBE"/>
          </w:tcPr>
          <w:p>
            <w:pPr>
              <w:pStyle w:val="TableParagraph"/>
              <w:spacing w:line="314" w:lineRule="exact"/>
              <w:ind w:left="922"/>
              <w:rPr>
                <w:b/>
                <w:sz w:val="28"/>
              </w:rPr>
            </w:pPr>
            <w:r>
              <w:rPr>
                <w:b/>
                <w:sz w:val="28"/>
              </w:rPr>
              <w:t>INSTRUMENTO DE RECOLECCIÓN DE INFORMACIÓN</w:t>
            </w:r>
          </w:p>
        </w:tc>
      </w:tr>
      <w:tr>
        <w:trPr>
          <w:trHeight w:val="1731" w:hRule="exact"/>
        </w:trPr>
        <w:tc>
          <w:tcPr>
            <w:tcW w:w="4533" w:type="dxa"/>
            <w:gridSpan w:val="3"/>
            <w:tcBorders>
              <w:top w:val="double" w:sz="12" w:space="0" w:color="000000"/>
            </w:tcBorders>
          </w:tcPr>
          <w:p>
            <w:pPr>
              <w:pStyle w:val="TableParagraph"/>
              <w:rPr>
                <w:b/>
                <w:sz w:val="20"/>
              </w:rPr>
            </w:pPr>
          </w:p>
          <w:p>
            <w:pPr>
              <w:pStyle w:val="TableParagraph"/>
              <w:spacing w:before="7"/>
              <w:rPr>
                <w:b/>
                <w:sz w:val="19"/>
              </w:rPr>
            </w:pPr>
          </w:p>
          <w:p>
            <w:pPr>
              <w:pStyle w:val="TableParagraph"/>
              <w:tabs>
                <w:tab w:pos="4051" w:val="left" w:leader="none"/>
              </w:tabs>
              <w:spacing w:line="480" w:lineRule="auto"/>
              <w:ind w:left="105" w:right="357"/>
              <w:rPr>
                <w:sz w:val="20"/>
              </w:rPr>
            </w:pPr>
            <w:r>
              <w:rPr>
                <w:sz w:val="20"/>
              </w:rPr>
              <w:t>Responsable:</w:t>
            </w:r>
            <w:r>
              <w:rPr>
                <w:sz w:val="20"/>
                <w:u w:val="single"/>
              </w:rPr>
              <w:t> </w:t>
              <w:tab/>
            </w:r>
            <w:r>
              <w:rPr>
                <w:sz w:val="20"/>
              </w:rPr>
              <w:t>_ Fecha: /_ _/_ _ /_ _ _</w:t>
            </w:r>
            <w:r>
              <w:rPr>
                <w:spacing w:val="-5"/>
                <w:sz w:val="20"/>
              </w:rPr>
              <w:t> </w:t>
            </w:r>
            <w:r>
              <w:rPr>
                <w:sz w:val="20"/>
              </w:rPr>
              <w:t>_/</w:t>
            </w:r>
          </w:p>
        </w:tc>
        <w:tc>
          <w:tcPr>
            <w:tcW w:w="4528" w:type="dxa"/>
            <w:gridSpan w:val="3"/>
            <w:tcBorders>
              <w:top w:val="double" w:sz="12" w:space="0" w:color="000000"/>
            </w:tcBorders>
          </w:tcPr>
          <w:p>
            <w:pPr>
              <w:pStyle w:val="TableParagraph"/>
              <w:spacing w:before="6"/>
              <w:rPr>
                <w:b/>
                <w:sz w:val="19"/>
              </w:rPr>
            </w:pPr>
          </w:p>
          <w:p>
            <w:pPr>
              <w:pStyle w:val="TableParagraph"/>
              <w:tabs>
                <w:tab w:pos="2956" w:val="left" w:leader="none"/>
                <w:tab w:pos="4453" w:val="left" w:leader="none"/>
              </w:tabs>
              <w:spacing w:line="477" w:lineRule="auto"/>
              <w:ind w:left="105" w:right="62" w:firstLine="3188"/>
              <w:jc w:val="both"/>
              <w:rPr>
                <w:sz w:val="20"/>
              </w:rPr>
            </w:pPr>
            <w:r>
              <w:rPr>
                <w:sz w:val="20"/>
              </w:rPr>
              <w:t>Folio: (_ _ _) Iniciales</w:t>
            </w:r>
            <w:r>
              <w:rPr>
                <w:spacing w:val="-4"/>
                <w:sz w:val="20"/>
              </w:rPr>
              <w:t> </w:t>
            </w:r>
            <w:r>
              <w:rPr>
                <w:sz w:val="20"/>
              </w:rPr>
              <w:t>del</w:t>
            </w:r>
            <w:r>
              <w:rPr>
                <w:spacing w:val="-1"/>
                <w:sz w:val="20"/>
              </w:rPr>
              <w:t> </w:t>
            </w:r>
            <w:r>
              <w:rPr>
                <w:sz w:val="20"/>
              </w:rPr>
              <w:t>paciente:</w:t>
            </w:r>
            <w:r>
              <w:rPr>
                <w:spacing w:val="3"/>
                <w:sz w:val="20"/>
              </w:rPr>
              <w:t> </w:t>
            </w:r>
            <w:r>
              <w:rPr>
                <w:w w:val="100"/>
                <w:sz w:val="20"/>
                <w:u w:val="single"/>
              </w:rPr>
              <w:t> </w:t>
            </w:r>
            <w:r>
              <w:rPr>
                <w:sz w:val="20"/>
                <w:u w:val="single"/>
              </w:rPr>
              <w:tab/>
              <w:tab/>
            </w:r>
            <w:r>
              <w:rPr>
                <w:sz w:val="20"/>
              </w:rPr>
              <w:t> Edad:</w:t>
            </w:r>
            <w:r>
              <w:rPr>
                <w:spacing w:val="3"/>
                <w:sz w:val="20"/>
              </w:rPr>
              <w:t> </w:t>
            </w:r>
            <w:r>
              <w:rPr>
                <w:w w:val="100"/>
                <w:sz w:val="20"/>
                <w:u w:val="single"/>
              </w:rPr>
              <w:t> </w:t>
            </w:r>
            <w:r>
              <w:rPr>
                <w:sz w:val="20"/>
                <w:u w:val="single"/>
              </w:rPr>
              <w:tab/>
            </w:r>
          </w:p>
        </w:tc>
      </w:tr>
      <w:tr>
        <w:trPr>
          <w:trHeight w:val="562" w:hRule="exact"/>
        </w:trPr>
        <w:tc>
          <w:tcPr>
            <w:tcW w:w="9061" w:type="dxa"/>
            <w:gridSpan w:val="6"/>
            <w:shd w:val="clear" w:color="auto" w:fill="BEBEBE"/>
          </w:tcPr>
          <w:p>
            <w:pPr>
              <w:pStyle w:val="TableParagraph"/>
              <w:spacing w:line="237" w:lineRule="auto"/>
              <w:ind w:left="2909" w:right="1488" w:firstLine="327"/>
              <w:rPr>
                <w:b/>
                <w:sz w:val="24"/>
              </w:rPr>
            </w:pPr>
            <w:r>
              <w:rPr>
                <w:b/>
                <w:sz w:val="24"/>
              </w:rPr>
              <w:t>DESMINERALIZACIÓN (DIAGNÓSTICO DE CARIES)</w:t>
            </w:r>
          </w:p>
        </w:tc>
      </w:tr>
      <w:tr>
        <w:trPr>
          <w:trHeight w:val="5527" w:hRule="exact"/>
        </w:trPr>
        <w:tc>
          <w:tcPr>
            <w:tcW w:w="9061" w:type="dxa"/>
            <w:gridSpan w:val="6"/>
          </w:tcPr>
          <w:p>
            <w:pPr>
              <w:pStyle w:val="TableParagraph"/>
              <w:spacing w:before="73"/>
              <w:ind w:right="146"/>
              <w:jc w:val="right"/>
              <w:rPr>
                <w:rFonts w:ascii="Calibri" w:hAnsi="Calibri"/>
                <w:sz w:val="22"/>
              </w:rPr>
            </w:pPr>
            <w:r>
              <w:rPr>
                <w:rFonts w:ascii="Calibri" w:hAnsi="Calibri"/>
                <w:sz w:val="22"/>
              </w:rPr>
              <w:t>Tipo de Dentición</w:t>
            </w:r>
          </w:p>
          <w:p>
            <w:pPr>
              <w:pStyle w:val="TableParagraph"/>
              <w:tabs>
                <w:tab w:pos="349" w:val="left" w:leader="none"/>
                <w:tab w:pos="785" w:val="left" w:leader="none"/>
              </w:tabs>
              <w:spacing w:before="1"/>
              <w:ind w:right="485"/>
              <w:jc w:val="right"/>
              <w:rPr>
                <w:rFonts w:ascii="Calibri"/>
                <w:sz w:val="22"/>
              </w:rPr>
            </w:pPr>
            <w:r>
              <w:rPr>
                <w:rFonts w:ascii="Calibri"/>
                <w:sz w:val="22"/>
              </w:rPr>
              <w:t>T</w:t>
              <w:tab/>
              <w:t>M</w:t>
              <w:tab/>
            </w:r>
            <w:r>
              <w:rPr>
                <w:rFonts w:ascii="Calibri"/>
                <w:spacing w:val="-1"/>
                <w:sz w:val="22"/>
              </w:rPr>
              <w:t>P</w:t>
            </w:r>
          </w:p>
        </w:tc>
      </w:tr>
      <w:tr>
        <w:trPr>
          <w:trHeight w:val="288" w:hRule="exact"/>
        </w:trPr>
        <w:tc>
          <w:tcPr>
            <w:tcW w:w="9061" w:type="dxa"/>
            <w:gridSpan w:val="6"/>
            <w:shd w:val="clear" w:color="auto" w:fill="BEBEBE"/>
          </w:tcPr>
          <w:p>
            <w:pPr>
              <w:pStyle w:val="TableParagraph"/>
              <w:spacing w:line="267" w:lineRule="exact"/>
              <w:ind w:left="1973"/>
              <w:rPr>
                <w:b/>
                <w:sz w:val="24"/>
              </w:rPr>
            </w:pPr>
            <w:r>
              <w:rPr>
                <w:b/>
                <w:sz w:val="24"/>
              </w:rPr>
              <w:t>CARACTERÍSTICAS SOCIODEMOGRÁFICAS</w:t>
            </w:r>
          </w:p>
        </w:tc>
      </w:tr>
      <w:tr>
        <w:trPr>
          <w:trHeight w:val="3462" w:hRule="exact"/>
        </w:trPr>
        <w:tc>
          <w:tcPr>
            <w:tcW w:w="1585" w:type="dxa"/>
          </w:tcPr>
          <w:p>
            <w:pPr>
              <w:pStyle w:val="TableParagraph"/>
              <w:rPr>
                <w:b/>
                <w:sz w:val="20"/>
              </w:rPr>
            </w:pPr>
          </w:p>
          <w:p>
            <w:pPr>
              <w:pStyle w:val="TableParagraph"/>
              <w:spacing w:before="7"/>
              <w:rPr>
                <w:b/>
                <w:sz w:val="19"/>
              </w:rPr>
            </w:pPr>
          </w:p>
          <w:p>
            <w:pPr>
              <w:pStyle w:val="TableParagraph"/>
              <w:ind w:left="6"/>
              <w:jc w:val="center"/>
              <w:rPr>
                <w:sz w:val="20"/>
              </w:rPr>
            </w:pPr>
            <w:r>
              <w:rPr>
                <w:sz w:val="20"/>
              </w:rPr>
              <w:t>Edad</w:t>
            </w:r>
          </w:p>
          <w:p>
            <w:pPr>
              <w:pStyle w:val="TableParagraph"/>
              <w:rPr>
                <w:b/>
                <w:sz w:val="20"/>
              </w:rPr>
            </w:pPr>
          </w:p>
          <w:p>
            <w:pPr>
              <w:pStyle w:val="TableParagraph"/>
              <w:spacing w:before="1"/>
              <w:rPr>
                <w:b/>
                <w:sz w:val="20"/>
              </w:rPr>
            </w:pPr>
          </w:p>
          <w:p>
            <w:pPr>
              <w:pStyle w:val="TableParagraph"/>
              <w:tabs>
                <w:tab w:pos="604" w:val="left" w:leader="none"/>
              </w:tabs>
              <w:jc w:val="center"/>
              <w:rPr>
                <w:sz w:val="20"/>
              </w:rPr>
            </w:pPr>
            <w:r>
              <w:rPr>
                <w:w w:val="100"/>
                <w:sz w:val="20"/>
                <w:u w:val="single"/>
              </w:rPr>
              <w:t> </w:t>
            </w:r>
            <w:r>
              <w:rPr>
                <w:sz w:val="20"/>
                <w:u w:val="single"/>
              </w:rPr>
              <w:tab/>
            </w:r>
            <w:r>
              <w:rPr>
                <w:sz w:val="20"/>
              </w:rPr>
              <w:t>años</w:t>
            </w:r>
          </w:p>
        </w:tc>
        <w:tc>
          <w:tcPr>
            <w:tcW w:w="1748" w:type="dxa"/>
          </w:tcPr>
          <w:p>
            <w:pPr>
              <w:pStyle w:val="TableParagraph"/>
              <w:rPr>
                <w:b/>
                <w:sz w:val="20"/>
              </w:rPr>
            </w:pPr>
          </w:p>
          <w:p>
            <w:pPr>
              <w:pStyle w:val="TableParagraph"/>
              <w:spacing w:before="7"/>
              <w:rPr>
                <w:b/>
                <w:sz w:val="19"/>
              </w:rPr>
            </w:pPr>
          </w:p>
          <w:p>
            <w:pPr>
              <w:pStyle w:val="TableParagraph"/>
              <w:ind w:left="10"/>
              <w:jc w:val="center"/>
              <w:rPr>
                <w:sz w:val="20"/>
              </w:rPr>
            </w:pPr>
            <w:r>
              <w:rPr>
                <w:sz w:val="20"/>
              </w:rPr>
              <w:t>Sexo</w:t>
            </w:r>
          </w:p>
          <w:p>
            <w:pPr>
              <w:pStyle w:val="TableParagraph"/>
              <w:rPr>
                <w:b/>
                <w:sz w:val="20"/>
              </w:rPr>
            </w:pPr>
          </w:p>
          <w:p>
            <w:pPr>
              <w:pStyle w:val="TableParagraph"/>
              <w:spacing w:before="1"/>
              <w:rPr>
                <w:b/>
                <w:sz w:val="20"/>
              </w:rPr>
            </w:pPr>
          </w:p>
          <w:p>
            <w:pPr>
              <w:pStyle w:val="TableParagraph"/>
              <w:tabs>
                <w:tab w:pos="775" w:val="left" w:leader="none"/>
                <w:tab w:pos="1619" w:val="left" w:leader="none"/>
              </w:tabs>
              <w:ind w:left="55"/>
              <w:jc w:val="center"/>
              <w:rPr>
                <w:sz w:val="20"/>
              </w:rPr>
            </w:pPr>
            <w:r>
              <w:rPr>
                <w:sz w:val="20"/>
              </w:rPr>
              <w:t>M</w:t>
            </w:r>
            <w:r>
              <w:rPr>
                <w:sz w:val="20"/>
                <w:u w:val="single"/>
              </w:rPr>
              <w:tab/>
            </w:r>
            <w:r>
              <w:rPr>
                <w:sz w:val="20"/>
              </w:rPr>
              <w:t>F</w:t>
            </w:r>
            <w:r>
              <w:rPr>
                <w:spacing w:val="-2"/>
                <w:sz w:val="20"/>
              </w:rPr>
              <w:t> </w:t>
            </w:r>
            <w:r>
              <w:rPr>
                <w:w w:val="100"/>
                <w:sz w:val="20"/>
                <w:u w:val="single"/>
              </w:rPr>
              <w:t> </w:t>
            </w:r>
            <w:r>
              <w:rPr>
                <w:sz w:val="20"/>
                <w:u w:val="single"/>
              </w:rPr>
              <w:tab/>
            </w:r>
          </w:p>
        </w:tc>
        <w:tc>
          <w:tcPr>
            <w:tcW w:w="1368" w:type="dxa"/>
            <w:gridSpan w:val="2"/>
          </w:tcPr>
          <w:p>
            <w:pPr>
              <w:pStyle w:val="TableParagraph"/>
              <w:rPr>
                <w:b/>
                <w:sz w:val="20"/>
              </w:rPr>
            </w:pPr>
          </w:p>
          <w:p>
            <w:pPr>
              <w:pStyle w:val="TableParagraph"/>
              <w:spacing w:before="7"/>
              <w:rPr>
                <w:b/>
                <w:sz w:val="19"/>
              </w:rPr>
            </w:pPr>
          </w:p>
          <w:p>
            <w:pPr>
              <w:pStyle w:val="TableParagraph"/>
              <w:ind w:left="153"/>
              <w:rPr>
                <w:sz w:val="20"/>
              </w:rPr>
            </w:pPr>
            <w:r>
              <w:rPr>
                <w:sz w:val="20"/>
              </w:rPr>
              <w:t>Estado Civil</w:t>
            </w:r>
          </w:p>
          <w:p>
            <w:pPr>
              <w:pStyle w:val="TableParagraph"/>
              <w:rPr>
                <w:b/>
                <w:sz w:val="20"/>
              </w:rPr>
            </w:pPr>
          </w:p>
          <w:p>
            <w:pPr>
              <w:pStyle w:val="TableParagraph"/>
              <w:spacing w:before="1"/>
              <w:rPr>
                <w:b/>
                <w:sz w:val="20"/>
              </w:rPr>
            </w:pPr>
          </w:p>
          <w:p>
            <w:pPr>
              <w:pStyle w:val="TableParagraph"/>
              <w:tabs>
                <w:tab w:pos="1283" w:val="left" w:leader="none"/>
              </w:tabs>
              <w:ind w:left="124"/>
              <w:rPr>
                <w:sz w:val="20"/>
              </w:rPr>
            </w:pPr>
            <w:r>
              <w:rPr>
                <w:w w:val="100"/>
                <w:sz w:val="20"/>
                <w:u w:val="single"/>
              </w:rPr>
              <w:t> </w:t>
            </w:r>
            <w:r>
              <w:rPr>
                <w:sz w:val="20"/>
                <w:u w:val="single"/>
              </w:rPr>
              <w:tab/>
            </w:r>
          </w:p>
        </w:tc>
        <w:tc>
          <w:tcPr>
            <w:tcW w:w="2271" w:type="dxa"/>
          </w:tcPr>
          <w:p>
            <w:pPr>
              <w:pStyle w:val="TableParagraph"/>
              <w:rPr>
                <w:b/>
                <w:sz w:val="20"/>
              </w:rPr>
            </w:pPr>
          </w:p>
          <w:p>
            <w:pPr>
              <w:pStyle w:val="TableParagraph"/>
              <w:spacing w:before="7"/>
              <w:rPr>
                <w:b/>
                <w:sz w:val="19"/>
              </w:rPr>
            </w:pPr>
          </w:p>
          <w:p>
            <w:pPr>
              <w:pStyle w:val="TableParagraph"/>
              <w:ind w:left="604" w:right="335"/>
              <w:rPr>
                <w:sz w:val="20"/>
              </w:rPr>
            </w:pPr>
            <w:r>
              <w:rPr>
                <w:sz w:val="20"/>
              </w:rPr>
              <w:t>Escolaridad</w:t>
            </w:r>
          </w:p>
          <w:p>
            <w:pPr>
              <w:pStyle w:val="TableParagraph"/>
              <w:spacing w:before="1"/>
              <w:rPr>
                <w:b/>
                <w:sz w:val="20"/>
              </w:rPr>
            </w:pPr>
          </w:p>
          <w:p>
            <w:pPr>
              <w:pStyle w:val="TableParagraph"/>
              <w:tabs>
                <w:tab w:pos="1160" w:val="left" w:leader="none"/>
                <w:tab w:pos="1568" w:val="left" w:leader="none"/>
                <w:tab w:pos="1674" w:val="left" w:leader="none"/>
                <w:tab w:pos="1780" w:val="left" w:leader="none"/>
                <w:tab w:pos="1837" w:val="left" w:leader="none"/>
                <w:tab w:pos="1904" w:val="left" w:leader="none"/>
              </w:tabs>
              <w:ind w:left="105" w:right="335"/>
              <w:rPr>
                <w:sz w:val="20"/>
              </w:rPr>
            </w:pPr>
            <w:r>
              <w:rPr>
                <w:sz w:val="20"/>
              </w:rPr>
              <w:t>Analfabeta:</w:t>
            </w:r>
            <w:r>
              <w:rPr>
                <w:sz w:val="20"/>
                <w:u w:val="single"/>
              </w:rPr>
              <w:tab/>
              <w:tab/>
              <w:tab/>
            </w:r>
            <w:r>
              <w:rPr>
                <w:sz w:val="20"/>
              </w:rPr>
              <w:t> Primaria:</w:t>
            </w:r>
            <w:r>
              <w:rPr>
                <w:sz w:val="20"/>
                <w:u w:val="single"/>
              </w:rPr>
              <w:tab/>
              <w:tab/>
            </w:r>
            <w:r>
              <w:rPr>
                <w:sz w:val="20"/>
              </w:rPr>
              <w:t> Secundaria:</w:t>
            </w:r>
            <w:r>
              <w:rPr>
                <w:sz w:val="20"/>
                <w:u w:val="single"/>
              </w:rPr>
              <w:tab/>
              <w:tab/>
              <w:tab/>
              <w:tab/>
            </w:r>
            <w:r>
              <w:rPr>
                <w:sz w:val="20"/>
              </w:rPr>
              <w:t> Preparatoria:</w:t>
            </w:r>
            <w:r>
              <w:rPr>
                <w:sz w:val="20"/>
                <w:u w:val="single"/>
              </w:rPr>
              <w:tab/>
              <w:tab/>
              <w:tab/>
              <w:tab/>
              <w:tab/>
            </w:r>
            <w:r>
              <w:rPr>
                <w:sz w:val="20"/>
              </w:rPr>
              <w:t> Licenciatura:</w:t>
            </w:r>
            <w:r>
              <w:rPr>
                <w:sz w:val="20"/>
                <w:u w:val="single"/>
              </w:rPr>
              <w:tab/>
              <w:tab/>
              <w:tab/>
              <w:tab/>
              <w:tab/>
            </w:r>
            <w:r>
              <w:rPr>
                <w:sz w:val="20"/>
              </w:rPr>
              <w:t> Posgrado:</w:t>
            </w:r>
            <w:r>
              <w:rPr>
                <w:sz w:val="20"/>
                <w:u w:val="single"/>
              </w:rPr>
              <w:tab/>
              <w:tab/>
              <w:tab/>
            </w:r>
            <w:r>
              <w:rPr>
                <w:sz w:val="20"/>
              </w:rPr>
              <w:t> Otro:</w:t>
            </w:r>
            <w:r>
              <w:rPr>
                <w:sz w:val="20"/>
                <w:u w:val="single"/>
              </w:rPr>
              <w:t> </w:t>
              <w:tab/>
            </w:r>
          </w:p>
        </w:tc>
        <w:tc>
          <w:tcPr>
            <w:tcW w:w="2088" w:type="dxa"/>
          </w:tcPr>
          <w:p>
            <w:pPr>
              <w:pStyle w:val="TableParagraph"/>
              <w:rPr>
                <w:b/>
                <w:sz w:val="20"/>
              </w:rPr>
            </w:pPr>
          </w:p>
          <w:p>
            <w:pPr>
              <w:pStyle w:val="TableParagraph"/>
              <w:spacing w:before="7"/>
              <w:rPr>
                <w:b/>
                <w:sz w:val="19"/>
              </w:rPr>
            </w:pPr>
          </w:p>
          <w:p>
            <w:pPr>
              <w:pStyle w:val="TableParagraph"/>
              <w:ind w:left="556" w:right="90"/>
              <w:rPr>
                <w:sz w:val="20"/>
              </w:rPr>
            </w:pPr>
            <w:r>
              <w:rPr>
                <w:sz w:val="20"/>
              </w:rPr>
              <w:t>Ocupación</w:t>
            </w:r>
          </w:p>
          <w:p>
            <w:pPr>
              <w:pStyle w:val="TableParagraph"/>
              <w:spacing w:before="1"/>
              <w:rPr>
                <w:b/>
                <w:sz w:val="20"/>
              </w:rPr>
            </w:pPr>
          </w:p>
          <w:p>
            <w:pPr>
              <w:pStyle w:val="TableParagraph"/>
              <w:tabs>
                <w:tab w:pos="1208" w:val="left" w:leader="none"/>
                <w:tab w:pos="1442" w:val="left" w:leader="none"/>
                <w:tab w:pos="1664" w:val="left" w:leader="none"/>
                <w:tab w:pos="1722" w:val="left" w:leader="none"/>
                <w:tab w:pos="1765" w:val="left" w:leader="none"/>
                <w:tab w:pos="1832" w:val="left" w:leader="none"/>
                <w:tab w:pos="1952" w:val="left" w:leader="none"/>
              </w:tabs>
              <w:ind w:left="100" w:right="90"/>
              <w:rPr>
                <w:sz w:val="20"/>
              </w:rPr>
            </w:pPr>
            <w:r>
              <w:rPr>
                <w:sz w:val="20"/>
              </w:rPr>
              <w:t>Obrero:</w:t>
            </w:r>
            <w:r>
              <w:rPr>
                <w:sz w:val="20"/>
                <w:u w:val="single"/>
              </w:rPr>
              <w:tab/>
              <w:tab/>
            </w:r>
            <w:r>
              <w:rPr>
                <w:sz w:val="20"/>
              </w:rPr>
              <w:t> Empleado:</w:t>
            </w:r>
            <w:r>
              <w:rPr>
                <w:sz w:val="20"/>
                <w:u w:val="single"/>
              </w:rPr>
              <w:tab/>
              <w:tab/>
              <w:tab/>
              <w:tab/>
            </w:r>
            <w:r>
              <w:rPr>
                <w:sz w:val="20"/>
              </w:rPr>
              <w:t> Ama</w:t>
            </w:r>
            <w:r>
              <w:rPr>
                <w:spacing w:val="-2"/>
                <w:sz w:val="20"/>
              </w:rPr>
              <w:t> </w:t>
            </w:r>
            <w:r>
              <w:rPr>
                <w:sz w:val="20"/>
              </w:rPr>
              <w:t>de</w:t>
            </w:r>
            <w:r>
              <w:rPr>
                <w:spacing w:val="-2"/>
                <w:sz w:val="20"/>
              </w:rPr>
              <w:t> </w:t>
            </w:r>
            <w:r>
              <w:rPr>
                <w:sz w:val="20"/>
              </w:rPr>
              <w:t>casa:</w:t>
            </w:r>
            <w:r>
              <w:rPr>
                <w:spacing w:val="3"/>
                <w:sz w:val="20"/>
              </w:rPr>
              <w:t> </w:t>
            </w:r>
            <w:r>
              <w:rPr>
                <w:w w:val="100"/>
                <w:sz w:val="20"/>
                <w:u w:val="single"/>
              </w:rPr>
              <w:t> </w:t>
            </w:r>
            <w:r>
              <w:rPr>
                <w:sz w:val="20"/>
                <w:u w:val="single"/>
              </w:rPr>
              <w:tab/>
              <w:tab/>
              <w:tab/>
              <w:tab/>
              <w:tab/>
              <w:tab/>
            </w:r>
            <w:r>
              <w:rPr>
                <w:w w:val="30"/>
                <w:sz w:val="20"/>
                <w:u w:val="single"/>
              </w:rPr>
              <w:t> </w:t>
            </w:r>
            <w:r>
              <w:rPr>
                <w:sz w:val="20"/>
              </w:rPr>
              <w:t> Comerciante:</w:t>
            </w:r>
            <w:r>
              <w:rPr>
                <w:sz w:val="20"/>
                <w:u w:val="single"/>
              </w:rPr>
              <w:tab/>
              <w:tab/>
              <w:tab/>
              <w:tab/>
              <w:tab/>
              <w:tab/>
            </w:r>
            <w:r>
              <w:rPr>
                <w:sz w:val="20"/>
              </w:rPr>
              <w:t> Estudiante:</w:t>
            </w:r>
            <w:r>
              <w:rPr>
                <w:sz w:val="20"/>
                <w:u w:val="single"/>
              </w:rPr>
              <w:tab/>
              <w:tab/>
              <w:tab/>
              <w:tab/>
            </w:r>
            <w:r>
              <w:rPr>
                <w:sz w:val="20"/>
              </w:rPr>
              <w:t> Campesino:</w:t>
            </w:r>
            <w:r>
              <w:rPr>
                <w:sz w:val="20"/>
                <w:u w:val="single"/>
              </w:rPr>
              <w:tab/>
              <w:tab/>
              <w:tab/>
              <w:tab/>
              <w:tab/>
            </w:r>
            <w:r>
              <w:rPr>
                <w:sz w:val="20"/>
              </w:rPr>
              <w:t> Agricultor:</w:t>
            </w:r>
            <w:r>
              <w:rPr>
                <w:sz w:val="20"/>
                <w:u w:val="single"/>
              </w:rPr>
              <w:tab/>
              <w:tab/>
              <w:tab/>
            </w:r>
            <w:r>
              <w:rPr>
                <w:sz w:val="20"/>
              </w:rPr>
              <w:t> Otro:</w:t>
            </w:r>
            <w:r>
              <w:rPr>
                <w:spacing w:val="-2"/>
                <w:sz w:val="20"/>
              </w:rPr>
              <w:t> </w:t>
            </w:r>
            <w:r>
              <w:rPr>
                <w:w w:val="100"/>
                <w:sz w:val="20"/>
                <w:u w:val="single"/>
              </w:rPr>
              <w:t> </w:t>
            </w:r>
            <w:r>
              <w:rPr>
                <w:sz w:val="20"/>
                <w:u w:val="single"/>
              </w:rPr>
              <w:tab/>
            </w:r>
          </w:p>
        </w:tc>
      </w:tr>
    </w:tbl>
    <w:p>
      <w:pPr>
        <w:spacing w:after="0"/>
        <w:rPr>
          <w:sz w:val="20"/>
        </w:rPr>
        <w:sectPr>
          <w:pgSz w:w="12240" w:h="15840"/>
          <w:pgMar w:header="726" w:footer="1031" w:top="1340" w:bottom="1220" w:left="1200" w:right="1420"/>
        </w:sectPr>
      </w:pPr>
    </w:p>
    <w:p>
      <w:pPr>
        <w:pStyle w:val="BodyText"/>
        <w:spacing w:before="7"/>
        <w:rPr>
          <w:rFonts w:ascii="Times New Roman"/>
          <w:sz w:val="29"/>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4"/>
        <w:gridCol w:w="725"/>
        <w:gridCol w:w="648"/>
        <w:gridCol w:w="730"/>
        <w:gridCol w:w="1215"/>
        <w:gridCol w:w="2088"/>
      </w:tblGrid>
      <w:tr>
        <w:trPr>
          <w:trHeight w:val="288" w:hRule="exact"/>
        </w:trPr>
        <w:tc>
          <w:tcPr>
            <w:tcW w:w="9061" w:type="dxa"/>
            <w:gridSpan w:val="6"/>
            <w:shd w:val="clear" w:color="auto" w:fill="BEBEBE"/>
          </w:tcPr>
          <w:p>
            <w:pPr>
              <w:pStyle w:val="TableParagraph"/>
              <w:spacing w:line="267" w:lineRule="exact"/>
              <w:ind w:left="3224" w:right="3226"/>
              <w:jc w:val="center"/>
              <w:rPr>
                <w:b/>
                <w:sz w:val="24"/>
              </w:rPr>
            </w:pPr>
            <w:r>
              <w:rPr>
                <w:b/>
                <w:sz w:val="24"/>
              </w:rPr>
              <w:t>HÁBITOS HIGIÉNICOS</w:t>
            </w:r>
          </w:p>
        </w:tc>
      </w:tr>
      <w:tr>
        <w:trPr>
          <w:trHeight w:val="4610" w:hRule="exact"/>
        </w:trPr>
        <w:tc>
          <w:tcPr>
            <w:tcW w:w="9061" w:type="dxa"/>
            <w:gridSpan w:val="6"/>
          </w:tcPr>
          <w:p>
            <w:pPr>
              <w:pStyle w:val="TableParagraph"/>
              <w:spacing w:before="7"/>
              <w:rPr>
                <w:rFonts w:ascii="Times New Roman"/>
                <w:sz w:val="19"/>
              </w:rPr>
            </w:pPr>
          </w:p>
          <w:p>
            <w:pPr>
              <w:pStyle w:val="TableParagraph"/>
              <w:numPr>
                <w:ilvl w:val="0"/>
                <w:numId w:val="43"/>
              </w:numPr>
              <w:tabs>
                <w:tab w:pos="466" w:val="left" w:leader="none"/>
              </w:tabs>
              <w:spacing w:line="240" w:lineRule="auto" w:before="0" w:after="0"/>
              <w:ind w:left="465" w:right="0" w:hanging="360"/>
              <w:jc w:val="left"/>
              <w:rPr>
                <w:sz w:val="20"/>
              </w:rPr>
            </w:pPr>
            <w:r>
              <w:rPr>
                <w:sz w:val="20"/>
              </w:rPr>
              <w:t>¿Cuándo cepillas tus</w:t>
            </w:r>
            <w:r>
              <w:rPr>
                <w:spacing w:val="-8"/>
                <w:sz w:val="20"/>
              </w:rPr>
              <w:t> </w:t>
            </w:r>
            <w:r>
              <w:rPr>
                <w:sz w:val="20"/>
              </w:rPr>
              <w:t>dientes?</w:t>
            </w:r>
          </w:p>
          <w:p>
            <w:pPr>
              <w:pStyle w:val="TableParagraph"/>
              <w:rPr>
                <w:rFonts w:ascii="Times New Roman"/>
                <w:sz w:val="20"/>
              </w:rPr>
            </w:pPr>
          </w:p>
          <w:p>
            <w:pPr>
              <w:pStyle w:val="TableParagraph"/>
              <w:tabs>
                <w:tab w:pos="3944" w:val="left" w:leader="none"/>
                <w:tab w:pos="4342" w:val="left" w:leader="none"/>
                <w:tab w:pos="8458" w:val="left" w:leader="none"/>
              </w:tabs>
              <w:spacing w:before="1"/>
              <w:ind w:left="105"/>
              <w:rPr>
                <w:sz w:val="20"/>
              </w:rPr>
            </w:pPr>
            <w:r>
              <w:rPr>
                <w:sz w:val="20"/>
              </w:rPr>
              <w:t>Antes de</w:t>
            </w:r>
            <w:r>
              <w:rPr>
                <w:spacing w:val="-3"/>
                <w:sz w:val="20"/>
              </w:rPr>
              <w:t> </w:t>
            </w:r>
            <w:r>
              <w:rPr>
                <w:sz w:val="20"/>
              </w:rPr>
              <w:t>los</w:t>
            </w:r>
            <w:r>
              <w:rPr>
                <w:spacing w:val="-3"/>
                <w:sz w:val="20"/>
              </w:rPr>
              <w:t> </w:t>
            </w:r>
            <w:r>
              <w:rPr>
                <w:sz w:val="20"/>
              </w:rPr>
              <w:t>alimentos:</w:t>
            </w:r>
            <w:r>
              <w:rPr>
                <w:sz w:val="20"/>
                <w:u w:val="single"/>
              </w:rPr>
              <w:t> </w:t>
              <w:tab/>
            </w:r>
            <w:r>
              <w:rPr>
                <w:sz w:val="20"/>
              </w:rPr>
              <w:tab/>
              <w:t>Después de los</w:t>
            </w:r>
            <w:r>
              <w:rPr>
                <w:spacing w:val="-8"/>
                <w:sz w:val="20"/>
              </w:rPr>
              <w:t> </w:t>
            </w:r>
            <w:r>
              <w:rPr>
                <w:sz w:val="20"/>
              </w:rPr>
              <w:t>alimentos:</w:t>
            </w:r>
            <w:r>
              <w:rPr>
                <w:spacing w:val="3"/>
                <w:sz w:val="20"/>
              </w:rPr>
              <w:t> </w:t>
            </w:r>
            <w:r>
              <w:rPr>
                <w:w w:val="100"/>
                <w:sz w:val="20"/>
                <w:u w:val="single"/>
              </w:rPr>
              <w:t> </w:t>
            </w:r>
            <w:r>
              <w:rPr>
                <w:sz w:val="20"/>
                <w:u w:val="single"/>
              </w:rPr>
              <w:tab/>
            </w:r>
          </w:p>
          <w:p>
            <w:pPr>
              <w:pStyle w:val="TableParagraph"/>
              <w:rPr>
                <w:rFonts w:ascii="Times New Roman"/>
                <w:sz w:val="20"/>
              </w:rPr>
            </w:pPr>
          </w:p>
          <w:p>
            <w:pPr>
              <w:pStyle w:val="TableParagraph"/>
              <w:numPr>
                <w:ilvl w:val="0"/>
                <w:numId w:val="43"/>
              </w:numPr>
              <w:tabs>
                <w:tab w:pos="466" w:val="left" w:leader="none"/>
              </w:tabs>
              <w:spacing w:line="240" w:lineRule="auto" w:before="1" w:after="0"/>
              <w:ind w:left="465" w:right="0" w:hanging="360"/>
              <w:jc w:val="left"/>
              <w:rPr>
                <w:sz w:val="20"/>
              </w:rPr>
            </w:pPr>
            <w:r>
              <w:rPr>
                <w:sz w:val="20"/>
              </w:rPr>
              <w:t>¿Cuántas veces cepillas tus dientes al</w:t>
            </w:r>
            <w:r>
              <w:rPr>
                <w:spacing w:val="-8"/>
                <w:sz w:val="20"/>
              </w:rPr>
              <w:t> </w:t>
            </w:r>
            <w:r>
              <w:rPr>
                <w:sz w:val="20"/>
              </w:rPr>
              <w:t>día?</w:t>
            </w:r>
          </w:p>
          <w:p>
            <w:pPr>
              <w:pStyle w:val="TableParagraph"/>
              <w:spacing w:before="7"/>
              <w:rPr>
                <w:rFonts w:ascii="Times New Roman"/>
                <w:sz w:val="19"/>
              </w:rPr>
            </w:pPr>
          </w:p>
          <w:p>
            <w:pPr>
              <w:pStyle w:val="TableParagraph"/>
              <w:tabs>
                <w:tab w:pos="2298" w:val="left" w:leader="none"/>
                <w:tab w:pos="4209" w:val="left" w:leader="none"/>
                <w:tab w:pos="6167" w:val="left" w:leader="none"/>
                <w:tab w:pos="8826" w:val="left" w:leader="none"/>
              </w:tabs>
              <w:ind w:left="494"/>
              <w:rPr>
                <w:sz w:val="20"/>
              </w:rPr>
            </w:pPr>
            <w:r>
              <w:rPr>
                <w:sz w:val="20"/>
              </w:rPr>
              <w:t>Una:</w:t>
            </w:r>
            <w:r>
              <w:rPr>
                <w:sz w:val="20"/>
                <w:u w:val="single"/>
              </w:rPr>
              <w:tab/>
            </w:r>
            <w:r>
              <w:rPr>
                <w:sz w:val="20"/>
              </w:rPr>
              <w:t>Dos:</w:t>
            </w:r>
            <w:r>
              <w:rPr>
                <w:sz w:val="20"/>
                <w:u w:val="single"/>
              </w:rPr>
              <w:tab/>
            </w:r>
            <w:r>
              <w:rPr>
                <w:sz w:val="20"/>
              </w:rPr>
              <w:t>Tres:</w:t>
            </w:r>
            <w:r>
              <w:rPr>
                <w:sz w:val="20"/>
                <w:u w:val="single"/>
              </w:rPr>
              <w:tab/>
            </w:r>
            <w:r>
              <w:rPr>
                <w:sz w:val="20"/>
              </w:rPr>
              <w:t>Más de tres</w:t>
            </w:r>
            <w:r>
              <w:rPr>
                <w:spacing w:val="-7"/>
                <w:sz w:val="20"/>
              </w:rPr>
              <w:t> </w:t>
            </w:r>
            <w:r>
              <w:rPr>
                <w:sz w:val="20"/>
              </w:rPr>
              <w:t>:</w:t>
            </w:r>
            <w:r>
              <w:rPr>
                <w:sz w:val="20"/>
                <w:u w:val="single"/>
              </w:rPr>
              <w:t> </w:t>
              <w:tab/>
            </w:r>
          </w:p>
          <w:p>
            <w:pPr>
              <w:pStyle w:val="TableParagraph"/>
              <w:spacing w:before="1"/>
              <w:rPr>
                <w:rFonts w:ascii="Times New Roman"/>
                <w:sz w:val="20"/>
              </w:rPr>
            </w:pPr>
          </w:p>
          <w:p>
            <w:pPr>
              <w:pStyle w:val="TableParagraph"/>
              <w:numPr>
                <w:ilvl w:val="0"/>
                <w:numId w:val="43"/>
              </w:numPr>
              <w:tabs>
                <w:tab w:pos="466" w:val="left" w:leader="none"/>
              </w:tabs>
              <w:spacing w:line="240" w:lineRule="auto" w:before="0" w:after="0"/>
              <w:ind w:left="465" w:right="0" w:hanging="360"/>
              <w:jc w:val="left"/>
              <w:rPr>
                <w:sz w:val="20"/>
              </w:rPr>
            </w:pPr>
            <w:r>
              <w:rPr>
                <w:sz w:val="20"/>
              </w:rPr>
              <w:t>¿Usas algún auxiliar en tu higiene</w:t>
            </w:r>
            <w:r>
              <w:rPr>
                <w:spacing w:val="-7"/>
                <w:sz w:val="20"/>
              </w:rPr>
              <w:t> </w:t>
            </w:r>
            <w:r>
              <w:rPr>
                <w:sz w:val="20"/>
              </w:rPr>
              <w:t>bucal?</w:t>
            </w:r>
          </w:p>
          <w:p>
            <w:pPr>
              <w:pStyle w:val="TableParagraph"/>
              <w:tabs>
                <w:tab w:pos="6332" w:val="left" w:leader="none"/>
                <w:tab w:pos="6846" w:val="left" w:leader="none"/>
                <w:tab w:pos="8593" w:val="left" w:leader="none"/>
              </w:tabs>
              <w:ind w:left="4667"/>
              <w:rPr>
                <w:sz w:val="20"/>
              </w:rPr>
            </w:pPr>
            <w:r>
              <w:rPr>
                <w:sz w:val="20"/>
              </w:rPr>
              <w:t>Si:</w:t>
            </w:r>
            <w:r>
              <w:rPr>
                <w:sz w:val="20"/>
                <w:u w:val="single"/>
              </w:rPr>
              <w:t> </w:t>
              <w:tab/>
            </w:r>
            <w:r>
              <w:rPr>
                <w:sz w:val="20"/>
              </w:rPr>
              <w:tab/>
              <w:t>No:</w:t>
            </w:r>
            <w:r>
              <w:rPr>
                <w:spacing w:val="3"/>
                <w:sz w:val="20"/>
              </w:rPr>
              <w:t> </w:t>
            </w:r>
            <w:r>
              <w:rPr>
                <w:w w:val="100"/>
                <w:sz w:val="20"/>
                <w:u w:val="single"/>
              </w:rPr>
              <w:t> </w:t>
            </w:r>
            <w:r>
              <w:rPr>
                <w:sz w:val="20"/>
                <w:u w:val="single"/>
              </w:rPr>
              <w:tab/>
            </w:r>
          </w:p>
          <w:p>
            <w:pPr>
              <w:pStyle w:val="TableParagraph"/>
              <w:rPr>
                <w:rFonts w:ascii="Times New Roman"/>
                <w:sz w:val="20"/>
              </w:rPr>
            </w:pPr>
          </w:p>
          <w:p>
            <w:pPr>
              <w:pStyle w:val="TableParagraph"/>
              <w:numPr>
                <w:ilvl w:val="0"/>
                <w:numId w:val="43"/>
              </w:numPr>
              <w:tabs>
                <w:tab w:pos="466" w:val="left" w:leader="none"/>
              </w:tabs>
              <w:spacing w:line="240" w:lineRule="auto" w:before="1" w:after="0"/>
              <w:ind w:left="465" w:right="0" w:hanging="360"/>
              <w:jc w:val="left"/>
              <w:rPr>
                <w:sz w:val="20"/>
              </w:rPr>
            </w:pPr>
            <w:r>
              <w:rPr>
                <w:sz w:val="20"/>
              </w:rPr>
              <w:t>¿Qué tipo de</w:t>
            </w:r>
            <w:r>
              <w:rPr>
                <w:spacing w:val="-3"/>
                <w:sz w:val="20"/>
              </w:rPr>
              <w:t> </w:t>
            </w:r>
            <w:r>
              <w:rPr>
                <w:sz w:val="20"/>
              </w:rPr>
              <w:t>auxiliar?</w:t>
            </w:r>
          </w:p>
          <w:p>
            <w:pPr>
              <w:pStyle w:val="TableParagraph"/>
              <w:spacing w:before="1"/>
              <w:rPr>
                <w:rFonts w:ascii="Times New Roman"/>
                <w:sz w:val="20"/>
              </w:rPr>
            </w:pPr>
          </w:p>
          <w:p>
            <w:pPr>
              <w:pStyle w:val="TableParagraph"/>
              <w:tabs>
                <w:tab w:pos="2428" w:val="left" w:leader="none"/>
                <w:tab w:pos="3670" w:val="left" w:leader="none"/>
                <w:tab w:pos="5225" w:val="left" w:leader="none"/>
                <w:tab w:pos="7701" w:val="left" w:leader="none"/>
                <w:tab w:pos="8800" w:val="left" w:leader="none"/>
              </w:tabs>
              <w:ind w:left="494"/>
              <w:rPr>
                <w:sz w:val="20"/>
              </w:rPr>
            </w:pPr>
            <w:r>
              <w:rPr>
                <w:sz w:val="20"/>
              </w:rPr>
              <w:t>Enjuague</w:t>
            </w:r>
            <w:r>
              <w:rPr>
                <w:spacing w:val="-1"/>
                <w:sz w:val="20"/>
              </w:rPr>
              <w:t> </w:t>
            </w:r>
            <w:r>
              <w:rPr>
                <w:sz w:val="20"/>
              </w:rPr>
              <w:t>bucal:</w:t>
            </w:r>
            <w:r>
              <w:rPr>
                <w:sz w:val="20"/>
                <w:u w:val="single"/>
              </w:rPr>
              <w:tab/>
            </w:r>
            <w:r>
              <w:rPr>
                <w:sz w:val="20"/>
              </w:rPr>
              <w:t>Palillos:</w:t>
            </w:r>
            <w:r>
              <w:rPr>
                <w:sz w:val="20"/>
                <w:u w:val="single"/>
              </w:rPr>
              <w:tab/>
            </w:r>
            <w:r>
              <w:rPr>
                <w:sz w:val="20"/>
              </w:rPr>
              <w:t>Hilo</w:t>
            </w:r>
            <w:r>
              <w:rPr>
                <w:spacing w:val="-6"/>
                <w:sz w:val="20"/>
              </w:rPr>
              <w:t> </w:t>
            </w:r>
            <w:r>
              <w:rPr>
                <w:sz w:val="20"/>
              </w:rPr>
              <w:t>dental:</w:t>
            </w:r>
            <w:r>
              <w:rPr>
                <w:sz w:val="20"/>
                <w:u w:val="single"/>
              </w:rPr>
              <w:tab/>
            </w:r>
            <w:r>
              <w:rPr>
                <w:sz w:val="20"/>
              </w:rPr>
              <w:t>Tabletas</w:t>
            </w:r>
            <w:r>
              <w:rPr>
                <w:spacing w:val="-4"/>
                <w:sz w:val="20"/>
              </w:rPr>
              <w:t> </w:t>
            </w:r>
            <w:r>
              <w:rPr>
                <w:sz w:val="20"/>
              </w:rPr>
              <w:t>reveladoras:</w:t>
            </w:r>
            <w:r>
              <w:rPr>
                <w:sz w:val="20"/>
                <w:u w:val="single"/>
              </w:rPr>
              <w:tab/>
            </w:r>
            <w:r>
              <w:rPr>
                <w:sz w:val="20"/>
              </w:rPr>
              <w:t>Otros:</w:t>
            </w:r>
            <w:r>
              <w:rPr>
                <w:sz w:val="20"/>
                <w:u w:val="single"/>
              </w:rPr>
              <w:t> </w:t>
              <w:tab/>
            </w:r>
          </w:p>
          <w:p>
            <w:pPr>
              <w:pStyle w:val="TableParagraph"/>
              <w:rPr>
                <w:rFonts w:ascii="Times New Roman"/>
                <w:sz w:val="20"/>
              </w:rPr>
            </w:pPr>
          </w:p>
          <w:p>
            <w:pPr>
              <w:pStyle w:val="TableParagraph"/>
              <w:numPr>
                <w:ilvl w:val="0"/>
                <w:numId w:val="43"/>
              </w:numPr>
              <w:tabs>
                <w:tab w:pos="466" w:val="left" w:leader="none"/>
              </w:tabs>
              <w:spacing w:line="240" w:lineRule="auto" w:before="1" w:after="0"/>
              <w:ind w:left="465" w:right="0" w:hanging="360"/>
              <w:jc w:val="left"/>
              <w:rPr>
                <w:sz w:val="20"/>
              </w:rPr>
            </w:pPr>
            <w:r>
              <w:rPr>
                <w:sz w:val="20"/>
              </w:rPr>
              <w:t>¿Cada cuánto cambias tu cepillo</w:t>
            </w:r>
            <w:r>
              <w:rPr>
                <w:spacing w:val="-9"/>
                <w:sz w:val="20"/>
              </w:rPr>
              <w:t> </w:t>
            </w:r>
            <w:r>
              <w:rPr>
                <w:sz w:val="20"/>
              </w:rPr>
              <w:t>dental?</w:t>
            </w:r>
          </w:p>
          <w:p>
            <w:pPr>
              <w:pStyle w:val="TableParagraph"/>
              <w:spacing w:before="7"/>
              <w:rPr>
                <w:rFonts w:ascii="Times New Roman"/>
                <w:sz w:val="19"/>
              </w:rPr>
            </w:pPr>
          </w:p>
          <w:p>
            <w:pPr>
              <w:pStyle w:val="TableParagraph"/>
              <w:tabs>
                <w:tab w:pos="2015" w:val="left" w:leader="none"/>
                <w:tab w:pos="4232" w:val="left" w:leader="none"/>
                <w:tab w:pos="6471" w:val="left" w:leader="none"/>
                <w:tab w:pos="8879" w:val="left" w:leader="none"/>
              </w:tabs>
              <w:ind w:left="494"/>
              <w:rPr>
                <w:sz w:val="20"/>
              </w:rPr>
            </w:pPr>
            <w:r>
              <w:rPr>
                <w:sz w:val="20"/>
              </w:rPr>
              <w:t>Cada</w:t>
            </w:r>
            <w:r>
              <w:rPr>
                <w:spacing w:val="-1"/>
                <w:sz w:val="20"/>
              </w:rPr>
              <w:t> </w:t>
            </w:r>
            <w:r>
              <w:rPr>
                <w:sz w:val="20"/>
              </w:rPr>
              <w:t>mes:</w:t>
            </w:r>
            <w:r>
              <w:rPr>
                <w:sz w:val="20"/>
                <w:u w:val="single"/>
              </w:rPr>
              <w:tab/>
            </w:r>
            <w:r>
              <w:rPr>
                <w:sz w:val="20"/>
              </w:rPr>
              <w:t>Cada</w:t>
            </w:r>
            <w:r>
              <w:rPr>
                <w:spacing w:val="-1"/>
                <w:sz w:val="20"/>
              </w:rPr>
              <w:t> </w:t>
            </w:r>
            <w:r>
              <w:rPr>
                <w:sz w:val="20"/>
              </w:rPr>
              <w:t>dos</w:t>
            </w:r>
            <w:r>
              <w:rPr>
                <w:spacing w:val="-4"/>
                <w:sz w:val="20"/>
              </w:rPr>
              <w:t> </w:t>
            </w:r>
            <w:r>
              <w:rPr>
                <w:sz w:val="20"/>
              </w:rPr>
              <w:t>meses:</w:t>
            </w:r>
            <w:r>
              <w:rPr>
                <w:sz w:val="20"/>
                <w:u w:val="single"/>
              </w:rPr>
              <w:tab/>
            </w:r>
            <w:r>
              <w:rPr>
                <w:sz w:val="20"/>
              </w:rPr>
              <w:t>Cada</w:t>
            </w:r>
            <w:r>
              <w:rPr>
                <w:spacing w:val="-1"/>
                <w:sz w:val="20"/>
              </w:rPr>
              <w:t> </w:t>
            </w:r>
            <w:r>
              <w:rPr>
                <w:sz w:val="20"/>
              </w:rPr>
              <w:t>tres</w:t>
            </w:r>
            <w:r>
              <w:rPr>
                <w:spacing w:val="-4"/>
                <w:sz w:val="20"/>
              </w:rPr>
              <w:t> </w:t>
            </w:r>
            <w:r>
              <w:rPr>
                <w:sz w:val="20"/>
              </w:rPr>
              <w:t>meses:</w:t>
            </w:r>
            <w:r>
              <w:rPr>
                <w:sz w:val="20"/>
                <w:u w:val="single"/>
              </w:rPr>
              <w:tab/>
            </w:r>
            <w:r>
              <w:rPr>
                <w:sz w:val="20"/>
              </w:rPr>
              <w:t>Más de tres</w:t>
            </w:r>
            <w:r>
              <w:rPr>
                <w:spacing w:val="-12"/>
                <w:sz w:val="20"/>
              </w:rPr>
              <w:t> </w:t>
            </w:r>
            <w:r>
              <w:rPr>
                <w:sz w:val="20"/>
              </w:rPr>
              <w:t>meses:</w:t>
            </w:r>
            <w:r>
              <w:rPr>
                <w:spacing w:val="3"/>
                <w:sz w:val="20"/>
              </w:rPr>
              <w:t> </w:t>
            </w:r>
            <w:r>
              <w:rPr>
                <w:w w:val="100"/>
                <w:sz w:val="20"/>
                <w:u w:val="single"/>
              </w:rPr>
              <w:t> </w:t>
            </w:r>
            <w:r>
              <w:rPr>
                <w:sz w:val="20"/>
                <w:u w:val="single"/>
              </w:rPr>
              <w:tab/>
            </w:r>
          </w:p>
        </w:tc>
      </w:tr>
      <w:tr>
        <w:trPr>
          <w:trHeight w:val="562" w:hRule="exact"/>
        </w:trPr>
        <w:tc>
          <w:tcPr>
            <w:tcW w:w="9061" w:type="dxa"/>
            <w:gridSpan w:val="6"/>
            <w:shd w:val="clear" w:color="auto" w:fill="BEBEBE"/>
          </w:tcPr>
          <w:p>
            <w:pPr>
              <w:pStyle w:val="TableParagraph"/>
              <w:spacing w:line="242" w:lineRule="auto"/>
              <w:ind w:left="3179" w:right="3181" w:firstLine="4"/>
              <w:jc w:val="center"/>
              <w:rPr>
                <w:b/>
                <w:sz w:val="24"/>
              </w:rPr>
            </w:pPr>
            <w:r>
              <w:rPr>
                <w:b/>
                <w:sz w:val="24"/>
              </w:rPr>
              <w:t>HÁBITOS DIETÉTICOS (ANÁLISIS</w:t>
            </w:r>
            <w:r>
              <w:rPr>
                <w:b/>
                <w:spacing w:val="54"/>
                <w:sz w:val="24"/>
              </w:rPr>
              <w:t> </w:t>
            </w:r>
            <w:r>
              <w:rPr>
                <w:b/>
                <w:sz w:val="24"/>
              </w:rPr>
              <w:t>DIETÉTICO)</w:t>
            </w:r>
          </w:p>
        </w:tc>
      </w:tr>
      <w:tr>
        <w:trPr>
          <w:trHeight w:val="931" w:hRule="exact"/>
        </w:trPr>
        <w:tc>
          <w:tcPr>
            <w:tcW w:w="3654" w:type="dxa"/>
          </w:tcPr>
          <w:p>
            <w:pPr>
              <w:pStyle w:val="TableParagraph"/>
              <w:ind w:left="105" w:right="97"/>
              <w:jc w:val="both"/>
              <w:rPr>
                <w:b/>
                <w:sz w:val="20"/>
              </w:rPr>
            </w:pPr>
            <w:r>
              <w:rPr>
                <w:b/>
                <w:sz w:val="20"/>
              </w:rPr>
              <w:t>HÁBITOS ALIMENTICIOS Y CONTROL DEL AZÚCAR EN ALIMENTOS NUTRITIVOS Y NO NUTRITIVOS</w:t>
            </w:r>
          </w:p>
        </w:tc>
        <w:tc>
          <w:tcPr>
            <w:tcW w:w="725" w:type="dxa"/>
          </w:tcPr>
          <w:p>
            <w:pPr>
              <w:pStyle w:val="TableParagraph"/>
              <w:rPr>
                <w:rFonts w:ascii="Times New Roman"/>
                <w:sz w:val="18"/>
              </w:rPr>
            </w:pPr>
          </w:p>
          <w:p>
            <w:pPr>
              <w:pStyle w:val="TableParagraph"/>
              <w:spacing w:before="147"/>
              <w:ind w:left="144"/>
              <w:rPr>
                <w:sz w:val="18"/>
              </w:rPr>
            </w:pPr>
            <w:r>
              <w:rPr>
                <w:sz w:val="18"/>
              </w:rPr>
              <w:t>Día 1</w:t>
            </w:r>
          </w:p>
        </w:tc>
        <w:tc>
          <w:tcPr>
            <w:tcW w:w="648" w:type="dxa"/>
          </w:tcPr>
          <w:p>
            <w:pPr>
              <w:pStyle w:val="TableParagraph"/>
              <w:rPr>
                <w:rFonts w:ascii="Times New Roman"/>
                <w:sz w:val="18"/>
              </w:rPr>
            </w:pPr>
          </w:p>
          <w:p>
            <w:pPr>
              <w:pStyle w:val="TableParagraph"/>
              <w:spacing w:before="147"/>
              <w:ind w:left="105"/>
              <w:rPr>
                <w:sz w:val="18"/>
              </w:rPr>
            </w:pPr>
            <w:r>
              <w:rPr>
                <w:sz w:val="18"/>
              </w:rPr>
              <w:t>Día 2</w:t>
            </w:r>
          </w:p>
        </w:tc>
        <w:tc>
          <w:tcPr>
            <w:tcW w:w="730" w:type="dxa"/>
          </w:tcPr>
          <w:p>
            <w:pPr>
              <w:pStyle w:val="TableParagraph"/>
              <w:rPr>
                <w:rFonts w:ascii="Times New Roman"/>
                <w:sz w:val="18"/>
              </w:rPr>
            </w:pPr>
          </w:p>
          <w:p>
            <w:pPr>
              <w:pStyle w:val="TableParagraph"/>
              <w:spacing w:before="147"/>
              <w:ind w:left="148"/>
              <w:rPr>
                <w:sz w:val="18"/>
              </w:rPr>
            </w:pPr>
            <w:r>
              <w:rPr>
                <w:sz w:val="18"/>
              </w:rPr>
              <w:t>Día 3</w:t>
            </w:r>
          </w:p>
        </w:tc>
        <w:tc>
          <w:tcPr>
            <w:tcW w:w="1215" w:type="dxa"/>
          </w:tcPr>
          <w:p>
            <w:pPr>
              <w:pStyle w:val="TableParagraph"/>
              <w:spacing w:before="6"/>
              <w:rPr>
                <w:rFonts w:ascii="Times New Roman"/>
                <w:sz w:val="29"/>
              </w:rPr>
            </w:pPr>
          </w:p>
          <w:p>
            <w:pPr>
              <w:pStyle w:val="TableParagraph"/>
              <w:spacing w:before="1"/>
              <w:ind w:left="172"/>
              <w:rPr>
                <w:sz w:val="20"/>
              </w:rPr>
            </w:pPr>
            <w:r>
              <w:rPr>
                <w:sz w:val="20"/>
              </w:rPr>
              <w:t>Promedio</w:t>
            </w:r>
          </w:p>
        </w:tc>
        <w:tc>
          <w:tcPr>
            <w:tcW w:w="2088" w:type="dxa"/>
          </w:tcPr>
          <w:p>
            <w:pPr>
              <w:pStyle w:val="TableParagraph"/>
              <w:spacing w:before="6"/>
              <w:rPr>
                <w:rFonts w:ascii="Times New Roman"/>
                <w:sz w:val="19"/>
              </w:rPr>
            </w:pPr>
          </w:p>
          <w:p>
            <w:pPr>
              <w:pStyle w:val="TableParagraph"/>
              <w:ind w:left="297" w:right="197" w:hanging="92"/>
              <w:rPr>
                <w:sz w:val="20"/>
              </w:rPr>
            </w:pPr>
            <w:r>
              <w:rPr>
                <w:sz w:val="20"/>
              </w:rPr>
              <w:t>Recomendaciones Máximas por día</w:t>
            </w:r>
          </w:p>
        </w:tc>
      </w:tr>
      <w:tr>
        <w:trPr>
          <w:trHeight w:val="240" w:hRule="exact"/>
        </w:trPr>
        <w:tc>
          <w:tcPr>
            <w:tcW w:w="3654" w:type="dxa"/>
          </w:tcPr>
          <w:p>
            <w:pPr>
              <w:pStyle w:val="TableParagraph"/>
              <w:spacing w:line="225" w:lineRule="exact"/>
              <w:ind w:left="105"/>
              <w:rPr>
                <w:sz w:val="20"/>
              </w:rPr>
            </w:pPr>
            <w:r>
              <w:rPr>
                <w:sz w:val="20"/>
              </w:rPr>
              <w:t>- Número de veces que come al día</w:t>
            </w:r>
          </w:p>
        </w:tc>
        <w:tc>
          <w:tcPr>
            <w:tcW w:w="725" w:type="dxa"/>
          </w:tcPr>
          <w:p>
            <w:pPr/>
          </w:p>
        </w:tc>
        <w:tc>
          <w:tcPr>
            <w:tcW w:w="648" w:type="dxa"/>
          </w:tcPr>
          <w:p>
            <w:pPr/>
          </w:p>
        </w:tc>
        <w:tc>
          <w:tcPr>
            <w:tcW w:w="730" w:type="dxa"/>
          </w:tcPr>
          <w:p>
            <w:pPr/>
          </w:p>
        </w:tc>
        <w:tc>
          <w:tcPr>
            <w:tcW w:w="1215" w:type="dxa"/>
          </w:tcPr>
          <w:p>
            <w:pPr/>
          </w:p>
        </w:tc>
        <w:tc>
          <w:tcPr>
            <w:tcW w:w="2088" w:type="dxa"/>
          </w:tcPr>
          <w:p>
            <w:pPr/>
          </w:p>
        </w:tc>
      </w:tr>
      <w:tr>
        <w:trPr>
          <w:trHeight w:val="701" w:hRule="exact"/>
        </w:trPr>
        <w:tc>
          <w:tcPr>
            <w:tcW w:w="3654" w:type="dxa"/>
          </w:tcPr>
          <w:p>
            <w:pPr>
              <w:pStyle w:val="TableParagraph"/>
              <w:ind w:left="105" w:right="95"/>
              <w:jc w:val="both"/>
              <w:rPr>
                <w:sz w:val="20"/>
              </w:rPr>
            </w:pPr>
            <w:r>
              <w:rPr>
                <w:sz w:val="20"/>
              </w:rPr>
              <w:t>- Número de alimentos (nutritivos conteniendo azúcar)  consumidos  entre comidas</w:t>
            </w:r>
          </w:p>
        </w:tc>
        <w:tc>
          <w:tcPr>
            <w:tcW w:w="725" w:type="dxa"/>
          </w:tcPr>
          <w:p>
            <w:pPr/>
          </w:p>
        </w:tc>
        <w:tc>
          <w:tcPr>
            <w:tcW w:w="648" w:type="dxa"/>
          </w:tcPr>
          <w:p>
            <w:pPr/>
          </w:p>
        </w:tc>
        <w:tc>
          <w:tcPr>
            <w:tcW w:w="730" w:type="dxa"/>
          </w:tcPr>
          <w:p>
            <w:pPr/>
          </w:p>
        </w:tc>
        <w:tc>
          <w:tcPr>
            <w:tcW w:w="1215" w:type="dxa"/>
          </w:tcPr>
          <w:p>
            <w:pPr/>
          </w:p>
        </w:tc>
        <w:tc>
          <w:tcPr>
            <w:tcW w:w="2088" w:type="dxa"/>
          </w:tcPr>
          <w:p>
            <w:pPr/>
          </w:p>
        </w:tc>
      </w:tr>
      <w:tr>
        <w:trPr>
          <w:trHeight w:val="701" w:hRule="exact"/>
        </w:trPr>
        <w:tc>
          <w:tcPr>
            <w:tcW w:w="3654" w:type="dxa"/>
          </w:tcPr>
          <w:p>
            <w:pPr>
              <w:pStyle w:val="TableParagraph"/>
              <w:ind w:left="105" w:right="95"/>
              <w:jc w:val="both"/>
              <w:rPr>
                <w:sz w:val="20"/>
              </w:rPr>
            </w:pPr>
            <w:r>
              <w:rPr>
                <w:sz w:val="20"/>
              </w:rPr>
              <w:t>- Número de alimentos (no nutritivos que contienen azúcar) consumidos entre comidas</w:t>
            </w:r>
          </w:p>
        </w:tc>
        <w:tc>
          <w:tcPr>
            <w:tcW w:w="725" w:type="dxa"/>
          </w:tcPr>
          <w:p>
            <w:pPr/>
          </w:p>
        </w:tc>
        <w:tc>
          <w:tcPr>
            <w:tcW w:w="648" w:type="dxa"/>
          </w:tcPr>
          <w:p>
            <w:pPr/>
          </w:p>
        </w:tc>
        <w:tc>
          <w:tcPr>
            <w:tcW w:w="730" w:type="dxa"/>
          </w:tcPr>
          <w:p>
            <w:pPr/>
          </w:p>
        </w:tc>
        <w:tc>
          <w:tcPr>
            <w:tcW w:w="1215" w:type="dxa"/>
          </w:tcPr>
          <w:p>
            <w:pPr/>
          </w:p>
        </w:tc>
        <w:tc>
          <w:tcPr>
            <w:tcW w:w="2088" w:type="dxa"/>
          </w:tcPr>
          <w:p>
            <w:pPr/>
          </w:p>
        </w:tc>
      </w:tr>
      <w:tr>
        <w:trPr>
          <w:trHeight w:val="788" w:hRule="exact"/>
        </w:trPr>
        <w:tc>
          <w:tcPr>
            <w:tcW w:w="3654" w:type="dxa"/>
          </w:tcPr>
          <w:p>
            <w:pPr>
              <w:pStyle w:val="TableParagraph"/>
              <w:ind w:left="105" w:right="96"/>
              <w:jc w:val="both"/>
              <w:rPr>
                <w:sz w:val="20"/>
              </w:rPr>
            </w:pPr>
            <w:r>
              <w:rPr>
                <w:sz w:val="20"/>
              </w:rPr>
              <w:t>- Número de alimentos no nutritivos que contienen azúcar consumidos una hora antes de dormir</w:t>
            </w:r>
          </w:p>
        </w:tc>
        <w:tc>
          <w:tcPr>
            <w:tcW w:w="725" w:type="dxa"/>
          </w:tcPr>
          <w:p>
            <w:pPr/>
          </w:p>
        </w:tc>
        <w:tc>
          <w:tcPr>
            <w:tcW w:w="648" w:type="dxa"/>
          </w:tcPr>
          <w:p>
            <w:pPr/>
          </w:p>
        </w:tc>
        <w:tc>
          <w:tcPr>
            <w:tcW w:w="730" w:type="dxa"/>
          </w:tcPr>
          <w:p>
            <w:pPr/>
          </w:p>
        </w:tc>
        <w:tc>
          <w:tcPr>
            <w:tcW w:w="1215" w:type="dxa"/>
          </w:tcPr>
          <w:p>
            <w:pPr/>
          </w:p>
        </w:tc>
        <w:tc>
          <w:tcPr>
            <w:tcW w:w="2088" w:type="dxa"/>
          </w:tcPr>
          <w:p>
            <w:pPr/>
          </w:p>
        </w:tc>
      </w:tr>
      <w:tr>
        <w:trPr>
          <w:trHeight w:val="91" w:hRule="exact"/>
        </w:trPr>
        <w:tc>
          <w:tcPr>
            <w:tcW w:w="9061" w:type="dxa"/>
            <w:gridSpan w:val="6"/>
          </w:tcPr>
          <w:p>
            <w:pPr/>
          </w:p>
        </w:tc>
      </w:tr>
      <w:tr>
        <w:trPr>
          <w:trHeight w:val="192" w:hRule="exact"/>
        </w:trPr>
        <w:tc>
          <w:tcPr>
            <w:tcW w:w="9061" w:type="dxa"/>
            <w:gridSpan w:val="6"/>
          </w:tcPr>
          <w:p>
            <w:pPr>
              <w:pStyle w:val="TableParagraph"/>
              <w:spacing w:line="183" w:lineRule="exact"/>
              <w:ind w:left="105"/>
              <w:rPr>
                <w:sz w:val="14"/>
              </w:rPr>
            </w:pPr>
            <w:r>
              <w:rPr>
                <w:sz w:val="16"/>
              </w:rPr>
              <w:t>* 1 pint= 16 onzas líquidas= 2 tazas (473.18 ml)</w:t>
            </w:r>
            <w:r>
              <w:rPr>
                <w:sz w:val="14"/>
              </w:rPr>
              <w:t>Rugg-Gunn, AJ. And Nunn June, H. Nutrition, Diet and Oral Health;1999. P.185</w:t>
            </w:r>
          </w:p>
        </w:tc>
      </w:tr>
      <w:tr>
        <w:trPr>
          <w:trHeight w:val="288" w:hRule="exact"/>
        </w:trPr>
        <w:tc>
          <w:tcPr>
            <w:tcW w:w="9061" w:type="dxa"/>
            <w:gridSpan w:val="6"/>
            <w:shd w:val="clear" w:color="auto" w:fill="BEBEBE"/>
          </w:tcPr>
          <w:p>
            <w:pPr>
              <w:pStyle w:val="TableParagraph"/>
              <w:spacing w:line="267" w:lineRule="exact"/>
              <w:ind w:left="3224" w:right="3221"/>
              <w:jc w:val="center"/>
              <w:rPr>
                <w:b/>
                <w:sz w:val="24"/>
              </w:rPr>
            </w:pPr>
            <w:r>
              <w:rPr>
                <w:b/>
                <w:sz w:val="24"/>
              </w:rPr>
              <w:t>EXPRESIÓN GÉNICA</w:t>
            </w:r>
          </w:p>
        </w:tc>
      </w:tr>
      <w:tr>
        <w:trPr>
          <w:trHeight w:val="380" w:hRule="exact"/>
        </w:trPr>
        <w:tc>
          <w:tcPr>
            <w:tcW w:w="9061" w:type="dxa"/>
            <w:gridSpan w:val="6"/>
          </w:tcPr>
          <w:p>
            <w:pPr>
              <w:pStyle w:val="TableParagraph"/>
              <w:tabs>
                <w:tab w:pos="2395" w:val="left" w:leader="none"/>
                <w:tab w:pos="4757" w:val="left" w:leader="none"/>
                <w:tab w:pos="6851" w:val="left" w:leader="none"/>
                <w:tab w:pos="8675" w:val="left" w:leader="none"/>
              </w:tabs>
              <w:spacing w:line="241" w:lineRule="exact"/>
              <w:ind w:left="417"/>
              <w:rPr>
                <w:sz w:val="20"/>
              </w:rPr>
            </w:pPr>
            <w:r>
              <w:rPr>
                <w:sz w:val="20"/>
              </w:rPr>
              <w:t>FcαR:</w:t>
            </w:r>
            <w:r>
              <w:rPr>
                <w:sz w:val="20"/>
                <w:u w:val="single"/>
              </w:rPr>
              <w:tab/>
            </w:r>
            <w:r>
              <w:rPr>
                <w:sz w:val="20"/>
              </w:rPr>
              <w:t>Fc</w:t>
            </w:r>
            <w:r>
              <w:rPr>
                <w:rFonts w:ascii="Symbol" w:hAnsi="Symbol"/>
                <w:sz w:val="20"/>
              </w:rPr>
              <w:t></w:t>
            </w:r>
            <w:r>
              <w:rPr>
                <w:sz w:val="20"/>
              </w:rPr>
              <w:t>RIIB:</w:t>
            </w:r>
            <w:r>
              <w:rPr>
                <w:sz w:val="20"/>
                <w:u w:val="single"/>
              </w:rPr>
              <w:t> </w:t>
              <w:tab/>
            </w:r>
            <w:r>
              <w:rPr>
                <w:sz w:val="20"/>
              </w:rPr>
              <w:t>FcαµR:</w:t>
            </w:r>
            <w:r>
              <w:rPr>
                <w:sz w:val="20"/>
                <w:u w:val="single"/>
              </w:rPr>
              <w:t> </w:t>
              <w:tab/>
            </w:r>
            <w:r>
              <w:rPr>
                <w:sz w:val="20"/>
              </w:rPr>
              <w:t>18s:</w:t>
            </w:r>
            <w:r>
              <w:rPr>
                <w:spacing w:val="3"/>
                <w:sz w:val="20"/>
              </w:rPr>
              <w:t> </w:t>
            </w:r>
            <w:r>
              <w:rPr>
                <w:w w:val="100"/>
                <w:sz w:val="20"/>
                <w:u w:val="single"/>
              </w:rPr>
              <w:t> </w:t>
            </w:r>
            <w:r>
              <w:rPr>
                <w:sz w:val="20"/>
                <w:u w:val="single"/>
              </w:rPr>
              <w:tab/>
            </w:r>
          </w:p>
        </w:tc>
      </w:tr>
    </w:tbl>
    <w:p>
      <w:pPr>
        <w:spacing w:after="0" w:line="241" w:lineRule="exact"/>
        <w:rPr>
          <w:sz w:val="20"/>
        </w:rPr>
        <w:sectPr>
          <w:pgSz w:w="12240" w:h="15840"/>
          <w:pgMar w:header="726" w:footer="1031" w:top="1340" w:bottom="1220" w:left="1200" w:right="1420"/>
        </w:sectPr>
      </w:pPr>
    </w:p>
    <w:p>
      <w:pPr>
        <w:pStyle w:val="BodyText"/>
        <w:spacing w:before="4"/>
        <w:rPr>
          <w:rFonts w:ascii="Times New Roman"/>
          <w:sz w:val="22"/>
        </w:rPr>
      </w:pPr>
    </w:p>
    <w:p>
      <w:pPr>
        <w:pStyle w:val="Heading2"/>
        <w:jc w:val="left"/>
      </w:pPr>
      <w:bookmarkStart w:name="_TOC_250003" w:id="63"/>
      <w:bookmarkEnd w:id="63"/>
      <w:r>
        <w:rPr/>
        <w:t>Oficios / Permisos</w:t>
      </w:r>
    </w:p>
    <w:p>
      <w:pPr>
        <w:pStyle w:val="BodyText"/>
        <w:spacing w:before="6"/>
        <w:rPr>
          <w:b/>
          <w:sz w:val="21"/>
        </w:rPr>
      </w:pPr>
    </w:p>
    <w:p>
      <w:pPr>
        <w:tabs>
          <w:tab w:pos="1347" w:val="left" w:leader="none"/>
          <w:tab w:pos="2054" w:val="left" w:leader="none"/>
          <w:tab w:pos="3536" w:val="left" w:leader="none"/>
          <w:tab w:pos="4284" w:val="left" w:leader="none"/>
          <w:tab w:pos="5455" w:val="left" w:leader="none"/>
          <w:tab w:pos="6059" w:val="left" w:leader="none"/>
          <w:tab w:pos="6951" w:val="left" w:leader="none"/>
          <w:tab w:pos="8299" w:val="left" w:leader="none"/>
        </w:tabs>
        <w:spacing w:before="0"/>
        <w:ind w:left="196" w:right="0" w:firstLine="0"/>
        <w:jc w:val="left"/>
        <w:rPr>
          <w:b/>
          <w:sz w:val="24"/>
        </w:rPr>
      </w:pPr>
      <w:r>
        <w:rPr/>
        <w:drawing>
          <wp:anchor distT="0" distB="0" distL="0" distR="0" allowOverlap="1" layoutInCell="1" locked="0" behindDoc="0" simplePos="0" relativeHeight="2632">
            <wp:simplePos x="0" y="0"/>
            <wp:positionH relativeFrom="page">
              <wp:posOffset>900430</wp:posOffset>
            </wp:positionH>
            <wp:positionV relativeFrom="paragraph">
              <wp:posOffset>207173</wp:posOffset>
            </wp:positionV>
            <wp:extent cx="5600083" cy="7269480"/>
            <wp:effectExtent l="0" t="0" r="0" b="0"/>
            <wp:wrapTopAndBottom/>
            <wp:docPr id="55" name="image51.jpeg" descr=""/>
            <wp:cNvGraphicFramePr>
              <a:graphicFrameLocks noChangeAspect="1"/>
            </wp:cNvGraphicFramePr>
            <a:graphic>
              <a:graphicData uri="http://schemas.openxmlformats.org/drawingml/2006/picture">
                <pic:pic>
                  <pic:nvPicPr>
                    <pic:cNvPr id="56" name="image51.jpeg"/>
                    <pic:cNvPicPr/>
                  </pic:nvPicPr>
                  <pic:blipFill>
                    <a:blip r:embed="rId100" cstate="print"/>
                    <a:stretch>
                      <a:fillRect/>
                    </a:stretch>
                  </pic:blipFill>
                  <pic:spPr>
                    <a:xfrm>
                      <a:off x="0" y="0"/>
                      <a:ext cx="5600083" cy="7269480"/>
                    </a:xfrm>
                    <a:prstGeom prst="rect">
                      <a:avLst/>
                    </a:prstGeom>
                  </pic:spPr>
                </pic:pic>
              </a:graphicData>
            </a:graphic>
          </wp:anchor>
        </w:drawing>
      </w:r>
      <w:r>
        <w:rPr>
          <w:b/>
          <w:sz w:val="24"/>
        </w:rPr>
        <w:t>Oficio</w:t>
        <w:tab/>
      </w:r>
      <w:r>
        <w:rPr>
          <w:b/>
          <w:spacing w:val="-3"/>
          <w:sz w:val="24"/>
        </w:rPr>
        <w:t>A.</w:t>
        <w:tab/>
      </w:r>
      <w:r>
        <w:rPr>
          <w:b/>
          <w:sz w:val="24"/>
        </w:rPr>
        <w:t>Solicitud</w:t>
        <w:tab/>
        <w:t>de</w:t>
        <w:tab/>
        <w:t>apoyo</w:t>
        <w:tab/>
        <w:t>a</w:t>
        <w:tab/>
        <w:t>una</w:t>
        <w:tab/>
        <w:t>escuela</w:t>
        <w:tab/>
        <w:t>primaria.</w:t>
      </w:r>
    </w:p>
    <w:p>
      <w:pPr>
        <w:spacing w:after="0"/>
        <w:jc w:val="left"/>
        <w:rPr>
          <w:sz w:val="24"/>
        </w:rPr>
        <w:sectPr>
          <w:pgSz w:w="12240" w:h="15840"/>
          <w:pgMar w:header="726" w:footer="1031" w:top="1340" w:bottom="1220" w:left="1220" w:right="1420"/>
        </w:sectPr>
      </w:pPr>
    </w:p>
    <w:p>
      <w:pPr>
        <w:pStyle w:val="BodyText"/>
        <w:spacing w:before="9"/>
        <w:rPr>
          <w:b/>
          <w:sz w:val="22"/>
        </w:rPr>
      </w:pPr>
    </w:p>
    <w:p>
      <w:pPr>
        <w:spacing w:line="271" w:lineRule="auto" w:before="70"/>
        <w:ind w:left="196" w:right="383" w:firstLine="0"/>
        <w:jc w:val="left"/>
        <w:rPr>
          <w:b/>
          <w:sz w:val="24"/>
        </w:rPr>
      </w:pPr>
      <w:r>
        <w:rPr>
          <w:b/>
          <w:sz w:val="24"/>
        </w:rPr>
        <w:t>Oficio B. Solicitud de apoyo al Centro de Investigación y Estudios Avanzados en Odontología, UAEM.</w:t>
      </w:r>
    </w:p>
    <w:p>
      <w:pPr>
        <w:pStyle w:val="BodyText"/>
        <w:spacing w:before="10"/>
        <w:rPr>
          <w:b/>
          <w:sz w:val="15"/>
        </w:rPr>
      </w:pPr>
      <w:r>
        <w:rPr/>
        <w:drawing>
          <wp:anchor distT="0" distB="0" distL="0" distR="0" allowOverlap="1" layoutInCell="1" locked="0" behindDoc="0" simplePos="0" relativeHeight="2656">
            <wp:simplePos x="0" y="0"/>
            <wp:positionH relativeFrom="page">
              <wp:posOffset>900430</wp:posOffset>
            </wp:positionH>
            <wp:positionV relativeFrom="paragraph">
              <wp:posOffset>141239</wp:posOffset>
            </wp:positionV>
            <wp:extent cx="5348063" cy="7360920"/>
            <wp:effectExtent l="0" t="0" r="0" b="0"/>
            <wp:wrapTopAndBottom/>
            <wp:docPr id="57" name="image52.jpeg" descr=""/>
            <wp:cNvGraphicFramePr>
              <a:graphicFrameLocks noChangeAspect="1"/>
            </wp:cNvGraphicFramePr>
            <a:graphic>
              <a:graphicData uri="http://schemas.openxmlformats.org/drawingml/2006/picture">
                <pic:pic>
                  <pic:nvPicPr>
                    <pic:cNvPr id="58" name="image52.jpeg"/>
                    <pic:cNvPicPr/>
                  </pic:nvPicPr>
                  <pic:blipFill>
                    <a:blip r:embed="rId101" cstate="print"/>
                    <a:stretch>
                      <a:fillRect/>
                    </a:stretch>
                  </pic:blipFill>
                  <pic:spPr>
                    <a:xfrm>
                      <a:off x="0" y="0"/>
                      <a:ext cx="5348063" cy="7360920"/>
                    </a:xfrm>
                    <a:prstGeom prst="rect">
                      <a:avLst/>
                    </a:prstGeom>
                  </pic:spPr>
                </pic:pic>
              </a:graphicData>
            </a:graphic>
          </wp:anchor>
        </w:drawing>
      </w:r>
    </w:p>
    <w:p>
      <w:pPr>
        <w:spacing w:after="0"/>
        <w:rPr>
          <w:sz w:val="15"/>
        </w:rPr>
        <w:sectPr>
          <w:pgSz w:w="12240" w:h="15840"/>
          <w:pgMar w:header="726" w:footer="1031" w:top="1340" w:bottom="1220" w:left="1220" w:right="1420"/>
        </w:sectPr>
      </w:pPr>
    </w:p>
    <w:p>
      <w:pPr>
        <w:pStyle w:val="BodyText"/>
        <w:spacing w:before="4"/>
        <w:rPr>
          <w:b/>
          <w:sz w:val="22"/>
        </w:rPr>
      </w:pPr>
    </w:p>
    <w:p>
      <w:pPr>
        <w:spacing w:before="70"/>
        <w:ind w:left="196" w:right="0" w:firstLine="0"/>
        <w:jc w:val="left"/>
        <w:rPr>
          <w:b/>
          <w:sz w:val="24"/>
        </w:rPr>
      </w:pPr>
      <w:r>
        <w:rPr>
          <w:b/>
          <w:sz w:val="24"/>
        </w:rPr>
        <w:t>Oficio C. Solicitud de apoyo a la Facultad de Odontología, UAEM.</w:t>
      </w:r>
    </w:p>
    <w:p>
      <w:pPr>
        <w:pStyle w:val="BodyText"/>
        <w:rPr>
          <w:b/>
          <w:sz w:val="20"/>
        </w:rPr>
      </w:pPr>
    </w:p>
    <w:p>
      <w:pPr>
        <w:pStyle w:val="BodyText"/>
        <w:rPr>
          <w:b/>
          <w:sz w:val="20"/>
        </w:rPr>
      </w:pPr>
    </w:p>
    <w:p>
      <w:pPr>
        <w:pStyle w:val="BodyText"/>
        <w:spacing w:before="10"/>
        <w:rPr>
          <w:b/>
          <w:sz w:val="23"/>
        </w:rPr>
      </w:pPr>
      <w:r>
        <w:rPr/>
        <w:drawing>
          <wp:anchor distT="0" distB="0" distL="0" distR="0" allowOverlap="1" layoutInCell="1" locked="0" behindDoc="0" simplePos="0" relativeHeight="2680">
            <wp:simplePos x="0" y="0"/>
            <wp:positionH relativeFrom="page">
              <wp:posOffset>900430</wp:posOffset>
            </wp:positionH>
            <wp:positionV relativeFrom="paragraph">
              <wp:posOffset>199631</wp:posOffset>
            </wp:positionV>
            <wp:extent cx="5464465" cy="7223759"/>
            <wp:effectExtent l="0" t="0" r="0" b="0"/>
            <wp:wrapTopAndBottom/>
            <wp:docPr id="59" name="image53.jpeg" descr=""/>
            <wp:cNvGraphicFramePr>
              <a:graphicFrameLocks noChangeAspect="1"/>
            </wp:cNvGraphicFramePr>
            <a:graphic>
              <a:graphicData uri="http://schemas.openxmlformats.org/drawingml/2006/picture">
                <pic:pic>
                  <pic:nvPicPr>
                    <pic:cNvPr id="60" name="image53.jpeg"/>
                    <pic:cNvPicPr/>
                  </pic:nvPicPr>
                  <pic:blipFill>
                    <a:blip r:embed="rId102" cstate="print"/>
                    <a:stretch>
                      <a:fillRect/>
                    </a:stretch>
                  </pic:blipFill>
                  <pic:spPr>
                    <a:xfrm>
                      <a:off x="0" y="0"/>
                      <a:ext cx="5464465" cy="7223759"/>
                    </a:xfrm>
                    <a:prstGeom prst="rect">
                      <a:avLst/>
                    </a:prstGeom>
                  </pic:spPr>
                </pic:pic>
              </a:graphicData>
            </a:graphic>
          </wp:anchor>
        </w:drawing>
      </w:r>
    </w:p>
    <w:p>
      <w:pPr>
        <w:spacing w:after="0"/>
        <w:rPr>
          <w:sz w:val="23"/>
        </w:rPr>
        <w:sectPr>
          <w:pgSz w:w="12240" w:h="15840"/>
          <w:pgMar w:header="726" w:footer="1031" w:top="1340" w:bottom="1220" w:left="1220" w:right="1420"/>
        </w:sectPr>
      </w:pPr>
    </w:p>
    <w:p>
      <w:pPr>
        <w:pStyle w:val="BodyText"/>
        <w:spacing w:before="4"/>
        <w:rPr>
          <w:b/>
          <w:sz w:val="22"/>
        </w:rPr>
      </w:pPr>
    </w:p>
    <w:p>
      <w:pPr>
        <w:pStyle w:val="Heading2"/>
        <w:jc w:val="left"/>
      </w:pPr>
      <w:bookmarkStart w:name="_TOC_250002" w:id="64"/>
      <w:bookmarkEnd w:id="64"/>
      <w:r>
        <w:rPr/>
        <w:t>Constancias de participación en eventos académicos</w:t>
      </w:r>
    </w:p>
    <w:p>
      <w:pPr>
        <w:pStyle w:val="BodyText"/>
        <w:spacing w:before="9"/>
        <w:rPr>
          <w:b/>
          <w:sz w:val="18"/>
        </w:rPr>
      </w:pPr>
      <w:r>
        <w:rPr/>
        <w:pict>
          <v:group style="position:absolute;margin-left:66.720001pt;margin-top:12.797053pt;width:468.5pt;height:626.65pt;mso-position-horizontal-relative:page;mso-position-vertical-relative:paragraph;z-index:2704;mso-wrap-distance-left:0;mso-wrap-distance-right:0" coordorigin="1334,256" coordsize="9370,12533">
            <v:line style="position:absolute" from="1388,12746" to="10569,12746" stroked="true" strokeweight=".48004pt" strokecolor="#4f81bc"/>
            <v:shape style="position:absolute;left:1334;top:12587;width:9370;height:202" type="#_x0000_t75" stroked="false">
              <v:imagedata r:id="rId60" o:title=""/>
            </v:shape>
            <v:line style="position:absolute" from="1379,12730" to="10577,12730" stroked="true" strokeweight="1.5pt" strokecolor="#585858"/>
            <v:shape style="position:absolute;left:1618;top:256;width:8698;height:6336" type="#_x0000_t75" stroked="false">
              <v:imagedata r:id="rId104" o:title=""/>
            </v:shape>
            <v:shape style="position:absolute;left:1929;top:527;width:7766;height:5442" type="#_x0000_t75" stroked="false">
              <v:imagedata r:id="rId105" o:title=""/>
            </v:shape>
            <v:shape style="position:absolute;left:1642;top:6362;width:8698;height:6379" type="#_x0000_t75" stroked="false">
              <v:imagedata r:id="rId106" o:title=""/>
            </v:shape>
            <v:shape style="position:absolute;left:1952;top:6674;width:7766;height:5446" type="#_x0000_t75" stroked="false">
              <v:imagedata r:id="rId107" o:title=""/>
            </v:shape>
            <w10:wrap type="topAndBottom"/>
          </v:group>
        </w:pict>
      </w:r>
    </w:p>
    <w:p>
      <w:pPr>
        <w:spacing w:after="0"/>
        <w:rPr>
          <w:sz w:val="18"/>
        </w:rPr>
        <w:sectPr>
          <w:footerReference w:type="default" r:id="rId103"/>
          <w:pgSz w:w="12240" w:h="15840"/>
          <w:pgMar w:footer="830" w:header="726" w:top="1340" w:bottom="1020" w:left="1220" w:right="1420"/>
        </w:sectPr>
      </w:pPr>
    </w:p>
    <w:p>
      <w:pPr>
        <w:pStyle w:val="BodyText"/>
        <w:rPr>
          <w:b/>
          <w:sz w:val="20"/>
        </w:rPr>
      </w:pPr>
      <w:r>
        <w:rPr/>
        <w:pict>
          <v:group style="position:absolute;margin-left:66.720001pt;margin-top:57.84pt;width:468.5pt;height:690.5pt;mso-position-horizontal-relative:page;mso-position-vertical-relative:page;z-index:-174352" coordorigin="1334,1157" coordsize="9370,13810">
            <v:line style="position:absolute" from="1388,14707" to="10569,14707" stroked="true" strokeweight=".48004pt" strokecolor="#4f81bc"/>
            <v:shape style="position:absolute;left:1334;top:14549;width:9370;height:202" type="#_x0000_t75" stroked="false">
              <v:imagedata r:id="rId60" o:title=""/>
            </v:shape>
            <v:line style="position:absolute" from="1379,14691" to="10577,14691" stroked="true" strokeweight="1.5pt" strokecolor="#585858"/>
            <v:shape style="position:absolute;left:1358;top:1157;width:9245;height:202" type="#_x0000_t75" stroked="false">
              <v:imagedata r:id="rId110" o:title=""/>
            </v:shape>
            <v:line style="position:absolute" from="1403,1215" to="10473,1215" stroked="true" strokeweight="1.5pt" strokecolor="#585858"/>
            <v:shape style="position:absolute;left:1738;top:1339;width:8698;height:6336" type="#_x0000_t75" stroked="false">
              <v:imagedata r:id="rId111" o:title=""/>
            </v:shape>
            <v:shape style="position:absolute;left:2046;top:1649;width:7766;height:5405" type="#_x0000_t75" stroked="false">
              <v:imagedata r:id="rId112" o:title=""/>
            </v:shape>
            <v:shape style="position:absolute;left:3456;top:7291;width:5659;height:7675" type="#_x0000_t75" stroked="false">
              <v:imagedata r:id="rId113" o:title=""/>
            </v:shape>
            <v:shape style="position:absolute;left:3764;top:7599;width:4732;height:6748" type="#_x0000_t75" stroked="false">
              <v:imagedata r:id="rId114" o:title=""/>
            </v:shape>
            <w10:wrap type="none"/>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9"/>
        </w:rPr>
      </w:pPr>
    </w:p>
    <w:p>
      <w:pPr>
        <w:tabs>
          <w:tab w:pos="8350" w:val="left" w:leader="none"/>
        </w:tabs>
        <w:spacing w:before="52"/>
        <w:ind w:left="196" w:right="0" w:firstLine="0"/>
        <w:jc w:val="left"/>
        <w:rPr>
          <w:rFonts w:ascii="Calibri" w:hAnsi="Calibri"/>
          <w:sz w:val="24"/>
        </w:rPr>
      </w:pPr>
      <w:r>
        <w:rPr>
          <w:rFonts w:ascii="Calibri" w:hAnsi="Calibri"/>
          <w:color w:val="7E7E7E"/>
          <w:sz w:val="20"/>
        </w:rPr>
        <w:t>Guadarrama Santín</w:t>
      </w:r>
      <w:r>
        <w:rPr>
          <w:rFonts w:ascii="Calibri" w:hAnsi="Calibri"/>
          <w:color w:val="7E7E7E"/>
          <w:spacing w:val="-4"/>
          <w:sz w:val="20"/>
        </w:rPr>
        <w:t> </w:t>
      </w:r>
      <w:r>
        <w:rPr>
          <w:rFonts w:ascii="Calibri" w:hAnsi="Calibri"/>
          <w:color w:val="7E7E7E"/>
          <w:sz w:val="20"/>
        </w:rPr>
        <w:t>Gema</w:t>
      </w:r>
      <w:r>
        <w:rPr>
          <w:rFonts w:ascii="Calibri" w:hAnsi="Calibri"/>
          <w:color w:val="7E7E7E"/>
          <w:spacing w:val="-4"/>
          <w:sz w:val="20"/>
        </w:rPr>
        <w:t> </w:t>
      </w:r>
      <w:r>
        <w:rPr>
          <w:rFonts w:ascii="Calibri" w:hAnsi="Calibri"/>
          <w:color w:val="7E7E7E"/>
          <w:sz w:val="20"/>
        </w:rPr>
        <w:t>Regina</w:t>
        <w:tab/>
        <w:t>Página</w:t>
      </w:r>
      <w:r>
        <w:rPr>
          <w:rFonts w:ascii="Calibri" w:hAnsi="Calibri"/>
          <w:color w:val="7E7E7E"/>
          <w:spacing w:val="-4"/>
          <w:sz w:val="20"/>
        </w:rPr>
        <w:t> </w:t>
      </w:r>
      <w:r>
        <w:rPr>
          <w:rFonts w:ascii="Calibri" w:hAnsi="Calibri"/>
          <w:color w:val="7E7E7E"/>
          <w:spacing w:val="-2"/>
          <w:sz w:val="24"/>
        </w:rPr>
        <w:t>138</w:t>
      </w:r>
    </w:p>
    <w:p>
      <w:pPr>
        <w:spacing w:after="0"/>
        <w:jc w:val="left"/>
        <w:rPr>
          <w:rFonts w:ascii="Calibri" w:hAnsi="Calibri"/>
          <w:sz w:val="24"/>
        </w:rPr>
        <w:sectPr>
          <w:headerReference w:type="default" r:id="rId108"/>
          <w:footerReference w:type="default" r:id="rId109"/>
          <w:pgSz w:w="12240" w:h="15840"/>
          <w:pgMar w:header="726" w:footer="0" w:top="1100" w:bottom="280" w:left="1220" w:right="1420"/>
        </w:sectPr>
      </w:pPr>
    </w:p>
    <w:p>
      <w:pPr>
        <w:pStyle w:val="BodyText"/>
        <w:spacing w:before="1"/>
        <w:rPr>
          <w:rFonts w:ascii="Times New Roman"/>
          <w:sz w:val="22"/>
        </w:rPr>
      </w:pPr>
    </w:p>
    <w:p>
      <w:pPr>
        <w:pStyle w:val="BodyText"/>
        <w:ind w:left="445"/>
        <w:rPr>
          <w:rFonts w:ascii="Times New Roman"/>
          <w:sz w:val="20"/>
        </w:rPr>
      </w:pPr>
      <w:r>
        <w:rPr>
          <w:rFonts w:ascii="Times New Roman"/>
          <w:sz w:val="20"/>
        </w:rPr>
        <w:pict>
          <v:group style="width:442.8pt;height:642.5pt;mso-position-horizontal-relative:char;mso-position-vertical-relative:line" coordorigin="0,0" coordsize="8856,12850">
            <v:shape style="position:absolute;left:0;top:0;width:8765;height:6398" type="#_x0000_t75" stroked="false">
              <v:imagedata r:id="rId117" o:title=""/>
            </v:shape>
            <v:shape style="position:absolute;left:311;top:308;width:7833;height:5471" type="#_x0000_t75" stroked="false">
              <v:imagedata r:id="rId118" o:title=""/>
            </v:shape>
            <v:shape style="position:absolute;left:110;top:6418;width:8746;height:6432" type="#_x0000_t75" stroked="false">
              <v:imagedata r:id="rId119" o:title=""/>
            </v:shape>
            <v:shape style="position:absolute;left:419;top:6729;width:7817;height:5498" type="#_x0000_t75" stroked="false">
              <v:imagedata r:id="rId120" o:title=""/>
            </v:shape>
          </v:group>
        </w:pict>
      </w:r>
      <w:r>
        <w:rPr>
          <w:rFonts w:ascii="Times New Roman"/>
          <w:sz w:val="20"/>
        </w:rPr>
      </w:r>
    </w:p>
    <w:p>
      <w:pPr>
        <w:pStyle w:val="BodyText"/>
        <w:spacing w:before="7"/>
        <w:rPr>
          <w:rFonts w:ascii="Times New Roman"/>
          <w:sz w:val="6"/>
        </w:rPr>
      </w:pPr>
    </w:p>
    <w:p>
      <w:pPr>
        <w:pStyle w:val="BodyText"/>
        <w:spacing w:line="201" w:lineRule="exact"/>
        <w:ind w:left="114"/>
        <w:rPr>
          <w:rFonts w:ascii="Times New Roman"/>
          <w:sz w:val="20"/>
        </w:rPr>
      </w:pPr>
      <w:r>
        <w:rPr>
          <w:rFonts w:ascii="Times New Roman"/>
          <w:position w:val="-3"/>
          <w:sz w:val="20"/>
        </w:rPr>
        <w:pict>
          <v:group style="width:468.5pt;height:10.1pt;mso-position-horizontal-relative:char;mso-position-vertical-relative:line" coordorigin="0,0" coordsize="9370,202">
            <v:line style="position:absolute" from="53,158" to="9235,158" stroked="true" strokeweight=".48004pt" strokecolor="#4f81bc"/>
            <v:shape style="position:absolute;left:0;top:0;width:9370;height:202" type="#_x0000_t75" stroked="false">
              <v:imagedata r:id="rId60" o:title=""/>
            </v:shape>
            <v:line style="position:absolute" from="45,142" to="9243,142" stroked="true" strokeweight="1.5pt" strokecolor="#585858"/>
          </v:group>
        </w:pict>
      </w:r>
      <w:r>
        <w:rPr>
          <w:rFonts w:ascii="Times New Roman"/>
          <w:position w:val="-3"/>
          <w:sz w:val="20"/>
        </w:rPr>
      </w:r>
    </w:p>
    <w:p>
      <w:pPr>
        <w:spacing w:after="0" w:line="201" w:lineRule="exact"/>
        <w:rPr>
          <w:rFonts w:ascii="Times New Roman"/>
          <w:sz w:val="20"/>
        </w:rPr>
        <w:sectPr>
          <w:headerReference w:type="default" r:id="rId115"/>
          <w:footerReference w:type="default" r:id="rId116"/>
          <w:pgSz w:w="12240" w:h="15840"/>
          <w:pgMar w:header="726" w:footer="830" w:top="1340" w:bottom="1020" w:left="1220" w:right="1420"/>
          <w:pgNumType w:start="13"/>
        </w:sectPr>
      </w:pPr>
    </w:p>
    <w:p>
      <w:pPr>
        <w:pStyle w:val="BodyText"/>
        <w:spacing w:before="4"/>
        <w:rPr>
          <w:rFonts w:ascii="Times New Roman"/>
          <w:sz w:val="22"/>
        </w:rPr>
      </w:pPr>
    </w:p>
    <w:p>
      <w:pPr>
        <w:pStyle w:val="Heading2"/>
        <w:ind w:left="356"/>
        <w:jc w:val="left"/>
      </w:pPr>
      <w:bookmarkStart w:name="_TOC_250001" w:id="65"/>
      <w:bookmarkEnd w:id="65"/>
      <w:r>
        <w:rPr/>
        <w:t>Cartel presentado en eventos académicos</w:t>
      </w:r>
    </w:p>
    <w:p>
      <w:pPr>
        <w:pStyle w:val="BodyText"/>
        <w:spacing w:before="9"/>
        <w:rPr>
          <w:b/>
          <w:sz w:val="13"/>
        </w:rPr>
      </w:pPr>
      <w:r>
        <w:rPr/>
        <w:pict>
          <v:group style="position:absolute;margin-left:58.560001pt;margin-top:9.917053pt;width:476.65pt;height:629.550pt;mso-position-horizontal-relative:page;mso-position-vertical-relative:paragraph;z-index:2800;mso-wrap-distance-left:0;mso-wrap-distance-right:0" coordorigin="1171,198" coordsize="9533,12591">
            <v:line style="position:absolute" from="1388,12746" to="10569,12746" stroked="true" strokeweight=".48004pt" strokecolor="#4f81bc"/>
            <v:shape style="position:absolute;left:1334;top:12587;width:9370;height:202" type="#_x0000_t75" stroked="false">
              <v:imagedata r:id="rId60" o:title=""/>
            </v:shape>
            <v:line style="position:absolute" from="1379,12730" to="10577,12730" stroked="true" strokeweight="1.5pt" strokecolor="#585858"/>
            <v:shape style="position:absolute;left:1171;top:198;width:9509;height:12480" type="#_x0000_t75" stroked="false">
              <v:imagedata r:id="rId121" o:title=""/>
            </v:shape>
            <v:shape style="position:absolute;left:1482;top:510;width:8575;height:11546" type="#_x0000_t75" stroked="false">
              <v:imagedata r:id="rId122" o:title=""/>
            </v:shape>
            <w10:wrap type="topAndBottom"/>
          </v:group>
        </w:pict>
      </w:r>
    </w:p>
    <w:p>
      <w:pPr>
        <w:spacing w:after="0"/>
        <w:rPr>
          <w:sz w:val="13"/>
        </w:rPr>
        <w:sectPr>
          <w:pgSz w:w="12240" w:h="15840"/>
          <w:pgMar w:header="726" w:footer="830" w:top="1340" w:bottom="1020" w:left="1060" w:right="1420"/>
        </w:sectPr>
      </w:pPr>
    </w:p>
    <w:p>
      <w:pPr>
        <w:pStyle w:val="BodyText"/>
        <w:spacing w:before="4"/>
        <w:rPr>
          <w:b/>
          <w:sz w:val="22"/>
        </w:rPr>
      </w:pPr>
    </w:p>
    <w:p>
      <w:pPr>
        <w:pStyle w:val="Heading2"/>
        <w:jc w:val="left"/>
      </w:pPr>
      <w:bookmarkStart w:name="_TOC_250000" w:id="66"/>
      <w:bookmarkEnd w:id="66"/>
      <w:r>
        <w:rPr/>
        <w:t>Sugerencias</w:t>
      </w:r>
    </w:p>
    <w:p>
      <w:pPr>
        <w:pStyle w:val="BodyText"/>
        <w:spacing w:before="6"/>
        <w:rPr>
          <w:b/>
          <w:sz w:val="21"/>
        </w:rPr>
      </w:pPr>
    </w:p>
    <w:p>
      <w:pPr>
        <w:pStyle w:val="BodyText"/>
        <w:ind w:left="196"/>
      </w:pPr>
      <w:r>
        <w:rPr/>
        <w:t>Algunas sugerencias para futuras investigaciones son:</w:t>
      </w:r>
    </w:p>
    <w:p>
      <w:pPr>
        <w:pStyle w:val="BodyText"/>
        <w:rPr>
          <w:sz w:val="21"/>
        </w:rPr>
      </w:pPr>
    </w:p>
    <w:p>
      <w:pPr>
        <w:pStyle w:val="ListParagraph"/>
        <w:numPr>
          <w:ilvl w:val="0"/>
          <w:numId w:val="44"/>
        </w:numPr>
        <w:tabs>
          <w:tab w:pos="916" w:val="left" w:leader="none"/>
          <w:tab w:pos="917" w:val="left" w:leader="none"/>
        </w:tabs>
        <w:spacing w:line="240" w:lineRule="auto" w:before="1" w:after="0"/>
        <w:ind w:left="917" w:right="0" w:hanging="361"/>
        <w:jc w:val="left"/>
        <w:rPr>
          <w:sz w:val="24"/>
        </w:rPr>
      </w:pPr>
      <w:r>
        <w:rPr>
          <w:sz w:val="24"/>
        </w:rPr>
        <w:t>Considerar a la dentición</w:t>
      </w:r>
      <w:r>
        <w:rPr>
          <w:spacing w:val="-9"/>
          <w:sz w:val="24"/>
        </w:rPr>
        <w:t> </w:t>
      </w:r>
      <w:r>
        <w:rPr>
          <w:sz w:val="24"/>
        </w:rPr>
        <w:t>temporal.</w:t>
      </w:r>
    </w:p>
    <w:p>
      <w:pPr>
        <w:pStyle w:val="BodyText"/>
        <w:rPr>
          <w:sz w:val="21"/>
        </w:rPr>
      </w:pPr>
    </w:p>
    <w:p>
      <w:pPr>
        <w:pStyle w:val="ListParagraph"/>
        <w:numPr>
          <w:ilvl w:val="0"/>
          <w:numId w:val="44"/>
        </w:numPr>
        <w:tabs>
          <w:tab w:pos="916" w:val="left" w:leader="none"/>
          <w:tab w:pos="917" w:val="left" w:leader="none"/>
        </w:tabs>
        <w:spacing w:line="240" w:lineRule="auto" w:before="1" w:after="0"/>
        <w:ind w:left="917" w:right="0" w:hanging="361"/>
        <w:jc w:val="left"/>
        <w:rPr>
          <w:sz w:val="24"/>
        </w:rPr>
      </w:pPr>
      <w:r>
        <w:rPr>
          <w:sz w:val="24"/>
        </w:rPr>
        <w:t>Establecer grupos por edad y</w:t>
      </w:r>
      <w:r>
        <w:rPr>
          <w:spacing w:val="-15"/>
          <w:sz w:val="24"/>
        </w:rPr>
        <w:t> </w:t>
      </w:r>
      <w:r>
        <w:rPr>
          <w:sz w:val="24"/>
        </w:rPr>
        <w:t>sexo.</w:t>
      </w:r>
    </w:p>
    <w:p>
      <w:pPr>
        <w:pStyle w:val="BodyText"/>
        <w:spacing w:before="1"/>
        <w:rPr>
          <w:sz w:val="21"/>
        </w:rPr>
      </w:pPr>
    </w:p>
    <w:p>
      <w:pPr>
        <w:pStyle w:val="ListParagraph"/>
        <w:numPr>
          <w:ilvl w:val="0"/>
          <w:numId w:val="44"/>
        </w:numPr>
        <w:tabs>
          <w:tab w:pos="916" w:val="left" w:leader="none"/>
          <w:tab w:pos="917" w:val="left" w:leader="none"/>
        </w:tabs>
        <w:spacing w:line="240" w:lineRule="auto" w:before="0" w:after="0"/>
        <w:ind w:left="917" w:right="0" w:hanging="361"/>
        <w:jc w:val="left"/>
        <w:rPr>
          <w:sz w:val="24"/>
        </w:rPr>
      </w:pPr>
      <w:r>
        <w:rPr>
          <w:sz w:val="24"/>
        </w:rPr>
        <w:t>Realizar una cuantificación protéica de</w:t>
      </w:r>
      <w:r>
        <w:rPr>
          <w:spacing w:val="-18"/>
          <w:sz w:val="24"/>
        </w:rPr>
        <w:t> </w:t>
      </w:r>
      <w:r>
        <w:rPr>
          <w:sz w:val="24"/>
        </w:rPr>
        <w:t>inmunoglobulinas.</w:t>
      </w:r>
    </w:p>
    <w:p>
      <w:pPr>
        <w:pStyle w:val="BodyText"/>
        <w:spacing w:before="7"/>
        <w:rPr>
          <w:sz w:val="20"/>
        </w:rPr>
      </w:pPr>
    </w:p>
    <w:p>
      <w:pPr>
        <w:pStyle w:val="ListParagraph"/>
        <w:numPr>
          <w:ilvl w:val="0"/>
          <w:numId w:val="44"/>
        </w:numPr>
        <w:tabs>
          <w:tab w:pos="916" w:val="left" w:leader="none"/>
          <w:tab w:pos="917" w:val="left" w:leader="none"/>
        </w:tabs>
        <w:spacing w:line="240" w:lineRule="auto" w:before="0" w:after="0"/>
        <w:ind w:left="917" w:right="0" w:hanging="361"/>
        <w:jc w:val="left"/>
        <w:rPr>
          <w:sz w:val="24"/>
        </w:rPr>
      </w:pPr>
      <w:r>
        <w:rPr>
          <w:sz w:val="24"/>
        </w:rPr>
        <w:t>Elaborar un diagnóstico</w:t>
      </w:r>
      <w:r>
        <w:rPr>
          <w:spacing w:val="-17"/>
          <w:sz w:val="24"/>
        </w:rPr>
        <w:t> </w:t>
      </w:r>
      <w:r>
        <w:rPr>
          <w:sz w:val="24"/>
        </w:rPr>
        <w:t>periodontal.</w:t>
      </w:r>
    </w:p>
    <w:p>
      <w:pPr>
        <w:pStyle w:val="BodyText"/>
        <w:rPr>
          <w:sz w:val="21"/>
        </w:rPr>
      </w:pPr>
    </w:p>
    <w:p>
      <w:pPr>
        <w:pStyle w:val="ListParagraph"/>
        <w:numPr>
          <w:ilvl w:val="0"/>
          <w:numId w:val="44"/>
        </w:numPr>
        <w:tabs>
          <w:tab w:pos="916" w:val="left" w:leader="none"/>
          <w:tab w:pos="917" w:val="left" w:leader="none"/>
        </w:tabs>
        <w:spacing w:line="240" w:lineRule="auto" w:before="1" w:after="0"/>
        <w:ind w:left="917" w:right="0" w:hanging="361"/>
        <w:jc w:val="left"/>
        <w:rPr>
          <w:sz w:val="24"/>
        </w:rPr>
      </w:pPr>
      <w:r>
        <w:rPr>
          <w:sz w:val="24"/>
        </w:rPr>
        <w:t>Realizar la identificación y conteo de algunas células </w:t>
      </w:r>
      <w:r>
        <w:rPr>
          <w:spacing w:val="-4"/>
          <w:sz w:val="24"/>
        </w:rPr>
        <w:t>como </w:t>
      </w:r>
      <w:r>
        <w:rPr>
          <w:sz w:val="24"/>
        </w:rPr>
        <w:t>neutrófilos</w:t>
      </w:r>
      <w:r>
        <w:rPr>
          <w:spacing w:val="-18"/>
          <w:sz w:val="24"/>
        </w:rPr>
        <w:t> </w:t>
      </w:r>
      <w:r>
        <w:rPr>
          <w:sz w:val="24"/>
        </w:rPr>
        <w:t>PMN.</w:t>
      </w:r>
    </w:p>
    <w:p>
      <w:pPr>
        <w:pStyle w:val="BodyText"/>
        <w:spacing w:before="1"/>
        <w:rPr>
          <w:sz w:val="21"/>
        </w:rPr>
      </w:pPr>
    </w:p>
    <w:p>
      <w:pPr>
        <w:pStyle w:val="ListParagraph"/>
        <w:numPr>
          <w:ilvl w:val="0"/>
          <w:numId w:val="44"/>
        </w:numPr>
        <w:tabs>
          <w:tab w:pos="916" w:val="left" w:leader="none"/>
          <w:tab w:pos="917" w:val="left" w:leader="none"/>
        </w:tabs>
        <w:spacing w:line="240" w:lineRule="auto" w:before="0" w:after="0"/>
        <w:ind w:left="917" w:right="0" w:hanging="361"/>
        <w:jc w:val="left"/>
        <w:rPr>
          <w:sz w:val="24"/>
        </w:rPr>
      </w:pPr>
      <w:r>
        <w:rPr>
          <w:sz w:val="24"/>
        </w:rPr>
        <w:t>Considerar hábitos de tabaquismo y consumo de</w:t>
      </w:r>
      <w:r>
        <w:rPr>
          <w:spacing w:val="-13"/>
          <w:sz w:val="24"/>
        </w:rPr>
        <w:t> </w:t>
      </w:r>
      <w:r>
        <w:rPr>
          <w:sz w:val="24"/>
        </w:rPr>
        <w:t>alcohol.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5"/>
        </w:rPr>
      </w:pPr>
      <w:r>
        <w:rPr/>
        <w:pict>
          <v:group style="position:absolute;margin-left:66.720001pt;margin-top:10.874143pt;width:468.5pt;height:10.1pt;mso-position-horizontal-relative:page;mso-position-vertical-relative:paragraph;z-index:2824;mso-wrap-distance-left:0;mso-wrap-distance-right:0" coordorigin="1334,217" coordsize="9370,202">
            <v:line style="position:absolute" from="1388,376" to="10569,376" stroked="true" strokeweight=".48004pt" strokecolor="#4f81bc"/>
            <v:shape style="position:absolute;left:1334;top:217;width:9370;height:202" type="#_x0000_t75" stroked="false">
              <v:imagedata r:id="rId60" o:title=""/>
            </v:shape>
            <v:line style="position:absolute" from="1379,360" to="10577,360" stroked="true" strokeweight="1.5pt" strokecolor="#585858"/>
            <w10:wrap type="topAndBottom"/>
          </v:group>
        </w:pict>
      </w:r>
    </w:p>
    <w:sectPr>
      <w:footerReference w:type="default" r:id="rId123"/>
      <w:pgSz w:w="12240" w:h="15840"/>
      <w:pgMar w:footer="830" w:header="726" w:top="1340" w:bottom="1020" w:left="122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 w:name="Cambria Math">
    <w:altName w:val="Cambria Math"/>
    <w:charset w:val="0"/>
    <w:family w:val="roman"/>
    <w:pitch w:val="variable"/>
  </w:font>
  <w:font w:name="Courier New">
    <w:altName w:val="Courier New"/>
    <w:charset w:val="0"/>
    <w:family w:val="modern"/>
    <w:pitch w:val="fixed"/>
  </w:font>
  <w:font w:name="Trebuchet MS">
    <w:altName w:val="Trebuchet MS"/>
    <w:charset w:val="0"/>
    <w:family w:val="swiss"/>
    <w:pitch w:val="variable"/>
  </w:font>
  <w:font w:name="LilyUPC">
    <w:altName w:val="LilyUPC"/>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4.559998pt;margin-top:725.280029pt;width:468.5pt;height:10.1pt;mso-position-horizontal-relative:page;mso-position-vertical-relative:page;z-index:-176008" coordorigin="1291,14506" coordsize="9370,202">
          <v:shape style="position:absolute;left:1291;top:14506;width:9370;height:202" type="#_x0000_t75" stroked="false">
            <v:imagedata r:id="rId1" o:title=""/>
          </v:shape>
          <v:line style="position:absolute" from="1336,14649" to="10534,14649" stroked="true" strokeweight="1.5pt" strokecolor="#585858"/>
          <w10:wrap type="none"/>
        </v:group>
      </w:pict>
    </w:r>
    <w:r>
      <w:rPr/>
      <w:pict>
        <v:shape style="position:absolute;margin-left:69.823997pt;margin-top:738.080017pt;width:150.550pt;height:13.05pt;mso-position-horizontal-relative:page;mso-position-vertical-relative:page;z-index:-175984"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7E7E7E"/>
                    <w:sz w:val="22"/>
                  </w:rPr>
                  <w:t>Guadarrama Santín Gema Regina</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432"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4pt;height:14pt;mso-position-horizontal-relative:page;mso-position-vertical-relative:page;z-index:-175408"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39</w:t>
                </w:r>
                <w:r>
                  <w:rPr/>
                  <w:fldChar w:fldCharType="end"/>
                </w:r>
              </w:p>
            </w:txbxContent>
          </v:textbox>
          <w10:wrap type="none"/>
        </v:shape>
      </w:pict>
    </w:r>
    <w:r>
      <w:rPr/>
      <w:pict>
        <v:shape style="position:absolute;margin-left:69.823997pt;margin-top:739.280029pt;width:136.8pt;height:12.1pt;mso-position-horizontal-relative:page;mso-position-vertical-relative:page;z-index:-175384"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360"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3pt;height:14pt;mso-position-horizontal-relative:page;mso-position-vertical-relative:page;z-index:-175336"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40</w:t>
                </w:r>
                <w:r>
                  <w:rPr/>
                  <w:fldChar w:fldCharType="end"/>
                </w:r>
              </w:p>
            </w:txbxContent>
          </v:textbox>
          <w10:wrap type="none"/>
        </v:shape>
      </w:pict>
    </w:r>
    <w:r>
      <w:rPr/>
      <w:pict>
        <v:shape style="position:absolute;margin-left:69.823997pt;margin-top:739.280029pt;width:136.8pt;height:12.1pt;mso-position-horizontal-relative:page;mso-position-vertical-relative:page;z-index:-175312"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288"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3.3pt;height:14pt;mso-position-horizontal-relative:page;mso-position-vertical-relative:page;z-index:-175264" type="#_x0000_t202" filled="false" stroked="false">
          <v:textbox inset="0,0,0,0">
            <w:txbxContent>
              <w:p>
                <w:pPr>
                  <w:spacing w:line="264" w:lineRule="exact" w:before="0"/>
                  <w:ind w:left="20" w:right="-3" w:firstLine="0"/>
                  <w:jc w:val="left"/>
                  <w:rPr>
                    <w:rFonts w:ascii="Calibri" w:hAnsi="Calibri"/>
                    <w:sz w:val="24"/>
                  </w:rPr>
                </w:pPr>
                <w:r>
                  <w:rPr>
                    <w:rFonts w:ascii="Calibri" w:hAnsi="Calibri"/>
                    <w:color w:val="7E7E7E"/>
                    <w:sz w:val="20"/>
                  </w:rPr>
                  <w:t>Página </w:t>
                </w:r>
                <w:r>
                  <w:rPr>
                    <w:rFonts w:ascii="Calibri" w:hAnsi="Calibri"/>
                    <w:color w:val="7E7E7E"/>
                    <w:sz w:val="24"/>
                  </w:rPr>
                  <w:t>50</w:t>
                </w:r>
              </w:p>
            </w:txbxContent>
          </v:textbox>
          <w10:wrap type="none"/>
        </v:shape>
      </w:pict>
    </w:r>
    <w:r>
      <w:rPr/>
      <w:pict>
        <v:shape style="position:absolute;margin-left:69.823997pt;margin-top:739.280029pt;width:136.8pt;height:12.1pt;mso-position-horizontal-relative:page;mso-position-vertical-relative:page;z-index:-175240"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216"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3pt;height:14pt;mso-position-horizontal-relative:page;mso-position-vertical-relative:page;z-index:-175192"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51</w:t>
                </w:r>
                <w:r>
                  <w:rPr/>
                  <w:fldChar w:fldCharType="end"/>
                </w:r>
              </w:p>
            </w:txbxContent>
          </v:textbox>
          <w10:wrap type="none"/>
        </v:shape>
      </w:pict>
    </w:r>
    <w:r>
      <w:rPr/>
      <w:pict>
        <v:shape style="position:absolute;margin-left:69.823997pt;margin-top:739.280029pt;width:136.8pt;height:12.1pt;mso-position-horizontal-relative:page;mso-position-vertical-relative:page;z-index:-175168"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144"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3.3pt;height:14pt;mso-position-horizontal-relative:page;mso-position-vertical-relative:page;z-index:-175120" type="#_x0000_t202" filled="false" stroked="false">
          <v:textbox inset="0,0,0,0">
            <w:txbxContent>
              <w:p>
                <w:pPr>
                  <w:spacing w:line="264" w:lineRule="exact" w:before="0"/>
                  <w:ind w:left="20" w:right="-3" w:firstLine="0"/>
                  <w:jc w:val="left"/>
                  <w:rPr>
                    <w:rFonts w:ascii="Calibri" w:hAnsi="Calibri"/>
                    <w:sz w:val="24"/>
                  </w:rPr>
                </w:pPr>
                <w:r>
                  <w:rPr>
                    <w:rFonts w:ascii="Calibri" w:hAnsi="Calibri"/>
                    <w:color w:val="7E7E7E"/>
                    <w:sz w:val="20"/>
                  </w:rPr>
                  <w:t>Página </w:t>
                </w:r>
                <w:r>
                  <w:rPr>
                    <w:rFonts w:ascii="Calibri" w:hAnsi="Calibri"/>
                    <w:color w:val="7E7E7E"/>
                    <w:sz w:val="24"/>
                  </w:rPr>
                  <w:t>60</w:t>
                </w:r>
              </w:p>
            </w:txbxContent>
          </v:textbox>
          <w10:wrap type="none"/>
        </v:shape>
      </w:pict>
    </w:r>
    <w:r>
      <w:rPr/>
      <w:pict>
        <v:shape style="position:absolute;margin-left:69.823997pt;margin-top:739.280029pt;width:136.8pt;height:12.1pt;mso-position-horizontal-relative:page;mso-position-vertical-relative:page;z-index:-175096"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072"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3pt;height:14pt;mso-position-horizontal-relative:page;mso-position-vertical-relative:page;z-index:-175048"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61</w:t>
                </w:r>
                <w:r>
                  <w:rPr/>
                  <w:fldChar w:fldCharType="end"/>
                </w:r>
              </w:p>
            </w:txbxContent>
          </v:textbox>
          <w10:wrap type="none"/>
        </v:shape>
      </w:pict>
    </w:r>
    <w:r>
      <w:rPr/>
      <w:pict>
        <v:shape style="position:absolute;margin-left:69.823997pt;margin-top:739.280029pt;width:136.8pt;height:12.1pt;mso-position-horizontal-relative:page;mso-position-vertical-relative:page;z-index:-175024"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000"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3.3pt;height:14pt;mso-position-horizontal-relative:page;mso-position-vertical-relative:page;z-index:-174976" type="#_x0000_t202" filled="false" stroked="false">
          <v:textbox inset="0,0,0,0">
            <w:txbxContent>
              <w:p>
                <w:pPr>
                  <w:spacing w:line="264" w:lineRule="exact" w:before="0"/>
                  <w:ind w:left="20" w:right="-3" w:firstLine="0"/>
                  <w:jc w:val="left"/>
                  <w:rPr>
                    <w:rFonts w:ascii="Calibri" w:hAnsi="Calibri"/>
                    <w:sz w:val="24"/>
                  </w:rPr>
                </w:pPr>
                <w:r>
                  <w:rPr>
                    <w:rFonts w:ascii="Calibri" w:hAnsi="Calibri"/>
                    <w:color w:val="7E7E7E"/>
                    <w:sz w:val="20"/>
                  </w:rPr>
                  <w:t>Página </w:t>
                </w:r>
                <w:r>
                  <w:rPr>
                    <w:rFonts w:ascii="Calibri" w:hAnsi="Calibri"/>
                    <w:color w:val="7E7E7E"/>
                    <w:sz w:val="24"/>
                  </w:rPr>
                  <w:t>70</w:t>
                </w:r>
              </w:p>
            </w:txbxContent>
          </v:textbox>
          <w10:wrap type="none"/>
        </v:shape>
      </w:pict>
    </w:r>
    <w:r>
      <w:rPr/>
      <w:pict>
        <v:shape style="position:absolute;margin-left:69.823997pt;margin-top:739.280029pt;width:136.8pt;height:12.1pt;mso-position-horizontal-relative:page;mso-position-vertical-relative:page;z-index:-174952"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928"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3pt;height:14pt;mso-position-horizontal-relative:page;mso-position-vertical-relative:page;z-index:-174904"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71</w:t>
                </w:r>
                <w:r>
                  <w:rPr/>
                  <w:fldChar w:fldCharType="end"/>
                </w:r>
              </w:p>
            </w:txbxContent>
          </v:textbox>
          <w10:wrap type="none"/>
        </v:shape>
      </w:pict>
    </w:r>
    <w:r>
      <w:rPr/>
      <w:pict>
        <v:shape style="position:absolute;margin-left:69.823997pt;margin-top:739.280029pt;width:136.8pt;height:12.1pt;mso-position-horizontal-relative:page;mso-position-vertical-relative:page;z-index:-174880"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7.51001pt;margin-top:737.840027pt;width:44.3pt;height:14pt;mso-position-horizontal-relative:page;mso-position-vertical-relative:page;z-index:-174856"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74</w:t>
                </w:r>
                <w:r>
                  <w:rPr/>
                  <w:fldChar w:fldCharType="end"/>
                </w:r>
              </w:p>
            </w:txbxContent>
          </v:textbox>
          <w10:wrap type="none"/>
        </v:shape>
      </w:pict>
    </w:r>
    <w:r>
      <w:rPr/>
      <w:pict>
        <v:shape style="position:absolute;margin-left:69.823997pt;margin-top:739.280029pt;width:136.8pt;height:12.1pt;mso-position-horizontal-relative:page;mso-position-vertical-relative:page;z-index:-174832"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808"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3pt;height:14pt;mso-position-horizontal-relative:page;mso-position-vertical-relative:page;z-index:-174784"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75</w:t>
                </w:r>
                <w:r>
                  <w:rPr/>
                  <w:fldChar w:fldCharType="end"/>
                </w:r>
              </w:p>
            </w:txbxContent>
          </v:textbox>
          <w10:wrap type="none"/>
        </v:shape>
      </w:pict>
    </w:r>
    <w:r>
      <w:rPr/>
      <w:pict>
        <v:shape style="position:absolute;margin-left:69.823997pt;margin-top:739.280029pt;width:136.8pt;height:12.1pt;mso-position-horizontal-relative:page;mso-position-vertical-relative:page;z-index:-174760"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736"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3.3pt;height:14pt;mso-position-horizontal-relative:page;mso-position-vertical-relative:page;z-index:-174712" type="#_x0000_t202" filled="false" stroked="false">
          <v:textbox inset="0,0,0,0">
            <w:txbxContent>
              <w:p>
                <w:pPr>
                  <w:spacing w:line="264" w:lineRule="exact" w:before="0"/>
                  <w:ind w:left="20" w:right="-3" w:firstLine="0"/>
                  <w:jc w:val="left"/>
                  <w:rPr>
                    <w:rFonts w:ascii="Calibri" w:hAnsi="Calibri"/>
                    <w:sz w:val="24"/>
                  </w:rPr>
                </w:pPr>
                <w:r>
                  <w:rPr>
                    <w:rFonts w:ascii="Calibri" w:hAnsi="Calibri"/>
                    <w:color w:val="7E7E7E"/>
                    <w:sz w:val="20"/>
                  </w:rPr>
                  <w:t>Página </w:t>
                </w:r>
                <w:r>
                  <w:rPr>
                    <w:rFonts w:ascii="Calibri" w:hAnsi="Calibri"/>
                    <w:color w:val="7E7E7E"/>
                    <w:sz w:val="24"/>
                  </w:rPr>
                  <w:t>80</w:t>
                </w:r>
              </w:p>
            </w:txbxContent>
          </v:textbox>
          <w10:wrap type="none"/>
        </v:shape>
      </w:pict>
    </w:r>
    <w:r>
      <w:rPr/>
      <w:pict>
        <v:shape style="position:absolute;margin-left:69.823997pt;margin-top:739.280029pt;width:136.8pt;height:12.1pt;mso-position-horizontal-relative:page;mso-position-vertical-relative:page;z-index:-174688"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664"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3pt;height:14pt;mso-position-horizontal-relative:page;mso-position-vertical-relative:page;z-index:-174640"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81</w:t>
                </w:r>
                <w:r>
                  <w:rPr/>
                  <w:fldChar w:fldCharType="end"/>
                </w:r>
              </w:p>
            </w:txbxContent>
          </v:textbox>
          <w10:wrap type="none"/>
        </v:shape>
      </w:pict>
    </w:r>
    <w:r>
      <w:rPr/>
      <w:pict>
        <v:shape style="position:absolute;margin-left:69.823997pt;margin-top:739.280029pt;width:136.8pt;height:12.1pt;mso-position-horizontal-relative:page;mso-position-vertical-relative:page;z-index:-174616"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592"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3.3pt;height:14pt;mso-position-horizontal-relative:page;mso-position-vertical-relative:page;z-index:-174568" type="#_x0000_t202" filled="false" stroked="false">
          <v:textbox inset="0,0,0,0">
            <w:txbxContent>
              <w:p>
                <w:pPr>
                  <w:spacing w:line="264" w:lineRule="exact" w:before="0"/>
                  <w:ind w:left="20" w:right="-3" w:firstLine="0"/>
                  <w:jc w:val="left"/>
                  <w:rPr>
                    <w:rFonts w:ascii="Calibri" w:hAnsi="Calibri"/>
                    <w:sz w:val="24"/>
                  </w:rPr>
                </w:pPr>
                <w:r>
                  <w:rPr>
                    <w:rFonts w:ascii="Calibri" w:hAnsi="Calibri"/>
                    <w:color w:val="7E7E7E"/>
                    <w:sz w:val="20"/>
                  </w:rPr>
                  <w:t>Página </w:t>
                </w:r>
                <w:r>
                  <w:rPr>
                    <w:rFonts w:ascii="Calibri" w:hAnsi="Calibri"/>
                    <w:color w:val="7E7E7E"/>
                    <w:sz w:val="24"/>
                  </w:rPr>
                  <w:t>90</w:t>
                </w:r>
              </w:p>
            </w:txbxContent>
          </v:textbox>
          <w10:wrap type="none"/>
        </v:shape>
      </w:pict>
    </w:r>
    <w:r>
      <w:rPr/>
      <w:pict>
        <v:shape style="position:absolute;margin-left:69.823997pt;margin-top:739.280029pt;width:136.8pt;height:12.1pt;mso-position-horizontal-relative:page;mso-position-vertical-relative:page;z-index:-174544"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520"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3pt;height:14pt;mso-position-horizontal-relative:page;mso-position-vertical-relative:page;z-index:-174496"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91</w:t>
                </w:r>
                <w:r>
                  <w:rPr/>
                  <w:fldChar w:fldCharType="end"/>
                </w:r>
              </w:p>
            </w:txbxContent>
          </v:textbox>
          <w10:wrap type="none"/>
        </v:shape>
      </w:pict>
    </w:r>
    <w:r>
      <w:rPr/>
      <w:pict>
        <v:shape style="position:absolute;margin-left:69.823997pt;margin-top:739.280029pt;width:136.8pt;height:12.1pt;mso-position-horizontal-relative:page;mso-position-vertical-relative:page;z-index:-174472"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448"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9.3pt;height:14pt;mso-position-horizontal-relative:page;mso-position-vertical-relative:page;z-index:-174424" type="#_x0000_t202" filled="false" stroked="false">
          <v:textbox inset="0,0,0,0">
            <w:txbxContent>
              <w:p>
                <w:pPr>
                  <w:spacing w:line="264" w:lineRule="exact" w:before="0"/>
                  <w:ind w:left="20" w:right="-5" w:firstLine="0"/>
                  <w:jc w:val="left"/>
                  <w:rPr>
                    <w:rFonts w:ascii="Calibri" w:hAnsi="Calibri"/>
                    <w:sz w:val="24"/>
                  </w:rPr>
                </w:pPr>
                <w:r>
                  <w:rPr>
                    <w:rFonts w:ascii="Calibri" w:hAnsi="Calibri"/>
                    <w:color w:val="7E7E7E"/>
                    <w:sz w:val="20"/>
                  </w:rPr>
                  <w:t>Página </w:t>
                </w:r>
                <w:r>
                  <w:rPr>
                    <w:rFonts w:ascii="Calibri" w:hAnsi="Calibri"/>
                    <w:color w:val="7E7E7E"/>
                    <w:sz w:val="24"/>
                  </w:rPr>
                  <w:t>100</w:t>
                </w:r>
              </w:p>
            </w:txbxContent>
          </v:textbox>
          <w10:wrap type="none"/>
        </v:shape>
      </w:pict>
    </w:r>
    <w:r>
      <w:rPr/>
      <w:pict>
        <v:shape style="position:absolute;margin-left:69.823997pt;margin-top:739.280029pt;width:136.8pt;height:12.1pt;mso-position-horizontal-relative:page;mso-position-vertical-relative:page;z-index:-174400"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376"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50.3pt;height:14pt;mso-position-horizontal-relative:page;mso-position-vertical-relative:page;z-index:-174352"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101</w:t>
                </w:r>
                <w:r>
                  <w:rPr/>
                  <w:fldChar w:fldCharType="end"/>
                </w:r>
              </w:p>
            </w:txbxContent>
          </v:textbox>
          <w10:wrap type="none"/>
        </v:shape>
      </w:pict>
    </w:r>
    <w:r>
      <w:rPr/>
      <w:pict>
        <v:shape style="position:absolute;margin-left:69.823997pt;margin-top:739.280029pt;width:136.8pt;height:12.1pt;mso-position-horizontal-relative:page;mso-position-vertical-relative:page;z-index:-174328"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304"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9.3pt;height:14pt;mso-position-horizontal-relative:page;mso-position-vertical-relative:page;z-index:-174280" type="#_x0000_t202" filled="false" stroked="false">
          <v:textbox inset="0,0,0,0">
            <w:txbxContent>
              <w:p>
                <w:pPr>
                  <w:spacing w:line="264" w:lineRule="exact" w:before="0"/>
                  <w:ind w:left="20" w:right="-5" w:firstLine="0"/>
                  <w:jc w:val="left"/>
                  <w:rPr>
                    <w:rFonts w:ascii="Calibri" w:hAnsi="Calibri"/>
                    <w:sz w:val="24"/>
                  </w:rPr>
                </w:pPr>
                <w:r>
                  <w:rPr>
                    <w:rFonts w:ascii="Calibri" w:hAnsi="Calibri"/>
                    <w:color w:val="7E7E7E"/>
                    <w:sz w:val="20"/>
                  </w:rPr>
                  <w:t>Página </w:t>
                </w:r>
                <w:r>
                  <w:rPr>
                    <w:rFonts w:ascii="Calibri" w:hAnsi="Calibri"/>
                    <w:color w:val="7E7E7E"/>
                    <w:sz w:val="24"/>
                  </w:rPr>
                  <w:t>110</w:t>
                </w:r>
              </w:p>
            </w:txbxContent>
          </v:textbox>
          <w10:wrap type="none"/>
        </v:shape>
      </w:pict>
    </w:r>
    <w:r>
      <w:rPr/>
      <w:pict>
        <v:shape style="position:absolute;margin-left:69.823997pt;margin-top:739.280029pt;width:136.8pt;height:12.1pt;mso-position-horizontal-relative:page;mso-position-vertical-relative:page;z-index:-174256"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232"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50.3pt;height:14pt;mso-position-horizontal-relative:page;mso-position-vertical-relative:page;z-index:-174208"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111</w:t>
                </w:r>
                <w:r>
                  <w:rPr/>
                  <w:fldChar w:fldCharType="end"/>
                </w:r>
              </w:p>
            </w:txbxContent>
          </v:textbox>
          <w10:wrap type="none"/>
        </v:shape>
      </w:pict>
    </w:r>
    <w:r>
      <w:rPr/>
      <w:pict>
        <v:shape style="position:absolute;margin-left:69.823997pt;margin-top:739.280029pt;width:136.8pt;height:12.1pt;mso-position-horizontal-relative:page;mso-position-vertical-relative:page;z-index:-174184"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160"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9.3pt;height:14pt;mso-position-horizontal-relative:page;mso-position-vertical-relative:page;z-index:-174136" type="#_x0000_t202" filled="false" stroked="false">
          <v:textbox inset="0,0,0,0">
            <w:txbxContent>
              <w:p>
                <w:pPr>
                  <w:spacing w:line="264" w:lineRule="exact" w:before="0"/>
                  <w:ind w:left="20" w:right="-5" w:firstLine="0"/>
                  <w:jc w:val="left"/>
                  <w:rPr>
                    <w:rFonts w:ascii="Calibri" w:hAnsi="Calibri"/>
                    <w:sz w:val="24"/>
                  </w:rPr>
                </w:pPr>
                <w:r>
                  <w:rPr>
                    <w:rFonts w:ascii="Calibri" w:hAnsi="Calibri"/>
                    <w:color w:val="7E7E7E"/>
                    <w:sz w:val="20"/>
                  </w:rPr>
                  <w:t>Página </w:t>
                </w:r>
                <w:r>
                  <w:rPr>
                    <w:rFonts w:ascii="Calibri" w:hAnsi="Calibri"/>
                    <w:color w:val="7E7E7E"/>
                    <w:sz w:val="24"/>
                  </w:rPr>
                  <w:t>120</w:t>
                </w:r>
              </w:p>
            </w:txbxContent>
          </v:textbox>
          <w10:wrap type="none"/>
        </v:shape>
      </w:pict>
    </w:r>
    <w:r>
      <w:rPr/>
      <w:pict>
        <v:shape style="position:absolute;margin-left:69.823997pt;margin-top:739.280029pt;width:136.8pt;height:12.1pt;mso-position-horizontal-relative:page;mso-position-vertical-relative:page;z-index:-174112"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088"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50.3pt;height:14pt;mso-position-horizontal-relative:page;mso-position-vertical-relative:page;z-index:-174064"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121</w:t>
                </w:r>
                <w:r>
                  <w:rPr/>
                  <w:fldChar w:fldCharType="end"/>
                </w:r>
              </w:p>
            </w:txbxContent>
          </v:textbox>
          <w10:wrap type="none"/>
        </v:shape>
      </w:pict>
    </w:r>
    <w:r>
      <w:rPr/>
      <w:pict>
        <v:shape style="position:absolute;margin-left:69.823997pt;margin-top:739.280029pt;width:136.8pt;height:12.1pt;mso-position-horizontal-relative:page;mso-position-vertical-relative:page;z-index:-174040"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4016"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9.3pt;height:14pt;mso-position-horizontal-relative:page;mso-position-vertical-relative:page;z-index:-173992" type="#_x0000_t202" filled="false" stroked="false">
          <v:textbox inset="0,0,0,0">
            <w:txbxContent>
              <w:p>
                <w:pPr>
                  <w:spacing w:line="264" w:lineRule="exact" w:before="0"/>
                  <w:ind w:left="20" w:right="-5" w:firstLine="0"/>
                  <w:jc w:val="left"/>
                  <w:rPr>
                    <w:rFonts w:ascii="Calibri" w:hAnsi="Calibri"/>
                    <w:sz w:val="24"/>
                  </w:rPr>
                </w:pPr>
                <w:r>
                  <w:rPr>
                    <w:rFonts w:ascii="Calibri" w:hAnsi="Calibri"/>
                    <w:color w:val="7E7E7E"/>
                    <w:sz w:val="20"/>
                  </w:rPr>
                  <w:t>Página </w:t>
                </w:r>
                <w:r>
                  <w:rPr>
                    <w:rFonts w:ascii="Calibri" w:hAnsi="Calibri"/>
                    <w:color w:val="7E7E7E"/>
                    <w:sz w:val="24"/>
                  </w:rPr>
                  <w:t>130</w:t>
                </w:r>
              </w:p>
            </w:txbxContent>
          </v:textbox>
          <w10:wrap type="none"/>
        </v:shape>
      </w:pict>
    </w:r>
    <w:r>
      <w:rPr/>
      <w:pict>
        <v:shape style="position:absolute;margin-left:69.823997pt;margin-top:739.280029pt;width:136.8pt;height:12.1pt;mso-position-horizontal-relative:page;mso-position-vertical-relative:page;z-index:-173968"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3944"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50.3pt;height:14pt;mso-position-horizontal-relative:page;mso-position-vertical-relative:page;z-index:-173920"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131</w:t>
                </w:r>
                <w:r>
                  <w:rPr/>
                  <w:fldChar w:fldCharType="end"/>
                </w:r>
              </w:p>
            </w:txbxContent>
          </v:textbox>
          <w10:wrap type="none"/>
        </v:shape>
      </w:pict>
    </w:r>
    <w:r>
      <w:rPr/>
      <w:pict>
        <v:shape style="position:absolute;margin-left:69.823997pt;margin-top:739.280029pt;width:136.8pt;height:12.1pt;mso-position-horizontal-relative:page;mso-position-vertical-relative:page;z-index:-173896"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7.51001pt;margin-top:737.840027pt;width:49.3pt;height:14pt;mso-position-horizontal-relative:page;mso-position-vertical-relative:page;z-index:-173872" type="#_x0000_t202" filled="false" stroked="false">
          <v:textbox inset="0,0,0,0">
            <w:txbxContent>
              <w:p>
                <w:pPr>
                  <w:spacing w:line="264" w:lineRule="exact" w:before="0"/>
                  <w:ind w:left="20" w:right="-5" w:firstLine="0"/>
                  <w:jc w:val="left"/>
                  <w:rPr>
                    <w:rFonts w:ascii="Calibri" w:hAnsi="Calibri"/>
                    <w:sz w:val="24"/>
                  </w:rPr>
                </w:pPr>
                <w:r>
                  <w:rPr>
                    <w:rFonts w:ascii="Calibri" w:hAnsi="Calibri"/>
                    <w:color w:val="7E7E7E"/>
                    <w:sz w:val="20"/>
                  </w:rPr>
                  <w:t>Página </w:t>
                </w:r>
                <w:r>
                  <w:rPr>
                    <w:rFonts w:ascii="Calibri" w:hAnsi="Calibri"/>
                    <w:color w:val="7E7E7E"/>
                    <w:sz w:val="24"/>
                  </w:rPr>
                  <w:t>137</w:t>
                </w:r>
              </w:p>
            </w:txbxContent>
          </v:textbox>
          <w10:wrap type="none"/>
        </v:shape>
      </w:pict>
    </w:r>
    <w:r>
      <w:rPr/>
      <w:pict>
        <v:shape style="position:absolute;margin-left:69.823997pt;margin-top:739.280029pt;width:136.8pt;height:12.1pt;mso-position-horizontal-relative:page;mso-position-vertical-relative:page;z-index:-173848"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7.51001pt;margin-top:737.840027pt;width:49.3pt;height:14pt;mso-position-horizontal-relative:page;mso-position-vertical-relative:page;z-index:-173752" type="#_x0000_t202" filled="false" stroked="false">
          <v:textbox inset="0,0,0,0">
            <w:txbxContent>
              <w:p>
                <w:pPr>
                  <w:spacing w:line="264" w:lineRule="exact" w:before="0"/>
                  <w:ind w:left="20" w:right="-5"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13</w:t>
                </w:r>
                <w:r>
                  <w:rPr/>
                  <w:fldChar w:fldCharType="end"/>
                </w:r>
                <w:r>
                  <w:rPr>
                    <w:rFonts w:ascii="Calibri" w:hAnsi="Calibri"/>
                    <w:color w:val="7E7E7E"/>
                    <w:sz w:val="24"/>
                  </w:rPr>
                  <w:t>9</w:t>
                </w:r>
              </w:p>
            </w:txbxContent>
          </v:textbox>
          <w10:wrap type="none"/>
        </v:shape>
      </w:pict>
    </w:r>
    <w:r>
      <w:rPr/>
      <w:pict>
        <v:shape style="position:absolute;margin-left:69.823997pt;margin-top:739.280029pt;width:136.8pt;height:12.1pt;mso-position-horizontal-relative:page;mso-position-vertical-relative:page;z-index:-173728"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7.51001pt;margin-top:737.840027pt;width:49.3pt;height:14pt;mso-position-horizontal-relative:page;mso-position-vertical-relative:page;z-index:-173704" type="#_x0000_t202" filled="false" stroked="false">
          <v:textbox inset="0,0,0,0">
            <w:txbxContent>
              <w:p>
                <w:pPr>
                  <w:spacing w:line="264" w:lineRule="exact" w:before="0"/>
                  <w:ind w:left="20" w:right="-5" w:firstLine="0"/>
                  <w:jc w:val="left"/>
                  <w:rPr>
                    <w:rFonts w:ascii="Calibri" w:hAnsi="Calibri"/>
                    <w:sz w:val="24"/>
                  </w:rPr>
                </w:pPr>
                <w:r>
                  <w:rPr>
                    <w:rFonts w:ascii="Calibri" w:hAnsi="Calibri"/>
                    <w:color w:val="7E7E7E"/>
                    <w:sz w:val="20"/>
                  </w:rPr>
                  <w:t>Página </w:t>
                </w:r>
                <w:r>
                  <w:rPr>
                    <w:rFonts w:ascii="Calibri" w:hAnsi="Calibri"/>
                    <w:color w:val="7E7E7E"/>
                    <w:sz w:val="24"/>
                  </w:rPr>
                  <w:t>141</w:t>
                </w:r>
              </w:p>
            </w:txbxContent>
          </v:textbox>
          <w10:wrap type="none"/>
        </v:shape>
      </w:pict>
    </w:r>
    <w:r>
      <w:rPr/>
      <w:pict>
        <v:shape style="position:absolute;margin-left:69.823997pt;margin-top:739.280029pt;width:136.8pt;height:12.1pt;mso-position-horizontal-relative:page;mso-position-vertical-relative:page;z-index:-173680"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864"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38.4pt;height:14pt;mso-position-horizontal-relative:page;mso-position-vertical-relative:page;z-index:-175840"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1</w:t>
                </w:r>
                <w:r>
                  <w:rPr/>
                  <w:fldChar w:fldCharType="end"/>
                </w:r>
              </w:p>
            </w:txbxContent>
          </v:textbox>
          <w10:wrap type="none"/>
        </v:shape>
      </w:pict>
    </w:r>
    <w:r>
      <w:rPr/>
      <w:pict>
        <v:shape style="position:absolute;margin-left:69.823997pt;margin-top:739.280029pt;width:136.8pt;height:12.1pt;mso-position-horizontal-relative:page;mso-position-vertical-relative:page;z-index:-175816"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792"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3.3pt;height:14pt;mso-position-horizontal-relative:page;mso-position-vertical-relative:page;z-index:-175768" type="#_x0000_t202" filled="false" stroked="false">
          <v:textbox inset="0,0,0,0">
            <w:txbxContent>
              <w:p>
                <w:pPr>
                  <w:spacing w:line="264" w:lineRule="exact" w:before="0"/>
                  <w:ind w:left="20" w:right="-3" w:firstLine="0"/>
                  <w:jc w:val="left"/>
                  <w:rPr>
                    <w:rFonts w:ascii="Calibri" w:hAnsi="Calibri"/>
                    <w:sz w:val="24"/>
                  </w:rPr>
                </w:pPr>
                <w:r>
                  <w:rPr>
                    <w:rFonts w:ascii="Calibri" w:hAnsi="Calibri"/>
                    <w:color w:val="7E7E7E"/>
                    <w:sz w:val="20"/>
                  </w:rPr>
                  <w:t>Página </w:t>
                </w:r>
                <w:r>
                  <w:rPr>
                    <w:rFonts w:ascii="Calibri" w:hAnsi="Calibri"/>
                    <w:color w:val="7E7E7E"/>
                    <w:sz w:val="24"/>
                  </w:rPr>
                  <w:t>10</w:t>
                </w:r>
              </w:p>
            </w:txbxContent>
          </v:textbox>
          <w10:wrap type="none"/>
        </v:shape>
      </w:pict>
    </w:r>
    <w:r>
      <w:rPr/>
      <w:pict>
        <v:shape style="position:absolute;margin-left:69.823997pt;margin-top:739.280029pt;width:136.8pt;height:12.1pt;mso-position-horizontal-relative:page;mso-position-vertical-relative:page;z-index:-175744"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720"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3pt;height:14pt;mso-position-horizontal-relative:page;mso-position-vertical-relative:page;z-index:-175696"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11</w:t>
                </w:r>
                <w:r>
                  <w:rPr/>
                  <w:fldChar w:fldCharType="end"/>
                </w:r>
              </w:p>
            </w:txbxContent>
          </v:textbox>
          <w10:wrap type="none"/>
        </v:shape>
      </w:pict>
    </w:r>
    <w:r>
      <w:rPr/>
      <w:pict>
        <v:shape style="position:absolute;margin-left:69.823997pt;margin-top:739.280029pt;width:136.8pt;height:12.1pt;mso-position-horizontal-relative:page;mso-position-vertical-relative:page;z-index:-175672"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648"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3.3pt;height:14pt;mso-position-horizontal-relative:page;mso-position-vertical-relative:page;z-index:-175624" type="#_x0000_t202" filled="false" stroked="false">
          <v:textbox inset="0,0,0,0">
            <w:txbxContent>
              <w:p>
                <w:pPr>
                  <w:spacing w:line="264" w:lineRule="exact" w:before="0"/>
                  <w:ind w:left="20" w:right="-3" w:firstLine="0"/>
                  <w:jc w:val="left"/>
                  <w:rPr>
                    <w:rFonts w:ascii="Calibri" w:hAnsi="Calibri"/>
                    <w:sz w:val="24"/>
                  </w:rPr>
                </w:pPr>
                <w:r>
                  <w:rPr>
                    <w:rFonts w:ascii="Calibri" w:hAnsi="Calibri"/>
                    <w:color w:val="7E7E7E"/>
                    <w:sz w:val="20"/>
                  </w:rPr>
                  <w:t>Página </w:t>
                </w:r>
                <w:r>
                  <w:rPr>
                    <w:rFonts w:ascii="Calibri" w:hAnsi="Calibri"/>
                    <w:color w:val="7E7E7E"/>
                    <w:sz w:val="24"/>
                  </w:rPr>
                  <w:t>20</w:t>
                </w:r>
              </w:p>
            </w:txbxContent>
          </v:textbox>
          <w10:wrap type="none"/>
        </v:shape>
      </w:pict>
    </w:r>
    <w:r>
      <w:rPr/>
      <w:pict>
        <v:shape style="position:absolute;margin-left:69.823997pt;margin-top:739.280029pt;width:136.8pt;height:12.1pt;mso-position-horizontal-relative:page;mso-position-vertical-relative:page;z-index:-175600"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576"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4.3pt;height:14pt;mso-position-horizontal-relative:page;mso-position-vertical-relative:page;z-index:-175552" type="#_x0000_t202" filled="false" stroked="false">
          <v:textbox inset="0,0,0,0">
            <w:txbxContent>
              <w:p>
                <w:pPr>
                  <w:spacing w:line="264" w:lineRule="exact" w:before="0"/>
                  <w:ind w:left="20" w:right="0" w:firstLine="0"/>
                  <w:jc w:val="left"/>
                  <w:rPr>
                    <w:rFonts w:ascii="Calibri" w:hAnsi="Calibri"/>
                    <w:sz w:val="24"/>
                  </w:rPr>
                </w:pPr>
                <w:r>
                  <w:rPr>
                    <w:rFonts w:ascii="Calibri" w:hAnsi="Calibri"/>
                    <w:color w:val="7E7E7E"/>
                    <w:sz w:val="20"/>
                  </w:rPr>
                  <w:t>Página </w:t>
                </w:r>
                <w:r>
                  <w:rPr/>
                  <w:fldChar w:fldCharType="begin"/>
                </w:r>
                <w:r>
                  <w:rPr>
                    <w:rFonts w:ascii="Calibri" w:hAnsi="Calibri"/>
                    <w:color w:val="7E7E7E"/>
                    <w:sz w:val="24"/>
                  </w:rPr>
                  <w:instrText> PAGE </w:instrText>
                </w:r>
                <w:r>
                  <w:rPr/>
                  <w:fldChar w:fldCharType="separate"/>
                </w:r>
                <w:r>
                  <w:rPr/>
                  <w:t>21</w:t>
                </w:r>
                <w:r>
                  <w:rPr/>
                  <w:fldChar w:fldCharType="end"/>
                </w:r>
              </w:p>
            </w:txbxContent>
          </v:textbox>
          <w10:wrap type="none"/>
        </v:shape>
      </w:pict>
    </w:r>
    <w:r>
      <w:rPr/>
      <w:pict>
        <v:shape style="position:absolute;margin-left:69.823997pt;margin-top:739.280029pt;width:136.8pt;height:12.1pt;mso-position-horizontal-relative:page;mso-position-vertical-relative:page;z-index:-175528"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6.720001pt;margin-top:727.440002pt;width:468.5pt;height:10.1pt;mso-position-horizontal-relative:page;mso-position-vertical-relative:page;z-index:-175504" coordorigin="1334,14549" coordsize="9370,202">
          <v:line style="position:absolute" from="1388,14707" to="10569,14707" stroked="true" strokeweight=".48004pt" strokecolor="#4f81bc"/>
          <v:shape style="position:absolute;left:1334;top:14549;width:9370;height:202" type="#_x0000_t75" stroked="false">
            <v:imagedata r:id="rId1" o:title=""/>
          </v:shape>
          <v:line style="position:absolute" from="1379,14691" to="10577,14691" stroked="true" strokeweight="1.5pt" strokecolor="#585858"/>
          <w10:wrap type="none"/>
        </v:group>
      </w:pict>
    </w:r>
    <w:r>
      <w:rPr/>
      <w:pict>
        <v:shape style="position:absolute;margin-left:477.51001pt;margin-top:737.840027pt;width:43.3pt;height:14pt;mso-position-horizontal-relative:page;mso-position-vertical-relative:page;z-index:-175480" type="#_x0000_t202" filled="false" stroked="false">
          <v:textbox inset="0,0,0,0">
            <w:txbxContent>
              <w:p>
                <w:pPr>
                  <w:spacing w:line="264" w:lineRule="exact" w:before="0"/>
                  <w:ind w:left="20" w:right="-3" w:firstLine="0"/>
                  <w:jc w:val="left"/>
                  <w:rPr>
                    <w:rFonts w:ascii="Calibri" w:hAnsi="Calibri"/>
                    <w:sz w:val="24"/>
                  </w:rPr>
                </w:pPr>
                <w:r>
                  <w:rPr>
                    <w:rFonts w:ascii="Calibri" w:hAnsi="Calibri"/>
                    <w:color w:val="7E7E7E"/>
                    <w:sz w:val="20"/>
                  </w:rPr>
                  <w:t>Página </w:t>
                </w:r>
                <w:r>
                  <w:rPr>
                    <w:rFonts w:ascii="Calibri" w:hAnsi="Calibri"/>
                    <w:color w:val="7E7E7E"/>
                    <w:sz w:val="24"/>
                  </w:rPr>
                  <w:t>30</w:t>
                </w:r>
              </w:p>
            </w:txbxContent>
          </v:textbox>
          <w10:wrap type="none"/>
        </v:shape>
      </w:pict>
    </w:r>
    <w:r>
      <w:rPr/>
      <w:pict>
        <v:shape style="position:absolute;margin-left:69.823997pt;margin-top:739.280029pt;width:136.8pt;height:12.1pt;mso-position-horizontal-relative:page;mso-position-vertical-relative:page;z-index:-175456"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7E7E7E"/>
                    <w:sz w:val="20"/>
                  </w:rPr>
                  <w:t>Guadarrama Santín Gema Regina</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5.760002pt;margin-top:56.400002pt;width:462.25pt;height:10.1pt;mso-position-horizontal-relative:page;mso-position-vertical-relative:page;z-index:-176056" coordorigin="1315,1128" coordsize="9245,202">
          <v:shape style="position:absolute;left:1315;top:1128;width:9245;height:202" type="#_x0000_t75" stroked="false">
            <v:imagedata r:id="rId1" o:title=""/>
          </v:shape>
          <v:line style="position:absolute" from="1360,1186" to="10430,1186" stroked="true" strokeweight="1.5pt" strokecolor="#585858"/>
          <w10:wrap type="none"/>
        </v:group>
      </w:pict>
    </w:r>
    <w:r>
      <w:rPr/>
      <w:pict>
        <v:shapetype id="_x0000_t202" o:spt="202" coordsize="21600,21600" path="m,l,21600r21600,l21600,xe">
          <v:stroke joinstyle="miter"/>
          <v:path gradientshapeok="t" o:connecttype="rect"/>
        </v:shapetype>
        <v:shape style="position:absolute;margin-left:91.664001pt;margin-top:35.309929pt;width:414.25pt;height:21.45pt;mso-position-horizontal-relative:page;mso-position-vertical-relative:page;z-index:-176032" type="#_x0000_t202" filled="false" stroked="false">
          <v:textbox inset="0,0,0,0">
            <w:txbxContent>
              <w:p>
                <w:pPr>
                  <w:spacing w:before="0"/>
                  <w:ind w:left="826" w:right="2" w:hanging="807"/>
                  <w:jc w:val="left"/>
                  <w:rPr>
                    <w:sz w:val="18"/>
                  </w:rPr>
                </w:pPr>
                <w:r>
                  <w:rPr>
                    <w:color w:val="7E7E7E"/>
                    <w:sz w:val="18"/>
                  </w:rPr>
                  <w:t>EXPRESIÓN GÉNICA DE FcαR, FcγRIIB Y FcαµR EN SALIVA DE PACIENTES MEXIQUENSES CON DENTICIÓN MIXTA Y PERMANENTE QUE PRESENTAN CARIES DENTAL; 2013</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0.619995pt;margin-top:70.714127pt;width:110.85pt;height:13.05pt;mso-position-horizontal-relative:page;mso-position-vertical-relative:page;z-index:-175960" type="#_x0000_t202" filled="false" stroked="false">
          <v:textbox inset="0,0,0,0">
            <w:txbxContent>
              <w:p>
                <w:pPr>
                  <w:spacing w:line="246" w:lineRule="exact" w:before="0"/>
                  <w:ind w:left="20" w:right="0" w:firstLine="0"/>
                  <w:jc w:val="left"/>
                  <w:rPr>
                    <w:b/>
                    <w:sz w:val="22"/>
                  </w:rPr>
                </w:pPr>
                <w:r>
                  <w:rPr>
                    <w:b/>
                    <w:sz w:val="22"/>
                  </w:rPr>
                  <w:t>AGRADECIMIENTOS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100006pt;margin-top:70.714127pt;width:85.4pt;height:13.05pt;mso-position-horizontal-relative:page;mso-position-vertical-relative:page;z-index:-175936" type="#_x0000_t202" filled="false" stroked="false">
          <v:textbox inset="0,0,0,0">
            <w:txbxContent>
              <w:p>
                <w:pPr>
                  <w:spacing w:line="246" w:lineRule="exact" w:before="0"/>
                  <w:ind w:left="20" w:right="-7" w:firstLine="0"/>
                  <w:jc w:val="left"/>
                  <w:rPr>
                    <w:b/>
                    <w:sz w:val="22"/>
                  </w:rPr>
                </w:pPr>
                <w:r>
                  <w:rPr>
                    <w:b/>
                    <w:sz w:val="22"/>
                  </w:rPr>
                  <w:t>DEDICATORIAS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7.919998pt;margin-top:57.84pt;width:462.25pt;height:10.1pt;mso-position-horizontal-relative:page;mso-position-vertical-relative:page;z-index:-175912" coordorigin="1358,1157" coordsize="9245,202">
          <v:shape style="position:absolute;left:1358;top:1157;width:9245;height:202" type="#_x0000_t75" stroked="false">
            <v:imagedata r:id="rId1" o:title=""/>
          </v:shape>
          <v:line style="position:absolute" from="1403,1215" to="10473,1215" stroked="true" strokeweight="1.5pt" strokecolor="#585858"/>
          <w10:wrap type="none"/>
        </v:group>
      </w:pict>
    </w:r>
    <w:r>
      <w:rPr/>
      <w:pict>
        <v:shape style="position:absolute;margin-left:91.664001pt;margin-top:35.309929pt;width:414.3pt;height:21.45pt;mso-position-horizontal-relative:page;mso-position-vertical-relative:page;z-index:-175888" type="#_x0000_t202" filled="false" stroked="false">
          <v:textbox inset="0,0,0,0">
            <w:txbxContent>
              <w:p>
                <w:pPr>
                  <w:spacing w:before="0"/>
                  <w:ind w:left="826" w:right="3" w:hanging="807"/>
                  <w:jc w:val="left"/>
                  <w:rPr>
                    <w:sz w:val="18"/>
                  </w:rPr>
                </w:pPr>
                <w:r>
                  <w:rPr>
                    <w:color w:val="7E7E7E"/>
                    <w:sz w:val="18"/>
                  </w:rPr>
                  <w:t>EXPRESIÓN GÉNICA DE FcαR, FcγRIIB Y FcαµR EN SALIVA DE PACIENTES MEXIQUENSES CON DENTICIÓN MIXTA Y PERMANENTE QUE PRESENTAN CARIES DENTAL; 2013</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664001pt;margin-top:35.309929pt;width:414.3pt;height:21.45pt;mso-position-horizontal-relative:page;mso-position-vertical-relative:page;z-index:-173824" type="#_x0000_t202" filled="false" stroked="false">
          <v:textbox inset="0,0,0,0">
            <w:txbxContent>
              <w:p>
                <w:pPr>
                  <w:spacing w:before="0"/>
                  <w:ind w:left="826" w:right="3" w:hanging="807"/>
                  <w:jc w:val="left"/>
                  <w:rPr>
                    <w:sz w:val="18"/>
                  </w:rPr>
                </w:pPr>
                <w:r>
                  <w:rPr>
                    <w:color w:val="7E7E7E"/>
                    <w:sz w:val="18"/>
                  </w:rPr>
                  <w:t>EXPRESIÓN GÉNICA DE FcαR, FcγRIIB Y FcαµR EN SALIVA DE PACIENTES MEXIQUENSES CON DENTICIÓN MIXTA Y PERMANENTE QUE PRESENTAN CARIES DENTAL; 2013</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7.919998pt;margin-top:57.84pt;width:462.25pt;height:10.1pt;mso-position-horizontal-relative:page;mso-position-vertical-relative:page;z-index:-173800" coordorigin="1358,1157" coordsize="9245,202">
          <v:shape style="position:absolute;left:1358;top:1157;width:9245;height:202" type="#_x0000_t75" stroked="false">
            <v:imagedata r:id="rId1" o:title=""/>
          </v:shape>
          <v:line style="position:absolute" from="1403,1215" to="10473,1215" stroked="true" strokeweight="1.5pt" strokecolor="#585858"/>
          <w10:wrap type="none"/>
        </v:group>
      </w:pict>
    </w:r>
    <w:r>
      <w:rPr/>
      <w:pict>
        <v:shape style="position:absolute;margin-left:91.664001pt;margin-top:35.309929pt;width:414.3pt;height:21.45pt;mso-position-horizontal-relative:page;mso-position-vertical-relative:page;z-index:-173776" type="#_x0000_t202" filled="false" stroked="false">
          <v:textbox inset="0,0,0,0">
            <w:txbxContent>
              <w:p>
                <w:pPr>
                  <w:spacing w:before="0"/>
                  <w:ind w:left="826" w:right="3" w:hanging="807"/>
                  <w:jc w:val="left"/>
                  <w:rPr>
                    <w:sz w:val="18"/>
                  </w:rPr>
                </w:pPr>
                <w:r>
                  <w:rPr>
                    <w:color w:val="7E7E7E"/>
                    <w:sz w:val="18"/>
                  </w:rPr>
                  <w:t>EXPRESIÓN GÉNICA DE FcαR, FcγRIIB Y FcαµR EN SALIVA DE PACIENTES MEXIQUENSES CON DENTICIÓN MIXTA Y PERMANENTE QUE PRESENTAN CARIES DENTAL; 2013</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3">
    <w:multiLevelType w:val="hybridMultilevel"/>
    <w:lvl w:ilvl="0">
      <w:start w:val="1"/>
      <w:numFmt w:val="bullet"/>
      <w:lvlText w:val="•"/>
      <w:lvlJc w:val="left"/>
      <w:pPr>
        <w:ind w:left="917" w:hanging="361"/>
      </w:pPr>
      <w:rPr>
        <w:rFonts w:hint="default" w:ascii="Arial" w:hAnsi="Arial" w:eastAsia="Arial" w:cs="Arial"/>
        <w:w w:val="99"/>
        <w:sz w:val="24"/>
        <w:szCs w:val="24"/>
      </w:rPr>
    </w:lvl>
    <w:lvl w:ilvl="1">
      <w:start w:val="1"/>
      <w:numFmt w:val="bullet"/>
      <w:lvlText w:val="•"/>
      <w:lvlJc w:val="left"/>
      <w:pPr>
        <w:ind w:left="1788" w:hanging="361"/>
      </w:pPr>
      <w:rPr>
        <w:rFonts w:hint="default"/>
      </w:rPr>
    </w:lvl>
    <w:lvl w:ilvl="2">
      <w:start w:val="1"/>
      <w:numFmt w:val="bullet"/>
      <w:lvlText w:val="•"/>
      <w:lvlJc w:val="left"/>
      <w:pPr>
        <w:ind w:left="2656" w:hanging="361"/>
      </w:pPr>
      <w:rPr>
        <w:rFonts w:hint="default"/>
      </w:rPr>
    </w:lvl>
    <w:lvl w:ilvl="3">
      <w:start w:val="1"/>
      <w:numFmt w:val="bullet"/>
      <w:lvlText w:val="•"/>
      <w:lvlJc w:val="left"/>
      <w:pPr>
        <w:ind w:left="3524" w:hanging="361"/>
      </w:pPr>
      <w:rPr>
        <w:rFonts w:hint="default"/>
      </w:rPr>
    </w:lvl>
    <w:lvl w:ilvl="4">
      <w:start w:val="1"/>
      <w:numFmt w:val="bullet"/>
      <w:lvlText w:val="•"/>
      <w:lvlJc w:val="left"/>
      <w:pPr>
        <w:ind w:left="4392" w:hanging="361"/>
      </w:pPr>
      <w:rPr>
        <w:rFonts w:hint="default"/>
      </w:rPr>
    </w:lvl>
    <w:lvl w:ilvl="5">
      <w:start w:val="1"/>
      <w:numFmt w:val="bullet"/>
      <w:lvlText w:val="•"/>
      <w:lvlJc w:val="left"/>
      <w:pPr>
        <w:ind w:left="5260" w:hanging="361"/>
      </w:pPr>
      <w:rPr>
        <w:rFonts w:hint="default"/>
      </w:rPr>
    </w:lvl>
    <w:lvl w:ilvl="6">
      <w:start w:val="1"/>
      <w:numFmt w:val="bullet"/>
      <w:lvlText w:val="•"/>
      <w:lvlJc w:val="left"/>
      <w:pPr>
        <w:ind w:left="6128" w:hanging="361"/>
      </w:pPr>
      <w:rPr>
        <w:rFonts w:hint="default"/>
      </w:rPr>
    </w:lvl>
    <w:lvl w:ilvl="7">
      <w:start w:val="1"/>
      <w:numFmt w:val="bullet"/>
      <w:lvlText w:val="•"/>
      <w:lvlJc w:val="left"/>
      <w:pPr>
        <w:ind w:left="6996" w:hanging="361"/>
      </w:pPr>
      <w:rPr>
        <w:rFonts w:hint="default"/>
      </w:rPr>
    </w:lvl>
    <w:lvl w:ilvl="8">
      <w:start w:val="1"/>
      <w:numFmt w:val="bullet"/>
      <w:lvlText w:val="•"/>
      <w:lvlJc w:val="left"/>
      <w:pPr>
        <w:ind w:left="7864" w:hanging="361"/>
      </w:pPr>
      <w:rPr>
        <w:rFonts w:hint="default"/>
      </w:rPr>
    </w:lvl>
  </w:abstractNum>
  <w:abstractNum w:abstractNumId="42">
    <w:multiLevelType w:val="hybridMultilevel"/>
    <w:lvl w:ilvl="0">
      <w:start w:val="1"/>
      <w:numFmt w:val="decimal"/>
      <w:lvlText w:val="%1."/>
      <w:lvlJc w:val="left"/>
      <w:pPr>
        <w:ind w:left="465" w:hanging="360"/>
        <w:jc w:val="left"/>
      </w:pPr>
      <w:rPr>
        <w:rFonts w:hint="default" w:ascii="Arial" w:hAnsi="Arial" w:eastAsia="Arial" w:cs="Arial"/>
        <w:spacing w:val="-2"/>
        <w:w w:val="100"/>
        <w:sz w:val="20"/>
        <w:szCs w:val="20"/>
      </w:rPr>
    </w:lvl>
    <w:lvl w:ilvl="1">
      <w:start w:val="1"/>
      <w:numFmt w:val="bullet"/>
      <w:lvlText w:val="•"/>
      <w:lvlJc w:val="left"/>
      <w:pPr>
        <w:ind w:left="1319" w:hanging="360"/>
      </w:pPr>
      <w:rPr>
        <w:rFonts w:hint="default"/>
      </w:rPr>
    </w:lvl>
    <w:lvl w:ilvl="2">
      <w:start w:val="1"/>
      <w:numFmt w:val="bullet"/>
      <w:lvlText w:val="•"/>
      <w:lvlJc w:val="left"/>
      <w:pPr>
        <w:ind w:left="2178" w:hanging="360"/>
      </w:pPr>
      <w:rPr>
        <w:rFonts w:hint="default"/>
      </w:rPr>
    </w:lvl>
    <w:lvl w:ilvl="3">
      <w:start w:val="1"/>
      <w:numFmt w:val="bullet"/>
      <w:lvlText w:val="•"/>
      <w:lvlJc w:val="left"/>
      <w:pPr>
        <w:ind w:left="3037" w:hanging="360"/>
      </w:pPr>
      <w:rPr>
        <w:rFonts w:hint="default"/>
      </w:rPr>
    </w:lvl>
    <w:lvl w:ilvl="4">
      <w:start w:val="1"/>
      <w:numFmt w:val="bullet"/>
      <w:lvlText w:val="•"/>
      <w:lvlJc w:val="left"/>
      <w:pPr>
        <w:ind w:left="3896" w:hanging="360"/>
      </w:pPr>
      <w:rPr>
        <w:rFonts w:hint="default"/>
      </w:rPr>
    </w:lvl>
    <w:lvl w:ilvl="5">
      <w:start w:val="1"/>
      <w:numFmt w:val="bullet"/>
      <w:lvlText w:val="•"/>
      <w:lvlJc w:val="left"/>
      <w:pPr>
        <w:ind w:left="4755" w:hanging="360"/>
      </w:pPr>
      <w:rPr>
        <w:rFonts w:hint="default"/>
      </w:rPr>
    </w:lvl>
    <w:lvl w:ilvl="6">
      <w:start w:val="1"/>
      <w:numFmt w:val="bullet"/>
      <w:lvlText w:val="•"/>
      <w:lvlJc w:val="left"/>
      <w:pPr>
        <w:ind w:left="5614"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333" w:hanging="360"/>
      </w:pPr>
      <w:rPr>
        <w:rFonts w:hint="default"/>
      </w:rPr>
    </w:lvl>
  </w:abstractNum>
  <w:abstractNum w:abstractNumId="41">
    <w:multiLevelType w:val="hybridMultilevel"/>
    <w:lvl w:ilvl="0">
      <w:start w:val="1"/>
      <w:numFmt w:val="decimal"/>
      <w:lvlText w:val="%1."/>
      <w:lvlJc w:val="left"/>
      <w:pPr>
        <w:ind w:left="556" w:hanging="360"/>
        <w:jc w:val="left"/>
      </w:pPr>
      <w:rPr>
        <w:rFonts w:hint="default" w:ascii="Calibri" w:hAnsi="Calibri" w:eastAsia="Calibri" w:cs="Calibri"/>
        <w:b/>
        <w:bCs/>
        <w:spacing w:val="-2"/>
        <w:w w:val="100"/>
        <w:sz w:val="22"/>
        <w:szCs w:val="22"/>
      </w:rPr>
    </w:lvl>
    <w:lvl w:ilvl="1">
      <w:start w:val="1"/>
      <w:numFmt w:val="bullet"/>
      <w:lvlText w:val=""/>
      <w:lvlJc w:val="left"/>
      <w:pPr>
        <w:ind w:left="917" w:hanging="361"/>
      </w:pPr>
      <w:rPr>
        <w:rFonts w:hint="default" w:ascii="Wingdings" w:hAnsi="Wingdings" w:eastAsia="Wingdings" w:cs="Wingdings"/>
        <w:w w:val="100"/>
        <w:sz w:val="22"/>
        <w:szCs w:val="22"/>
      </w:rPr>
    </w:lvl>
    <w:lvl w:ilvl="2">
      <w:start w:val="1"/>
      <w:numFmt w:val="bullet"/>
      <w:lvlText w:val="•"/>
      <w:lvlJc w:val="left"/>
      <w:pPr>
        <w:ind w:left="1884" w:hanging="361"/>
      </w:pPr>
      <w:rPr>
        <w:rFonts w:hint="default"/>
      </w:rPr>
    </w:lvl>
    <w:lvl w:ilvl="3">
      <w:start w:val="1"/>
      <w:numFmt w:val="bullet"/>
      <w:lvlText w:val="•"/>
      <w:lvlJc w:val="left"/>
      <w:pPr>
        <w:ind w:left="2848" w:hanging="361"/>
      </w:pPr>
      <w:rPr>
        <w:rFonts w:hint="default"/>
      </w:rPr>
    </w:lvl>
    <w:lvl w:ilvl="4">
      <w:start w:val="1"/>
      <w:numFmt w:val="bullet"/>
      <w:lvlText w:val="•"/>
      <w:lvlJc w:val="left"/>
      <w:pPr>
        <w:ind w:left="3813" w:hanging="361"/>
      </w:pPr>
      <w:rPr>
        <w:rFonts w:hint="default"/>
      </w:rPr>
    </w:lvl>
    <w:lvl w:ilvl="5">
      <w:start w:val="1"/>
      <w:numFmt w:val="bullet"/>
      <w:lvlText w:val="•"/>
      <w:lvlJc w:val="left"/>
      <w:pPr>
        <w:ind w:left="4777" w:hanging="361"/>
      </w:pPr>
      <w:rPr>
        <w:rFonts w:hint="default"/>
      </w:rPr>
    </w:lvl>
    <w:lvl w:ilvl="6">
      <w:start w:val="1"/>
      <w:numFmt w:val="bullet"/>
      <w:lvlText w:val="•"/>
      <w:lvlJc w:val="left"/>
      <w:pPr>
        <w:ind w:left="5742"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71" w:hanging="361"/>
      </w:pPr>
      <w:rPr>
        <w:rFonts w:hint="default"/>
      </w:rPr>
    </w:lvl>
  </w:abstractNum>
  <w:abstractNum w:abstractNumId="40">
    <w:multiLevelType w:val="hybridMultilevel"/>
    <w:lvl w:ilvl="0">
      <w:start w:val="1"/>
      <w:numFmt w:val="decimal"/>
      <w:lvlText w:val="%1."/>
      <w:lvlJc w:val="left"/>
      <w:pPr>
        <w:ind w:left="917" w:hanging="361"/>
        <w:jc w:val="left"/>
      </w:pPr>
      <w:rPr>
        <w:rFonts w:hint="default" w:ascii="Arial" w:hAnsi="Arial" w:eastAsia="Arial" w:cs="Arial"/>
        <w:spacing w:val="-8"/>
        <w:w w:val="99"/>
        <w:sz w:val="24"/>
        <w:szCs w:val="24"/>
      </w:rPr>
    </w:lvl>
    <w:lvl w:ilvl="1">
      <w:start w:val="1"/>
      <w:numFmt w:val="upperRoman"/>
      <w:lvlText w:val="%2."/>
      <w:lvlJc w:val="left"/>
      <w:pPr>
        <w:ind w:left="917" w:hanging="206"/>
        <w:jc w:val="left"/>
      </w:pPr>
      <w:rPr>
        <w:rFonts w:hint="default" w:ascii="Arial" w:hAnsi="Arial" w:eastAsia="Arial" w:cs="Arial"/>
        <w:w w:val="100"/>
        <w:sz w:val="24"/>
        <w:szCs w:val="24"/>
      </w:rPr>
    </w:lvl>
    <w:lvl w:ilvl="2">
      <w:start w:val="1"/>
      <w:numFmt w:val="bullet"/>
      <w:lvlText w:val="•"/>
      <w:lvlJc w:val="left"/>
      <w:pPr>
        <w:ind w:left="2656" w:hanging="206"/>
      </w:pPr>
      <w:rPr>
        <w:rFonts w:hint="default"/>
      </w:rPr>
    </w:lvl>
    <w:lvl w:ilvl="3">
      <w:start w:val="1"/>
      <w:numFmt w:val="bullet"/>
      <w:lvlText w:val="•"/>
      <w:lvlJc w:val="left"/>
      <w:pPr>
        <w:ind w:left="3524" w:hanging="206"/>
      </w:pPr>
      <w:rPr>
        <w:rFonts w:hint="default"/>
      </w:rPr>
    </w:lvl>
    <w:lvl w:ilvl="4">
      <w:start w:val="1"/>
      <w:numFmt w:val="bullet"/>
      <w:lvlText w:val="•"/>
      <w:lvlJc w:val="left"/>
      <w:pPr>
        <w:ind w:left="4392" w:hanging="206"/>
      </w:pPr>
      <w:rPr>
        <w:rFonts w:hint="default"/>
      </w:rPr>
    </w:lvl>
    <w:lvl w:ilvl="5">
      <w:start w:val="1"/>
      <w:numFmt w:val="bullet"/>
      <w:lvlText w:val="•"/>
      <w:lvlJc w:val="left"/>
      <w:pPr>
        <w:ind w:left="5260" w:hanging="206"/>
      </w:pPr>
      <w:rPr>
        <w:rFonts w:hint="default"/>
      </w:rPr>
    </w:lvl>
    <w:lvl w:ilvl="6">
      <w:start w:val="1"/>
      <w:numFmt w:val="bullet"/>
      <w:lvlText w:val="•"/>
      <w:lvlJc w:val="left"/>
      <w:pPr>
        <w:ind w:left="6128" w:hanging="206"/>
      </w:pPr>
      <w:rPr>
        <w:rFonts w:hint="default"/>
      </w:rPr>
    </w:lvl>
    <w:lvl w:ilvl="7">
      <w:start w:val="1"/>
      <w:numFmt w:val="bullet"/>
      <w:lvlText w:val="•"/>
      <w:lvlJc w:val="left"/>
      <w:pPr>
        <w:ind w:left="6996" w:hanging="206"/>
      </w:pPr>
      <w:rPr>
        <w:rFonts w:hint="default"/>
      </w:rPr>
    </w:lvl>
    <w:lvl w:ilvl="8">
      <w:start w:val="1"/>
      <w:numFmt w:val="bullet"/>
      <w:lvlText w:val="•"/>
      <w:lvlJc w:val="left"/>
      <w:pPr>
        <w:ind w:left="7864" w:hanging="206"/>
      </w:pPr>
      <w:rPr>
        <w:rFonts w:hint="default"/>
      </w:rPr>
    </w:lvl>
  </w:abstractNum>
  <w:abstractNum w:abstractNumId="39">
    <w:multiLevelType w:val="hybridMultilevel"/>
    <w:lvl w:ilvl="0">
      <w:start w:val="1"/>
      <w:numFmt w:val="bullet"/>
      <w:lvlText w:val=""/>
      <w:lvlJc w:val="left"/>
      <w:pPr>
        <w:ind w:left="917" w:hanging="361"/>
      </w:pPr>
      <w:rPr>
        <w:rFonts w:hint="default" w:ascii="Symbol" w:hAnsi="Symbol" w:eastAsia="Symbol" w:cs="Symbol"/>
        <w:w w:val="100"/>
        <w:sz w:val="24"/>
        <w:szCs w:val="24"/>
      </w:rPr>
    </w:lvl>
    <w:lvl w:ilvl="1">
      <w:start w:val="1"/>
      <w:numFmt w:val="bullet"/>
      <w:lvlText w:val="•"/>
      <w:lvlJc w:val="left"/>
      <w:pPr>
        <w:ind w:left="1788" w:hanging="361"/>
      </w:pPr>
      <w:rPr>
        <w:rFonts w:hint="default"/>
      </w:rPr>
    </w:lvl>
    <w:lvl w:ilvl="2">
      <w:start w:val="1"/>
      <w:numFmt w:val="bullet"/>
      <w:lvlText w:val="•"/>
      <w:lvlJc w:val="left"/>
      <w:pPr>
        <w:ind w:left="2656" w:hanging="361"/>
      </w:pPr>
      <w:rPr>
        <w:rFonts w:hint="default"/>
      </w:rPr>
    </w:lvl>
    <w:lvl w:ilvl="3">
      <w:start w:val="1"/>
      <w:numFmt w:val="bullet"/>
      <w:lvlText w:val="•"/>
      <w:lvlJc w:val="left"/>
      <w:pPr>
        <w:ind w:left="3524" w:hanging="361"/>
      </w:pPr>
      <w:rPr>
        <w:rFonts w:hint="default"/>
      </w:rPr>
    </w:lvl>
    <w:lvl w:ilvl="4">
      <w:start w:val="1"/>
      <w:numFmt w:val="bullet"/>
      <w:lvlText w:val="•"/>
      <w:lvlJc w:val="left"/>
      <w:pPr>
        <w:ind w:left="4392" w:hanging="361"/>
      </w:pPr>
      <w:rPr>
        <w:rFonts w:hint="default"/>
      </w:rPr>
    </w:lvl>
    <w:lvl w:ilvl="5">
      <w:start w:val="1"/>
      <w:numFmt w:val="bullet"/>
      <w:lvlText w:val="•"/>
      <w:lvlJc w:val="left"/>
      <w:pPr>
        <w:ind w:left="5260" w:hanging="361"/>
      </w:pPr>
      <w:rPr>
        <w:rFonts w:hint="default"/>
      </w:rPr>
    </w:lvl>
    <w:lvl w:ilvl="6">
      <w:start w:val="1"/>
      <w:numFmt w:val="bullet"/>
      <w:lvlText w:val="•"/>
      <w:lvlJc w:val="left"/>
      <w:pPr>
        <w:ind w:left="6128" w:hanging="361"/>
      </w:pPr>
      <w:rPr>
        <w:rFonts w:hint="default"/>
      </w:rPr>
    </w:lvl>
    <w:lvl w:ilvl="7">
      <w:start w:val="1"/>
      <w:numFmt w:val="bullet"/>
      <w:lvlText w:val="•"/>
      <w:lvlJc w:val="left"/>
      <w:pPr>
        <w:ind w:left="6996" w:hanging="361"/>
      </w:pPr>
      <w:rPr>
        <w:rFonts w:hint="default"/>
      </w:rPr>
    </w:lvl>
    <w:lvl w:ilvl="8">
      <w:start w:val="1"/>
      <w:numFmt w:val="bullet"/>
      <w:lvlText w:val="•"/>
      <w:lvlJc w:val="left"/>
      <w:pPr>
        <w:ind w:left="7864" w:hanging="361"/>
      </w:pPr>
      <w:rPr>
        <w:rFonts w:hint="default"/>
      </w:rPr>
    </w:lvl>
  </w:abstractNum>
  <w:abstractNum w:abstractNumId="38">
    <w:multiLevelType w:val="hybridMultilevel"/>
    <w:lvl w:ilvl="0">
      <w:start w:val="10"/>
      <w:numFmt w:val="decimal"/>
      <w:lvlText w:val="%1"/>
      <w:lvlJc w:val="left"/>
      <w:pPr>
        <w:ind w:left="934" w:hanging="738"/>
        <w:jc w:val="left"/>
      </w:pPr>
      <w:rPr>
        <w:rFonts w:hint="default"/>
      </w:rPr>
    </w:lvl>
    <w:lvl w:ilvl="1">
      <w:start w:val="89"/>
      <w:numFmt w:val="decimal"/>
      <w:lvlText w:val="%1.%2."/>
      <w:lvlJc w:val="left"/>
      <w:pPr>
        <w:ind w:left="934" w:hanging="738"/>
        <w:jc w:val="left"/>
      </w:pPr>
      <w:rPr>
        <w:rFonts w:hint="default" w:ascii="Arial" w:hAnsi="Arial" w:eastAsia="Arial" w:cs="Arial"/>
        <w:w w:val="99"/>
        <w:sz w:val="24"/>
        <w:szCs w:val="24"/>
      </w:rPr>
    </w:lvl>
    <w:lvl w:ilvl="2">
      <w:start w:val="1"/>
      <w:numFmt w:val="bullet"/>
      <w:lvlText w:val=""/>
      <w:lvlJc w:val="left"/>
      <w:pPr>
        <w:ind w:left="917" w:hanging="361"/>
      </w:pPr>
      <w:rPr>
        <w:rFonts w:hint="default" w:ascii="Symbol" w:hAnsi="Symbol" w:eastAsia="Symbol" w:cs="Symbol"/>
        <w:w w:val="100"/>
        <w:sz w:val="24"/>
        <w:szCs w:val="24"/>
      </w:rPr>
    </w:lvl>
    <w:lvl w:ilvl="3">
      <w:start w:val="1"/>
      <w:numFmt w:val="bullet"/>
      <w:lvlText w:val="•"/>
      <w:lvlJc w:val="left"/>
      <w:pPr>
        <w:ind w:left="2864" w:hanging="361"/>
      </w:pPr>
      <w:rPr>
        <w:rFonts w:hint="default"/>
      </w:rPr>
    </w:lvl>
    <w:lvl w:ilvl="4">
      <w:start w:val="1"/>
      <w:numFmt w:val="bullet"/>
      <w:lvlText w:val="•"/>
      <w:lvlJc w:val="left"/>
      <w:pPr>
        <w:ind w:left="3826" w:hanging="361"/>
      </w:pPr>
      <w:rPr>
        <w:rFonts w:hint="default"/>
      </w:rPr>
    </w:lvl>
    <w:lvl w:ilvl="5">
      <w:start w:val="1"/>
      <w:numFmt w:val="bullet"/>
      <w:lvlText w:val="•"/>
      <w:lvlJc w:val="left"/>
      <w:pPr>
        <w:ind w:left="4788" w:hanging="361"/>
      </w:pPr>
      <w:rPr>
        <w:rFonts w:hint="default"/>
      </w:rPr>
    </w:lvl>
    <w:lvl w:ilvl="6">
      <w:start w:val="1"/>
      <w:numFmt w:val="bullet"/>
      <w:lvlText w:val="•"/>
      <w:lvlJc w:val="left"/>
      <w:pPr>
        <w:ind w:left="5751" w:hanging="361"/>
      </w:pPr>
      <w:rPr>
        <w:rFonts w:hint="default"/>
      </w:rPr>
    </w:lvl>
    <w:lvl w:ilvl="7">
      <w:start w:val="1"/>
      <w:numFmt w:val="bullet"/>
      <w:lvlText w:val="•"/>
      <w:lvlJc w:val="left"/>
      <w:pPr>
        <w:ind w:left="6713" w:hanging="361"/>
      </w:pPr>
      <w:rPr>
        <w:rFonts w:hint="default"/>
      </w:rPr>
    </w:lvl>
    <w:lvl w:ilvl="8">
      <w:start w:val="1"/>
      <w:numFmt w:val="bullet"/>
      <w:lvlText w:val="•"/>
      <w:lvlJc w:val="left"/>
      <w:pPr>
        <w:ind w:left="7675" w:hanging="361"/>
      </w:pPr>
      <w:rPr>
        <w:rFonts w:hint="default"/>
      </w:rPr>
    </w:lvl>
  </w:abstractNum>
  <w:abstractNum w:abstractNumId="37">
    <w:multiLevelType w:val="hybridMultilevel"/>
    <w:lvl w:ilvl="0">
      <w:start w:val="1"/>
      <w:numFmt w:val="decimal"/>
      <w:lvlText w:val="%1"/>
      <w:lvlJc w:val="left"/>
      <w:pPr>
        <w:ind w:left="196" w:hanging="542"/>
        <w:jc w:val="left"/>
      </w:pPr>
      <w:rPr>
        <w:rFonts w:hint="default"/>
      </w:rPr>
    </w:lvl>
    <w:lvl w:ilvl="1">
      <w:start w:val="61"/>
      <w:numFmt w:val="decimal"/>
      <w:lvlText w:val="%1.%2"/>
      <w:lvlJc w:val="left"/>
      <w:pPr>
        <w:ind w:left="196" w:hanging="542"/>
        <w:jc w:val="left"/>
      </w:pPr>
      <w:rPr>
        <w:rFonts w:hint="default" w:ascii="Arial" w:hAnsi="Arial" w:eastAsia="Arial" w:cs="Arial"/>
        <w:w w:val="99"/>
        <w:sz w:val="24"/>
        <w:szCs w:val="24"/>
      </w:rPr>
    </w:lvl>
    <w:lvl w:ilvl="2">
      <w:start w:val="1"/>
      <w:numFmt w:val="bullet"/>
      <w:lvlText w:val=""/>
      <w:lvlJc w:val="left"/>
      <w:pPr>
        <w:ind w:left="917" w:hanging="361"/>
      </w:pPr>
      <w:rPr>
        <w:rFonts w:hint="default" w:ascii="Symbol" w:hAnsi="Symbol" w:eastAsia="Symbol" w:cs="Symbol"/>
        <w:w w:val="100"/>
        <w:sz w:val="24"/>
        <w:szCs w:val="24"/>
      </w:rPr>
    </w:lvl>
    <w:lvl w:ilvl="3">
      <w:start w:val="1"/>
      <w:numFmt w:val="bullet"/>
      <w:lvlText w:val="•"/>
      <w:lvlJc w:val="left"/>
      <w:pPr>
        <w:ind w:left="2848" w:hanging="361"/>
      </w:pPr>
      <w:rPr>
        <w:rFonts w:hint="default"/>
      </w:rPr>
    </w:lvl>
    <w:lvl w:ilvl="4">
      <w:start w:val="1"/>
      <w:numFmt w:val="bullet"/>
      <w:lvlText w:val="•"/>
      <w:lvlJc w:val="left"/>
      <w:pPr>
        <w:ind w:left="3813" w:hanging="361"/>
      </w:pPr>
      <w:rPr>
        <w:rFonts w:hint="default"/>
      </w:rPr>
    </w:lvl>
    <w:lvl w:ilvl="5">
      <w:start w:val="1"/>
      <w:numFmt w:val="bullet"/>
      <w:lvlText w:val="•"/>
      <w:lvlJc w:val="left"/>
      <w:pPr>
        <w:ind w:left="4777" w:hanging="361"/>
      </w:pPr>
      <w:rPr>
        <w:rFonts w:hint="default"/>
      </w:rPr>
    </w:lvl>
    <w:lvl w:ilvl="6">
      <w:start w:val="1"/>
      <w:numFmt w:val="bullet"/>
      <w:lvlText w:val="•"/>
      <w:lvlJc w:val="left"/>
      <w:pPr>
        <w:ind w:left="5742"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71" w:hanging="361"/>
      </w:pPr>
      <w:rPr>
        <w:rFonts w:hint="default"/>
      </w:rPr>
    </w:lvl>
  </w:abstractNum>
  <w:abstractNum w:abstractNumId="36">
    <w:multiLevelType w:val="hybridMultilevel"/>
    <w:lvl w:ilvl="0">
      <w:start w:val="3"/>
      <w:numFmt w:val="decimal"/>
      <w:lvlText w:val="%1."/>
      <w:lvlJc w:val="left"/>
      <w:pPr>
        <w:ind w:left="623" w:hanging="360"/>
        <w:jc w:val="left"/>
      </w:pPr>
      <w:rPr>
        <w:rFonts w:hint="default" w:ascii="Arial" w:hAnsi="Arial" w:eastAsia="Arial" w:cs="Arial"/>
        <w:b/>
        <w:bCs/>
        <w:w w:val="99"/>
        <w:sz w:val="24"/>
        <w:szCs w:val="24"/>
      </w:rPr>
    </w:lvl>
    <w:lvl w:ilvl="1">
      <w:start w:val="1"/>
      <w:numFmt w:val="bullet"/>
      <w:lvlText w:val=""/>
      <w:lvlJc w:val="left"/>
      <w:pPr>
        <w:ind w:left="917" w:hanging="361"/>
      </w:pPr>
      <w:rPr>
        <w:rFonts w:hint="default" w:ascii="Symbol" w:hAnsi="Symbol" w:eastAsia="Symbol" w:cs="Symbol"/>
        <w:w w:val="100"/>
        <w:sz w:val="24"/>
        <w:szCs w:val="24"/>
      </w:rPr>
    </w:lvl>
    <w:lvl w:ilvl="2">
      <w:start w:val="1"/>
      <w:numFmt w:val="bullet"/>
      <w:lvlText w:val="•"/>
      <w:lvlJc w:val="left"/>
      <w:pPr>
        <w:ind w:left="1884" w:hanging="361"/>
      </w:pPr>
      <w:rPr>
        <w:rFonts w:hint="default"/>
      </w:rPr>
    </w:lvl>
    <w:lvl w:ilvl="3">
      <w:start w:val="1"/>
      <w:numFmt w:val="bullet"/>
      <w:lvlText w:val="•"/>
      <w:lvlJc w:val="left"/>
      <w:pPr>
        <w:ind w:left="2848" w:hanging="361"/>
      </w:pPr>
      <w:rPr>
        <w:rFonts w:hint="default"/>
      </w:rPr>
    </w:lvl>
    <w:lvl w:ilvl="4">
      <w:start w:val="1"/>
      <w:numFmt w:val="bullet"/>
      <w:lvlText w:val="•"/>
      <w:lvlJc w:val="left"/>
      <w:pPr>
        <w:ind w:left="3813" w:hanging="361"/>
      </w:pPr>
      <w:rPr>
        <w:rFonts w:hint="default"/>
      </w:rPr>
    </w:lvl>
    <w:lvl w:ilvl="5">
      <w:start w:val="1"/>
      <w:numFmt w:val="bullet"/>
      <w:lvlText w:val="•"/>
      <w:lvlJc w:val="left"/>
      <w:pPr>
        <w:ind w:left="4777" w:hanging="361"/>
      </w:pPr>
      <w:rPr>
        <w:rFonts w:hint="default"/>
      </w:rPr>
    </w:lvl>
    <w:lvl w:ilvl="6">
      <w:start w:val="1"/>
      <w:numFmt w:val="bullet"/>
      <w:lvlText w:val="•"/>
      <w:lvlJc w:val="left"/>
      <w:pPr>
        <w:ind w:left="5742"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71" w:hanging="361"/>
      </w:pPr>
      <w:rPr>
        <w:rFonts w:hint="default"/>
      </w:rPr>
    </w:lvl>
  </w:abstractNum>
  <w:abstractNum w:abstractNumId="35">
    <w:multiLevelType w:val="hybridMultilevel"/>
    <w:lvl w:ilvl="0">
      <w:start w:val="19"/>
      <w:numFmt w:val="upperLetter"/>
      <w:lvlText w:val="%1"/>
      <w:lvlJc w:val="left"/>
      <w:pPr>
        <w:ind w:left="500" w:hanging="265"/>
        <w:jc w:val="left"/>
      </w:pPr>
      <w:rPr>
        <w:rFonts w:hint="default"/>
      </w:rPr>
    </w:lvl>
    <w:lvl w:ilvl="1">
      <w:start w:val="4"/>
      <w:numFmt w:val="upperLetter"/>
      <w:lvlText w:val="%1.%2"/>
      <w:lvlJc w:val="left"/>
      <w:pPr>
        <w:ind w:left="500" w:hanging="265"/>
        <w:jc w:val="left"/>
      </w:pPr>
      <w:rPr>
        <w:rFonts w:hint="default" w:ascii="Arial" w:hAnsi="Arial" w:eastAsia="Arial" w:cs="Arial"/>
        <w:spacing w:val="-1"/>
        <w:w w:val="98"/>
        <w:sz w:val="16"/>
        <w:szCs w:val="16"/>
      </w:rPr>
    </w:lvl>
    <w:lvl w:ilvl="2">
      <w:start w:val="1"/>
      <w:numFmt w:val="decimal"/>
      <w:lvlText w:val="%3."/>
      <w:lvlJc w:val="left"/>
      <w:pPr>
        <w:ind w:left="917" w:hanging="361"/>
        <w:jc w:val="left"/>
      </w:pPr>
      <w:rPr>
        <w:rFonts w:hint="default" w:ascii="Arial" w:hAnsi="Arial" w:eastAsia="Arial" w:cs="Arial"/>
        <w:spacing w:val="-2"/>
        <w:w w:val="100"/>
        <w:sz w:val="20"/>
        <w:szCs w:val="20"/>
      </w:rPr>
    </w:lvl>
    <w:lvl w:ilvl="3">
      <w:start w:val="1"/>
      <w:numFmt w:val="bullet"/>
      <w:lvlText w:val="•"/>
      <w:lvlJc w:val="left"/>
      <w:pPr>
        <w:ind w:left="2848" w:hanging="361"/>
      </w:pPr>
      <w:rPr>
        <w:rFonts w:hint="default"/>
      </w:rPr>
    </w:lvl>
    <w:lvl w:ilvl="4">
      <w:start w:val="1"/>
      <w:numFmt w:val="bullet"/>
      <w:lvlText w:val="•"/>
      <w:lvlJc w:val="left"/>
      <w:pPr>
        <w:ind w:left="3813" w:hanging="361"/>
      </w:pPr>
      <w:rPr>
        <w:rFonts w:hint="default"/>
      </w:rPr>
    </w:lvl>
    <w:lvl w:ilvl="5">
      <w:start w:val="1"/>
      <w:numFmt w:val="bullet"/>
      <w:lvlText w:val="•"/>
      <w:lvlJc w:val="left"/>
      <w:pPr>
        <w:ind w:left="4777" w:hanging="361"/>
      </w:pPr>
      <w:rPr>
        <w:rFonts w:hint="default"/>
      </w:rPr>
    </w:lvl>
    <w:lvl w:ilvl="6">
      <w:start w:val="1"/>
      <w:numFmt w:val="bullet"/>
      <w:lvlText w:val="•"/>
      <w:lvlJc w:val="left"/>
      <w:pPr>
        <w:ind w:left="5742"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71" w:hanging="361"/>
      </w:pPr>
      <w:rPr>
        <w:rFonts w:hint="default"/>
      </w:rPr>
    </w:lvl>
  </w:abstractNum>
  <w:abstractNum w:abstractNumId="34">
    <w:multiLevelType w:val="hybridMultilevel"/>
    <w:lvl w:ilvl="0">
      <w:start w:val="1"/>
      <w:numFmt w:val="decimal"/>
      <w:lvlText w:val="%1."/>
      <w:lvlJc w:val="left"/>
      <w:pPr>
        <w:ind w:left="618" w:hanging="360"/>
        <w:jc w:val="left"/>
      </w:pPr>
      <w:rPr>
        <w:rFonts w:hint="default" w:ascii="Arial" w:hAnsi="Arial" w:eastAsia="Arial" w:cs="Arial"/>
        <w:b/>
        <w:bCs/>
        <w:w w:val="99"/>
        <w:sz w:val="24"/>
        <w:szCs w:val="24"/>
      </w:rPr>
    </w:lvl>
    <w:lvl w:ilvl="1">
      <w:start w:val="1"/>
      <w:numFmt w:val="bullet"/>
      <w:lvlText w:val="•"/>
      <w:lvlJc w:val="left"/>
      <w:pPr>
        <w:ind w:left="1518" w:hanging="360"/>
      </w:pPr>
      <w:rPr>
        <w:rFonts w:hint="default"/>
      </w:rPr>
    </w:lvl>
    <w:lvl w:ilvl="2">
      <w:start w:val="1"/>
      <w:numFmt w:val="bullet"/>
      <w:lvlText w:val="•"/>
      <w:lvlJc w:val="left"/>
      <w:pPr>
        <w:ind w:left="2416" w:hanging="360"/>
      </w:pPr>
      <w:rPr>
        <w:rFonts w:hint="default"/>
      </w:rPr>
    </w:lvl>
    <w:lvl w:ilvl="3">
      <w:start w:val="1"/>
      <w:numFmt w:val="bullet"/>
      <w:lvlText w:val="•"/>
      <w:lvlJc w:val="left"/>
      <w:pPr>
        <w:ind w:left="3314" w:hanging="360"/>
      </w:pPr>
      <w:rPr>
        <w:rFonts w:hint="default"/>
      </w:rPr>
    </w:lvl>
    <w:lvl w:ilvl="4">
      <w:start w:val="1"/>
      <w:numFmt w:val="bullet"/>
      <w:lvlText w:val="•"/>
      <w:lvlJc w:val="left"/>
      <w:pPr>
        <w:ind w:left="4212"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6008" w:hanging="360"/>
      </w:pPr>
      <w:rPr>
        <w:rFonts w:hint="default"/>
      </w:rPr>
    </w:lvl>
    <w:lvl w:ilvl="7">
      <w:start w:val="1"/>
      <w:numFmt w:val="bullet"/>
      <w:lvlText w:val="•"/>
      <w:lvlJc w:val="left"/>
      <w:pPr>
        <w:ind w:left="6906" w:hanging="360"/>
      </w:pPr>
      <w:rPr>
        <w:rFonts w:hint="default"/>
      </w:rPr>
    </w:lvl>
    <w:lvl w:ilvl="8">
      <w:start w:val="1"/>
      <w:numFmt w:val="bullet"/>
      <w:lvlText w:val="•"/>
      <w:lvlJc w:val="left"/>
      <w:pPr>
        <w:ind w:left="7804" w:hanging="360"/>
      </w:pPr>
      <w:rPr>
        <w:rFonts w:hint="default"/>
      </w:rPr>
    </w:lvl>
  </w:abstractNum>
  <w:abstractNum w:abstractNumId="33">
    <w:multiLevelType w:val="hybridMultilevel"/>
    <w:lvl w:ilvl="0">
      <w:start w:val="8"/>
      <w:numFmt w:val="upperRoman"/>
      <w:lvlText w:val="%1."/>
      <w:lvlJc w:val="left"/>
      <w:pPr>
        <w:ind w:left="3495" w:hanging="1066"/>
        <w:jc w:val="right"/>
      </w:pPr>
      <w:rPr>
        <w:rFonts w:hint="default" w:ascii="Arial" w:hAnsi="Arial" w:eastAsia="Arial" w:cs="Arial"/>
        <w:b/>
        <w:bCs/>
        <w:spacing w:val="-1"/>
        <w:w w:val="99"/>
        <w:sz w:val="52"/>
        <w:szCs w:val="52"/>
      </w:rPr>
    </w:lvl>
    <w:lvl w:ilvl="1">
      <w:start w:val="1"/>
      <w:numFmt w:val="bullet"/>
      <w:lvlText w:val="•"/>
      <w:lvlJc w:val="left"/>
      <w:pPr>
        <w:ind w:left="4110" w:hanging="1066"/>
      </w:pPr>
      <w:rPr>
        <w:rFonts w:hint="default"/>
      </w:rPr>
    </w:lvl>
    <w:lvl w:ilvl="2">
      <w:start w:val="1"/>
      <w:numFmt w:val="bullet"/>
      <w:lvlText w:val="•"/>
      <w:lvlJc w:val="left"/>
      <w:pPr>
        <w:ind w:left="4720" w:hanging="1066"/>
      </w:pPr>
      <w:rPr>
        <w:rFonts w:hint="default"/>
      </w:rPr>
    </w:lvl>
    <w:lvl w:ilvl="3">
      <w:start w:val="1"/>
      <w:numFmt w:val="bullet"/>
      <w:lvlText w:val="•"/>
      <w:lvlJc w:val="left"/>
      <w:pPr>
        <w:ind w:left="5330" w:hanging="1066"/>
      </w:pPr>
      <w:rPr>
        <w:rFonts w:hint="default"/>
      </w:rPr>
    </w:lvl>
    <w:lvl w:ilvl="4">
      <w:start w:val="1"/>
      <w:numFmt w:val="bullet"/>
      <w:lvlText w:val="•"/>
      <w:lvlJc w:val="left"/>
      <w:pPr>
        <w:ind w:left="5940" w:hanging="1066"/>
      </w:pPr>
      <w:rPr>
        <w:rFonts w:hint="default"/>
      </w:rPr>
    </w:lvl>
    <w:lvl w:ilvl="5">
      <w:start w:val="1"/>
      <w:numFmt w:val="bullet"/>
      <w:lvlText w:val="•"/>
      <w:lvlJc w:val="left"/>
      <w:pPr>
        <w:ind w:left="6550" w:hanging="1066"/>
      </w:pPr>
      <w:rPr>
        <w:rFonts w:hint="default"/>
      </w:rPr>
    </w:lvl>
    <w:lvl w:ilvl="6">
      <w:start w:val="1"/>
      <w:numFmt w:val="bullet"/>
      <w:lvlText w:val="•"/>
      <w:lvlJc w:val="left"/>
      <w:pPr>
        <w:ind w:left="7160" w:hanging="1066"/>
      </w:pPr>
      <w:rPr>
        <w:rFonts w:hint="default"/>
      </w:rPr>
    </w:lvl>
    <w:lvl w:ilvl="7">
      <w:start w:val="1"/>
      <w:numFmt w:val="bullet"/>
      <w:lvlText w:val="•"/>
      <w:lvlJc w:val="left"/>
      <w:pPr>
        <w:ind w:left="7770" w:hanging="1066"/>
      </w:pPr>
      <w:rPr>
        <w:rFonts w:hint="default"/>
      </w:rPr>
    </w:lvl>
    <w:lvl w:ilvl="8">
      <w:start w:val="1"/>
      <w:numFmt w:val="bullet"/>
      <w:lvlText w:val="•"/>
      <w:lvlJc w:val="left"/>
      <w:pPr>
        <w:ind w:left="8380" w:hanging="1066"/>
      </w:pPr>
      <w:rPr>
        <w:rFonts w:hint="default"/>
      </w:rPr>
    </w:lvl>
  </w:abstractNum>
  <w:abstractNum w:abstractNumId="32">
    <w:multiLevelType w:val="hybridMultilevel"/>
    <w:lvl w:ilvl="0">
      <w:start w:val="1"/>
      <w:numFmt w:val="bullet"/>
      <w:lvlText w:val=""/>
      <w:lvlJc w:val="left"/>
      <w:pPr>
        <w:ind w:left="917" w:hanging="361"/>
      </w:pPr>
      <w:rPr>
        <w:rFonts w:hint="default" w:ascii="Symbol" w:hAnsi="Symbol" w:eastAsia="Symbol" w:cs="Symbol"/>
        <w:w w:val="100"/>
        <w:sz w:val="24"/>
        <w:szCs w:val="24"/>
      </w:rPr>
    </w:lvl>
    <w:lvl w:ilvl="1">
      <w:start w:val="1"/>
      <w:numFmt w:val="bullet"/>
      <w:lvlText w:val="•"/>
      <w:lvlJc w:val="left"/>
      <w:pPr>
        <w:ind w:left="1788" w:hanging="361"/>
      </w:pPr>
      <w:rPr>
        <w:rFonts w:hint="default"/>
      </w:rPr>
    </w:lvl>
    <w:lvl w:ilvl="2">
      <w:start w:val="1"/>
      <w:numFmt w:val="bullet"/>
      <w:lvlText w:val="•"/>
      <w:lvlJc w:val="left"/>
      <w:pPr>
        <w:ind w:left="2656" w:hanging="361"/>
      </w:pPr>
      <w:rPr>
        <w:rFonts w:hint="default"/>
      </w:rPr>
    </w:lvl>
    <w:lvl w:ilvl="3">
      <w:start w:val="1"/>
      <w:numFmt w:val="bullet"/>
      <w:lvlText w:val="•"/>
      <w:lvlJc w:val="left"/>
      <w:pPr>
        <w:ind w:left="3524" w:hanging="361"/>
      </w:pPr>
      <w:rPr>
        <w:rFonts w:hint="default"/>
      </w:rPr>
    </w:lvl>
    <w:lvl w:ilvl="4">
      <w:start w:val="1"/>
      <w:numFmt w:val="bullet"/>
      <w:lvlText w:val="•"/>
      <w:lvlJc w:val="left"/>
      <w:pPr>
        <w:ind w:left="4392" w:hanging="361"/>
      </w:pPr>
      <w:rPr>
        <w:rFonts w:hint="default"/>
      </w:rPr>
    </w:lvl>
    <w:lvl w:ilvl="5">
      <w:start w:val="1"/>
      <w:numFmt w:val="bullet"/>
      <w:lvlText w:val="•"/>
      <w:lvlJc w:val="left"/>
      <w:pPr>
        <w:ind w:left="5260" w:hanging="361"/>
      </w:pPr>
      <w:rPr>
        <w:rFonts w:hint="default"/>
      </w:rPr>
    </w:lvl>
    <w:lvl w:ilvl="6">
      <w:start w:val="1"/>
      <w:numFmt w:val="bullet"/>
      <w:lvlText w:val="•"/>
      <w:lvlJc w:val="left"/>
      <w:pPr>
        <w:ind w:left="6128" w:hanging="361"/>
      </w:pPr>
      <w:rPr>
        <w:rFonts w:hint="default"/>
      </w:rPr>
    </w:lvl>
    <w:lvl w:ilvl="7">
      <w:start w:val="1"/>
      <w:numFmt w:val="bullet"/>
      <w:lvlText w:val="•"/>
      <w:lvlJc w:val="left"/>
      <w:pPr>
        <w:ind w:left="6996" w:hanging="361"/>
      </w:pPr>
      <w:rPr>
        <w:rFonts w:hint="default"/>
      </w:rPr>
    </w:lvl>
    <w:lvl w:ilvl="8">
      <w:start w:val="1"/>
      <w:numFmt w:val="bullet"/>
      <w:lvlText w:val="•"/>
      <w:lvlJc w:val="left"/>
      <w:pPr>
        <w:ind w:left="7864" w:hanging="361"/>
      </w:pPr>
      <w:rPr>
        <w:rFonts w:hint="default"/>
      </w:rPr>
    </w:lvl>
  </w:abstractNum>
  <w:abstractNum w:abstractNumId="31">
    <w:multiLevelType w:val="hybridMultilevel"/>
    <w:lvl w:ilvl="0">
      <w:start w:val="3"/>
      <w:numFmt w:val="decimal"/>
      <w:lvlText w:val="%1"/>
      <w:lvlJc w:val="left"/>
      <w:pPr>
        <w:ind w:left="921" w:hanging="606"/>
        <w:jc w:val="left"/>
      </w:pPr>
      <w:rPr>
        <w:rFonts w:hint="default"/>
      </w:rPr>
    </w:lvl>
    <w:lvl w:ilvl="1">
      <w:start w:val="4"/>
      <w:numFmt w:val="decimal"/>
      <w:lvlText w:val="%1.%2"/>
      <w:lvlJc w:val="left"/>
      <w:pPr>
        <w:ind w:left="921" w:hanging="606"/>
        <w:jc w:val="left"/>
      </w:pPr>
      <w:rPr>
        <w:rFonts w:hint="default"/>
      </w:rPr>
    </w:lvl>
    <w:lvl w:ilvl="2">
      <w:start w:val="1"/>
      <w:numFmt w:val="decimal"/>
      <w:lvlText w:val="%1.%2.%3"/>
      <w:lvlJc w:val="left"/>
      <w:pPr>
        <w:ind w:left="921" w:hanging="606"/>
        <w:jc w:val="right"/>
      </w:pPr>
      <w:rPr>
        <w:rFonts w:hint="default" w:ascii="Arial" w:hAnsi="Arial" w:eastAsia="Arial" w:cs="Arial"/>
        <w:b/>
        <w:bCs/>
        <w:w w:val="99"/>
        <w:sz w:val="24"/>
        <w:szCs w:val="24"/>
      </w:rPr>
    </w:lvl>
    <w:lvl w:ilvl="3">
      <w:start w:val="1"/>
      <w:numFmt w:val="bullet"/>
      <w:lvlText w:val="•"/>
      <w:lvlJc w:val="left"/>
      <w:pPr>
        <w:ind w:left="3560" w:hanging="606"/>
      </w:pPr>
      <w:rPr>
        <w:rFonts w:hint="default"/>
      </w:rPr>
    </w:lvl>
    <w:lvl w:ilvl="4">
      <w:start w:val="1"/>
      <w:numFmt w:val="bullet"/>
      <w:lvlText w:val="•"/>
      <w:lvlJc w:val="left"/>
      <w:pPr>
        <w:ind w:left="4440" w:hanging="606"/>
      </w:pPr>
      <w:rPr>
        <w:rFonts w:hint="default"/>
      </w:rPr>
    </w:lvl>
    <w:lvl w:ilvl="5">
      <w:start w:val="1"/>
      <w:numFmt w:val="bullet"/>
      <w:lvlText w:val="•"/>
      <w:lvlJc w:val="left"/>
      <w:pPr>
        <w:ind w:left="5320" w:hanging="606"/>
      </w:pPr>
      <w:rPr>
        <w:rFonts w:hint="default"/>
      </w:rPr>
    </w:lvl>
    <w:lvl w:ilvl="6">
      <w:start w:val="1"/>
      <w:numFmt w:val="bullet"/>
      <w:lvlText w:val="•"/>
      <w:lvlJc w:val="left"/>
      <w:pPr>
        <w:ind w:left="6200" w:hanging="606"/>
      </w:pPr>
      <w:rPr>
        <w:rFonts w:hint="default"/>
      </w:rPr>
    </w:lvl>
    <w:lvl w:ilvl="7">
      <w:start w:val="1"/>
      <w:numFmt w:val="bullet"/>
      <w:lvlText w:val="•"/>
      <w:lvlJc w:val="left"/>
      <w:pPr>
        <w:ind w:left="7080" w:hanging="606"/>
      </w:pPr>
      <w:rPr>
        <w:rFonts w:hint="default"/>
      </w:rPr>
    </w:lvl>
    <w:lvl w:ilvl="8">
      <w:start w:val="1"/>
      <w:numFmt w:val="bullet"/>
      <w:lvlText w:val="•"/>
      <w:lvlJc w:val="left"/>
      <w:pPr>
        <w:ind w:left="7960" w:hanging="606"/>
      </w:pPr>
      <w:rPr>
        <w:rFonts w:hint="default"/>
      </w:rPr>
    </w:lvl>
  </w:abstractNum>
  <w:abstractNum w:abstractNumId="30">
    <w:multiLevelType w:val="hybridMultilevel"/>
    <w:lvl w:ilvl="0">
      <w:start w:val="1"/>
      <w:numFmt w:val="decimal"/>
      <w:lvlText w:val="%1"/>
      <w:lvlJc w:val="left"/>
      <w:pPr>
        <w:ind w:left="256" w:hanging="212"/>
        <w:jc w:val="left"/>
      </w:pPr>
      <w:rPr>
        <w:rFonts w:hint="default" w:ascii="Arial" w:hAnsi="Arial" w:eastAsia="Arial" w:cs="Arial"/>
        <w:w w:val="99"/>
        <w:sz w:val="24"/>
        <w:szCs w:val="24"/>
      </w:rPr>
    </w:lvl>
    <w:lvl w:ilvl="1">
      <w:start w:val="1"/>
      <w:numFmt w:val="bullet"/>
      <w:lvlText w:val="•"/>
      <w:lvlJc w:val="left"/>
      <w:pPr>
        <w:ind w:left="1200" w:hanging="212"/>
      </w:pPr>
      <w:rPr>
        <w:rFonts w:hint="default"/>
      </w:rPr>
    </w:lvl>
    <w:lvl w:ilvl="2">
      <w:start w:val="1"/>
      <w:numFmt w:val="bullet"/>
      <w:lvlText w:val="•"/>
      <w:lvlJc w:val="left"/>
      <w:pPr>
        <w:ind w:left="2140" w:hanging="212"/>
      </w:pPr>
      <w:rPr>
        <w:rFonts w:hint="default"/>
      </w:rPr>
    </w:lvl>
    <w:lvl w:ilvl="3">
      <w:start w:val="1"/>
      <w:numFmt w:val="bullet"/>
      <w:lvlText w:val="•"/>
      <w:lvlJc w:val="left"/>
      <w:pPr>
        <w:ind w:left="3080" w:hanging="212"/>
      </w:pPr>
      <w:rPr>
        <w:rFonts w:hint="default"/>
      </w:rPr>
    </w:lvl>
    <w:lvl w:ilvl="4">
      <w:start w:val="1"/>
      <w:numFmt w:val="bullet"/>
      <w:lvlText w:val="•"/>
      <w:lvlJc w:val="left"/>
      <w:pPr>
        <w:ind w:left="4020" w:hanging="212"/>
      </w:pPr>
      <w:rPr>
        <w:rFonts w:hint="default"/>
      </w:rPr>
    </w:lvl>
    <w:lvl w:ilvl="5">
      <w:start w:val="1"/>
      <w:numFmt w:val="bullet"/>
      <w:lvlText w:val="•"/>
      <w:lvlJc w:val="left"/>
      <w:pPr>
        <w:ind w:left="4960" w:hanging="212"/>
      </w:pPr>
      <w:rPr>
        <w:rFonts w:hint="default"/>
      </w:rPr>
    </w:lvl>
    <w:lvl w:ilvl="6">
      <w:start w:val="1"/>
      <w:numFmt w:val="bullet"/>
      <w:lvlText w:val="•"/>
      <w:lvlJc w:val="left"/>
      <w:pPr>
        <w:ind w:left="5900" w:hanging="212"/>
      </w:pPr>
      <w:rPr>
        <w:rFonts w:hint="default"/>
      </w:rPr>
    </w:lvl>
    <w:lvl w:ilvl="7">
      <w:start w:val="1"/>
      <w:numFmt w:val="bullet"/>
      <w:lvlText w:val="•"/>
      <w:lvlJc w:val="left"/>
      <w:pPr>
        <w:ind w:left="6840" w:hanging="212"/>
      </w:pPr>
      <w:rPr>
        <w:rFonts w:hint="default"/>
      </w:rPr>
    </w:lvl>
    <w:lvl w:ilvl="8">
      <w:start w:val="1"/>
      <w:numFmt w:val="bullet"/>
      <w:lvlText w:val="•"/>
      <w:lvlJc w:val="left"/>
      <w:pPr>
        <w:ind w:left="7780" w:hanging="212"/>
      </w:pPr>
      <w:rPr>
        <w:rFonts w:hint="default"/>
      </w:rPr>
    </w:lvl>
  </w:abstractNum>
  <w:abstractNum w:abstractNumId="29">
    <w:multiLevelType w:val="hybridMultilevel"/>
    <w:lvl w:ilvl="0">
      <w:start w:val="1"/>
      <w:numFmt w:val="decimal"/>
      <w:lvlText w:val="%1"/>
      <w:lvlJc w:val="left"/>
      <w:pPr>
        <w:ind w:left="196" w:hanging="201"/>
        <w:jc w:val="left"/>
      </w:pPr>
      <w:rPr>
        <w:rFonts w:hint="default" w:ascii="Arial" w:hAnsi="Arial" w:eastAsia="Arial" w:cs="Arial"/>
        <w:w w:val="99"/>
        <w:sz w:val="24"/>
        <w:szCs w:val="24"/>
      </w:rPr>
    </w:lvl>
    <w:lvl w:ilvl="1">
      <w:start w:val="1"/>
      <w:numFmt w:val="bullet"/>
      <w:lvlText w:val="•"/>
      <w:lvlJc w:val="left"/>
      <w:pPr>
        <w:ind w:left="1140" w:hanging="201"/>
      </w:pPr>
      <w:rPr>
        <w:rFonts w:hint="default"/>
      </w:rPr>
    </w:lvl>
    <w:lvl w:ilvl="2">
      <w:start w:val="1"/>
      <w:numFmt w:val="bullet"/>
      <w:lvlText w:val="•"/>
      <w:lvlJc w:val="left"/>
      <w:pPr>
        <w:ind w:left="2080" w:hanging="201"/>
      </w:pPr>
      <w:rPr>
        <w:rFonts w:hint="default"/>
      </w:rPr>
    </w:lvl>
    <w:lvl w:ilvl="3">
      <w:start w:val="1"/>
      <w:numFmt w:val="bullet"/>
      <w:lvlText w:val="•"/>
      <w:lvlJc w:val="left"/>
      <w:pPr>
        <w:ind w:left="3020" w:hanging="201"/>
      </w:pPr>
      <w:rPr>
        <w:rFonts w:hint="default"/>
      </w:rPr>
    </w:lvl>
    <w:lvl w:ilvl="4">
      <w:start w:val="1"/>
      <w:numFmt w:val="bullet"/>
      <w:lvlText w:val="•"/>
      <w:lvlJc w:val="left"/>
      <w:pPr>
        <w:ind w:left="3960" w:hanging="201"/>
      </w:pPr>
      <w:rPr>
        <w:rFonts w:hint="default"/>
      </w:rPr>
    </w:lvl>
    <w:lvl w:ilvl="5">
      <w:start w:val="1"/>
      <w:numFmt w:val="bullet"/>
      <w:lvlText w:val="•"/>
      <w:lvlJc w:val="left"/>
      <w:pPr>
        <w:ind w:left="4900" w:hanging="201"/>
      </w:pPr>
      <w:rPr>
        <w:rFonts w:hint="default"/>
      </w:rPr>
    </w:lvl>
    <w:lvl w:ilvl="6">
      <w:start w:val="1"/>
      <w:numFmt w:val="bullet"/>
      <w:lvlText w:val="•"/>
      <w:lvlJc w:val="left"/>
      <w:pPr>
        <w:ind w:left="5840" w:hanging="201"/>
      </w:pPr>
      <w:rPr>
        <w:rFonts w:hint="default"/>
      </w:rPr>
    </w:lvl>
    <w:lvl w:ilvl="7">
      <w:start w:val="1"/>
      <w:numFmt w:val="bullet"/>
      <w:lvlText w:val="•"/>
      <w:lvlJc w:val="left"/>
      <w:pPr>
        <w:ind w:left="6780" w:hanging="201"/>
      </w:pPr>
      <w:rPr>
        <w:rFonts w:hint="default"/>
      </w:rPr>
    </w:lvl>
    <w:lvl w:ilvl="8">
      <w:start w:val="1"/>
      <w:numFmt w:val="bullet"/>
      <w:lvlText w:val="•"/>
      <w:lvlJc w:val="left"/>
      <w:pPr>
        <w:ind w:left="7720" w:hanging="201"/>
      </w:pPr>
      <w:rPr>
        <w:rFonts w:hint="default"/>
      </w:rPr>
    </w:lvl>
  </w:abstractNum>
  <w:abstractNum w:abstractNumId="28">
    <w:multiLevelType w:val="hybridMultilevel"/>
    <w:lvl w:ilvl="0">
      <w:start w:val="1"/>
      <w:numFmt w:val="decimal"/>
      <w:lvlText w:val="%1"/>
      <w:lvlJc w:val="left"/>
      <w:pPr>
        <w:ind w:left="196" w:hanging="240"/>
        <w:jc w:val="left"/>
      </w:pPr>
      <w:rPr>
        <w:rFonts w:hint="default" w:ascii="Arial" w:hAnsi="Arial" w:eastAsia="Arial" w:cs="Arial"/>
        <w:w w:val="99"/>
        <w:sz w:val="24"/>
        <w:szCs w:val="24"/>
      </w:rPr>
    </w:lvl>
    <w:lvl w:ilvl="1">
      <w:start w:val="1"/>
      <w:numFmt w:val="bullet"/>
      <w:lvlText w:val="•"/>
      <w:lvlJc w:val="left"/>
      <w:pPr>
        <w:ind w:left="1140" w:hanging="240"/>
      </w:pPr>
      <w:rPr>
        <w:rFonts w:hint="default"/>
      </w:rPr>
    </w:lvl>
    <w:lvl w:ilvl="2">
      <w:start w:val="1"/>
      <w:numFmt w:val="bullet"/>
      <w:lvlText w:val="•"/>
      <w:lvlJc w:val="left"/>
      <w:pPr>
        <w:ind w:left="2080" w:hanging="240"/>
      </w:pPr>
      <w:rPr>
        <w:rFonts w:hint="default"/>
      </w:rPr>
    </w:lvl>
    <w:lvl w:ilvl="3">
      <w:start w:val="1"/>
      <w:numFmt w:val="bullet"/>
      <w:lvlText w:val="•"/>
      <w:lvlJc w:val="left"/>
      <w:pPr>
        <w:ind w:left="3020" w:hanging="240"/>
      </w:pPr>
      <w:rPr>
        <w:rFonts w:hint="default"/>
      </w:rPr>
    </w:lvl>
    <w:lvl w:ilvl="4">
      <w:start w:val="1"/>
      <w:numFmt w:val="bullet"/>
      <w:lvlText w:val="•"/>
      <w:lvlJc w:val="left"/>
      <w:pPr>
        <w:ind w:left="3960" w:hanging="240"/>
      </w:pPr>
      <w:rPr>
        <w:rFonts w:hint="default"/>
      </w:rPr>
    </w:lvl>
    <w:lvl w:ilvl="5">
      <w:start w:val="1"/>
      <w:numFmt w:val="bullet"/>
      <w:lvlText w:val="•"/>
      <w:lvlJc w:val="left"/>
      <w:pPr>
        <w:ind w:left="4900" w:hanging="240"/>
      </w:pPr>
      <w:rPr>
        <w:rFonts w:hint="default"/>
      </w:rPr>
    </w:lvl>
    <w:lvl w:ilvl="6">
      <w:start w:val="1"/>
      <w:numFmt w:val="bullet"/>
      <w:lvlText w:val="•"/>
      <w:lvlJc w:val="left"/>
      <w:pPr>
        <w:ind w:left="5840" w:hanging="240"/>
      </w:pPr>
      <w:rPr>
        <w:rFonts w:hint="default"/>
      </w:rPr>
    </w:lvl>
    <w:lvl w:ilvl="7">
      <w:start w:val="1"/>
      <w:numFmt w:val="bullet"/>
      <w:lvlText w:val="•"/>
      <w:lvlJc w:val="left"/>
      <w:pPr>
        <w:ind w:left="6780" w:hanging="240"/>
      </w:pPr>
      <w:rPr>
        <w:rFonts w:hint="default"/>
      </w:rPr>
    </w:lvl>
    <w:lvl w:ilvl="8">
      <w:start w:val="1"/>
      <w:numFmt w:val="bullet"/>
      <w:lvlText w:val="•"/>
      <w:lvlJc w:val="left"/>
      <w:pPr>
        <w:ind w:left="7720" w:hanging="240"/>
      </w:pPr>
      <w:rPr>
        <w:rFonts w:hint="default"/>
      </w:rPr>
    </w:lvl>
  </w:abstractNum>
  <w:abstractNum w:abstractNumId="27">
    <w:multiLevelType w:val="hybridMultilevel"/>
    <w:lvl w:ilvl="0">
      <w:start w:val="1"/>
      <w:numFmt w:val="decimal"/>
      <w:lvlText w:val="%1"/>
      <w:lvlJc w:val="left"/>
      <w:pPr>
        <w:ind w:left="216" w:hanging="201"/>
        <w:jc w:val="left"/>
      </w:pPr>
      <w:rPr>
        <w:rFonts w:hint="default" w:ascii="Arial" w:hAnsi="Arial" w:eastAsia="Arial" w:cs="Arial"/>
        <w:w w:val="99"/>
        <w:sz w:val="24"/>
        <w:szCs w:val="24"/>
      </w:rPr>
    </w:lvl>
    <w:lvl w:ilvl="1">
      <w:start w:val="1"/>
      <w:numFmt w:val="bullet"/>
      <w:lvlText w:val="•"/>
      <w:lvlJc w:val="left"/>
      <w:pPr>
        <w:ind w:left="1160" w:hanging="201"/>
      </w:pPr>
      <w:rPr>
        <w:rFonts w:hint="default"/>
      </w:rPr>
    </w:lvl>
    <w:lvl w:ilvl="2">
      <w:start w:val="1"/>
      <w:numFmt w:val="bullet"/>
      <w:lvlText w:val="•"/>
      <w:lvlJc w:val="left"/>
      <w:pPr>
        <w:ind w:left="2100" w:hanging="201"/>
      </w:pPr>
      <w:rPr>
        <w:rFonts w:hint="default"/>
      </w:rPr>
    </w:lvl>
    <w:lvl w:ilvl="3">
      <w:start w:val="1"/>
      <w:numFmt w:val="bullet"/>
      <w:lvlText w:val="•"/>
      <w:lvlJc w:val="left"/>
      <w:pPr>
        <w:ind w:left="3040" w:hanging="201"/>
      </w:pPr>
      <w:rPr>
        <w:rFonts w:hint="default"/>
      </w:rPr>
    </w:lvl>
    <w:lvl w:ilvl="4">
      <w:start w:val="1"/>
      <w:numFmt w:val="bullet"/>
      <w:lvlText w:val="•"/>
      <w:lvlJc w:val="left"/>
      <w:pPr>
        <w:ind w:left="3980" w:hanging="201"/>
      </w:pPr>
      <w:rPr>
        <w:rFonts w:hint="default"/>
      </w:rPr>
    </w:lvl>
    <w:lvl w:ilvl="5">
      <w:start w:val="1"/>
      <w:numFmt w:val="bullet"/>
      <w:lvlText w:val="•"/>
      <w:lvlJc w:val="left"/>
      <w:pPr>
        <w:ind w:left="4920" w:hanging="201"/>
      </w:pPr>
      <w:rPr>
        <w:rFonts w:hint="default"/>
      </w:rPr>
    </w:lvl>
    <w:lvl w:ilvl="6">
      <w:start w:val="1"/>
      <w:numFmt w:val="bullet"/>
      <w:lvlText w:val="•"/>
      <w:lvlJc w:val="left"/>
      <w:pPr>
        <w:ind w:left="5860" w:hanging="201"/>
      </w:pPr>
      <w:rPr>
        <w:rFonts w:hint="default"/>
      </w:rPr>
    </w:lvl>
    <w:lvl w:ilvl="7">
      <w:start w:val="1"/>
      <w:numFmt w:val="bullet"/>
      <w:lvlText w:val="•"/>
      <w:lvlJc w:val="left"/>
      <w:pPr>
        <w:ind w:left="6800" w:hanging="201"/>
      </w:pPr>
      <w:rPr>
        <w:rFonts w:hint="default"/>
      </w:rPr>
    </w:lvl>
    <w:lvl w:ilvl="8">
      <w:start w:val="1"/>
      <w:numFmt w:val="bullet"/>
      <w:lvlText w:val="•"/>
      <w:lvlJc w:val="left"/>
      <w:pPr>
        <w:ind w:left="7740" w:hanging="201"/>
      </w:pPr>
      <w:rPr>
        <w:rFonts w:hint="default"/>
      </w:rPr>
    </w:lvl>
  </w:abstractNum>
  <w:abstractNum w:abstractNumId="26">
    <w:multiLevelType w:val="hybridMultilevel"/>
    <w:lvl w:ilvl="0">
      <w:start w:val="1"/>
      <w:numFmt w:val="lowerLetter"/>
      <w:lvlText w:val="%1)"/>
      <w:lvlJc w:val="left"/>
      <w:pPr>
        <w:ind w:left="105" w:hanging="308"/>
        <w:jc w:val="left"/>
      </w:pPr>
      <w:rPr>
        <w:rFonts w:hint="default" w:ascii="Arial" w:hAnsi="Arial" w:eastAsia="Arial" w:cs="Arial"/>
        <w:spacing w:val="-2"/>
        <w:w w:val="100"/>
        <w:sz w:val="20"/>
        <w:szCs w:val="20"/>
      </w:rPr>
    </w:lvl>
    <w:lvl w:ilvl="1">
      <w:start w:val="1"/>
      <w:numFmt w:val="bullet"/>
      <w:lvlText w:val="•"/>
      <w:lvlJc w:val="left"/>
      <w:pPr>
        <w:ind w:left="246" w:hanging="308"/>
      </w:pPr>
      <w:rPr>
        <w:rFonts w:hint="default"/>
      </w:rPr>
    </w:lvl>
    <w:lvl w:ilvl="2">
      <w:start w:val="1"/>
      <w:numFmt w:val="bullet"/>
      <w:lvlText w:val="•"/>
      <w:lvlJc w:val="left"/>
      <w:pPr>
        <w:ind w:left="393" w:hanging="308"/>
      </w:pPr>
      <w:rPr>
        <w:rFonts w:hint="default"/>
      </w:rPr>
    </w:lvl>
    <w:lvl w:ilvl="3">
      <w:start w:val="1"/>
      <w:numFmt w:val="bullet"/>
      <w:lvlText w:val="•"/>
      <w:lvlJc w:val="left"/>
      <w:pPr>
        <w:ind w:left="539" w:hanging="308"/>
      </w:pPr>
      <w:rPr>
        <w:rFonts w:hint="default"/>
      </w:rPr>
    </w:lvl>
    <w:lvl w:ilvl="4">
      <w:start w:val="1"/>
      <w:numFmt w:val="bullet"/>
      <w:lvlText w:val="•"/>
      <w:lvlJc w:val="left"/>
      <w:pPr>
        <w:ind w:left="686" w:hanging="308"/>
      </w:pPr>
      <w:rPr>
        <w:rFonts w:hint="default"/>
      </w:rPr>
    </w:lvl>
    <w:lvl w:ilvl="5">
      <w:start w:val="1"/>
      <w:numFmt w:val="bullet"/>
      <w:lvlText w:val="•"/>
      <w:lvlJc w:val="left"/>
      <w:pPr>
        <w:ind w:left="832" w:hanging="308"/>
      </w:pPr>
      <w:rPr>
        <w:rFonts w:hint="default"/>
      </w:rPr>
    </w:lvl>
    <w:lvl w:ilvl="6">
      <w:start w:val="1"/>
      <w:numFmt w:val="bullet"/>
      <w:lvlText w:val="•"/>
      <w:lvlJc w:val="left"/>
      <w:pPr>
        <w:ind w:left="979" w:hanging="308"/>
      </w:pPr>
      <w:rPr>
        <w:rFonts w:hint="default"/>
      </w:rPr>
    </w:lvl>
    <w:lvl w:ilvl="7">
      <w:start w:val="1"/>
      <w:numFmt w:val="bullet"/>
      <w:lvlText w:val="•"/>
      <w:lvlJc w:val="left"/>
      <w:pPr>
        <w:ind w:left="1125" w:hanging="308"/>
      </w:pPr>
      <w:rPr>
        <w:rFonts w:hint="default"/>
      </w:rPr>
    </w:lvl>
    <w:lvl w:ilvl="8">
      <w:start w:val="1"/>
      <w:numFmt w:val="bullet"/>
      <w:lvlText w:val="•"/>
      <w:lvlJc w:val="left"/>
      <w:pPr>
        <w:ind w:left="1272" w:hanging="308"/>
      </w:pPr>
      <w:rPr>
        <w:rFonts w:hint="default"/>
      </w:rPr>
    </w:lvl>
  </w:abstractNum>
  <w:abstractNum w:abstractNumId="25">
    <w:multiLevelType w:val="hybridMultilevel"/>
    <w:lvl w:ilvl="0">
      <w:start w:val="1"/>
      <w:numFmt w:val="decimal"/>
      <w:lvlText w:val="%1)"/>
      <w:lvlJc w:val="left"/>
      <w:pPr>
        <w:ind w:left="105" w:hanging="894"/>
        <w:jc w:val="left"/>
      </w:pPr>
      <w:rPr>
        <w:rFonts w:hint="default" w:ascii="Arial" w:hAnsi="Arial" w:eastAsia="Arial" w:cs="Arial"/>
        <w:spacing w:val="-2"/>
        <w:w w:val="100"/>
        <w:sz w:val="20"/>
        <w:szCs w:val="20"/>
      </w:rPr>
    </w:lvl>
    <w:lvl w:ilvl="1">
      <w:start w:val="1"/>
      <w:numFmt w:val="bullet"/>
      <w:lvlText w:val="•"/>
      <w:lvlJc w:val="left"/>
      <w:pPr>
        <w:ind w:left="246" w:hanging="894"/>
      </w:pPr>
      <w:rPr>
        <w:rFonts w:hint="default"/>
      </w:rPr>
    </w:lvl>
    <w:lvl w:ilvl="2">
      <w:start w:val="1"/>
      <w:numFmt w:val="bullet"/>
      <w:lvlText w:val="•"/>
      <w:lvlJc w:val="left"/>
      <w:pPr>
        <w:ind w:left="393" w:hanging="894"/>
      </w:pPr>
      <w:rPr>
        <w:rFonts w:hint="default"/>
      </w:rPr>
    </w:lvl>
    <w:lvl w:ilvl="3">
      <w:start w:val="1"/>
      <w:numFmt w:val="bullet"/>
      <w:lvlText w:val="•"/>
      <w:lvlJc w:val="left"/>
      <w:pPr>
        <w:ind w:left="539" w:hanging="894"/>
      </w:pPr>
      <w:rPr>
        <w:rFonts w:hint="default"/>
      </w:rPr>
    </w:lvl>
    <w:lvl w:ilvl="4">
      <w:start w:val="1"/>
      <w:numFmt w:val="bullet"/>
      <w:lvlText w:val="•"/>
      <w:lvlJc w:val="left"/>
      <w:pPr>
        <w:ind w:left="686" w:hanging="894"/>
      </w:pPr>
      <w:rPr>
        <w:rFonts w:hint="default"/>
      </w:rPr>
    </w:lvl>
    <w:lvl w:ilvl="5">
      <w:start w:val="1"/>
      <w:numFmt w:val="bullet"/>
      <w:lvlText w:val="•"/>
      <w:lvlJc w:val="left"/>
      <w:pPr>
        <w:ind w:left="832" w:hanging="894"/>
      </w:pPr>
      <w:rPr>
        <w:rFonts w:hint="default"/>
      </w:rPr>
    </w:lvl>
    <w:lvl w:ilvl="6">
      <w:start w:val="1"/>
      <w:numFmt w:val="bullet"/>
      <w:lvlText w:val="•"/>
      <w:lvlJc w:val="left"/>
      <w:pPr>
        <w:ind w:left="979" w:hanging="894"/>
      </w:pPr>
      <w:rPr>
        <w:rFonts w:hint="default"/>
      </w:rPr>
    </w:lvl>
    <w:lvl w:ilvl="7">
      <w:start w:val="1"/>
      <w:numFmt w:val="bullet"/>
      <w:lvlText w:val="•"/>
      <w:lvlJc w:val="left"/>
      <w:pPr>
        <w:ind w:left="1125" w:hanging="894"/>
      </w:pPr>
      <w:rPr>
        <w:rFonts w:hint="default"/>
      </w:rPr>
    </w:lvl>
    <w:lvl w:ilvl="8">
      <w:start w:val="1"/>
      <w:numFmt w:val="bullet"/>
      <w:lvlText w:val="•"/>
      <w:lvlJc w:val="left"/>
      <w:pPr>
        <w:ind w:left="1272" w:hanging="894"/>
      </w:pPr>
      <w:rPr>
        <w:rFonts w:hint="default"/>
      </w:rPr>
    </w:lvl>
  </w:abstractNum>
  <w:abstractNum w:abstractNumId="24">
    <w:multiLevelType w:val="hybridMultilevel"/>
    <w:lvl w:ilvl="0">
      <w:start w:val="1"/>
      <w:numFmt w:val="decimal"/>
      <w:lvlText w:val="%1)"/>
      <w:lvlJc w:val="left"/>
      <w:pPr>
        <w:ind w:left="105" w:hanging="524"/>
        <w:jc w:val="left"/>
      </w:pPr>
      <w:rPr>
        <w:rFonts w:hint="default" w:ascii="Arial" w:hAnsi="Arial" w:eastAsia="Arial" w:cs="Arial"/>
        <w:spacing w:val="-2"/>
        <w:w w:val="100"/>
        <w:sz w:val="20"/>
        <w:szCs w:val="20"/>
      </w:rPr>
    </w:lvl>
    <w:lvl w:ilvl="1">
      <w:start w:val="1"/>
      <w:numFmt w:val="bullet"/>
      <w:lvlText w:val="•"/>
      <w:lvlJc w:val="left"/>
      <w:pPr>
        <w:ind w:left="246" w:hanging="524"/>
      </w:pPr>
      <w:rPr>
        <w:rFonts w:hint="default"/>
      </w:rPr>
    </w:lvl>
    <w:lvl w:ilvl="2">
      <w:start w:val="1"/>
      <w:numFmt w:val="bullet"/>
      <w:lvlText w:val="•"/>
      <w:lvlJc w:val="left"/>
      <w:pPr>
        <w:ind w:left="393" w:hanging="524"/>
      </w:pPr>
      <w:rPr>
        <w:rFonts w:hint="default"/>
      </w:rPr>
    </w:lvl>
    <w:lvl w:ilvl="3">
      <w:start w:val="1"/>
      <w:numFmt w:val="bullet"/>
      <w:lvlText w:val="•"/>
      <w:lvlJc w:val="left"/>
      <w:pPr>
        <w:ind w:left="539" w:hanging="524"/>
      </w:pPr>
      <w:rPr>
        <w:rFonts w:hint="default"/>
      </w:rPr>
    </w:lvl>
    <w:lvl w:ilvl="4">
      <w:start w:val="1"/>
      <w:numFmt w:val="bullet"/>
      <w:lvlText w:val="•"/>
      <w:lvlJc w:val="left"/>
      <w:pPr>
        <w:ind w:left="686" w:hanging="524"/>
      </w:pPr>
      <w:rPr>
        <w:rFonts w:hint="default"/>
      </w:rPr>
    </w:lvl>
    <w:lvl w:ilvl="5">
      <w:start w:val="1"/>
      <w:numFmt w:val="bullet"/>
      <w:lvlText w:val="•"/>
      <w:lvlJc w:val="left"/>
      <w:pPr>
        <w:ind w:left="832" w:hanging="524"/>
      </w:pPr>
      <w:rPr>
        <w:rFonts w:hint="default"/>
      </w:rPr>
    </w:lvl>
    <w:lvl w:ilvl="6">
      <w:start w:val="1"/>
      <w:numFmt w:val="bullet"/>
      <w:lvlText w:val="•"/>
      <w:lvlJc w:val="left"/>
      <w:pPr>
        <w:ind w:left="979" w:hanging="524"/>
      </w:pPr>
      <w:rPr>
        <w:rFonts w:hint="default"/>
      </w:rPr>
    </w:lvl>
    <w:lvl w:ilvl="7">
      <w:start w:val="1"/>
      <w:numFmt w:val="bullet"/>
      <w:lvlText w:val="•"/>
      <w:lvlJc w:val="left"/>
      <w:pPr>
        <w:ind w:left="1125" w:hanging="524"/>
      </w:pPr>
      <w:rPr>
        <w:rFonts w:hint="default"/>
      </w:rPr>
    </w:lvl>
    <w:lvl w:ilvl="8">
      <w:start w:val="1"/>
      <w:numFmt w:val="bullet"/>
      <w:lvlText w:val="•"/>
      <w:lvlJc w:val="left"/>
      <w:pPr>
        <w:ind w:left="1272" w:hanging="524"/>
      </w:pPr>
      <w:rPr>
        <w:rFonts w:hint="default"/>
      </w:rPr>
    </w:lvl>
  </w:abstractNum>
  <w:abstractNum w:abstractNumId="23">
    <w:multiLevelType w:val="hybridMultilevel"/>
    <w:lvl w:ilvl="0">
      <w:start w:val="5"/>
      <w:numFmt w:val="decimal"/>
      <w:lvlText w:val="%1)"/>
      <w:lvlJc w:val="left"/>
      <w:pPr>
        <w:ind w:left="340" w:hanging="236"/>
        <w:jc w:val="left"/>
      </w:pPr>
      <w:rPr>
        <w:rFonts w:hint="default" w:ascii="Arial" w:hAnsi="Arial" w:eastAsia="Arial" w:cs="Arial"/>
        <w:spacing w:val="-2"/>
        <w:w w:val="100"/>
        <w:sz w:val="20"/>
        <w:szCs w:val="20"/>
      </w:rPr>
    </w:lvl>
    <w:lvl w:ilvl="1">
      <w:start w:val="1"/>
      <w:numFmt w:val="bullet"/>
      <w:lvlText w:val="•"/>
      <w:lvlJc w:val="left"/>
      <w:pPr>
        <w:ind w:left="462" w:hanging="236"/>
      </w:pPr>
      <w:rPr>
        <w:rFonts w:hint="default"/>
      </w:rPr>
    </w:lvl>
    <w:lvl w:ilvl="2">
      <w:start w:val="1"/>
      <w:numFmt w:val="bullet"/>
      <w:lvlText w:val="•"/>
      <w:lvlJc w:val="left"/>
      <w:pPr>
        <w:ind w:left="585" w:hanging="236"/>
      </w:pPr>
      <w:rPr>
        <w:rFonts w:hint="default"/>
      </w:rPr>
    </w:lvl>
    <w:lvl w:ilvl="3">
      <w:start w:val="1"/>
      <w:numFmt w:val="bullet"/>
      <w:lvlText w:val="•"/>
      <w:lvlJc w:val="left"/>
      <w:pPr>
        <w:ind w:left="707" w:hanging="236"/>
      </w:pPr>
      <w:rPr>
        <w:rFonts w:hint="default"/>
      </w:rPr>
    </w:lvl>
    <w:lvl w:ilvl="4">
      <w:start w:val="1"/>
      <w:numFmt w:val="bullet"/>
      <w:lvlText w:val="•"/>
      <w:lvlJc w:val="left"/>
      <w:pPr>
        <w:ind w:left="830" w:hanging="236"/>
      </w:pPr>
      <w:rPr>
        <w:rFonts w:hint="default"/>
      </w:rPr>
    </w:lvl>
    <w:lvl w:ilvl="5">
      <w:start w:val="1"/>
      <w:numFmt w:val="bullet"/>
      <w:lvlText w:val="•"/>
      <w:lvlJc w:val="left"/>
      <w:pPr>
        <w:ind w:left="952" w:hanging="236"/>
      </w:pPr>
      <w:rPr>
        <w:rFonts w:hint="default"/>
      </w:rPr>
    </w:lvl>
    <w:lvl w:ilvl="6">
      <w:start w:val="1"/>
      <w:numFmt w:val="bullet"/>
      <w:lvlText w:val="•"/>
      <w:lvlJc w:val="left"/>
      <w:pPr>
        <w:ind w:left="1075" w:hanging="236"/>
      </w:pPr>
      <w:rPr>
        <w:rFonts w:hint="default"/>
      </w:rPr>
    </w:lvl>
    <w:lvl w:ilvl="7">
      <w:start w:val="1"/>
      <w:numFmt w:val="bullet"/>
      <w:lvlText w:val="•"/>
      <w:lvlJc w:val="left"/>
      <w:pPr>
        <w:ind w:left="1197" w:hanging="236"/>
      </w:pPr>
      <w:rPr>
        <w:rFonts w:hint="default"/>
      </w:rPr>
    </w:lvl>
    <w:lvl w:ilvl="8">
      <w:start w:val="1"/>
      <w:numFmt w:val="bullet"/>
      <w:lvlText w:val="•"/>
      <w:lvlJc w:val="left"/>
      <w:pPr>
        <w:ind w:left="1320" w:hanging="236"/>
      </w:pPr>
      <w:rPr>
        <w:rFonts w:hint="default"/>
      </w:rPr>
    </w:lvl>
  </w:abstractNum>
  <w:abstractNum w:abstractNumId="22">
    <w:multiLevelType w:val="hybridMultilevel"/>
    <w:lvl w:ilvl="0">
      <w:start w:val="1"/>
      <w:numFmt w:val="decimal"/>
      <w:lvlText w:val="%1)"/>
      <w:lvlJc w:val="left"/>
      <w:pPr>
        <w:ind w:left="340" w:hanging="236"/>
        <w:jc w:val="left"/>
      </w:pPr>
      <w:rPr>
        <w:rFonts w:hint="default" w:ascii="Arial" w:hAnsi="Arial" w:eastAsia="Arial" w:cs="Arial"/>
        <w:spacing w:val="-2"/>
        <w:w w:val="100"/>
        <w:sz w:val="20"/>
        <w:szCs w:val="20"/>
      </w:rPr>
    </w:lvl>
    <w:lvl w:ilvl="1">
      <w:start w:val="1"/>
      <w:numFmt w:val="bullet"/>
      <w:lvlText w:val="•"/>
      <w:lvlJc w:val="left"/>
      <w:pPr>
        <w:ind w:left="462" w:hanging="236"/>
      </w:pPr>
      <w:rPr>
        <w:rFonts w:hint="default"/>
      </w:rPr>
    </w:lvl>
    <w:lvl w:ilvl="2">
      <w:start w:val="1"/>
      <w:numFmt w:val="bullet"/>
      <w:lvlText w:val="•"/>
      <w:lvlJc w:val="left"/>
      <w:pPr>
        <w:ind w:left="585" w:hanging="236"/>
      </w:pPr>
      <w:rPr>
        <w:rFonts w:hint="default"/>
      </w:rPr>
    </w:lvl>
    <w:lvl w:ilvl="3">
      <w:start w:val="1"/>
      <w:numFmt w:val="bullet"/>
      <w:lvlText w:val="•"/>
      <w:lvlJc w:val="left"/>
      <w:pPr>
        <w:ind w:left="707" w:hanging="236"/>
      </w:pPr>
      <w:rPr>
        <w:rFonts w:hint="default"/>
      </w:rPr>
    </w:lvl>
    <w:lvl w:ilvl="4">
      <w:start w:val="1"/>
      <w:numFmt w:val="bullet"/>
      <w:lvlText w:val="•"/>
      <w:lvlJc w:val="left"/>
      <w:pPr>
        <w:ind w:left="830" w:hanging="236"/>
      </w:pPr>
      <w:rPr>
        <w:rFonts w:hint="default"/>
      </w:rPr>
    </w:lvl>
    <w:lvl w:ilvl="5">
      <w:start w:val="1"/>
      <w:numFmt w:val="bullet"/>
      <w:lvlText w:val="•"/>
      <w:lvlJc w:val="left"/>
      <w:pPr>
        <w:ind w:left="952" w:hanging="236"/>
      </w:pPr>
      <w:rPr>
        <w:rFonts w:hint="default"/>
      </w:rPr>
    </w:lvl>
    <w:lvl w:ilvl="6">
      <w:start w:val="1"/>
      <w:numFmt w:val="bullet"/>
      <w:lvlText w:val="•"/>
      <w:lvlJc w:val="left"/>
      <w:pPr>
        <w:ind w:left="1075" w:hanging="236"/>
      </w:pPr>
      <w:rPr>
        <w:rFonts w:hint="default"/>
      </w:rPr>
    </w:lvl>
    <w:lvl w:ilvl="7">
      <w:start w:val="1"/>
      <w:numFmt w:val="bullet"/>
      <w:lvlText w:val="•"/>
      <w:lvlJc w:val="left"/>
      <w:pPr>
        <w:ind w:left="1197" w:hanging="236"/>
      </w:pPr>
      <w:rPr>
        <w:rFonts w:hint="default"/>
      </w:rPr>
    </w:lvl>
    <w:lvl w:ilvl="8">
      <w:start w:val="1"/>
      <w:numFmt w:val="bullet"/>
      <w:lvlText w:val="•"/>
      <w:lvlJc w:val="left"/>
      <w:pPr>
        <w:ind w:left="1320" w:hanging="236"/>
      </w:pPr>
      <w:rPr>
        <w:rFonts w:hint="default"/>
      </w:rPr>
    </w:lvl>
  </w:abstractNum>
  <w:abstractNum w:abstractNumId="21">
    <w:multiLevelType w:val="hybridMultilevel"/>
    <w:lvl w:ilvl="0">
      <w:start w:val="1"/>
      <w:numFmt w:val="decimal"/>
      <w:lvlText w:val="%1)"/>
      <w:lvlJc w:val="left"/>
      <w:pPr>
        <w:ind w:left="340" w:hanging="236"/>
        <w:jc w:val="left"/>
      </w:pPr>
      <w:rPr>
        <w:rFonts w:hint="default" w:ascii="Arial" w:hAnsi="Arial" w:eastAsia="Arial" w:cs="Arial"/>
        <w:spacing w:val="-2"/>
        <w:w w:val="100"/>
        <w:sz w:val="20"/>
        <w:szCs w:val="20"/>
      </w:rPr>
    </w:lvl>
    <w:lvl w:ilvl="1">
      <w:start w:val="1"/>
      <w:numFmt w:val="bullet"/>
      <w:lvlText w:val="•"/>
      <w:lvlJc w:val="left"/>
      <w:pPr>
        <w:ind w:left="462" w:hanging="236"/>
      </w:pPr>
      <w:rPr>
        <w:rFonts w:hint="default"/>
      </w:rPr>
    </w:lvl>
    <w:lvl w:ilvl="2">
      <w:start w:val="1"/>
      <w:numFmt w:val="bullet"/>
      <w:lvlText w:val="•"/>
      <w:lvlJc w:val="left"/>
      <w:pPr>
        <w:ind w:left="585" w:hanging="236"/>
      </w:pPr>
      <w:rPr>
        <w:rFonts w:hint="default"/>
      </w:rPr>
    </w:lvl>
    <w:lvl w:ilvl="3">
      <w:start w:val="1"/>
      <w:numFmt w:val="bullet"/>
      <w:lvlText w:val="•"/>
      <w:lvlJc w:val="left"/>
      <w:pPr>
        <w:ind w:left="707" w:hanging="236"/>
      </w:pPr>
      <w:rPr>
        <w:rFonts w:hint="default"/>
      </w:rPr>
    </w:lvl>
    <w:lvl w:ilvl="4">
      <w:start w:val="1"/>
      <w:numFmt w:val="bullet"/>
      <w:lvlText w:val="•"/>
      <w:lvlJc w:val="left"/>
      <w:pPr>
        <w:ind w:left="830" w:hanging="236"/>
      </w:pPr>
      <w:rPr>
        <w:rFonts w:hint="default"/>
      </w:rPr>
    </w:lvl>
    <w:lvl w:ilvl="5">
      <w:start w:val="1"/>
      <w:numFmt w:val="bullet"/>
      <w:lvlText w:val="•"/>
      <w:lvlJc w:val="left"/>
      <w:pPr>
        <w:ind w:left="952" w:hanging="236"/>
      </w:pPr>
      <w:rPr>
        <w:rFonts w:hint="default"/>
      </w:rPr>
    </w:lvl>
    <w:lvl w:ilvl="6">
      <w:start w:val="1"/>
      <w:numFmt w:val="bullet"/>
      <w:lvlText w:val="•"/>
      <w:lvlJc w:val="left"/>
      <w:pPr>
        <w:ind w:left="1075" w:hanging="236"/>
      </w:pPr>
      <w:rPr>
        <w:rFonts w:hint="default"/>
      </w:rPr>
    </w:lvl>
    <w:lvl w:ilvl="7">
      <w:start w:val="1"/>
      <w:numFmt w:val="bullet"/>
      <w:lvlText w:val="•"/>
      <w:lvlJc w:val="left"/>
      <w:pPr>
        <w:ind w:left="1197" w:hanging="236"/>
      </w:pPr>
      <w:rPr>
        <w:rFonts w:hint="default"/>
      </w:rPr>
    </w:lvl>
    <w:lvl w:ilvl="8">
      <w:start w:val="1"/>
      <w:numFmt w:val="bullet"/>
      <w:lvlText w:val="•"/>
      <w:lvlJc w:val="left"/>
      <w:pPr>
        <w:ind w:left="1320" w:hanging="236"/>
      </w:pPr>
      <w:rPr>
        <w:rFonts w:hint="default"/>
      </w:rPr>
    </w:lvl>
  </w:abstractNum>
  <w:abstractNum w:abstractNumId="20">
    <w:multiLevelType w:val="hybridMultilevel"/>
    <w:lvl w:ilvl="0">
      <w:start w:val="1"/>
      <w:numFmt w:val="decimal"/>
      <w:lvlText w:val="%1)"/>
      <w:lvlJc w:val="left"/>
      <w:pPr>
        <w:ind w:left="340" w:hanging="236"/>
        <w:jc w:val="left"/>
      </w:pPr>
      <w:rPr>
        <w:rFonts w:hint="default" w:ascii="Arial" w:hAnsi="Arial" w:eastAsia="Arial" w:cs="Arial"/>
        <w:spacing w:val="-2"/>
        <w:w w:val="100"/>
        <w:sz w:val="20"/>
        <w:szCs w:val="20"/>
      </w:rPr>
    </w:lvl>
    <w:lvl w:ilvl="1">
      <w:start w:val="1"/>
      <w:numFmt w:val="bullet"/>
      <w:lvlText w:val="•"/>
      <w:lvlJc w:val="left"/>
      <w:pPr>
        <w:ind w:left="462" w:hanging="236"/>
      </w:pPr>
      <w:rPr>
        <w:rFonts w:hint="default"/>
      </w:rPr>
    </w:lvl>
    <w:lvl w:ilvl="2">
      <w:start w:val="1"/>
      <w:numFmt w:val="bullet"/>
      <w:lvlText w:val="•"/>
      <w:lvlJc w:val="left"/>
      <w:pPr>
        <w:ind w:left="585" w:hanging="236"/>
      </w:pPr>
      <w:rPr>
        <w:rFonts w:hint="default"/>
      </w:rPr>
    </w:lvl>
    <w:lvl w:ilvl="3">
      <w:start w:val="1"/>
      <w:numFmt w:val="bullet"/>
      <w:lvlText w:val="•"/>
      <w:lvlJc w:val="left"/>
      <w:pPr>
        <w:ind w:left="707" w:hanging="236"/>
      </w:pPr>
      <w:rPr>
        <w:rFonts w:hint="default"/>
      </w:rPr>
    </w:lvl>
    <w:lvl w:ilvl="4">
      <w:start w:val="1"/>
      <w:numFmt w:val="bullet"/>
      <w:lvlText w:val="•"/>
      <w:lvlJc w:val="left"/>
      <w:pPr>
        <w:ind w:left="830" w:hanging="236"/>
      </w:pPr>
      <w:rPr>
        <w:rFonts w:hint="default"/>
      </w:rPr>
    </w:lvl>
    <w:lvl w:ilvl="5">
      <w:start w:val="1"/>
      <w:numFmt w:val="bullet"/>
      <w:lvlText w:val="•"/>
      <w:lvlJc w:val="left"/>
      <w:pPr>
        <w:ind w:left="952" w:hanging="236"/>
      </w:pPr>
      <w:rPr>
        <w:rFonts w:hint="default"/>
      </w:rPr>
    </w:lvl>
    <w:lvl w:ilvl="6">
      <w:start w:val="1"/>
      <w:numFmt w:val="bullet"/>
      <w:lvlText w:val="•"/>
      <w:lvlJc w:val="left"/>
      <w:pPr>
        <w:ind w:left="1075" w:hanging="236"/>
      </w:pPr>
      <w:rPr>
        <w:rFonts w:hint="default"/>
      </w:rPr>
    </w:lvl>
    <w:lvl w:ilvl="7">
      <w:start w:val="1"/>
      <w:numFmt w:val="bullet"/>
      <w:lvlText w:val="•"/>
      <w:lvlJc w:val="left"/>
      <w:pPr>
        <w:ind w:left="1197" w:hanging="236"/>
      </w:pPr>
      <w:rPr>
        <w:rFonts w:hint="default"/>
      </w:rPr>
    </w:lvl>
    <w:lvl w:ilvl="8">
      <w:start w:val="1"/>
      <w:numFmt w:val="bullet"/>
      <w:lvlText w:val="•"/>
      <w:lvlJc w:val="left"/>
      <w:pPr>
        <w:ind w:left="1320" w:hanging="236"/>
      </w:pPr>
      <w:rPr>
        <w:rFonts w:hint="default"/>
      </w:rPr>
    </w:lvl>
  </w:abstractNum>
  <w:abstractNum w:abstractNumId="19">
    <w:multiLevelType w:val="hybridMultilevel"/>
    <w:lvl w:ilvl="0">
      <w:start w:val="1"/>
      <w:numFmt w:val="decimal"/>
      <w:lvlText w:val="%1)"/>
      <w:lvlJc w:val="left"/>
      <w:pPr>
        <w:ind w:left="340" w:hanging="236"/>
        <w:jc w:val="left"/>
      </w:pPr>
      <w:rPr>
        <w:rFonts w:hint="default" w:ascii="Arial" w:hAnsi="Arial" w:eastAsia="Arial" w:cs="Arial"/>
        <w:spacing w:val="-2"/>
        <w:w w:val="100"/>
        <w:sz w:val="20"/>
        <w:szCs w:val="20"/>
      </w:rPr>
    </w:lvl>
    <w:lvl w:ilvl="1">
      <w:start w:val="1"/>
      <w:numFmt w:val="bullet"/>
      <w:lvlText w:val="•"/>
      <w:lvlJc w:val="left"/>
      <w:pPr>
        <w:ind w:left="462" w:hanging="236"/>
      </w:pPr>
      <w:rPr>
        <w:rFonts w:hint="default"/>
      </w:rPr>
    </w:lvl>
    <w:lvl w:ilvl="2">
      <w:start w:val="1"/>
      <w:numFmt w:val="bullet"/>
      <w:lvlText w:val="•"/>
      <w:lvlJc w:val="left"/>
      <w:pPr>
        <w:ind w:left="585" w:hanging="236"/>
      </w:pPr>
      <w:rPr>
        <w:rFonts w:hint="default"/>
      </w:rPr>
    </w:lvl>
    <w:lvl w:ilvl="3">
      <w:start w:val="1"/>
      <w:numFmt w:val="bullet"/>
      <w:lvlText w:val="•"/>
      <w:lvlJc w:val="left"/>
      <w:pPr>
        <w:ind w:left="707" w:hanging="236"/>
      </w:pPr>
      <w:rPr>
        <w:rFonts w:hint="default"/>
      </w:rPr>
    </w:lvl>
    <w:lvl w:ilvl="4">
      <w:start w:val="1"/>
      <w:numFmt w:val="bullet"/>
      <w:lvlText w:val="•"/>
      <w:lvlJc w:val="left"/>
      <w:pPr>
        <w:ind w:left="830" w:hanging="236"/>
      </w:pPr>
      <w:rPr>
        <w:rFonts w:hint="default"/>
      </w:rPr>
    </w:lvl>
    <w:lvl w:ilvl="5">
      <w:start w:val="1"/>
      <w:numFmt w:val="bullet"/>
      <w:lvlText w:val="•"/>
      <w:lvlJc w:val="left"/>
      <w:pPr>
        <w:ind w:left="952" w:hanging="236"/>
      </w:pPr>
      <w:rPr>
        <w:rFonts w:hint="default"/>
      </w:rPr>
    </w:lvl>
    <w:lvl w:ilvl="6">
      <w:start w:val="1"/>
      <w:numFmt w:val="bullet"/>
      <w:lvlText w:val="•"/>
      <w:lvlJc w:val="left"/>
      <w:pPr>
        <w:ind w:left="1075" w:hanging="236"/>
      </w:pPr>
      <w:rPr>
        <w:rFonts w:hint="default"/>
      </w:rPr>
    </w:lvl>
    <w:lvl w:ilvl="7">
      <w:start w:val="1"/>
      <w:numFmt w:val="bullet"/>
      <w:lvlText w:val="•"/>
      <w:lvlJc w:val="left"/>
      <w:pPr>
        <w:ind w:left="1197" w:hanging="236"/>
      </w:pPr>
      <w:rPr>
        <w:rFonts w:hint="default"/>
      </w:rPr>
    </w:lvl>
    <w:lvl w:ilvl="8">
      <w:start w:val="1"/>
      <w:numFmt w:val="bullet"/>
      <w:lvlText w:val="•"/>
      <w:lvlJc w:val="left"/>
      <w:pPr>
        <w:ind w:left="1320" w:hanging="236"/>
      </w:pPr>
      <w:rPr>
        <w:rFonts w:hint="default"/>
      </w:rPr>
    </w:lvl>
  </w:abstractNum>
  <w:abstractNum w:abstractNumId="18">
    <w:multiLevelType w:val="hybridMultilevel"/>
    <w:lvl w:ilvl="0">
      <w:start w:val="1"/>
      <w:numFmt w:val="decimal"/>
      <w:lvlText w:val="%1."/>
      <w:lvlJc w:val="left"/>
      <w:pPr>
        <w:ind w:left="479" w:hanging="360"/>
        <w:jc w:val="right"/>
      </w:pPr>
      <w:rPr>
        <w:rFonts w:hint="default" w:ascii="Arial" w:hAnsi="Arial" w:eastAsia="Arial" w:cs="Arial"/>
        <w:b/>
        <w:bCs/>
        <w:w w:val="99"/>
        <w:sz w:val="24"/>
        <w:szCs w:val="24"/>
      </w:rPr>
    </w:lvl>
    <w:lvl w:ilvl="1">
      <w:start w:val="1"/>
      <w:numFmt w:val="decimal"/>
      <w:lvlText w:val="%1.%2"/>
      <w:lvlJc w:val="left"/>
      <w:pPr>
        <w:ind w:left="599" w:hanging="404"/>
        <w:jc w:val="right"/>
      </w:pPr>
      <w:rPr>
        <w:rFonts w:hint="default" w:ascii="Arial" w:hAnsi="Arial" w:eastAsia="Arial" w:cs="Arial"/>
        <w:b/>
        <w:bCs/>
        <w:w w:val="99"/>
        <w:sz w:val="24"/>
        <w:szCs w:val="24"/>
      </w:rPr>
    </w:lvl>
    <w:lvl w:ilvl="2">
      <w:start w:val="1"/>
      <w:numFmt w:val="bullet"/>
      <w:lvlText w:val="-"/>
      <w:lvlJc w:val="left"/>
      <w:pPr>
        <w:ind w:left="917" w:hanging="361"/>
      </w:pPr>
      <w:rPr>
        <w:rFonts w:hint="default" w:ascii="Arial" w:hAnsi="Arial" w:eastAsia="Arial" w:cs="Arial"/>
        <w:spacing w:val="-8"/>
        <w:w w:val="99"/>
        <w:sz w:val="24"/>
        <w:szCs w:val="24"/>
      </w:rPr>
    </w:lvl>
    <w:lvl w:ilvl="3">
      <w:start w:val="1"/>
      <w:numFmt w:val="bullet"/>
      <w:lvlText w:val="•"/>
      <w:lvlJc w:val="left"/>
      <w:pPr>
        <w:ind w:left="920" w:hanging="361"/>
      </w:pPr>
      <w:rPr>
        <w:rFonts w:hint="default"/>
      </w:rPr>
    </w:lvl>
    <w:lvl w:ilvl="4">
      <w:start w:val="1"/>
      <w:numFmt w:val="bullet"/>
      <w:lvlText w:val="•"/>
      <w:lvlJc w:val="left"/>
      <w:pPr>
        <w:ind w:left="940" w:hanging="361"/>
      </w:pPr>
      <w:rPr>
        <w:rFonts w:hint="default"/>
      </w:rPr>
    </w:lvl>
    <w:lvl w:ilvl="5">
      <w:start w:val="1"/>
      <w:numFmt w:val="bullet"/>
      <w:lvlText w:val="•"/>
      <w:lvlJc w:val="left"/>
      <w:pPr>
        <w:ind w:left="2383" w:hanging="361"/>
      </w:pPr>
      <w:rPr>
        <w:rFonts w:hint="default"/>
      </w:rPr>
    </w:lvl>
    <w:lvl w:ilvl="6">
      <w:start w:val="1"/>
      <w:numFmt w:val="bullet"/>
      <w:lvlText w:val="•"/>
      <w:lvlJc w:val="left"/>
      <w:pPr>
        <w:ind w:left="3826" w:hanging="361"/>
      </w:pPr>
      <w:rPr>
        <w:rFonts w:hint="default"/>
      </w:rPr>
    </w:lvl>
    <w:lvl w:ilvl="7">
      <w:start w:val="1"/>
      <w:numFmt w:val="bullet"/>
      <w:lvlText w:val="•"/>
      <w:lvlJc w:val="left"/>
      <w:pPr>
        <w:ind w:left="5270" w:hanging="361"/>
      </w:pPr>
      <w:rPr>
        <w:rFonts w:hint="default"/>
      </w:rPr>
    </w:lvl>
    <w:lvl w:ilvl="8">
      <w:start w:val="1"/>
      <w:numFmt w:val="bullet"/>
      <w:lvlText w:val="•"/>
      <w:lvlJc w:val="left"/>
      <w:pPr>
        <w:ind w:left="6713" w:hanging="361"/>
      </w:pPr>
      <w:rPr>
        <w:rFonts w:hint="default"/>
      </w:rPr>
    </w:lvl>
  </w:abstractNum>
  <w:abstractNum w:abstractNumId="17">
    <w:multiLevelType w:val="hybridMultilevel"/>
    <w:lvl w:ilvl="0">
      <w:start w:val="5"/>
      <w:numFmt w:val="decimal"/>
      <w:lvlText w:val="%1"/>
      <w:lvlJc w:val="left"/>
      <w:pPr>
        <w:ind w:left="196" w:hanging="427"/>
        <w:jc w:val="left"/>
      </w:pPr>
      <w:rPr>
        <w:rFonts w:hint="default"/>
      </w:rPr>
    </w:lvl>
    <w:lvl w:ilvl="1">
      <w:start w:val="9"/>
      <w:numFmt w:val="decimal"/>
      <w:lvlText w:val="%1.%2"/>
      <w:lvlJc w:val="left"/>
      <w:pPr>
        <w:ind w:left="196" w:hanging="427"/>
        <w:jc w:val="left"/>
      </w:pPr>
      <w:rPr>
        <w:rFonts w:hint="default" w:ascii="Arial" w:hAnsi="Arial" w:eastAsia="Arial" w:cs="Arial"/>
        <w:w w:val="99"/>
        <w:sz w:val="24"/>
        <w:szCs w:val="24"/>
      </w:rPr>
    </w:lvl>
    <w:lvl w:ilvl="2">
      <w:start w:val="1"/>
      <w:numFmt w:val="bullet"/>
      <w:lvlText w:val=""/>
      <w:lvlJc w:val="left"/>
      <w:pPr>
        <w:ind w:left="917" w:hanging="361"/>
      </w:pPr>
      <w:rPr>
        <w:rFonts w:hint="default" w:ascii="Symbol" w:hAnsi="Symbol" w:eastAsia="Symbol" w:cs="Symbol"/>
        <w:w w:val="100"/>
        <w:sz w:val="24"/>
        <w:szCs w:val="24"/>
      </w:rPr>
    </w:lvl>
    <w:lvl w:ilvl="3">
      <w:start w:val="1"/>
      <w:numFmt w:val="bullet"/>
      <w:lvlText w:val="o"/>
      <w:lvlJc w:val="left"/>
      <w:pPr>
        <w:ind w:left="1637" w:hanging="360"/>
      </w:pPr>
      <w:rPr>
        <w:rFonts w:hint="default" w:ascii="Courier New" w:hAnsi="Courier New" w:eastAsia="Courier New" w:cs="Courier New"/>
        <w:w w:val="100"/>
        <w:sz w:val="24"/>
        <w:szCs w:val="24"/>
      </w:rPr>
    </w:lvl>
    <w:lvl w:ilvl="4">
      <w:start w:val="1"/>
      <w:numFmt w:val="bullet"/>
      <w:lvlText w:val="•"/>
      <w:lvlJc w:val="left"/>
      <w:pPr>
        <w:ind w:left="3630" w:hanging="360"/>
      </w:pPr>
      <w:rPr>
        <w:rFonts w:hint="default"/>
      </w:rPr>
    </w:lvl>
    <w:lvl w:ilvl="5">
      <w:start w:val="1"/>
      <w:numFmt w:val="bullet"/>
      <w:lvlText w:val="•"/>
      <w:lvlJc w:val="left"/>
      <w:pPr>
        <w:ind w:left="4625"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615" w:hanging="360"/>
      </w:pPr>
      <w:rPr>
        <w:rFonts w:hint="default"/>
      </w:rPr>
    </w:lvl>
    <w:lvl w:ilvl="8">
      <w:start w:val="1"/>
      <w:numFmt w:val="bullet"/>
      <w:lvlText w:val="•"/>
      <w:lvlJc w:val="left"/>
      <w:pPr>
        <w:ind w:left="7610" w:hanging="360"/>
      </w:pPr>
      <w:rPr>
        <w:rFonts w:hint="default"/>
      </w:rPr>
    </w:lvl>
  </w:abstractNum>
  <w:abstractNum w:abstractNumId="16">
    <w:multiLevelType w:val="hybridMultilevel"/>
    <w:lvl w:ilvl="0">
      <w:start w:val="3"/>
      <w:numFmt w:val="upperRoman"/>
      <w:lvlText w:val="%1."/>
      <w:lvlJc w:val="left"/>
      <w:pPr>
        <w:ind w:left="3630" w:hanging="721"/>
        <w:jc w:val="right"/>
      </w:pPr>
      <w:rPr>
        <w:rFonts w:hint="default" w:ascii="Arial" w:hAnsi="Arial" w:eastAsia="Arial" w:cs="Arial"/>
        <w:b/>
        <w:bCs/>
        <w:spacing w:val="-1"/>
        <w:w w:val="99"/>
        <w:sz w:val="52"/>
        <w:szCs w:val="52"/>
      </w:rPr>
    </w:lvl>
    <w:lvl w:ilvl="1">
      <w:start w:val="1"/>
      <w:numFmt w:val="bullet"/>
      <w:lvlText w:val="•"/>
      <w:lvlJc w:val="left"/>
      <w:pPr>
        <w:ind w:left="4236" w:hanging="721"/>
      </w:pPr>
      <w:rPr>
        <w:rFonts w:hint="default"/>
      </w:rPr>
    </w:lvl>
    <w:lvl w:ilvl="2">
      <w:start w:val="1"/>
      <w:numFmt w:val="bullet"/>
      <w:lvlText w:val="•"/>
      <w:lvlJc w:val="left"/>
      <w:pPr>
        <w:ind w:left="4832" w:hanging="721"/>
      </w:pPr>
      <w:rPr>
        <w:rFonts w:hint="default"/>
      </w:rPr>
    </w:lvl>
    <w:lvl w:ilvl="3">
      <w:start w:val="1"/>
      <w:numFmt w:val="bullet"/>
      <w:lvlText w:val="•"/>
      <w:lvlJc w:val="left"/>
      <w:pPr>
        <w:ind w:left="5428" w:hanging="721"/>
      </w:pPr>
      <w:rPr>
        <w:rFonts w:hint="default"/>
      </w:rPr>
    </w:lvl>
    <w:lvl w:ilvl="4">
      <w:start w:val="1"/>
      <w:numFmt w:val="bullet"/>
      <w:lvlText w:val="•"/>
      <w:lvlJc w:val="left"/>
      <w:pPr>
        <w:ind w:left="6024" w:hanging="721"/>
      </w:pPr>
      <w:rPr>
        <w:rFonts w:hint="default"/>
      </w:rPr>
    </w:lvl>
    <w:lvl w:ilvl="5">
      <w:start w:val="1"/>
      <w:numFmt w:val="bullet"/>
      <w:lvlText w:val="•"/>
      <w:lvlJc w:val="left"/>
      <w:pPr>
        <w:ind w:left="6620" w:hanging="721"/>
      </w:pPr>
      <w:rPr>
        <w:rFonts w:hint="default"/>
      </w:rPr>
    </w:lvl>
    <w:lvl w:ilvl="6">
      <w:start w:val="1"/>
      <w:numFmt w:val="bullet"/>
      <w:lvlText w:val="•"/>
      <w:lvlJc w:val="left"/>
      <w:pPr>
        <w:ind w:left="7216" w:hanging="721"/>
      </w:pPr>
      <w:rPr>
        <w:rFonts w:hint="default"/>
      </w:rPr>
    </w:lvl>
    <w:lvl w:ilvl="7">
      <w:start w:val="1"/>
      <w:numFmt w:val="bullet"/>
      <w:lvlText w:val="•"/>
      <w:lvlJc w:val="left"/>
      <w:pPr>
        <w:ind w:left="7812" w:hanging="721"/>
      </w:pPr>
      <w:rPr>
        <w:rFonts w:hint="default"/>
      </w:rPr>
    </w:lvl>
    <w:lvl w:ilvl="8">
      <w:start w:val="1"/>
      <w:numFmt w:val="bullet"/>
      <w:lvlText w:val="•"/>
      <w:lvlJc w:val="left"/>
      <w:pPr>
        <w:ind w:left="8408" w:hanging="721"/>
      </w:pPr>
      <w:rPr>
        <w:rFonts w:hint="default"/>
      </w:rPr>
    </w:lvl>
  </w:abstractNum>
  <w:abstractNum w:abstractNumId="15">
    <w:multiLevelType w:val="hybridMultilevel"/>
    <w:lvl w:ilvl="0">
      <w:start w:val="1"/>
      <w:numFmt w:val="bullet"/>
      <w:lvlText w:val=""/>
      <w:lvlJc w:val="left"/>
      <w:pPr>
        <w:ind w:left="623" w:hanging="360"/>
      </w:pPr>
      <w:rPr>
        <w:rFonts w:hint="default" w:ascii="Symbol" w:hAnsi="Symbol" w:eastAsia="Symbol" w:cs="Symbol"/>
        <w:w w:val="100"/>
        <w:sz w:val="24"/>
        <w:szCs w:val="24"/>
      </w:rPr>
    </w:lvl>
    <w:lvl w:ilvl="1">
      <w:start w:val="1"/>
      <w:numFmt w:val="bullet"/>
      <w:lvlText w:val="•"/>
      <w:lvlJc w:val="left"/>
      <w:pPr>
        <w:ind w:left="1518" w:hanging="360"/>
      </w:pPr>
      <w:rPr>
        <w:rFonts w:hint="default"/>
      </w:rPr>
    </w:lvl>
    <w:lvl w:ilvl="2">
      <w:start w:val="1"/>
      <w:numFmt w:val="bullet"/>
      <w:lvlText w:val="•"/>
      <w:lvlJc w:val="left"/>
      <w:pPr>
        <w:ind w:left="2416" w:hanging="360"/>
      </w:pPr>
      <w:rPr>
        <w:rFonts w:hint="default"/>
      </w:rPr>
    </w:lvl>
    <w:lvl w:ilvl="3">
      <w:start w:val="1"/>
      <w:numFmt w:val="bullet"/>
      <w:lvlText w:val="•"/>
      <w:lvlJc w:val="left"/>
      <w:pPr>
        <w:ind w:left="3314" w:hanging="360"/>
      </w:pPr>
      <w:rPr>
        <w:rFonts w:hint="default"/>
      </w:rPr>
    </w:lvl>
    <w:lvl w:ilvl="4">
      <w:start w:val="1"/>
      <w:numFmt w:val="bullet"/>
      <w:lvlText w:val="•"/>
      <w:lvlJc w:val="left"/>
      <w:pPr>
        <w:ind w:left="4212"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6008" w:hanging="360"/>
      </w:pPr>
      <w:rPr>
        <w:rFonts w:hint="default"/>
      </w:rPr>
    </w:lvl>
    <w:lvl w:ilvl="7">
      <w:start w:val="1"/>
      <w:numFmt w:val="bullet"/>
      <w:lvlText w:val="•"/>
      <w:lvlJc w:val="left"/>
      <w:pPr>
        <w:ind w:left="6906" w:hanging="360"/>
      </w:pPr>
      <w:rPr>
        <w:rFonts w:hint="default"/>
      </w:rPr>
    </w:lvl>
    <w:lvl w:ilvl="8">
      <w:start w:val="1"/>
      <w:numFmt w:val="bullet"/>
      <w:lvlText w:val="•"/>
      <w:lvlJc w:val="left"/>
      <w:pPr>
        <w:ind w:left="7804" w:hanging="360"/>
      </w:pPr>
      <w:rPr>
        <w:rFonts w:hint="default"/>
      </w:rPr>
    </w:lvl>
  </w:abstractNum>
  <w:abstractNum w:abstractNumId="14">
    <w:multiLevelType w:val="hybridMultilevel"/>
    <w:lvl w:ilvl="0">
      <w:start w:val="1"/>
      <w:numFmt w:val="upperLetter"/>
      <w:lvlText w:val="%1."/>
      <w:lvlJc w:val="left"/>
      <w:pPr>
        <w:ind w:left="623" w:hanging="360"/>
        <w:jc w:val="left"/>
      </w:pPr>
      <w:rPr>
        <w:rFonts w:hint="default"/>
        <w:spacing w:val="-2"/>
        <w:w w:val="100"/>
      </w:rPr>
    </w:lvl>
    <w:lvl w:ilvl="1">
      <w:start w:val="1"/>
      <w:numFmt w:val="bullet"/>
      <w:lvlText w:val="•"/>
      <w:lvlJc w:val="left"/>
      <w:pPr>
        <w:ind w:left="1518" w:hanging="360"/>
      </w:pPr>
      <w:rPr>
        <w:rFonts w:hint="default"/>
      </w:rPr>
    </w:lvl>
    <w:lvl w:ilvl="2">
      <w:start w:val="1"/>
      <w:numFmt w:val="bullet"/>
      <w:lvlText w:val="•"/>
      <w:lvlJc w:val="left"/>
      <w:pPr>
        <w:ind w:left="2416" w:hanging="360"/>
      </w:pPr>
      <w:rPr>
        <w:rFonts w:hint="default"/>
      </w:rPr>
    </w:lvl>
    <w:lvl w:ilvl="3">
      <w:start w:val="1"/>
      <w:numFmt w:val="bullet"/>
      <w:lvlText w:val="•"/>
      <w:lvlJc w:val="left"/>
      <w:pPr>
        <w:ind w:left="3314" w:hanging="360"/>
      </w:pPr>
      <w:rPr>
        <w:rFonts w:hint="default"/>
      </w:rPr>
    </w:lvl>
    <w:lvl w:ilvl="4">
      <w:start w:val="1"/>
      <w:numFmt w:val="bullet"/>
      <w:lvlText w:val="•"/>
      <w:lvlJc w:val="left"/>
      <w:pPr>
        <w:ind w:left="4212"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6008" w:hanging="360"/>
      </w:pPr>
      <w:rPr>
        <w:rFonts w:hint="default"/>
      </w:rPr>
    </w:lvl>
    <w:lvl w:ilvl="7">
      <w:start w:val="1"/>
      <w:numFmt w:val="bullet"/>
      <w:lvlText w:val="•"/>
      <w:lvlJc w:val="left"/>
      <w:pPr>
        <w:ind w:left="6906" w:hanging="360"/>
      </w:pPr>
      <w:rPr>
        <w:rFonts w:hint="default"/>
      </w:rPr>
    </w:lvl>
    <w:lvl w:ilvl="8">
      <w:start w:val="1"/>
      <w:numFmt w:val="bullet"/>
      <w:lvlText w:val="•"/>
      <w:lvlJc w:val="left"/>
      <w:pPr>
        <w:ind w:left="7804" w:hanging="360"/>
      </w:pPr>
      <w:rPr>
        <w:rFonts w:hint="default"/>
      </w:rPr>
    </w:lvl>
  </w:abstractNum>
  <w:abstractNum w:abstractNumId="13">
    <w:multiLevelType w:val="hybridMultilevel"/>
    <w:lvl w:ilvl="0">
      <w:start w:val="1"/>
      <w:numFmt w:val="upperLetter"/>
      <w:lvlText w:val="%1."/>
      <w:lvlJc w:val="left"/>
      <w:pPr>
        <w:ind w:left="196" w:hanging="298"/>
        <w:jc w:val="left"/>
      </w:pPr>
      <w:rPr>
        <w:rFonts w:hint="default" w:ascii="Arial" w:hAnsi="Arial" w:eastAsia="Arial" w:cs="Arial"/>
        <w:i/>
        <w:spacing w:val="-2"/>
        <w:w w:val="100"/>
        <w:sz w:val="24"/>
        <w:szCs w:val="24"/>
      </w:rPr>
    </w:lvl>
    <w:lvl w:ilvl="1">
      <w:start w:val="1"/>
      <w:numFmt w:val="bullet"/>
      <w:lvlText w:val="•"/>
      <w:lvlJc w:val="left"/>
      <w:pPr>
        <w:ind w:left="1140" w:hanging="298"/>
      </w:pPr>
      <w:rPr>
        <w:rFonts w:hint="default"/>
      </w:rPr>
    </w:lvl>
    <w:lvl w:ilvl="2">
      <w:start w:val="1"/>
      <w:numFmt w:val="bullet"/>
      <w:lvlText w:val="•"/>
      <w:lvlJc w:val="left"/>
      <w:pPr>
        <w:ind w:left="2080" w:hanging="298"/>
      </w:pPr>
      <w:rPr>
        <w:rFonts w:hint="default"/>
      </w:rPr>
    </w:lvl>
    <w:lvl w:ilvl="3">
      <w:start w:val="1"/>
      <w:numFmt w:val="bullet"/>
      <w:lvlText w:val="•"/>
      <w:lvlJc w:val="left"/>
      <w:pPr>
        <w:ind w:left="3020" w:hanging="298"/>
      </w:pPr>
      <w:rPr>
        <w:rFonts w:hint="default"/>
      </w:rPr>
    </w:lvl>
    <w:lvl w:ilvl="4">
      <w:start w:val="1"/>
      <w:numFmt w:val="bullet"/>
      <w:lvlText w:val="•"/>
      <w:lvlJc w:val="left"/>
      <w:pPr>
        <w:ind w:left="3960" w:hanging="298"/>
      </w:pPr>
      <w:rPr>
        <w:rFonts w:hint="default"/>
      </w:rPr>
    </w:lvl>
    <w:lvl w:ilvl="5">
      <w:start w:val="1"/>
      <w:numFmt w:val="bullet"/>
      <w:lvlText w:val="•"/>
      <w:lvlJc w:val="left"/>
      <w:pPr>
        <w:ind w:left="4900" w:hanging="298"/>
      </w:pPr>
      <w:rPr>
        <w:rFonts w:hint="default"/>
      </w:rPr>
    </w:lvl>
    <w:lvl w:ilvl="6">
      <w:start w:val="1"/>
      <w:numFmt w:val="bullet"/>
      <w:lvlText w:val="•"/>
      <w:lvlJc w:val="left"/>
      <w:pPr>
        <w:ind w:left="5840" w:hanging="298"/>
      </w:pPr>
      <w:rPr>
        <w:rFonts w:hint="default"/>
      </w:rPr>
    </w:lvl>
    <w:lvl w:ilvl="7">
      <w:start w:val="1"/>
      <w:numFmt w:val="bullet"/>
      <w:lvlText w:val="•"/>
      <w:lvlJc w:val="left"/>
      <w:pPr>
        <w:ind w:left="6780" w:hanging="298"/>
      </w:pPr>
      <w:rPr>
        <w:rFonts w:hint="default"/>
      </w:rPr>
    </w:lvl>
    <w:lvl w:ilvl="8">
      <w:start w:val="1"/>
      <w:numFmt w:val="bullet"/>
      <w:lvlText w:val="•"/>
      <w:lvlJc w:val="left"/>
      <w:pPr>
        <w:ind w:left="7720" w:hanging="298"/>
      </w:pPr>
      <w:rPr>
        <w:rFonts w:hint="default"/>
      </w:rPr>
    </w:lvl>
  </w:abstractNum>
  <w:abstractNum w:abstractNumId="12">
    <w:multiLevelType w:val="hybridMultilevel"/>
    <w:lvl w:ilvl="0">
      <w:start w:val="4"/>
      <w:numFmt w:val="decimal"/>
      <w:lvlText w:val="%1"/>
      <w:lvlJc w:val="left"/>
      <w:pPr>
        <w:ind w:left="801" w:hanging="606"/>
        <w:jc w:val="left"/>
      </w:pPr>
      <w:rPr>
        <w:rFonts w:hint="default"/>
      </w:rPr>
    </w:lvl>
    <w:lvl w:ilvl="1">
      <w:start w:val="3"/>
      <w:numFmt w:val="decimal"/>
      <w:lvlText w:val="%1.%2"/>
      <w:lvlJc w:val="left"/>
      <w:pPr>
        <w:ind w:left="801" w:hanging="606"/>
        <w:jc w:val="left"/>
      </w:pPr>
      <w:rPr>
        <w:rFonts w:hint="default"/>
      </w:rPr>
    </w:lvl>
    <w:lvl w:ilvl="2">
      <w:start w:val="3"/>
      <w:numFmt w:val="decimal"/>
      <w:lvlText w:val="%1.%2.%3"/>
      <w:lvlJc w:val="left"/>
      <w:pPr>
        <w:ind w:left="801" w:hanging="606"/>
        <w:jc w:val="left"/>
      </w:pPr>
      <w:rPr>
        <w:rFonts w:hint="default" w:ascii="Arial" w:hAnsi="Arial" w:eastAsia="Arial" w:cs="Arial"/>
        <w:b/>
        <w:bCs/>
        <w:w w:val="99"/>
        <w:sz w:val="24"/>
        <w:szCs w:val="24"/>
      </w:rPr>
    </w:lvl>
    <w:lvl w:ilvl="3">
      <w:start w:val="1"/>
      <w:numFmt w:val="decimal"/>
      <w:lvlText w:val="%1.%2.%3.%4"/>
      <w:lvlJc w:val="left"/>
      <w:pPr>
        <w:ind w:left="1003" w:hanging="807"/>
        <w:jc w:val="left"/>
      </w:pPr>
      <w:rPr>
        <w:rFonts w:hint="default" w:ascii="Arial" w:hAnsi="Arial" w:eastAsia="Arial" w:cs="Arial"/>
        <w:w w:val="99"/>
        <w:sz w:val="24"/>
        <w:szCs w:val="24"/>
      </w:rPr>
    </w:lvl>
    <w:lvl w:ilvl="4">
      <w:start w:val="1"/>
      <w:numFmt w:val="bullet"/>
      <w:lvlText w:val=""/>
      <w:lvlJc w:val="left"/>
      <w:pPr>
        <w:ind w:left="917" w:hanging="361"/>
      </w:pPr>
      <w:rPr>
        <w:rFonts w:hint="default" w:ascii="Symbol" w:hAnsi="Symbol" w:eastAsia="Symbol" w:cs="Symbol"/>
        <w:w w:val="100"/>
        <w:sz w:val="24"/>
        <w:szCs w:val="24"/>
      </w:rPr>
    </w:lvl>
    <w:lvl w:ilvl="5">
      <w:start w:val="1"/>
      <w:numFmt w:val="bullet"/>
      <w:lvlText w:val="•"/>
      <w:lvlJc w:val="left"/>
      <w:pPr>
        <w:ind w:left="4225" w:hanging="361"/>
      </w:pPr>
      <w:rPr>
        <w:rFonts w:hint="default"/>
      </w:rPr>
    </w:lvl>
    <w:lvl w:ilvl="6">
      <w:start w:val="1"/>
      <w:numFmt w:val="bullet"/>
      <w:lvlText w:val="•"/>
      <w:lvlJc w:val="left"/>
      <w:pPr>
        <w:ind w:left="5300" w:hanging="361"/>
      </w:pPr>
      <w:rPr>
        <w:rFonts w:hint="default"/>
      </w:rPr>
    </w:lvl>
    <w:lvl w:ilvl="7">
      <w:start w:val="1"/>
      <w:numFmt w:val="bullet"/>
      <w:lvlText w:val="•"/>
      <w:lvlJc w:val="left"/>
      <w:pPr>
        <w:ind w:left="6375" w:hanging="361"/>
      </w:pPr>
      <w:rPr>
        <w:rFonts w:hint="default"/>
      </w:rPr>
    </w:lvl>
    <w:lvl w:ilvl="8">
      <w:start w:val="1"/>
      <w:numFmt w:val="bullet"/>
      <w:lvlText w:val="•"/>
      <w:lvlJc w:val="left"/>
      <w:pPr>
        <w:ind w:left="7450" w:hanging="361"/>
      </w:pPr>
      <w:rPr>
        <w:rFonts w:hint="default"/>
      </w:rPr>
    </w:lvl>
  </w:abstractNum>
  <w:abstractNum w:abstractNumId="11">
    <w:multiLevelType w:val="hybridMultilevel"/>
    <w:lvl w:ilvl="0">
      <w:start w:val="1"/>
      <w:numFmt w:val="upperLetter"/>
      <w:lvlText w:val="%1)"/>
      <w:lvlJc w:val="left"/>
      <w:pPr>
        <w:ind w:left="196" w:hanging="341"/>
        <w:jc w:val="left"/>
      </w:pPr>
      <w:rPr>
        <w:rFonts w:hint="default" w:ascii="Arial" w:hAnsi="Arial" w:eastAsia="Arial" w:cs="Arial"/>
        <w:i/>
        <w:spacing w:val="-33"/>
        <w:w w:val="99"/>
        <w:sz w:val="24"/>
        <w:szCs w:val="24"/>
      </w:rPr>
    </w:lvl>
    <w:lvl w:ilvl="1">
      <w:start w:val="1"/>
      <w:numFmt w:val="bullet"/>
      <w:lvlText w:val="•"/>
      <w:lvlJc w:val="left"/>
      <w:pPr>
        <w:ind w:left="1140" w:hanging="341"/>
      </w:pPr>
      <w:rPr>
        <w:rFonts w:hint="default"/>
      </w:rPr>
    </w:lvl>
    <w:lvl w:ilvl="2">
      <w:start w:val="1"/>
      <w:numFmt w:val="bullet"/>
      <w:lvlText w:val="•"/>
      <w:lvlJc w:val="left"/>
      <w:pPr>
        <w:ind w:left="2080" w:hanging="341"/>
      </w:pPr>
      <w:rPr>
        <w:rFonts w:hint="default"/>
      </w:rPr>
    </w:lvl>
    <w:lvl w:ilvl="3">
      <w:start w:val="1"/>
      <w:numFmt w:val="bullet"/>
      <w:lvlText w:val="•"/>
      <w:lvlJc w:val="left"/>
      <w:pPr>
        <w:ind w:left="3020" w:hanging="341"/>
      </w:pPr>
      <w:rPr>
        <w:rFonts w:hint="default"/>
      </w:rPr>
    </w:lvl>
    <w:lvl w:ilvl="4">
      <w:start w:val="1"/>
      <w:numFmt w:val="bullet"/>
      <w:lvlText w:val="•"/>
      <w:lvlJc w:val="left"/>
      <w:pPr>
        <w:ind w:left="3960" w:hanging="341"/>
      </w:pPr>
      <w:rPr>
        <w:rFonts w:hint="default"/>
      </w:rPr>
    </w:lvl>
    <w:lvl w:ilvl="5">
      <w:start w:val="1"/>
      <w:numFmt w:val="bullet"/>
      <w:lvlText w:val="•"/>
      <w:lvlJc w:val="left"/>
      <w:pPr>
        <w:ind w:left="4900" w:hanging="341"/>
      </w:pPr>
      <w:rPr>
        <w:rFonts w:hint="default"/>
      </w:rPr>
    </w:lvl>
    <w:lvl w:ilvl="6">
      <w:start w:val="1"/>
      <w:numFmt w:val="bullet"/>
      <w:lvlText w:val="•"/>
      <w:lvlJc w:val="left"/>
      <w:pPr>
        <w:ind w:left="5840" w:hanging="341"/>
      </w:pPr>
      <w:rPr>
        <w:rFonts w:hint="default"/>
      </w:rPr>
    </w:lvl>
    <w:lvl w:ilvl="7">
      <w:start w:val="1"/>
      <w:numFmt w:val="bullet"/>
      <w:lvlText w:val="•"/>
      <w:lvlJc w:val="left"/>
      <w:pPr>
        <w:ind w:left="6780" w:hanging="341"/>
      </w:pPr>
      <w:rPr>
        <w:rFonts w:hint="default"/>
      </w:rPr>
    </w:lvl>
    <w:lvl w:ilvl="8">
      <w:start w:val="1"/>
      <w:numFmt w:val="bullet"/>
      <w:lvlText w:val="•"/>
      <w:lvlJc w:val="left"/>
      <w:pPr>
        <w:ind w:left="7720" w:hanging="341"/>
      </w:pPr>
      <w:rPr>
        <w:rFonts w:hint="default"/>
      </w:rPr>
    </w:lvl>
  </w:abstractNum>
  <w:abstractNum w:abstractNumId="10">
    <w:multiLevelType w:val="hybridMultilevel"/>
    <w:lvl w:ilvl="0">
      <w:start w:val="4"/>
      <w:numFmt w:val="decimal"/>
      <w:lvlText w:val="%1"/>
      <w:lvlJc w:val="left"/>
      <w:pPr>
        <w:ind w:left="598" w:hanging="403"/>
        <w:jc w:val="left"/>
      </w:pPr>
      <w:rPr>
        <w:rFonts w:hint="default"/>
      </w:rPr>
    </w:lvl>
    <w:lvl w:ilvl="1">
      <w:start w:val="3"/>
      <w:numFmt w:val="decimal"/>
      <w:lvlText w:val="%1.%2"/>
      <w:lvlJc w:val="left"/>
      <w:pPr>
        <w:ind w:left="598" w:hanging="403"/>
        <w:jc w:val="left"/>
      </w:pPr>
      <w:rPr>
        <w:rFonts w:hint="default" w:ascii="Arial" w:hAnsi="Arial" w:eastAsia="Arial" w:cs="Arial"/>
        <w:b/>
        <w:bCs/>
        <w:w w:val="99"/>
        <w:sz w:val="24"/>
        <w:szCs w:val="24"/>
      </w:rPr>
    </w:lvl>
    <w:lvl w:ilvl="2">
      <w:start w:val="1"/>
      <w:numFmt w:val="decimal"/>
      <w:lvlText w:val="%1.%2.%3"/>
      <w:lvlJc w:val="left"/>
      <w:pPr>
        <w:ind w:left="800" w:hanging="604"/>
        <w:jc w:val="left"/>
      </w:pPr>
      <w:rPr>
        <w:rFonts w:hint="default" w:ascii="Arial" w:hAnsi="Arial" w:eastAsia="Arial" w:cs="Arial"/>
        <w:b/>
        <w:bCs/>
        <w:w w:val="99"/>
        <w:sz w:val="24"/>
        <w:szCs w:val="24"/>
      </w:rPr>
    </w:lvl>
    <w:lvl w:ilvl="3">
      <w:start w:val="1"/>
      <w:numFmt w:val="bullet"/>
      <w:lvlText w:val="•"/>
      <w:lvlJc w:val="left"/>
      <w:pPr>
        <w:ind w:left="2755" w:hanging="604"/>
      </w:pPr>
      <w:rPr>
        <w:rFonts w:hint="default"/>
      </w:rPr>
    </w:lvl>
    <w:lvl w:ilvl="4">
      <w:start w:val="1"/>
      <w:numFmt w:val="bullet"/>
      <w:lvlText w:val="•"/>
      <w:lvlJc w:val="left"/>
      <w:pPr>
        <w:ind w:left="3733" w:hanging="604"/>
      </w:pPr>
      <w:rPr>
        <w:rFonts w:hint="default"/>
      </w:rPr>
    </w:lvl>
    <w:lvl w:ilvl="5">
      <w:start w:val="1"/>
      <w:numFmt w:val="bullet"/>
      <w:lvlText w:val="•"/>
      <w:lvlJc w:val="left"/>
      <w:pPr>
        <w:ind w:left="4711" w:hanging="604"/>
      </w:pPr>
      <w:rPr>
        <w:rFonts w:hint="default"/>
      </w:rPr>
    </w:lvl>
    <w:lvl w:ilvl="6">
      <w:start w:val="1"/>
      <w:numFmt w:val="bullet"/>
      <w:lvlText w:val="•"/>
      <w:lvlJc w:val="left"/>
      <w:pPr>
        <w:ind w:left="5688" w:hanging="604"/>
      </w:pPr>
      <w:rPr>
        <w:rFonts w:hint="default"/>
      </w:rPr>
    </w:lvl>
    <w:lvl w:ilvl="7">
      <w:start w:val="1"/>
      <w:numFmt w:val="bullet"/>
      <w:lvlText w:val="•"/>
      <w:lvlJc w:val="left"/>
      <w:pPr>
        <w:ind w:left="6666" w:hanging="604"/>
      </w:pPr>
      <w:rPr>
        <w:rFonts w:hint="default"/>
      </w:rPr>
    </w:lvl>
    <w:lvl w:ilvl="8">
      <w:start w:val="1"/>
      <w:numFmt w:val="bullet"/>
      <w:lvlText w:val="•"/>
      <w:lvlJc w:val="left"/>
      <w:pPr>
        <w:ind w:left="7644" w:hanging="604"/>
      </w:pPr>
      <w:rPr>
        <w:rFonts w:hint="default"/>
      </w:rPr>
    </w:lvl>
  </w:abstractNum>
  <w:abstractNum w:abstractNumId="9">
    <w:multiLevelType w:val="hybridMultilevel"/>
    <w:lvl w:ilvl="0">
      <w:start w:val="3"/>
      <w:numFmt w:val="decimal"/>
      <w:lvlText w:val="%1."/>
      <w:lvlJc w:val="left"/>
      <w:pPr>
        <w:ind w:left="623" w:hanging="428"/>
        <w:jc w:val="left"/>
      </w:pPr>
      <w:rPr>
        <w:rFonts w:hint="default" w:ascii="Arial" w:hAnsi="Arial" w:eastAsia="Arial" w:cs="Arial"/>
        <w:b/>
        <w:bCs/>
        <w:w w:val="99"/>
        <w:sz w:val="24"/>
        <w:szCs w:val="24"/>
      </w:rPr>
    </w:lvl>
    <w:lvl w:ilvl="1">
      <w:start w:val="1"/>
      <w:numFmt w:val="decimal"/>
      <w:lvlText w:val="%1.%2"/>
      <w:lvlJc w:val="left"/>
      <w:pPr>
        <w:ind w:left="598" w:hanging="403"/>
        <w:jc w:val="left"/>
      </w:pPr>
      <w:rPr>
        <w:rFonts w:hint="default" w:ascii="Arial" w:hAnsi="Arial" w:eastAsia="Arial" w:cs="Arial"/>
        <w:b/>
        <w:bCs/>
        <w:w w:val="99"/>
        <w:sz w:val="24"/>
        <w:szCs w:val="24"/>
      </w:rPr>
    </w:lvl>
    <w:lvl w:ilvl="2">
      <w:start w:val="1"/>
      <w:numFmt w:val="decimal"/>
      <w:lvlText w:val="%1.%2.%3"/>
      <w:lvlJc w:val="left"/>
      <w:pPr>
        <w:ind w:left="801" w:hanging="606"/>
        <w:jc w:val="left"/>
      </w:pPr>
      <w:rPr>
        <w:rFonts w:hint="default" w:ascii="Arial" w:hAnsi="Arial" w:eastAsia="Arial" w:cs="Arial"/>
        <w:b/>
        <w:bCs/>
        <w:w w:val="99"/>
        <w:sz w:val="24"/>
        <w:szCs w:val="24"/>
      </w:rPr>
    </w:lvl>
    <w:lvl w:ilvl="3">
      <w:start w:val="1"/>
      <w:numFmt w:val="bullet"/>
      <w:lvlText w:val="•"/>
      <w:lvlJc w:val="left"/>
      <w:pPr>
        <w:ind w:left="1900" w:hanging="606"/>
      </w:pPr>
      <w:rPr>
        <w:rFonts w:hint="default"/>
      </w:rPr>
    </w:lvl>
    <w:lvl w:ilvl="4">
      <w:start w:val="1"/>
      <w:numFmt w:val="bullet"/>
      <w:lvlText w:val="•"/>
      <w:lvlJc w:val="left"/>
      <w:pPr>
        <w:ind w:left="3000" w:hanging="606"/>
      </w:pPr>
      <w:rPr>
        <w:rFonts w:hint="default"/>
      </w:rPr>
    </w:lvl>
    <w:lvl w:ilvl="5">
      <w:start w:val="1"/>
      <w:numFmt w:val="bullet"/>
      <w:lvlText w:val="•"/>
      <w:lvlJc w:val="left"/>
      <w:pPr>
        <w:ind w:left="4100" w:hanging="606"/>
      </w:pPr>
      <w:rPr>
        <w:rFonts w:hint="default"/>
      </w:rPr>
    </w:lvl>
    <w:lvl w:ilvl="6">
      <w:start w:val="1"/>
      <w:numFmt w:val="bullet"/>
      <w:lvlText w:val="•"/>
      <w:lvlJc w:val="left"/>
      <w:pPr>
        <w:ind w:left="5200" w:hanging="606"/>
      </w:pPr>
      <w:rPr>
        <w:rFonts w:hint="default"/>
      </w:rPr>
    </w:lvl>
    <w:lvl w:ilvl="7">
      <w:start w:val="1"/>
      <w:numFmt w:val="bullet"/>
      <w:lvlText w:val="•"/>
      <w:lvlJc w:val="left"/>
      <w:pPr>
        <w:ind w:left="6300" w:hanging="606"/>
      </w:pPr>
      <w:rPr>
        <w:rFonts w:hint="default"/>
      </w:rPr>
    </w:lvl>
    <w:lvl w:ilvl="8">
      <w:start w:val="1"/>
      <w:numFmt w:val="bullet"/>
      <w:lvlText w:val="•"/>
      <w:lvlJc w:val="left"/>
      <w:pPr>
        <w:ind w:left="7400" w:hanging="606"/>
      </w:pPr>
      <w:rPr>
        <w:rFonts w:hint="default"/>
      </w:rPr>
    </w:lvl>
  </w:abstractNum>
  <w:abstractNum w:abstractNumId="8">
    <w:multiLevelType w:val="hybridMultilevel"/>
    <w:lvl w:ilvl="0">
      <w:start w:val="2"/>
      <w:numFmt w:val="decimal"/>
      <w:lvlText w:val="%1"/>
      <w:lvlJc w:val="left"/>
      <w:pPr>
        <w:ind w:left="598" w:hanging="403"/>
        <w:jc w:val="left"/>
      </w:pPr>
      <w:rPr>
        <w:rFonts w:hint="default"/>
      </w:rPr>
    </w:lvl>
    <w:lvl w:ilvl="1">
      <w:start w:val="3"/>
      <w:numFmt w:val="decimal"/>
      <w:lvlText w:val="%1.%2"/>
      <w:lvlJc w:val="left"/>
      <w:pPr>
        <w:ind w:left="598" w:hanging="403"/>
        <w:jc w:val="left"/>
      </w:pPr>
      <w:rPr>
        <w:rFonts w:hint="default" w:ascii="Arial" w:hAnsi="Arial" w:eastAsia="Arial" w:cs="Arial"/>
        <w:b/>
        <w:bCs/>
        <w:w w:val="99"/>
        <w:sz w:val="24"/>
        <w:szCs w:val="24"/>
      </w:rPr>
    </w:lvl>
    <w:lvl w:ilvl="2">
      <w:start w:val="1"/>
      <w:numFmt w:val="decimal"/>
      <w:lvlText w:val="%1.%2.%3"/>
      <w:lvlJc w:val="left"/>
      <w:pPr>
        <w:ind w:left="800" w:hanging="605"/>
        <w:jc w:val="left"/>
      </w:pPr>
      <w:rPr>
        <w:rFonts w:hint="default" w:ascii="Arial" w:hAnsi="Arial" w:eastAsia="Arial" w:cs="Arial"/>
        <w:b/>
        <w:bCs/>
        <w:w w:val="99"/>
        <w:sz w:val="24"/>
        <w:szCs w:val="24"/>
      </w:rPr>
    </w:lvl>
    <w:lvl w:ilvl="3">
      <w:start w:val="1"/>
      <w:numFmt w:val="bullet"/>
      <w:lvlText w:val="•"/>
      <w:lvlJc w:val="left"/>
      <w:pPr>
        <w:ind w:left="2755" w:hanging="605"/>
      </w:pPr>
      <w:rPr>
        <w:rFonts w:hint="default"/>
      </w:rPr>
    </w:lvl>
    <w:lvl w:ilvl="4">
      <w:start w:val="1"/>
      <w:numFmt w:val="bullet"/>
      <w:lvlText w:val="•"/>
      <w:lvlJc w:val="left"/>
      <w:pPr>
        <w:ind w:left="3733" w:hanging="605"/>
      </w:pPr>
      <w:rPr>
        <w:rFonts w:hint="default"/>
      </w:rPr>
    </w:lvl>
    <w:lvl w:ilvl="5">
      <w:start w:val="1"/>
      <w:numFmt w:val="bullet"/>
      <w:lvlText w:val="•"/>
      <w:lvlJc w:val="left"/>
      <w:pPr>
        <w:ind w:left="4711" w:hanging="605"/>
      </w:pPr>
      <w:rPr>
        <w:rFonts w:hint="default"/>
      </w:rPr>
    </w:lvl>
    <w:lvl w:ilvl="6">
      <w:start w:val="1"/>
      <w:numFmt w:val="bullet"/>
      <w:lvlText w:val="•"/>
      <w:lvlJc w:val="left"/>
      <w:pPr>
        <w:ind w:left="5688" w:hanging="605"/>
      </w:pPr>
      <w:rPr>
        <w:rFonts w:hint="default"/>
      </w:rPr>
    </w:lvl>
    <w:lvl w:ilvl="7">
      <w:start w:val="1"/>
      <w:numFmt w:val="bullet"/>
      <w:lvlText w:val="•"/>
      <w:lvlJc w:val="left"/>
      <w:pPr>
        <w:ind w:left="6666" w:hanging="605"/>
      </w:pPr>
      <w:rPr>
        <w:rFonts w:hint="default"/>
      </w:rPr>
    </w:lvl>
    <w:lvl w:ilvl="8">
      <w:start w:val="1"/>
      <w:numFmt w:val="bullet"/>
      <w:lvlText w:val="•"/>
      <w:lvlJc w:val="left"/>
      <w:pPr>
        <w:ind w:left="7644" w:hanging="605"/>
      </w:pPr>
      <w:rPr>
        <w:rFonts w:hint="default"/>
      </w:rPr>
    </w:lvl>
  </w:abstractNum>
  <w:abstractNum w:abstractNumId="7">
    <w:multiLevelType w:val="hybridMultilevel"/>
    <w:lvl w:ilvl="0">
      <w:start w:val="1"/>
      <w:numFmt w:val="upperLetter"/>
      <w:lvlText w:val="%1)"/>
      <w:lvlJc w:val="left"/>
      <w:pPr>
        <w:ind w:left="623" w:hanging="360"/>
        <w:jc w:val="left"/>
      </w:pPr>
      <w:rPr>
        <w:rFonts w:hint="default" w:ascii="Arial" w:hAnsi="Arial" w:eastAsia="Arial" w:cs="Arial"/>
        <w:spacing w:val="-12"/>
        <w:w w:val="99"/>
        <w:sz w:val="24"/>
        <w:szCs w:val="24"/>
      </w:rPr>
    </w:lvl>
    <w:lvl w:ilvl="1">
      <w:start w:val="1"/>
      <w:numFmt w:val="bullet"/>
      <w:lvlText w:val="•"/>
      <w:lvlJc w:val="left"/>
      <w:pPr>
        <w:ind w:left="1518" w:hanging="360"/>
      </w:pPr>
      <w:rPr>
        <w:rFonts w:hint="default"/>
      </w:rPr>
    </w:lvl>
    <w:lvl w:ilvl="2">
      <w:start w:val="1"/>
      <w:numFmt w:val="bullet"/>
      <w:lvlText w:val="•"/>
      <w:lvlJc w:val="left"/>
      <w:pPr>
        <w:ind w:left="2416" w:hanging="360"/>
      </w:pPr>
      <w:rPr>
        <w:rFonts w:hint="default"/>
      </w:rPr>
    </w:lvl>
    <w:lvl w:ilvl="3">
      <w:start w:val="1"/>
      <w:numFmt w:val="bullet"/>
      <w:lvlText w:val="•"/>
      <w:lvlJc w:val="left"/>
      <w:pPr>
        <w:ind w:left="3314" w:hanging="360"/>
      </w:pPr>
      <w:rPr>
        <w:rFonts w:hint="default"/>
      </w:rPr>
    </w:lvl>
    <w:lvl w:ilvl="4">
      <w:start w:val="1"/>
      <w:numFmt w:val="bullet"/>
      <w:lvlText w:val="•"/>
      <w:lvlJc w:val="left"/>
      <w:pPr>
        <w:ind w:left="4212"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6008" w:hanging="360"/>
      </w:pPr>
      <w:rPr>
        <w:rFonts w:hint="default"/>
      </w:rPr>
    </w:lvl>
    <w:lvl w:ilvl="7">
      <w:start w:val="1"/>
      <w:numFmt w:val="bullet"/>
      <w:lvlText w:val="•"/>
      <w:lvlJc w:val="left"/>
      <w:pPr>
        <w:ind w:left="6906" w:hanging="360"/>
      </w:pPr>
      <w:rPr>
        <w:rFonts w:hint="default"/>
      </w:rPr>
    </w:lvl>
    <w:lvl w:ilvl="8">
      <w:start w:val="1"/>
      <w:numFmt w:val="bullet"/>
      <w:lvlText w:val="•"/>
      <w:lvlJc w:val="left"/>
      <w:pPr>
        <w:ind w:left="7804" w:hanging="360"/>
      </w:pPr>
      <w:rPr>
        <w:rFonts w:hint="default"/>
      </w:rPr>
    </w:lvl>
  </w:abstractNum>
  <w:abstractNum w:abstractNumId="6">
    <w:multiLevelType w:val="hybridMultilevel"/>
    <w:lvl w:ilvl="0">
      <w:start w:val="2"/>
      <w:numFmt w:val="decimal"/>
      <w:lvlText w:val="%1"/>
      <w:lvlJc w:val="left"/>
      <w:pPr>
        <w:ind w:left="800" w:hanging="604"/>
        <w:jc w:val="left"/>
      </w:pPr>
      <w:rPr>
        <w:rFonts w:hint="default"/>
      </w:rPr>
    </w:lvl>
    <w:lvl w:ilvl="1">
      <w:start w:val="2"/>
      <w:numFmt w:val="decimal"/>
      <w:lvlText w:val="%1.%2"/>
      <w:lvlJc w:val="left"/>
      <w:pPr>
        <w:ind w:left="800" w:hanging="604"/>
        <w:jc w:val="left"/>
      </w:pPr>
      <w:rPr>
        <w:rFonts w:hint="default"/>
      </w:rPr>
    </w:lvl>
    <w:lvl w:ilvl="2">
      <w:start w:val="1"/>
      <w:numFmt w:val="decimal"/>
      <w:lvlText w:val="%1.%2.%3"/>
      <w:lvlJc w:val="left"/>
      <w:pPr>
        <w:ind w:left="800" w:hanging="604"/>
        <w:jc w:val="left"/>
      </w:pPr>
      <w:rPr>
        <w:rFonts w:hint="default" w:ascii="Arial" w:hAnsi="Arial" w:eastAsia="Arial" w:cs="Arial"/>
        <w:b/>
        <w:bCs/>
        <w:w w:val="99"/>
        <w:sz w:val="24"/>
        <w:szCs w:val="24"/>
      </w:rPr>
    </w:lvl>
    <w:lvl w:ilvl="3">
      <w:start w:val="1"/>
      <w:numFmt w:val="bullet"/>
      <w:lvlText w:val="•"/>
      <w:lvlJc w:val="left"/>
      <w:pPr>
        <w:ind w:left="3440" w:hanging="604"/>
      </w:pPr>
      <w:rPr>
        <w:rFonts w:hint="default"/>
      </w:rPr>
    </w:lvl>
    <w:lvl w:ilvl="4">
      <w:start w:val="1"/>
      <w:numFmt w:val="bullet"/>
      <w:lvlText w:val="•"/>
      <w:lvlJc w:val="left"/>
      <w:pPr>
        <w:ind w:left="4320" w:hanging="604"/>
      </w:pPr>
      <w:rPr>
        <w:rFonts w:hint="default"/>
      </w:rPr>
    </w:lvl>
    <w:lvl w:ilvl="5">
      <w:start w:val="1"/>
      <w:numFmt w:val="bullet"/>
      <w:lvlText w:val="•"/>
      <w:lvlJc w:val="left"/>
      <w:pPr>
        <w:ind w:left="5200" w:hanging="604"/>
      </w:pPr>
      <w:rPr>
        <w:rFonts w:hint="default"/>
      </w:rPr>
    </w:lvl>
    <w:lvl w:ilvl="6">
      <w:start w:val="1"/>
      <w:numFmt w:val="bullet"/>
      <w:lvlText w:val="•"/>
      <w:lvlJc w:val="left"/>
      <w:pPr>
        <w:ind w:left="6080" w:hanging="604"/>
      </w:pPr>
      <w:rPr>
        <w:rFonts w:hint="default"/>
      </w:rPr>
    </w:lvl>
    <w:lvl w:ilvl="7">
      <w:start w:val="1"/>
      <w:numFmt w:val="bullet"/>
      <w:lvlText w:val="•"/>
      <w:lvlJc w:val="left"/>
      <w:pPr>
        <w:ind w:left="6960" w:hanging="604"/>
      </w:pPr>
      <w:rPr>
        <w:rFonts w:hint="default"/>
      </w:rPr>
    </w:lvl>
    <w:lvl w:ilvl="8">
      <w:start w:val="1"/>
      <w:numFmt w:val="bullet"/>
      <w:lvlText w:val="•"/>
      <w:lvlJc w:val="left"/>
      <w:pPr>
        <w:ind w:left="7840" w:hanging="604"/>
      </w:pPr>
      <w:rPr>
        <w:rFonts w:hint="default"/>
      </w:rPr>
    </w:lvl>
  </w:abstractNum>
  <w:abstractNum w:abstractNumId="5">
    <w:multiLevelType w:val="hybridMultilevel"/>
    <w:lvl w:ilvl="0">
      <w:start w:val="1"/>
      <w:numFmt w:val="bullet"/>
      <w:lvlText w:val=""/>
      <w:lvlJc w:val="left"/>
      <w:pPr>
        <w:ind w:left="917" w:hanging="361"/>
      </w:pPr>
      <w:rPr>
        <w:rFonts w:hint="default" w:ascii="Symbol" w:hAnsi="Symbol" w:eastAsia="Symbol" w:cs="Symbol"/>
        <w:w w:val="100"/>
        <w:sz w:val="24"/>
        <w:szCs w:val="24"/>
      </w:rPr>
    </w:lvl>
    <w:lvl w:ilvl="1">
      <w:start w:val="1"/>
      <w:numFmt w:val="bullet"/>
      <w:lvlText w:val="•"/>
      <w:lvlJc w:val="left"/>
      <w:pPr>
        <w:ind w:left="1788" w:hanging="361"/>
      </w:pPr>
      <w:rPr>
        <w:rFonts w:hint="default"/>
      </w:rPr>
    </w:lvl>
    <w:lvl w:ilvl="2">
      <w:start w:val="1"/>
      <w:numFmt w:val="bullet"/>
      <w:lvlText w:val="•"/>
      <w:lvlJc w:val="left"/>
      <w:pPr>
        <w:ind w:left="2656" w:hanging="361"/>
      </w:pPr>
      <w:rPr>
        <w:rFonts w:hint="default"/>
      </w:rPr>
    </w:lvl>
    <w:lvl w:ilvl="3">
      <w:start w:val="1"/>
      <w:numFmt w:val="bullet"/>
      <w:lvlText w:val="•"/>
      <w:lvlJc w:val="left"/>
      <w:pPr>
        <w:ind w:left="3524" w:hanging="361"/>
      </w:pPr>
      <w:rPr>
        <w:rFonts w:hint="default"/>
      </w:rPr>
    </w:lvl>
    <w:lvl w:ilvl="4">
      <w:start w:val="1"/>
      <w:numFmt w:val="bullet"/>
      <w:lvlText w:val="•"/>
      <w:lvlJc w:val="left"/>
      <w:pPr>
        <w:ind w:left="4392" w:hanging="361"/>
      </w:pPr>
      <w:rPr>
        <w:rFonts w:hint="default"/>
      </w:rPr>
    </w:lvl>
    <w:lvl w:ilvl="5">
      <w:start w:val="1"/>
      <w:numFmt w:val="bullet"/>
      <w:lvlText w:val="•"/>
      <w:lvlJc w:val="left"/>
      <w:pPr>
        <w:ind w:left="5260" w:hanging="361"/>
      </w:pPr>
      <w:rPr>
        <w:rFonts w:hint="default"/>
      </w:rPr>
    </w:lvl>
    <w:lvl w:ilvl="6">
      <w:start w:val="1"/>
      <w:numFmt w:val="bullet"/>
      <w:lvlText w:val="•"/>
      <w:lvlJc w:val="left"/>
      <w:pPr>
        <w:ind w:left="6128" w:hanging="361"/>
      </w:pPr>
      <w:rPr>
        <w:rFonts w:hint="default"/>
      </w:rPr>
    </w:lvl>
    <w:lvl w:ilvl="7">
      <w:start w:val="1"/>
      <w:numFmt w:val="bullet"/>
      <w:lvlText w:val="•"/>
      <w:lvlJc w:val="left"/>
      <w:pPr>
        <w:ind w:left="6996" w:hanging="361"/>
      </w:pPr>
      <w:rPr>
        <w:rFonts w:hint="default"/>
      </w:rPr>
    </w:lvl>
    <w:lvl w:ilvl="8">
      <w:start w:val="1"/>
      <w:numFmt w:val="bullet"/>
      <w:lvlText w:val="•"/>
      <w:lvlJc w:val="left"/>
      <w:pPr>
        <w:ind w:left="7864" w:hanging="361"/>
      </w:pPr>
      <w:rPr>
        <w:rFonts w:hint="default"/>
      </w:rPr>
    </w:lvl>
  </w:abstractNum>
  <w:abstractNum w:abstractNumId="4">
    <w:multiLevelType w:val="hybridMultilevel"/>
    <w:lvl w:ilvl="0">
      <w:start w:val="1"/>
      <w:numFmt w:val="bullet"/>
      <w:lvlText w:val=""/>
      <w:lvlJc w:val="left"/>
      <w:pPr>
        <w:ind w:left="917" w:hanging="361"/>
      </w:pPr>
      <w:rPr>
        <w:rFonts w:hint="default" w:ascii="Symbol" w:hAnsi="Symbol" w:eastAsia="Symbol" w:cs="Symbol"/>
        <w:w w:val="100"/>
        <w:sz w:val="24"/>
        <w:szCs w:val="24"/>
      </w:rPr>
    </w:lvl>
    <w:lvl w:ilvl="1">
      <w:start w:val="1"/>
      <w:numFmt w:val="bullet"/>
      <w:lvlText w:val="•"/>
      <w:lvlJc w:val="left"/>
      <w:pPr>
        <w:ind w:left="1788" w:hanging="361"/>
      </w:pPr>
      <w:rPr>
        <w:rFonts w:hint="default"/>
      </w:rPr>
    </w:lvl>
    <w:lvl w:ilvl="2">
      <w:start w:val="1"/>
      <w:numFmt w:val="bullet"/>
      <w:lvlText w:val="•"/>
      <w:lvlJc w:val="left"/>
      <w:pPr>
        <w:ind w:left="2656" w:hanging="361"/>
      </w:pPr>
      <w:rPr>
        <w:rFonts w:hint="default"/>
      </w:rPr>
    </w:lvl>
    <w:lvl w:ilvl="3">
      <w:start w:val="1"/>
      <w:numFmt w:val="bullet"/>
      <w:lvlText w:val="•"/>
      <w:lvlJc w:val="left"/>
      <w:pPr>
        <w:ind w:left="3524" w:hanging="361"/>
      </w:pPr>
      <w:rPr>
        <w:rFonts w:hint="default"/>
      </w:rPr>
    </w:lvl>
    <w:lvl w:ilvl="4">
      <w:start w:val="1"/>
      <w:numFmt w:val="bullet"/>
      <w:lvlText w:val="•"/>
      <w:lvlJc w:val="left"/>
      <w:pPr>
        <w:ind w:left="4392" w:hanging="361"/>
      </w:pPr>
      <w:rPr>
        <w:rFonts w:hint="default"/>
      </w:rPr>
    </w:lvl>
    <w:lvl w:ilvl="5">
      <w:start w:val="1"/>
      <w:numFmt w:val="bullet"/>
      <w:lvlText w:val="•"/>
      <w:lvlJc w:val="left"/>
      <w:pPr>
        <w:ind w:left="5260" w:hanging="361"/>
      </w:pPr>
      <w:rPr>
        <w:rFonts w:hint="default"/>
      </w:rPr>
    </w:lvl>
    <w:lvl w:ilvl="6">
      <w:start w:val="1"/>
      <w:numFmt w:val="bullet"/>
      <w:lvlText w:val="•"/>
      <w:lvlJc w:val="left"/>
      <w:pPr>
        <w:ind w:left="6128" w:hanging="361"/>
      </w:pPr>
      <w:rPr>
        <w:rFonts w:hint="default"/>
      </w:rPr>
    </w:lvl>
    <w:lvl w:ilvl="7">
      <w:start w:val="1"/>
      <w:numFmt w:val="bullet"/>
      <w:lvlText w:val="•"/>
      <w:lvlJc w:val="left"/>
      <w:pPr>
        <w:ind w:left="6996" w:hanging="361"/>
      </w:pPr>
      <w:rPr>
        <w:rFonts w:hint="default"/>
      </w:rPr>
    </w:lvl>
    <w:lvl w:ilvl="8">
      <w:start w:val="1"/>
      <w:numFmt w:val="bullet"/>
      <w:lvlText w:val="•"/>
      <w:lvlJc w:val="left"/>
      <w:pPr>
        <w:ind w:left="7864" w:hanging="361"/>
      </w:pPr>
      <w:rPr>
        <w:rFonts w:hint="default"/>
      </w:rPr>
    </w:lvl>
  </w:abstractNum>
  <w:abstractNum w:abstractNumId="3">
    <w:multiLevelType w:val="hybridMultilevel"/>
    <w:lvl w:ilvl="0">
      <w:start w:val="1"/>
      <w:numFmt w:val="decimal"/>
      <w:lvlText w:val="%1"/>
      <w:lvlJc w:val="left"/>
      <w:pPr>
        <w:ind w:left="598" w:hanging="403"/>
        <w:jc w:val="left"/>
      </w:pPr>
      <w:rPr>
        <w:rFonts w:hint="default"/>
      </w:rPr>
    </w:lvl>
    <w:lvl w:ilvl="1">
      <w:start w:val="3"/>
      <w:numFmt w:val="decimal"/>
      <w:lvlText w:val="%1.%2"/>
      <w:lvlJc w:val="left"/>
      <w:pPr>
        <w:ind w:left="598" w:hanging="403"/>
        <w:jc w:val="left"/>
      </w:pPr>
      <w:rPr>
        <w:rFonts w:hint="default" w:ascii="Arial" w:hAnsi="Arial" w:eastAsia="Arial" w:cs="Arial"/>
        <w:b/>
        <w:bCs/>
        <w:w w:val="99"/>
        <w:sz w:val="24"/>
        <w:szCs w:val="24"/>
      </w:rPr>
    </w:lvl>
    <w:lvl w:ilvl="2">
      <w:start w:val="1"/>
      <w:numFmt w:val="bullet"/>
      <w:lvlText w:val="•"/>
      <w:lvlJc w:val="left"/>
      <w:pPr>
        <w:ind w:left="556" w:hanging="192"/>
      </w:pPr>
      <w:rPr>
        <w:rFonts w:hint="default" w:ascii="Arial" w:hAnsi="Arial" w:eastAsia="Arial" w:cs="Arial"/>
        <w:w w:val="99"/>
        <w:sz w:val="24"/>
        <w:szCs w:val="24"/>
      </w:rPr>
    </w:lvl>
    <w:lvl w:ilvl="3">
      <w:start w:val="1"/>
      <w:numFmt w:val="bullet"/>
      <w:lvlText w:val="•"/>
      <w:lvlJc w:val="left"/>
      <w:pPr>
        <w:ind w:left="2600" w:hanging="192"/>
      </w:pPr>
      <w:rPr>
        <w:rFonts w:hint="default"/>
      </w:rPr>
    </w:lvl>
    <w:lvl w:ilvl="4">
      <w:start w:val="1"/>
      <w:numFmt w:val="bullet"/>
      <w:lvlText w:val="•"/>
      <w:lvlJc w:val="left"/>
      <w:pPr>
        <w:ind w:left="3600" w:hanging="192"/>
      </w:pPr>
      <w:rPr>
        <w:rFonts w:hint="default"/>
      </w:rPr>
    </w:lvl>
    <w:lvl w:ilvl="5">
      <w:start w:val="1"/>
      <w:numFmt w:val="bullet"/>
      <w:lvlText w:val="•"/>
      <w:lvlJc w:val="left"/>
      <w:pPr>
        <w:ind w:left="4600" w:hanging="192"/>
      </w:pPr>
      <w:rPr>
        <w:rFonts w:hint="default"/>
      </w:rPr>
    </w:lvl>
    <w:lvl w:ilvl="6">
      <w:start w:val="1"/>
      <w:numFmt w:val="bullet"/>
      <w:lvlText w:val="•"/>
      <w:lvlJc w:val="left"/>
      <w:pPr>
        <w:ind w:left="5600" w:hanging="192"/>
      </w:pPr>
      <w:rPr>
        <w:rFonts w:hint="default"/>
      </w:rPr>
    </w:lvl>
    <w:lvl w:ilvl="7">
      <w:start w:val="1"/>
      <w:numFmt w:val="bullet"/>
      <w:lvlText w:val="•"/>
      <w:lvlJc w:val="left"/>
      <w:pPr>
        <w:ind w:left="6600" w:hanging="192"/>
      </w:pPr>
      <w:rPr>
        <w:rFonts w:hint="default"/>
      </w:rPr>
    </w:lvl>
    <w:lvl w:ilvl="8">
      <w:start w:val="1"/>
      <w:numFmt w:val="bullet"/>
      <w:lvlText w:val="•"/>
      <w:lvlJc w:val="left"/>
      <w:pPr>
        <w:ind w:left="7600" w:hanging="192"/>
      </w:pPr>
      <w:rPr>
        <w:rFonts w:hint="default"/>
      </w:rPr>
    </w:lvl>
  </w:abstractNum>
  <w:abstractNum w:abstractNumId="2">
    <w:multiLevelType w:val="hybridMultilevel"/>
    <w:lvl w:ilvl="0">
      <w:start w:val="1"/>
      <w:numFmt w:val="decimal"/>
      <w:lvlText w:val="%1."/>
      <w:lvlJc w:val="left"/>
      <w:pPr>
        <w:ind w:left="479" w:hanging="284"/>
        <w:jc w:val="right"/>
      </w:pPr>
      <w:rPr>
        <w:rFonts w:hint="default"/>
        <w:b/>
        <w:bCs/>
        <w:w w:val="99"/>
      </w:rPr>
    </w:lvl>
    <w:lvl w:ilvl="1">
      <w:start w:val="1"/>
      <w:numFmt w:val="decimal"/>
      <w:lvlText w:val="%1.%2"/>
      <w:lvlJc w:val="left"/>
      <w:pPr>
        <w:ind w:left="623" w:hanging="428"/>
        <w:jc w:val="left"/>
      </w:pPr>
      <w:rPr>
        <w:rFonts w:hint="default" w:ascii="Arial" w:hAnsi="Arial" w:eastAsia="Arial" w:cs="Arial"/>
        <w:b/>
        <w:bCs/>
        <w:w w:val="99"/>
        <w:sz w:val="24"/>
        <w:szCs w:val="24"/>
      </w:rPr>
    </w:lvl>
    <w:lvl w:ilvl="2">
      <w:start w:val="1"/>
      <w:numFmt w:val="decimal"/>
      <w:lvlText w:val="%1.%2.%3"/>
      <w:lvlJc w:val="left"/>
      <w:pPr>
        <w:ind w:left="907" w:hanging="721"/>
        <w:jc w:val="left"/>
      </w:pPr>
      <w:rPr>
        <w:rFonts w:hint="default" w:ascii="Arial" w:hAnsi="Arial" w:eastAsia="Arial" w:cs="Arial"/>
        <w:b/>
        <w:bCs/>
        <w:w w:val="99"/>
        <w:sz w:val="24"/>
        <w:szCs w:val="24"/>
      </w:rPr>
    </w:lvl>
    <w:lvl w:ilvl="3">
      <w:start w:val="1"/>
      <w:numFmt w:val="decimal"/>
      <w:lvlText w:val="%1.%2.%3.%4"/>
      <w:lvlJc w:val="left"/>
      <w:pPr>
        <w:ind w:left="1003" w:hanging="807"/>
        <w:jc w:val="left"/>
      </w:pPr>
      <w:rPr>
        <w:rFonts w:hint="default" w:ascii="Arial" w:hAnsi="Arial" w:eastAsia="Arial" w:cs="Arial"/>
        <w:w w:val="99"/>
        <w:sz w:val="24"/>
        <w:szCs w:val="24"/>
      </w:rPr>
    </w:lvl>
    <w:lvl w:ilvl="4">
      <w:start w:val="1"/>
      <w:numFmt w:val="bullet"/>
      <w:lvlText w:val="•"/>
      <w:lvlJc w:val="left"/>
      <w:pPr>
        <w:ind w:left="1000" w:hanging="807"/>
      </w:pPr>
      <w:rPr>
        <w:rFonts w:hint="default"/>
      </w:rPr>
    </w:lvl>
    <w:lvl w:ilvl="5">
      <w:start w:val="1"/>
      <w:numFmt w:val="bullet"/>
      <w:lvlText w:val="•"/>
      <w:lvlJc w:val="left"/>
      <w:pPr>
        <w:ind w:left="2433" w:hanging="807"/>
      </w:pPr>
      <w:rPr>
        <w:rFonts w:hint="default"/>
      </w:rPr>
    </w:lvl>
    <w:lvl w:ilvl="6">
      <w:start w:val="1"/>
      <w:numFmt w:val="bullet"/>
      <w:lvlText w:val="•"/>
      <w:lvlJc w:val="left"/>
      <w:pPr>
        <w:ind w:left="3866" w:hanging="807"/>
      </w:pPr>
      <w:rPr>
        <w:rFonts w:hint="default"/>
      </w:rPr>
    </w:lvl>
    <w:lvl w:ilvl="7">
      <w:start w:val="1"/>
      <w:numFmt w:val="bullet"/>
      <w:lvlText w:val="•"/>
      <w:lvlJc w:val="left"/>
      <w:pPr>
        <w:ind w:left="5300" w:hanging="807"/>
      </w:pPr>
      <w:rPr>
        <w:rFonts w:hint="default"/>
      </w:rPr>
    </w:lvl>
    <w:lvl w:ilvl="8">
      <w:start w:val="1"/>
      <w:numFmt w:val="bullet"/>
      <w:lvlText w:val="•"/>
      <w:lvlJc w:val="left"/>
      <w:pPr>
        <w:ind w:left="6733" w:hanging="807"/>
      </w:pPr>
      <w:rPr>
        <w:rFonts w:hint="default"/>
      </w:rPr>
    </w:lvl>
  </w:abstractNum>
  <w:abstractNum w:abstractNumId="1">
    <w:multiLevelType w:val="hybridMultilevel"/>
    <w:lvl w:ilvl="0">
      <w:start w:val="1"/>
      <w:numFmt w:val="upperRoman"/>
      <w:lvlText w:val="%1."/>
      <w:lvlJc w:val="left"/>
      <w:pPr>
        <w:ind w:left="3274" w:hanging="721"/>
        <w:jc w:val="right"/>
      </w:pPr>
      <w:rPr>
        <w:rFonts w:hint="default" w:ascii="Arial" w:hAnsi="Arial" w:eastAsia="Arial" w:cs="Arial"/>
        <w:b/>
        <w:bCs/>
        <w:spacing w:val="-1"/>
        <w:w w:val="99"/>
        <w:sz w:val="52"/>
        <w:szCs w:val="52"/>
      </w:rPr>
    </w:lvl>
    <w:lvl w:ilvl="1">
      <w:start w:val="1"/>
      <w:numFmt w:val="bullet"/>
      <w:lvlText w:val="•"/>
      <w:lvlJc w:val="left"/>
      <w:pPr>
        <w:ind w:left="3912" w:hanging="721"/>
      </w:pPr>
      <w:rPr>
        <w:rFonts w:hint="default"/>
      </w:rPr>
    </w:lvl>
    <w:lvl w:ilvl="2">
      <w:start w:val="1"/>
      <w:numFmt w:val="bullet"/>
      <w:lvlText w:val="•"/>
      <w:lvlJc w:val="left"/>
      <w:pPr>
        <w:ind w:left="4544" w:hanging="721"/>
      </w:pPr>
      <w:rPr>
        <w:rFonts w:hint="default"/>
      </w:rPr>
    </w:lvl>
    <w:lvl w:ilvl="3">
      <w:start w:val="1"/>
      <w:numFmt w:val="bullet"/>
      <w:lvlText w:val="•"/>
      <w:lvlJc w:val="left"/>
      <w:pPr>
        <w:ind w:left="5176" w:hanging="721"/>
      </w:pPr>
      <w:rPr>
        <w:rFonts w:hint="default"/>
      </w:rPr>
    </w:lvl>
    <w:lvl w:ilvl="4">
      <w:start w:val="1"/>
      <w:numFmt w:val="bullet"/>
      <w:lvlText w:val="•"/>
      <w:lvlJc w:val="left"/>
      <w:pPr>
        <w:ind w:left="5808" w:hanging="721"/>
      </w:pPr>
      <w:rPr>
        <w:rFonts w:hint="default"/>
      </w:rPr>
    </w:lvl>
    <w:lvl w:ilvl="5">
      <w:start w:val="1"/>
      <w:numFmt w:val="bullet"/>
      <w:lvlText w:val="•"/>
      <w:lvlJc w:val="left"/>
      <w:pPr>
        <w:ind w:left="6440" w:hanging="721"/>
      </w:pPr>
      <w:rPr>
        <w:rFonts w:hint="default"/>
      </w:rPr>
    </w:lvl>
    <w:lvl w:ilvl="6">
      <w:start w:val="1"/>
      <w:numFmt w:val="bullet"/>
      <w:lvlText w:val="•"/>
      <w:lvlJc w:val="left"/>
      <w:pPr>
        <w:ind w:left="7072" w:hanging="721"/>
      </w:pPr>
      <w:rPr>
        <w:rFonts w:hint="default"/>
      </w:rPr>
    </w:lvl>
    <w:lvl w:ilvl="7">
      <w:start w:val="1"/>
      <w:numFmt w:val="bullet"/>
      <w:lvlText w:val="•"/>
      <w:lvlJc w:val="left"/>
      <w:pPr>
        <w:ind w:left="7704" w:hanging="721"/>
      </w:pPr>
      <w:rPr>
        <w:rFonts w:hint="default"/>
      </w:rPr>
    </w:lvl>
    <w:lvl w:ilvl="8">
      <w:start w:val="1"/>
      <w:numFmt w:val="bullet"/>
      <w:lvlText w:val="•"/>
      <w:lvlJc w:val="left"/>
      <w:pPr>
        <w:ind w:left="8336" w:hanging="721"/>
      </w:pPr>
      <w:rPr>
        <w:rFonts w:hint="default"/>
      </w:rPr>
    </w:lvl>
  </w:abstractNum>
  <w:abstractNum w:abstractNumId="0">
    <w:multiLevelType w:val="hybridMultilevel"/>
    <w:lvl w:ilvl="0">
      <w:start w:val="1"/>
      <w:numFmt w:val="upperRoman"/>
      <w:lvlText w:val="%1."/>
      <w:lvlJc w:val="left"/>
      <w:pPr>
        <w:ind w:left="803" w:hanging="567"/>
        <w:jc w:val="left"/>
      </w:pPr>
      <w:rPr>
        <w:rFonts w:hint="default" w:ascii="Arial" w:hAnsi="Arial" w:eastAsia="Arial" w:cs="Arial"/>
        <w:spacing w:val="0"/>
        <w:w w:val="100"/>
        <w:sz w:val="20"/>
        <w:szCs w:val="20"/>
      </w:rPr>
    </w:lvl>
    <w:lvl w:ilvl="1">
      <w:start w:val="1"/>
      <w:numFmt w:val="decimal"/>
      <w:lvlText w:val="%2."/>
      <w:lvlJc w:val="left"/>
      <w:pPr>
        <w:ind w:left="803" w:hanging="361"/>
        <w:jc w:val="right"/>
      </w:pPr>
      <w:rPr>
        <w:rFonts w:hint="default" w:ascii="Arial" w:hAnsi="Arial" w:eastAsia="Arial" w:cs="Arial"/>
        <w:spacing w:val="-2"/>
        <w:w w:val="100"/>
        <w:sz w:val="20"/>
        <w:szCs w:val="20"/>
      </w:rPr>
    </w:lvl>
    <w:lvl w:ilvl="2">
      <w:start w:val="1"/>
      <w:numFmt w:val="decimal"/>
      <w:lvlText w:val="%2.%3"/>
      <w:lvlJc w:val="left"/>
      <w:pPr>
        <w:ind w:left="1139" w:hanging="336"/>
        <w:jc w:val="left"/>
      </w:pPr>
      <w:rPr>
        <w:rFonts w:hint="default" w:ascii="Arial" w:hAnsi="Arial" w:eastAsia="Arial" w:cs="Arial"/>
        <w:spacing w:val="-2"/>
        <w:w w:val="100"/>
        <w:sz w:val="20"/>
        <w:szCs w:val="20"/>
      </w:rPr>
    </w:lvl>
    <w:lvl w:ilvl="3">
      <w:start w:val="1"/>
      <w:numFmt w:val="decimal"/>
      <w:lvlText w:val="%2.%3.%4"/>
      <w:lvlJc w:val="left"/>
      <w:pPr>
        <w:ind w:left="1451" w:hanging="504"/>
        <w:jc w:val="left"/>
      </w:pPr>
      <w:rPr>
        <w:rFonts w:hint="default" w:ascii="Arial" w:hAnsi="Arial" w:eastAsia="Arial" w:cs="Arial"/>
        <w:spacing w:val="-2"/>
        <w:w w:val="100"/>
        <w:sz w:val="20"/>
        <w:szCs w:val="20"/>
      </w:rPr>
    </w:lvl>
    <w:lvl w:ilvl="4">
      <w:start w:val="1"/>
      <w:numFmt w:val="decimal"/>
      <w:lvlText w:val="%2.%3.%4.%5"/>
      <w:lvlJc w:val="left"/>
      <w:pPr>
        <w:ind w:left="1758" w:hanging="672"/>
        <w:jc w:val="left"/>
      </w:pPr>
      <w:rPr>
        <w:rFonts w:hint="default" w:ascii="Arial" w:hAnsi="Arial" w:eastAsia="Arial" w:cs="Arial"/>
        <w:spacing w:val="-2"/>
        <w:w w:val="100"/>
        <w:sz w:val="20"/>
        <w:szCs w:val="20"/>
      </w:rPr>
    </w:lvl>
    <w:lvl w:ilvl="5">
      <w:start w:val="1"/>
      <w:numFmt w:val="upperLetter"/>
      <w:lvlText w:val="%6)"/>
      <w:lvlJc w:val="left"/>
      <w:pPr>
        <w:ind w:left="2363" w:hanging="284"/>
        <w:jc w:val="left"/>
      </w:pPr>
      <w:rPr>
        <w:rFonts w:hint="default" w:ascii="Arial" w:hAnsi="Arial" w:eastAsia="Arial" w:cs="Arial"/>
        <w:spacing w:val="-1"/>
        <w:w w:val="100"/>
        <w:sz w:val="20"/>
        <w:szCs w:val="20"/>
      </w:rPr>
    </w:lvl>
    <w:lvl w:ilvl="6">
      <w:start w:val="1"/>
      <w:numFmt w:val="bullet"/>
      <w:lvlText w:val="•"/>
      <w:lvlJc w:val="left"/>
      <w:pPr>
        <w:ind w:left="1580" w:hanging="284"/>
      </w:pPr>
      <w:rPr>
        <w:rFonts w:hint="default"/>
      </w:rPr>
    </w:lvl>
    <w:lvl w:ilvl="7">
      <w:start w:val="1"/>
      <w:numFmt w:val="bullet"/>
      <w:lvlText w:val="•"/>
      <w:lvlJc w:val="left"/>
      <w:pPr>
        <w:ind w:left="1600" w:hanging="284"/>
      </w:pPr>
      <w:rPr>
        <w:rFonts w:hint="default"/>
      </w:rPr>
    </w:lvl>
    <w:lvl w:ilvl="8">
      <w:start w:val="1"/>
      <w:numFmt w:val="bullet"/>
      <w:lvlText w:val="•"/>
      <w:lvlJc w:val="left"/>
      <w:pPr>
        <w:ind w:left="1660" w:hanging="284"/>
      </w:pPr>
      <w:rPr>
        <w:rFonts w:hint="default"/>
      </w:rPr>
    </w:lvl>
  </w:abstract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5"/>
      <w:ind w:left="803" w:hanging="567"/>
    </w:pPr>
    <w:rPr>
      <w:rFonts w:ascii="Arial" w:hAnsi="Arial" w:eastAsia="Arial" w:cs="Arial"/>
      <w:sz w:val="20"/>
      <w:szCs w:val="20"/>
    </w:rPr>
  </w:style>
  <w:style w:styleId="TOC2" w:type="paragraph">
    <w:name w:val="TOC 2"/>
    <w:basedOn w:val="Normal"/>
    <w:uiPriority w:val="1"/>
    <w:qFormat/>
    <w:pPr>
      <w:spacing w:before="115"/>
      <w:ind w:left="803" w:hanging="361"/>
    </w:pPr>
    <w:rPr>
      <w:rFonts w:ascii="Arial" w:hAnsi="Arial" w:eastAsia="Arial" w:cs="Arial"/>
      <w:sz w:val="20"/>
      <w:szCs w:val="20"/>
    </w:rPr>
  </w:style>
  <w:style w:styleId="TOC3" w:type="paragraph">
    <w:name w:val="TOC 3"/>
    <w:basedOn w:val="Normal"/>
    <w:uiPriority w:val="1"/>
    <w:qFormat/>
    <w:pPr>
      <w:spacing w:before="115"/>
      <w:ind w:left="822" w:hanging="303"/>
    </w:pPr>
    <w:rPr>
      <w:rFonts w:ascii="Arial" w:hAnsi="Arial" w:eastAsia="Arial" w:cs="Arial"/>
      <w:sz w:val="20"/>
      <w:szCs w:val="20"/>
    </w:rPr>
  </w:style>
  <w:style w:styleId="TOC4" w:type="paragraph">
    <w:name w:val="TOC 4"/>
    <w:basedOn w:val="Normal"/>
    <w:uiPriority w:val="1"/>
    <w:qFormat/>
    <w:pPr>
      <w:spacing w:before="115"/>
      <w:ind w:left="957" w:hanging="361"/>
    </w:pPr>
    <w:rPr>
      <w:rFonts w:ascii="Arial" w:hAnsi="Arial" w:eastAsia="Arial" w:cs="Arial"/>
      <w:sz w:val="20"/>
      <w:szCs w:val="20"/>
    </w:rPr>
  </w:style>
  <w:style w:styleId="TOC5" w:type="paragraph">
    <w:name w:val="TOC 5"/>
    <w:basedOn w:val="Normal"/>
    <w:uiPriority w:val="1"/>
    <w:qFormat/>
    <w:pPr>
      <w:spacing w:before="115"/>
      <w:ind w:left="947" w:hanging="284"/>
    </w:pPr>
    <w:rPr>
      <w:rFonts w:ascii="Arial" w:hAnsi="Arial" w:eastAsia="Arial" w:cs="Arial"/>
      <w:sz w:val="20"/>
      <w:szCs w:val="20"/>
    </w:rPr>
  </w:style>
  <w:style w:styleId="TOC6" w:type="paragraph">
    <w:name w:val="TOC 6"/>
    <w:basedOn w:val="Normal"/>
    <w:uiPriority w:val="1"/>
    <w:qFormat/>
    <w:pPr>
      <w:spacing w:before="115"/>
      <w:ind w:left="803"/>
    </w:pPr>
    <w:rPr>
      <w:rFonts w:ascii="Arial" w:hAnsi="Arial" w:eastAsia="Arial" w:cs="Arial"/>
      <w:sz w:val="20"/>
      <w:szCs w:val="20"/>
    </w:rPr>
  </w:style>
  <w:style w:styleId="TOC7" w:type="paragraph">
    <w:name w:val="TOC 7"/>
    <w:basedOn w:val="Normal"/>
    <w:uiPriority w:val="1"/>
    <w:qFormat/>
    <w:pPr>
      <w:spacing w:before="115"/>
      <w:ind w:left="1317" w:hanging="360"/>
    </w:pPr>
    <w:rPr>
      <w:rFonts w:ascii="Arial" w:hAnsi="Arial" w:eastAsia="Arial" w:cs="Arial"/>
      <w:sz w:val="20"/>
      <w:szCs w:val="20"/>
    </w:rPr>
  </w:style>
  <w:style w:styleId="TOC8" w:type="paragraph">
    <w:name w:val="TOC 8"/>
    <w:basedOn w:val="Normal"/>
    <w:uiPriority w:val="1"/>
    <w:qFormat/>
    <w:pPr>
      <w:spacing w:before="115"/>
      <w:ind w:left="1590" w:hanging="504"/>
    </w:pPr>
    <w:rPr>
      <w:rFonts w:ascii="Arial" w:hAnsi="Arial" w:eastAsia="Arial" w:cs="Arial"/>
      <w:sz w:val="20"/>
      <w:szCs w:val="20"/>
    </w:rPr>
  </w:style>
  <w:style w:styleId="TOC9" w:type="paragraph">
    <w:name w:val="TOC 9"/>
    <w:basedOn w:val="Normal"/>
    <w:uiPriority w:val="1"/>
    <w:qFormat/>
    <w:pPr>
      <w:spacing w:before="115"/>
      <w:ind w:left="1619" w:hanging="499"/>
    </w:pPr>
    <w:rPr>
      <w:rFonts w:ascii="Arial" w:hAnsi="Arial" w:eastAsia="Arial" w:cs="Arial"/>
      <w:sz w:val="20"/>
      <w:szCs w:val="20"/>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73"/>
      <w:ind w:left="2251" w:hanging="778"/>
      <w:outlineLvl w:val="1"/>
    </w:pPr>
    <w:rPr>
      <w:rFonts w:ascii="Arial" w:hAnsi="Arial" w:eastAsia="Arial" w:cs="Arial"/>
      <w:b/>
      <w:bCs/>
      <w:sz w:val="52"/>
      <w:szCs w:val="52"/>
    </w:rPr>
  </w:style>
  <w:style w:styleId="Heading2" w:type="paragraph">
    <w:name w:val="Heading 2"/>
    <w:basedOn w:val="Normal"/>
    <w:uiPriority w:val="1"/>
    <w:qFormat/>
    <w:pPr>
      <w:spacing w:before="70"/>
      <w:ind w:left="196"/>
      <w:jc w:val="both"/>
      <w:outlineLvl w:val="2"/>
    </w:pPr>
    <w:rPr>
      <w:rFonts w:ascii="Arial" w:hAnsi="Arial" w:eastAsia="Arial" w:cs="Arial"/>
      <w:b/>
      <w:bCs/>
      <w:sz w:val="24"/>
      <w:szCs w:val="24"/>
    </w:rPr>
  </w:style>
  <w:style w:styleId="ListParagraph" w:type="paragraph">
    <w:name w:val="List Paragraph"/>
    <w:basedOn w:val="Normal"/>
    <w:uiPriority w:val="1"/>
    <w:qFormat/>
    <w:pPr>
      <w:ind w:left="917" w:hanging="361"/>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header" Target="header2.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header" Target="header4.xml"/><Relationship Id="rId16" Type="http://schemas.openxmlformats.org/officeDocument/2006/relationships/footer" Target="footer4.xml"/><Relationship Id="rId17" Type="http://schemas.openxmlformats.org/officeDocument/2006/relationships/image" Target="media/image8.jpeg"/><Relationship Id="rId18" Type="http://schemas.openxmlformats.org/officeDocument/2006/relationships/image" Target="media/image9.png"/><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image" Target="media/image10.jpeg"/><Relationship Id="rId22" Type="http://schemas.openxmlformats.org/officeDocument/2006/relationships/image" Target="media/image11.png"/><Relationship Id="rId23" Type="http://schemas.openxmlformats.org/officeDocument/2006/relationships/footer" Target="footer7.xml"/><Relationship Id="rId24" Type="http://schemas.openxmlformats.org/officeDocument/2006/relationships/footer" Target="footer8.xml"/><Relationship Id="rId25" Type="http://schemas.openxmlformats.org/officeDocument/2006/relationships/image" Target="media/image12.png"/><Relationship Id="rId26" Type="http://schemas.openxmlformats.org/officeDocument/2006/relationships/image" Target="media/image13.jpeg"/><Relationship Id="rId27" Type="http://schemas.openxmlformats.org/officeDocument/2006/relationships/image" Target="media/image14.jpeg"/><Relationship Id="rId28" Type="http://schemas.openxmlformats.org/officeDocument/2006/relationships/image" Target="media/image15.jpeg"/><Relationship Id="rId29" Type="http://schemas.openxmlformats.org/officeDocument/2006/relationships/image" Target="media/image16.jpeg"/><Relationship Id="rId30" Type="http://schemas.openxmlformats.org/officeDocument/2006/relationships/footer" Target="footer9.xml"/><Relationship Id="rId31" Type="http://schemas.openxmlformats.org/officeDocument/2006/relationships/footer" Target="footer10.xml"/><Relationship Id="rId32" Type="http://schemas.openxmlformats.org/officeDocument/2006/relationships/image" Target="media/image17.png"/><Relationship Id="rId33" Type="http://schemas.openxmlformats.org/officeDocument/2006/relationships/image" Target="media/image18.png"/><Relationship Id="rId34" Type="http://schemas.openxmlformats.org/officeDocument/2006/relationships/footer" Target="footer11.xml"/><Relationship Id="rId35" Type="http://schemas.openxmlformats.org/officeDocument/2006/relationships/image" Target="media/image19.jpeg"/><Relationship Id="rId36" Type="http://schemas.openxmlformats.org/officeDocument/2006/relationships/image" Target="media/image20.jpeg"/><Relationship Id="rId37" Type="http://schemas.openxmlformats.org/officeDocument/2006/relationships/footer" Target="footer12.xml"/><Relationship Id="rId38" Type="http://schemas.openxmlformats.org/officeDocument/2006/relationships/image" Target="media/image21.png"/><Relationship Id="rId39" Type="http://schemas.openxmlformats.org/officeDocument/2006/relationships/footer" Target="footer13.xml"/><Relationship Id="rId40" Type="http://schemas.openxmlformats.org/officeDocument/2006/relationships/footer" Target="footer14.xml"/><Relationship Id="rId41" Type="http://schemas.openxmlformats.org/officeDocument/2006/relationships/footer" Target="footer15.xml"/><Relationship Id="rId42" Type="http://schemas.openxmlformats.org/officeDocument/2006/relationships/footer" Target="footer16.xml"/><Relationship Id="rId43" Type="http://schemas.openxmlformats.org/officeDocument/2006/relationships/image" Target="media/image22.png"/><Relationship Id="rId44" Type="http://schemas.openxmlformats.org/officeDocument/2006/relationships/image" Target="media/image23.png"/><Relationship Id="rId45" Type="http://schemas.openxmlformats.org/officeDocument/2006/relationships/image" Target="media/image24.png"/><Relationship Id="rId46" Type="http://schemas.openxmlformats.org/officeDocument/2006/relationships/footer" Target="footer17.xml"/><Relationship Id="rId47" Type="http://schemas.openxmlformats.org/officeDocument/2006/relationships/image" Target="media/image25.png"/><Relationship Id="rId48" Type="http://schemas.openxmlformats.org/officeDocument/2006/relationships/image" Target="media/image26.png"/><Relationship Id="rId49" Type="http://schemas.openxmlformats.org/officeDocument/2006/relationships/image" Target="media/image27.png"/><Relationship Id="rId50" Type="http://schemas.openxmlformats.org/officeDocument/2006/relationships/image" Target="media/image28.png"/><Relationship Id="rId51" Type="http://schemas.openxmlformats.org/officeDocument/2006/relationships/image" Target="media/image29.png"/><Relationship Id="rId52" Type="http://schemas.openxmlformats.org/officeDocument/2006/relationships/image" Target="media/image30.png"/><Relationship Id="rId53" Type="http://schemas.openxmlformats.org/officeDocument/2006/relationships/image" Target="media/image31.png"/><Relationship Id="rId54" Type="http://schemas.openxmlformats.org/officeDocument/2006/relationships/image" Target="media/image32.png"/><Relationship Id="rId55" Type="http://schemas.openxmlformats.org/officeDocument/2006/relationships/image" Target="media/image33.png"/><Relationship Id="rId56" Type="http://schemas.openxmlformats.org/officeDocument/2006/relationships/image" Target="media/image34.png"/><Relationship Id="rId57" Type="http://schemas.openxmlformats.org/officeDocument/2006/relationships/image" Target="media/image35.png"/><Relationship Id="rId58" Type="http://schemas.openxmlformats.org/officeDocument/2006/relationships/image" Target="media/image36.png"/><Relationship Id="rId59" Type="http://schemas.openxmlformats.org/officeDocument/2006/relationships/footer" Target="footer18.xml"/><Relationship Id="rId60" Type="http://schemas.openxmlformats.org/officeDocument/2006/relationships/image" Target="media/image7.png"/><Relationship Id="rId61" Type="http://schemas.openxmlformats.org/officeDocument/2006/relationships/image" Target="media/image37.png"/><Relationship Id="rId62" Type="http://schemas.openxmlformats.org/officeDocument/2006/relationships/image" Target="media/image38.png"/><Relationship Id="rId63" Type="http://schemas.openxmlformats.org/officeDocument/2006/relationships/image" Target="media/image39.png"/><Relationship Id="rId64" Type="http://schemas.openxmlformats.org/officeDocument/2006/relationships/image" Target="media/image40.png"/><Relationship Id="rId65" Type="http://schemas.openxmlformats.org/officeDocument/2006/relationships/footer" Target="footer19.xml"/><Relationship Id="rId66" Type="http://schemas.openxmlformats.org/officeDocument/2006/relationships/image" Target="media/image41.png"/><Relationship Id="rId67" Type="http://schemas.openxmlformats.org/officeDocument/2006/relationships/image" Target="media/image42.png"/><Relationship Id="rId68" Type="http://schemas.openxmlformats.org/officeDocument/2006/relationships/image" Target="media/image43.png"/><Relationship Id="rId69" Type="http://schemas.openxmlformats.org/officeDocument/2006/relationships/image" Target="media/image44.png"/><Relationship Id="rId70" Type="http://schemas.openxmlformats.org/officeDocument/2006/relationships/footer" Target="footer20.xml"/><Relationship Id="rId71" Type="http://schemas.openxmlformats.org/officeDocument/2006/relationships/image" Target="media/image45.jpeg"/><Relationship Id="rId72" Type="http://schemas.openxmlformats.org/officeDocument/2006/relationships/footer" Target="footer21.xml"/><Relationship Id="rId73" Type="http://schemas.openxmlformats.org/officeDocument/2006/relationships/hyperlink" Target="mailto:reginaguadarrama@outlook.com" TargetMode="External"/><Relationship Id="rId74" Type="http://schemas.openxmlformats.org/officeDocument/2006/relationships/footer" Target="footer22.xml"/><Relationship Id="rId75" Type="http://schemas.openxmlformats.org/officeDocument/2006/relationships/footer" Target="footer23.xml"/><Relationship Id="rId76" Type="http://schemas.openxmlformats.org/officeDocument/2006/relationships/footer" Target="footer24.xml"/><Relationship Id="rId77" Type="http://schemas.openxmlformats.org/officeDocument/2006/relationships/footer" Target="footer25.xml"/><Relationship Id="rId78" Type="http://schemas.openxmlformats.org/officeDocument/2006/relationships/image" Target="media/image46.png"/><Relationship Id="rId79" Type="http://schemas.openxmlformats.org/officeDocument/2006/relationships/image" Target="media/image47.png"/><Relationship Id="rId80" Type="http://schemas.openxmlformats.org/officeDocument/2006/relationships/image" Target="media/image48.png"/><Relationship Id="rId81" Type="http://schemas.openxmlformats.org/officeDocument/2006/relationships/footer" Target="footer26.xml"/><Relationship Id="rId82" Type="http://schemas.openxmlformats.org/officeDocument/2006/relationships/footer" Target="footer27.xml"/><Relationship Id="rId83" Type="http://schemas.openxmlformats.org/officeDocument/2006/relationships/hyperlink" Target="http://scielo.sld.cu/scielo.php?script=sci_arttext&amp;amp;pid=S0034750720030002000" TargetMode="External"/><Relationship Id="rId84" Type="http://schemas.openxmlformats.org/officeDocument/2006/relationships/footer" Target="footer28.xml"/><Relationship Id="rId85" Type="http://schemas.openxmlformats.org/officeDocument/2006/relationships/hyperlink" Target="http://www.kavo.com/img_cpm/global/files/009/diagnodent/DIAGNOdent_Laser" TargetMode="External"/><Relationship Id="rId86" Type="http://schemas.openxmlformats.org/officeDocument/2006/relationships/footer" Target="footer29.xml"/><Relationship Id="rId87" Type="http://schemas.openxmlformats.org/officeDocument/2006/relationships/hyperlink" Target="http://www.roche.com/pages/facets/pcr_e.pdf" TargetMode="External"/><Relationship Id="rId88" Type="http://schemas.openxmlformats.org/officeDocument/2006/relationships/hyperlink" Target="http://pathmicro.med.sc.edu/pcr/realtime-home.htm" TargetMode="External"/><Relationship Id="rId89" Type="http://schemas.openxmlformats.org/officeDocument/2006/relationships/hyperlink" Target="http://www.eurogentec.com/uploads/qPCR-guide.pdf" TargetMode="External"/><Relationship Id="rId90" Type="http://schemas.openxmlformats.org/officeDocument/2006/relationships/hyperlink" Target="http://www.epidemiologia.salud.gob.mx/doctos/infoepid/publicaciones/2011/mo" TargetMode="External"/><Relationship Id="rId91" Type="http://schemas.openxmlformats.org/officeDocument/2006/relationships/hyperlink" Target="http://www.who.int/mediacentre/factsheets/fs318/es/" TargetMode="External"/><Relationship Id="rId92" Type="http://schemas.openxmlformats.org/officeDocument/2006/relationships/hyperlink" Target="http://www.epidemiologia.salud.gob.mx/doctos/infoepid/bol_sivepab/SIVEPAB-" TargetMode="External"/><Relationship Id="rId93" Type="http://schemas.openxmlformats.org/officeDocument/2006/relationships/hyperlink" Target="http://lema.rae.es/drae/" TargetMode="External"/><Relationship Id="rId94" Type="http://schemas.openxmlformats.org/officeDocument/2006/relationships/hyperlink" Target="http://www.inegi.org.mx/est/contenidos/espanol/rutinas/glogen/default.aspx?t" TargetMode="External"/><Relationship Id="rId95" Type="http://schemas.openxmlformats.org/officeDocument/2006/relationships/hyperlink" Target="http://www.inegi.org.mx/est/contenidos/espanol/metodologias/enoe/clasificador" TargetMode="External"/><Relationship Id="rId96" Type="http://schemas.openxmlformats.org/officeDocument/2006/relationships/footer" Target="footer30.xml"/><Relationship Id="rId97" Type="http://schemas.openxmlformats.org/officeDocument/2006/relationships/footer" Target="footer31.xml"/><Relationship Id="rId98" Type="http://schemas.openxmlformats.org/officeDocument/2006/relationships/image" Target="media/image49.png"/><Relationship Id="rId99" Type="http://schemas.openxmlformats.org/officeDocument/2006/relationships/image" Target="media/image50.png"/><Relationship Id="rId100" Type="http://schemas.openxmlformats.org/officeDocument/2006/relationships/image" Target="media/image51.jpeg"/><Relationship Id="rId101" Type="http://schemas.openxmlformats.org/officeDocument/2006/relationships/image" Target="media/image52.jpeg"/><Relationship Id="rId102" Type="http://schemas.openxmlformats.org/officeDocument/2006/relationships/image" Target="media/image53.jpeg"/><Relationship Id="rId103" Type="http://schemas.openxmlformats.org/officeDocument/2006/relationships/footer" Target="footer32.xml"/><Relationship Id="rId104" Type="http://schemas.openxmlformats.org/officeDocument/2006/relationships/image" Target="media/image54.png"/><Relationship Id="rId105" Type="http://schemas.openxmlformats.org/officeDocument/2006/relationships/image" Target="media/image55.jpeg"/><Relationship Id="rId106" Type="http://schemas.openxmlformats.org/officeDocument/2006/relationships/image" Target="media/image56.png"/><Relationship Id="rId107" Type="http://schemas.openxmlformats.org/officeDocument/2006/relationships/image" Target="media/image57.jpeg"/><Relationship Id="rId108" Type="http://schemas.openxmlformats.org/officeDocument/2006/relationships/header" Target="header5.xml"/><Relationship Id="rId109" Type="http://schemas.openxmlformats.org/officeDocument/2006/relationships/footer" Target="footer33.xml"/><Relationship Id="rId110" Type="http://schemas.openxmlformats.org/officeDocument/2006/relationships/image" Target="media/image5.png"/><Relationship Id="rId111" Type="http://schemas.openxmlformats.org/officeDocument/2006/relationships/image" Target="media/image58.png"/><Relationship Id="rId112" Type="http://schemas.openxmlformats.org/officeDocument/2006/relationships/image" Target="media/image59.jpeg"/><Relationship Id="rId113" Type="http://schemas.openxmlformats.org/officeDocument/2006/relationships/image" Target="media/image60.png"/><Relationship Id="rId114" Type="http://schemas.openxmlformats.org/officeDocument/2006/relationships/image" Target="media/image61.jpeg"/><Relationship Id="rId115" Type="http://schemas.openxmlformats.org/officeDocument/2006/relationships/header" Target="header6.xml"/><Relationship Id="rId116" Type="http://schemas.openxmlformats.org/officeDocument/2006/relationships/footer" Target="footer34.xml"/><Relationship Id="rId117" Type="http://schemas.openxmlformats.org/officeDocument/2006/relationships/image" Target="media/image62.png"/><Relationship Id="rId118" Type="http://schemas.openxmlformats.org/officeDocument/2006/relationships/image" Target="media/image63.jpeg"/><Relationship Id="rId119" Type="http://schemas.openxmlformats.org/officeDocument/2006/relationships/image" Target="media/image64.png"/><Relationship Id="rId120" Type="http://schemas.openxmlformats.org/officeDocument/2006/relationships/image" Target="media/image65.jpeg"/><Relationship Id="rId121" Type="http://schemas.openxmlformats.org/officeDocument/2006/relationships/image" Target="media/image66.png"/><Relationship Id="rId122" Type="http://schemas.openxmlformats.org/officeDocument/2006/relationships/image" Target="media/image67.jpeg"/><Relationship Id="rId123" Type="http://schemas.openxmlformats.org/officeDocument/2006/relationships/footer" Target="footer35.xml"/><Relationship Id="rId124"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footer10.xml.rels><?xml version="1.0" encoding="UTF-8" standalone="yes"?>
<Relationships xmlns="http://schemas.openxmlformats.org/package/2006/relationships"><Relationship Id="rId1" Type="http://schemas.openxmlformats.org/officeDocument/2006/relationships/image" Target="media/image7.png"/></Relationships>

</file>

<file path=word/_rels/footer11.xml.rels><?xml version="1.0" encoding="UTF-8" standalone="yes"?>
<Relationships xmlns="http://schemas.openxmlformats.org/package/2006/relationships"><Relationship Id="rId1" Type="http://schemas.openxmlformats.org/officeDocument/2006/relationships/image" Target="media/image7.png"/></Relationships>

</file>

<file path=word/_rels/footer12.xml.rels><?xml version="1.0" encoding="UTF-8" standalone="yes"?>
<Relationships xmlns="http://schemas.openxmlformats.org/package/2006/relationships"><Relationship Id="rId1" Type="http://schemas.openxmlformats.org/officeDocument/2006/relationships/image" Target="media/image7.png"/></Relationships>

</file>

<file path=word/_rels/footer13.xml.rels><?xml version="1.0" encoding="UTF-8" standalone="yes"?>
<Relationships xmlns="http://schemas.openxmlformats.org/package/2006/relationships"><Relationship Id="rId1" Type="http://schemas.openxmlformats.org/officeDocument/2006/relationships/image" Target="media/image7.png"/></Relationships>

</file>

<file path=word/_rels/footer14.xml.rels><?xml version="1.0" encoding="UTF-8" standalone="yes"?>
<Relationships xmlns="http://schemas.openxmlformats.org/package/2006/relationships"><Relationship Id="rId1" Type="http://schemas.openxmlformats.org/officeDocument/2006/relationships/image" Target="media/image7.png"/></Relationships>

</file>

<file path=word/_rels/footer15.xml.rels><?xml version="1.0" encoding="UTF-8" standalone="yes"?>
<Relationships xmlns="http://schemas.openxmlformats.org/package/2006/relationships"><Relationship Id="rId1" Type="http://schemas.openxmlformats.org/officeDocument/2006/relationships/image" Target="media/image7.png"/></Relationships>

</file>

<file path=word/_rels/footer16.xml.rels><?xml version="1.0" encoding="UTF-8" standalone="yes"?>
<Relationships xmlns="http://schemas.openxmlformats.org/package/2006/relationships"><Relationship Id="rId1" Type="http://schemas.openxmlformats.org/officeDocument/2006/relationships/image" Target="media/image7.png"/></Relationships>

</file>

<file path=word/_rels/footer17.xml.rels><?xml version="1.0" encoding="UTF-8" standalone="yes"?>
<Relationships xmlns="http://schemas.openxmlformats.org/package/2006/relationships"><Relationship Id="rId1" Type="http://schemas.openxmlformats.org/officeDocument/2006/relationships/image" Target="media/image7.png"/></Relationships>

</file>

<file path=word/_rels/footer19.xml.rels><?xml version="1.0" encoding="UTF-8" standalone="yes"?>
<Relationships xmlns="http://schemas.openxmlformats.org/package/2006/relationships"><Relationship Id="rId1" Type="http://schemas.openxmlformats.org/officeDocument/2006/relationships/image" Target="media/image7.png"/></Relationships>

</file>

<file path=word/_rels/footer20.xml.rels><?xml version="1.0" encoding="UTF-8" standalone="yes"?>
<Relationships xmlns="http://schemas.openxmlformats.org/package/2006/relationships"><Relationship Id="rId1" Type="http://schemas.openxmlformats.org/officeDocument/2006/relationships/image" Target="media/image7.png"/></Relationships>

</file>

<file path=word/_rels/footer21.xml.rels><?xml version="1.0" encoding="UTF-8" standalone="yes"?>
<Relationships xmlns="http://schemas.openxmlformats.org/package/2006/relationships"><Relationship Id="rId1" Type="http://schemas.openxmlformats.org/officeDocument/2006/relationships/image" Target="media/image7.png"/></Relationships>

</file>

<file path=word/_rels/footer22.xml.rels><?xml version="1.0" encoding="UTF-8" standalone="yes"?>
<Relationships xmlns="http://schemas.openxmlformats.org/package/2006/relationships"><Relationship Id="rId1" Type="http://schemas.openxmlformats.org/officeDocument/2006/relationships/image" Target="media/image7.png"/></Relationships>

</file>

<file path=word/_rels/footer23.xml.rels><?xml version="1.0" encoding="UTF-8" standalone="yes"?>
<Relationships xmlns="http://schemas.openxmlformats.org/package/2006/relationships"><Relationship Id="rId1" Type="http://schemas.openxmlformats.org/officeDocument/2006/relationships/image" Target="media/image7.png"/></Relationships>

</file>

<file path=word/_rels/footer24.xml.rels><?xml version="1.0" encoding="UTF-8" standalone="yes"?>
<Relationships xmlns="http://schemas.openxmlformats.org/package/2006/relationships"><Relationship Id="rId1" Type="http://schemas.openxmlformats.org/officeDocument/2006/relationships/image" Target="media/image7.png"/></Relationships>

</file>

<file path=word/_rels/footer25.xml.rels><?xml version="1.0" encoding="UTF-8" standalone="yes"?>
<Relationships xmlns="http://schemas.openxmlformats.org/package/2006/relationships"><Relationship Id="rId1" Type="http://schemas.openxmlformats.org/officeDocument/2006/relationships/image" Target="media/image7.png"/></Relationships>

</file>

<file path=word/_rels/footer26.xml.rels><?xml version="1.0" encoding="UTF-8" standalone="yes"?>
<Relationships xmlns="http://schemas.openxmlformats.org/package/2006/relationships"><Relationship Id="rId1" Type="http://schemas.openxmlformats.org/officeDocument/2006/relationships/image" Target="media/image7.png"/></Relationships>

</file>

<file path=word/_rels/footer27.xml.rels><?xml version="1.0" encoding="UTF-8" standalone="yes"?>
<Relationships xmlns="http://schemas.openxmlformats.org/package/2006/relationships"><Relationship Id="rId1" Type="http://schemas.openxmlformats.org/officeDocument/2006/relationships/image" Target="media/image7.png"/></Relationships>

</file>

<file path=word/_rels/footer28.xml.rels><?xml version="1.0" encoding="UTF-8" standalone="yes"?>
<Relationships xmlns="http://schemas.openxmlformats.org/package/2006/relationships"><Relationship Id="rId1" Type="http://schemas.openxmlformats.org/officeDocument/2006/relationships/image" Target="media/image7.png"/></Relationships>

</file>

<file path=word/_rels/footer29.xml.rels><?xml version="1.0" encoding="UTF-8" standalone="yes"?>
<Relationships xmlns="http://schemas.openxmlformats.org/package/2006/relationships"><Relationship Id="rId1" Type="http://schemas.openxmlformats.org/officeDocument/2006/relationships/image" Target="media/image7.png"/></Relationships>

</file>

<file path=word/_rels/footer30.xml.rels><?xml version="1.0" encoding="UTF-8" standalone="yes"?>
<Relationships xmlns="http://schemas.openxmlformats.org/package/2006/relationships"><Relationship Id="rId1" Type="http://schemas.openxmlformats.org/officeDocument/2006/relationships/image" Target="media/image7.png"/></Relationships>

</file>

<file path=word/_rels/footer31.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footer5.xml.rels><?xml version="1.0" encoding="UTF-8" standalone="yes"?>
<Relationships xmlns="http://schemas.openxmlformats.org/package/2006/relationships"><Relationship Id="rId1" Type="http://schemas.openxmlformats.org/officeDocument/2006/relationships/image" Target="media/image7.png"/></Relationships>

</file>

<file path=word/_rels/footer6.xml.rels><?xml version="1.0" encoding="UTF-8" standalone="yes"?>
<Relationships xmlns="http://schemas.openxmlformats.org/package/2006/relationships"><Relationship Id="rId1" Type="http://schemas.openxmlformats.org/officeDocument/2006/relationships/image" Target="media/image7.png"/></Relationships>

</file>

<file path=word/_rels/footer7.xml.rels><?xml version="1.0" encoding="UTF-8" standalone="yes"?>
<Relationships xmlns="http://schemas.openxmlformats.org/package/2006/relationships"><Relationship Id="rId1" Type="http://schemas.openxmlformats.org/officeDocument/2006/relationships/image" Target="media/image7.png"/></Relationships>

</file>

<file path=word/_rels/footer8.xml.rels><?xml version="1.0" encoding="UTF-8" standalone="yes"?>
<Relationships xmlns="http://schemas.openxmlformats.org/package/2006/relationships"><Relationship Id="rId1" Type="http://schemas.openxmlformats.org/officeDocument/2006/relationships/image" Target="media/image7.png"/></Relationships>

</file>

<file path=word/_rels/footer9.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5.png"/></Relationships>

</file>

<file path=word/_rels/header6.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dc:creator>
  <dc:title>EXPRESIÓN GÉNICA DE FcαR, FcγRIIB Y FcαµR EN SALIVA DE PACIENTES MEXIQUENSES CON DENTICIÓN MIXTA Y PERMANENTE QUE PRESENTAN CARIES DENTAL; 2013</dc:title>
  <dcterms:created xsi:type="dcterms:W3CDTF">2017-05-25T22:55:04Z</dcterms:created>
  <dcterms:modified xsi:type="dcterms:W3CDTF">2017-05-25T22:55:04Z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2015-01-06T00:00:00Z</vt:filetime>
  </property>
  <property fmtid="{D5CDD505-2E9C-101B-9397-08002B2CF9AE}" pid="3" name="Creator">
    <vt:lpwstr>Microsoft® Word 2010</vt:lpwstr>
  </property>
  <property fmtid="{D5CDD505-2E9C-101B-9397-08002B2CF9AE}" pid="4" name="LastSaved">
    <vt:filetime>2017-05-25T00:00:00Z</vt:filetime>
  </property>
</Properties>
</file>