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Default Extension="png" ContentType="image/png"/>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1"/>
        </w:rPr>
      </w:pPr>
    </w:p>
    <w:p>
      <w:pPr>
        <w:spacing w:before="0"/>
        <w:ind w:left="2279" w:right="0" w:firstLine="0"/>
        <w:jc w:val="left"/>
        <w:rPr>
          <w:b/>
          <w:sz w:val="26"/>
        </w:rPr>
      </w:pPr>
      <w:r>
        <w:rPr/>
        <w:pict>
          <v:group style="position:absolute;margin-left:55.599998pt;margin-top:-57.746178pt;width:513.4500pt;height:660.5pt;mso-position-horizontal-relative:page;mso-position-vertical-relative:paragraph;z-index:-132016" coordorigin="1112,-1155" coordsize="10269,13210">
            <v:shape style="position:absolute;left:1112;top:-557;width:1800;height:1623" type="#_x0000_t75" stroked="false">
              <v:imagedata r:id="rId5" o:title=""/>
            </v:shape>
            <v:rect style="position:absolute;left:1510;top:-1155;width:9871;height:674" filled="true" fillcolor="#ffffff" stroked="false">
              <v:fill type="solid"/>
            </v:rect>
            <v:shape style="position:absolute;left:1259;top:10330;width:1485;height:1725" type="#_x0000_t75" stroked="false">
              <v:imagedata r:id="rId6" o:title=""/>
            </v:shape>
            <v:line style="position:absolute" from="1980,1037" to="1980,10337" stroked="true" strokeweight="2.25pt" strokecolor="#000000"/>
            <w10:wrap type="none"/>
          </v:group>
        </w:pict>
      </w:r>
      <w:r>
        <w:rPr>
          <w:b/>
          <w:sz w:val="26"/>
        </w:rPr>
        <w:t>UNIVERSIDAD AUTÓNOMA DEL ESTADO DE MÉXICO</w:t>
      </w:r>
    </w:p>
    <w:p>
      <w:pPr>
        <w:spacing w:line="660" w:lineRule="atLeast" w:before="171"/>
        <w:ind w:left="3156" w:right="3417" w:firstLine="0"/>
        <w:jc w:val="center"/>
        <w:rPr>
          <w:b/>
          <w:sz w:val="26"/>
        </w:rPr>
      </w:pPr>
      <w:r>
        <w:rPr>
          <w:b/>
          <w:sz w:val="26"/>
        </w:rPr>
        <w:t>FACULTAD DE ODONTOLOGÍA CENTRO DE INVESTIGACIÓN</w:t>
      </w:r>
    </w:p>
    <w:p>
      <w:pPr>
        <w:spacing w:line="362" w:lineRule="auto" w:before="148"/>
        <w:ind w:left="2236" w:right="2498" w:firstLine="0"/>
        <w:jc w:val="center"/>
        <w:rPr>
          <w:b/>
          <w:sz w:val="22"/>
        </w:rPr>
      </w:pPr>
      <w:r>
        <w:rPr>
          <w:b/>
          <w:sz w:val="26"/>
        </w:rPr>
        <w:t>Y ESTUDIOS AVANZADOS EN ODONTOLOGÍA “DR. KEISABURO MIYATA</w:t>
      </w:r>
      <w:r>
        <w:rPr>
          <w:b/>
          <w:sz w:val="22"/>
        </w:rPr>
        <w:t>”</w:t>
      </w:r>
    </w:p>
    <w:p>
      <w:pPr>
        <w:pStyle w:val="BodyText"/>
        <w:rPr>
          <w:b/>
          <w:sz w:val="26"/>
        </w:rPr>
      </w:pPr>
    </w:p>
    <w:p>
      <w:pPr>
        <w:spacing w:line="360" w:lineRule="auto" w:before="151"/>
        <w:ind w:left="1074" w:right="1336" w:hanging="2"/>
        <w:jc w:val="center"/>
        <w:rPr>
          <w:b/>
          <w:sz w:val="26"/>
        </w:rPr>
      </w:pPr>
      <w:r>
        <w:rPr>
          <w:b/>
          <w:sz w:val="26"/>
        </w:rPr>
        <w:t>EFICACIA ANTIMICROBIANA DE LA PLATA COLOIDAL EN COMPARACIÓN CON EL GLUCONATO DE CLORHEXIDINA PARA EL CONTROL DE BIOPELÍCULA DE UNIDADES DENTALES; 2013</w:t>
      </w:r>
    </w:p>
    <w:p>
      <w:pPr>
        <w:pStyle w:val="BodyText"/>
        <w:spacing w:before="11"/>
        <w:rPr>
          <w:b/>
          <w:sz w:val="38"/>
        </w:rPr>
      </w:pPr>
    </w:p>
    <w:p>
      <w:pPr>
        <w:spacing w:before="0"/>
        <w:ind w:left="3155" w:right="3417" w:firstLine="0"/>
        <w:jc w:val="center"/>
        <w:rPr>
          <w:b/>
          <w:sz w:val="44"/>
        </w:rPr>
      </w:pPr>
      <w:r>
        <w:rPr>
          <w:b/>
          <w:sz w:val="44"/>
        </w:rPr>
        <w:t>TESIS</w:t>
      </w:r>
    </w:p>
    <w:p>
      <w:pPr>
        <w:pStyle w:val="BodyText"/>
        <w:spacing w:before="3"/>
        <w:rPr>
          <w:b/>
          <w:sz w:val="61"/>
        </w:rPr>
      </w:pPr>
    </w:p>
    <w:p>
      <w:pPr>
        <w:spacing w:line="357" w:lineRule="auto" w:before="0"/>
        <w:ind w:left="2404" w:right="2669" w:firstLine="3"/>
        <w:jc w:val="center"/>
        <w:rPr>
          <w:b/>
          <w:sz w:val="26"/>
        </w:rPr>
      </w:pPr>
      <w:r>
        <w:rPr>
          <w:b/>
          <w:sz w:val="26"/>
        </w:rPr>
        <w:t>QUE PARA OBTENER EL GRADO DE: MAESTRA EN CIENCIAS</w:t>
      </w:r>
      <w:r>
        <w:rPr>
          <w:b/>
          <w:spacing w:val="-15"/>
          <w:sz w:val="26"/>
        </w:rPr>
        <w:t> </w:t>
      </w:r>
      <w:r>
        <w:rPr>
          <w:b/>
          <w:sz w:val="26"/>
        </w:rPr>
        <w:t>ODONTOLÓGICAS</w:t>
      </w:r>
    </w:p>
    <w:p>
      <w:pPr>
        <w:pStyle w:val="BodyText"/>
        <w:rPr>
          <w:b/>
          <w:sz w:val="26"/>
        </w:rPr>
      </w:pPr>
    </w:p>
    <w:p>
      <w:pPr>
        <w:spacing w:before="191"/>
        <w:ind w:left="3154" w:right="3417" w:firstLine="0"/>
        <w:jc w:val="center"/>
        <w:rPr>
          <w:b/>
          <w:sz w:val="26"/>
        </w:rPr>
      </w:pPr>
      <w:r>
        <w:rPr>
          <w:b/>
          <w:sz w:val="26"/>
        </w:rPr>
        <w:t>PRESENTA:</w:t>
      </w:r>
    </w:p>
    <w:p>
      <w:pPr>
        <w:spacing w:before="153"/>
        <w:ind w:left="2433" w:right="0" w:firstLine="0"/>
        <w:jc w:val="left"/>
        <w:rPr>
          <w:b/>
          <w:sz w:val="26"/>
        </w:rPr>
      </w:pPr>
      <w:r>
        <w:rPr>
          <w:b/>
          <w:sz w:val="26"/>
        </w:rPr>
        <w:t>C.D. GAUDDY LIZETH MANZANARES LEAL</w:t>
      </w:r>
    </w:p>
    <w:p>
      <w:pPr>
        <w:pStyle w:val="BodyText"/>
        <w:rPr>
          <w:b/>
          <w:sz w:val="26"/>
        </w:rPr>
      </w:pPr>
    </w:p>
    <w:p>
      <w:pPr>
        <w:pStyle w:val="BodyText"/>
        <w:spacing w:before="11"/>
        <w:rPr>
          <w:b/>
          <w:sz w:val="28"/>
        </w:rPr>
      </w:pPr>
    </w:p>
    <w:p>
      <w:pPr>
        <w:spacing w:before="0"/>
        <w:ind w:left="3148" w:right="3417" w:firstLine="0"/>
        <w:jc w:val="center"/>
        <w:rPr>
          <w:b/>
          <w:sz w:val="26"/>
        </w:rPr>
      </w:pPr>
      <w:r>
        <w:rPr>
          <w:b/>
          <w:sz w:val="26"/>
        </w:rPr>
        <w:t>TUTOR ACADÉMICO</w:t>
      </w:r>
    </w:p>
    <w:p>
      <w:pPr>
        <w:spacing w:line="362" w:lineRule="auto" w:before="147"/>
        <w:ind w:left="1909" w:right="2173" w:firstLine="0"/>
        <w:jc w:val="center"/>
        <w:rPr>
          <w:b/>
          <w:sz w:val="26"/>
        </w:rPr>
      </w:pPr>
      <w:r>
        <w:rPr>
          <w:b/>
          <w:sz w:val="26"/>
        </w:rPr>
        <w:t>Dra. en O. NORMA MARGARITA MONTIEL BASTIDA TUTORES ADJUNTOS</w:t>
      </w:r>
    </w:p>
    <w:p>
      <w:pPr>
        <w:spacing w:line="362" w:lineRule="auto" w:before="0"/>
        <w:ind w:left="3802" w:right="2312" w:hanging="1297"/>
        <w:jc w:val="left"/>
        <w:rPr>
          <w:b/>
          <w:sz w:val="26"/>
        </w:rPr>
      </w:pPr>
      <w:r>
        <w:rPr>
          <w:b/>
          <w:sz w:val="26"/>
        </w:rPr>
        <w:t>M. en C.S. SARA GABRIELA MARIA EUGENIA DEL REAL SÁNCHEZ</w:t>
      </w:r>
    </w:p>
    <w:p>
      <w:pPr>
        <w:pStyle w:val="ListParagraph"/>
        <w:numPr>
          <w:ilvl w:val="0"/>
          <w:numId w:val="1"/>
        </w:numPr>
        <w:tabs>
          <w:tab w:pos="2679" w:val="left" w:leader="none"/>
        </w:tabs>
        <w:spacing w:line="720" w:lineRule="auto" w:before="0" w:after="0"/>
        <w:ind w:left="1938" w:right="2205" w:firstLine="380"/>
        <w:jc w:val="left"/>
        <w:rPr>
          <w:b/>
          <w:sz w:val="26"/>
        </w:rPr>
      </w:pPr>
      <w:r>
        <w:rPr>
          <w:b/>
          <w:sz w:val="26"/>
        </w:rPr>
        <w:t>en D.A.E.S </w:t>
      </w:r>
      <w:r>
        <w:rPr>
          <w:b/>
          <w:spacing w:val="2"/>
          <w:sz w:val="26"/>
        </w:rPr>
        <w:t>ROSA </w:t>
      </w:r>
      <w:r>
        <w:rPr>
          <w:b/>
          <w:sz w:val="26"/>
        </w:rPr>
        <w:t>ISELA FLORES CHÁVEZ TOLUCA, ESTADO DE MÉXICO, OCTUBRE DE</w:t>
      </w:r>
      <w:r>
        <w:rPr>
          <w:b/>
          <w:spacing w:val="-11"/>
          <w:sz w:val="26"/>
        </w:rPr>
        <w:t> </w:t>
      </w:r>
      <w:r>
        <w:rPr>
          <w:b/>
          <w:sz w:val="26"/>
        </w:rPr>
        <w:t>2014</w:t>
      </w:r>
    </w:p>
    <w:p>
      <w:pPr>
        <w:spacing w:after="0" w:line="720" w:lineRule="auto"/>
        <w:jc w:val="left"/>
        <w:rPr>
          <w:sz w:val="26"/>
        </w:rPr>
        <w:sectPr>
          <w:type w:val="continuous"/>
          <w:pgSz w:w="12240" w:h="15840"/>
          <w:pgMar w:top="480" w:bottom="280" w:left="1000" w:right="740"/>
        </w:sect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8"/>
        <w:gridCol w:w="9374"/>
        <w:gridCol w:w="604"/>
      </w:tblGrid>
      <w:tr>
        <w:trPr>
          <w:trHeight w:val="1248" w:hRule="exact"/>
        </w:trPr>
        <w:tc>
          <w:tcPr>
            <w:tcW w:w="438" w:type="dxa"/>
          </w:tcPr>
          <w:p>
            <w:pPr/>
          </w:p>
        </w:tc>
        <w:tc>
          <w:tcPr>
            <w:tcW w:w="9374" w:type="dxa"/>
          </w:tcPr>
          <w:p>
            <w:pPr>
              <w:pStyle w:val="TableParagraph"/>
              <w:spacing w:line="240" w:lineRule="auto" w:before="71"/>
              <w:ind w:left="4360" w:right="4194"/>
              <w:jc w:val="center"/>
              <w:rPr>
                <w:b/>
                <w:sz w:val="23"/>
              </w:rPr>
            </w:pPr>
            <w:r>
              <w:rPr>
                <w:b/>
                <w:sz w:val="23"/>
              </w:rPr>
              <w:t>INDICE</w:t>
            </w:r>
          </w:p>
        </w:tc>
        <w:tc>
          <w:tcPr>
            <w:tcW w:w="604" w:type="dxa"/>
          </w:tcPr>
          <w:p>
            <w:pPr>
              <w:pStyle w:val="TableParagraph"/>
              <w:spacing w:line="240" w:lineRule="auto"/>
              <w:rPr>
                <w:b/>
                <w:sz w:val="22"/>
              </w:rPr>
            </w:pPr>
          </w:p>
          <w:p>
            <w:pPr>
              <w:pStyle w:val="TableParagraph"/>
              <w:spacing w:line="240" w:lineRule="auto"/>
              <w:rPr>
                <w:b/>
                <w:sz w:val="22"/>
              </w:rPr>
            </w:pPr>
          </w:p>
          <w:p>
            <w:pPr>
              <w:pStyle w:val="TableParagraph"/>
              <w:spacing w:line="240" w:lineRule="auto" w:before="2"/>
              <w:rPr>
                <w:b/>
                <w:sz w:val="30"/>
              </w:rPr>
            </w:pPr>
          </w:p>
          <w:p>
            <w:pPr>
              <w:pStyle w:val="TableParagraph"/>
              <w:spacing w:line="240" w:lineRule="auto" w:before="1"/>
              <w:ind w:left="114"/>
              <w:rPr>
                <w:sz w:val="22"/>
              </w:rPr>
            </w:pPr>
            <w:r>
              <w:rPr>
                <w:sz w:val="22"/>
              </w:rPr>
              <w:t>Pág.</w:t>
            </w:r>
          </w:p>
        </w:tc>
      </w:tr>
      <w:tr>
        <w:trPr>
          <w:trHeight w:val="679" w:hRule="exact"/>
        </w:trPr>
        <w:tc>
          <w:tcPr>
            <w:tcW w:w="438" w:type="dxa"/>
          </w:tcPr>
          <w:p>
            <w:pPr>
              <w:pStyle w:val="TableParagraph"/>
              <w:spacing w:line="240" w:lineRule="auto" w:before="115"/>
              <w:ind w:left="35"/>
              <w:rPr>
                <w:sz w:val="24"/>
              </w:rPr>
            </w:pPr>
            <w:r>
              <w:rPr>
                <w:w w:val="100"/>
                <w:sz w:val="24"/>
              </w:rPr>
              <w:t>I</w:t>
            </w:r>
          </w:p>
        </w:tc>
        <w:tc>
          <w:tcPr>
            <w:tcW w:w="9374" w:type="dxa"/>
          </w:tcPr>
          <w:p>
            <w:pPr>
              <w:pStyle w:val="TableParagraph"/>
              <w:spacing w:line="275" w:lineRule="exact" w:before="115"/>
              <w:ind w:left="269"/>
              <w:rPr>
                <w:sz w:val="24"/>
              </w:rPr>
            </w:pPr>
            <w:r>
              <w:rPr>
                <w:sz w:val="24"/>
              </w:rPr>
              <w:t>INTRODUCCIÓN……………………………………………………………………………..</w:t>
            </w:r>
          </w:p>
          <w:p>
            <w:pPr>
              <w:pStyle w:val="TableParagraph"/>
              <w:spacing w:line="275" w:lineRule="exact"/>
              <w:ind w:left="269"/>
              <w:rPr>
                <w:sz w:val="24"/>
              </w:rPr>
            </w:pPr>
            <w:r>
              <w:rPr>
                <w:w w:val="100"/>
                <w:sz w:val="24"/>
              </w:rPr>
              <w:t>.</w:t>
            </w:r>
          </w:p>
        </w:tc>
        <w:tc>
          <w:tcPr>
            <w:tcW w:w="604" w:type="dxa"/>
          </w:tcPr>
          <w:p>
            <w:pPr>
              <w:pStyle w:val="TableParagraph"/>
              <w:spacing w:line="240" w:lineRule="auto" w:before="115"/>
              <w:ind w:left="114"/>
              <w:rPr>
                <w:sz w:val="24"/>
              </w:rPr>
            </w:pPr>
            <w:r>
              <w:rPr>
                <w:w w:val="99"/>
                <w:sz w:val="24"/>
              </w:rPr>
              <w:t>1</w:t>
            </w:r>
          </w:p>
        </w:tc>
      </w:tr>
      <w:tr>
        <w:trPr>
          <w:trHeight w:val="415" w:hRule="exact"/>
        </w:trPr>
        <w:tc>
          <w:tcPr>
            <w:tcW w:w="438" w:type="dxa"/>
          </w:tcPr>
          <w:p>
            <w:pPr>
              <w:pStyle w:val="TableParagraph"/>
              <w:spacing w:line="265" w:lineRule="exact"/>
              <w:ind w:left="35"/>
              <w:rPr>
                <w:sz w:val="24"/>
              </w:rPr>
            </w:pPr>
            <w:r>
              <w:rPr>
                <w:sz w:val="24"/>
              </w:rPr>
              <w:t>II</w:t>
            </w:r>
          </w:p>
        </w:tc>
        <w:tc>
          <w:tcPr>
            <w:tcW w:w="9374" w:type="dxa"/>
          </w:tcPr>
          <w:p>
            <w:pPr>
              <w:pStyle w:val="TableParagraph"/>
              <w:spacing w:line="265" w:lineRule="exact"/>
              <w:ind w:left="269"/>
              <w:rPr>
                <w:sz w:val="24"/>
              </w:rPr>
            </w:pPr>
            <w:r>
              <w:rPr>
                <w:sz w:val="24"/>
              </w:rPr>
              <w:t>ANTECEDENTES……………………………………………………………………............</w:t>
            </w:r>
          </w:p>
        </w:tc>
        <w:tc>
          <w:tcPr>
            <w:tcW w:w="604" w:type="dxa"/>
          </w:tcPr>
          <w:p>
            <w:pPr>
              <w:pStyle w:val="TableParagraph"/>
              <w:spacing w:line="265" w:lineRule="exact"/>
              <w:ind w:left="114"/>
              <w:rPr>
                <w:sz w:val="24"/>
              </w:rPr>
            </w:pPr>
            <w:r>
              <w:rPr>
                <w:w w:val="99"/>
                <w:sz w:val="24"/>
              </w:rPr>
              <w:t>4</w:t>
            </w:r>
          </w:p>
        </w:tc>
      </w:tr>
      <w:tr>
        <w:trPr>
          <w:trHeight w:val="552" w:hRule="exact"/>
        </w:trPr>
        <w:tc>
          <w:tcPr>
            <w:tcW w:w="438" w:type="dxa"/>
          </w:tcPr>
          <w:p>
            <w:pPr/>
          </w:p>
        </w:tc>
        <w:tc>
          <w:tcPr>
            <w:tcW w:w="9374" w:type="dxa"/>
          </w:tcPr>
          <w:p>
            <w:pPr>
              <w:pStyle w:val="TableParagraph"/>
              <w:spacing w:line="240" w:lineRule="auto" w:before="125"/>
              <w:ind w:left="269"/>
              <w:rPr>
                <w:sz w:val="24"/>
              </w:rPr>
            </w:pPr>
            <w:r>
              <w:rPr>
                <w:sz w:val="24"/>
              </w:rPr>
              <w:t>Capítulo 1: BIOPELÍCULA……………………………… …………………………………</w:t>
            </w:r>
          </w:p>
        </w:tc>
        <w:tc>
          <w:tcPr>
            <w:tcW w:w="604" w:type="dxa"/>
          </w:tcPr>
          <w:p>
            <w:pPr>
              <w:pStyle w:val="TableParagraph"/>
              <w:spacing w:line="240" w:lineRule="auto" w:before="125"/>
              <w:ind w:left="114"/>
              <w:rPr>
                <w:sz w:val="24"/>
              </w:rPr>
            </w:pPr>
            <w:r>
              <w:rPr>
                <w:w w:val="99"/>
                <w:sz w:val="24"/>
              </w:rPr>
              <w:t>4</w:t>
            </w:r>
          </w:p>
        </w:tc>
      </w:tr>
      <w:tr>
        <w:trPr>
          <w:trHeight w:val="552" w:hRule="exact"/>
        </w:trPr>
        <w:tc>
          <w:tcPr>
            <w:tcW w:w="438" w:type="dxa"/>
          </w:tcPr>
          <w:p>
            <w:pPr/>
          </w:p>
        </w:tc>
        <w:tc>
          <w:tcPr>
            <w:tcW w:w="9374" w:type="dxa"/>
          </w:tcPr>
          <w:p>
            <w:pPr>
              <w:pStyle w:val="TableParagraph"/>
              <w:spacing w:line="240" w:lineRule="auto" w:before="125"/>
              <w:ind w:left="269"/>
              <w:rPr>
                <w:sz w:val="24"/>
              </w:rPr>
            </w:pPr>
            <w:r>
              <w:rPr>
                <w:sz w:val="24"/>
              </w:rPr>
              <w:t>1.1 Definición e Historia………………… ………………………………………………….</w:t>
            </w:r>
          </w:p>
        </w:tc>
        <w:tc>
          <w:tcPr>
            <w:tcW w:w="604" w:type="dxa"/>
          </w:tcPr>
          <w:p>
            <w:pPr>
              <w:pStyle w:val="TableParagraph"/>
              <w:spacing w:line="240" w:lineRule="auto" w:before="125"/>
              <w:ind w:left="114"/>
              <w:rPr>
                <w:sz w:val="24"/>
              </w:rPr>
            </w:pPr>
            <w:r>
              <w:rPr>
                <w:w w:val="99"/>
                <w:sz w:val="24"/>
              </w:rPr>
              <w:t>5</w:t>
            </w:r>
          </w:p>
        </w:tc>
      </w:tr>
      <w:tr>
        <w:trPr>
          <w:trHeight w:val="552" w:hRule="exact"/>
        </w:trPr>
        <w:tc>
          <w:tcPr>
            <w:tcW w:w="438" w:type="dxa"/>
          </w:tcPr>
          <w:p>
            <w:pPr/>
          </w:p>
        </w:tc>
        <w:tc>
          <w:tcPr>
            <w:tcW w:w="9374" w:type="dxa"/>
          </w:tcPr>
          <w:p>
            <w:pPr>
              <w:pStyle w:val="TableParagraph"/>
              <w:spacing w:line="240" w:lineRule="auto" w:before="125"/>
              <w:ind w:left="269"/>
              <w:rPr>
                <w:sz w:val="24"/>
              </w:rPr>
            </w:pPr>
            <w:r>
              <w:rPr>
                <w:sz w:val="24"/>
              </w:rPr>
              <w:t>1.2 Composición y Arquitectura…………………………………………………………….</w:t>
            </w:r>
          </w:p>
        </w:tc>
        <w:tc>
          <w:tcPr>
            <w:tcW w:w="604" w:type="dxa"/>
          </w:tcPr>
          <w:p>
            <w:pPr>
              <w:pStyle w:val="TableParagraph"/>
              <w:spacing w:line="240" w:lineRule="auto" w:before="125"/>
              <w:ind w:left="114"/>
              <w:rPr>
                <w:sz w:val="24"/>
              </w:rPr>
            </w:pPr>
            <w:r>
              <w:rPr>
                <w:w w:val="99"/>
                <w:sz w:val="24"/>
              </w:rPr>
              <w:t>6</w:t>
            </w:r>
          </w:p>
        </w:tc>
      </w:tr>
      <w:tr>
        <w:trPr>
          <w:trHeight w:val="552" w:hRule="exact"/>
        </w:trPr>
        <w:tc>
          <w:tcPr>
            <w:tcW w:w="438" w:type="dxa"/>
          </w:tcPr>
          <w:p>
            <w:pPr/>
          </w:p>
        </w:tc>
        <w:tc>
          <w:tcPr>
            <w:tcW w:w="9374" w:type="dxa"/>
          </w:tcPr>
          <w:p>
            <w:pPr>
              <w:pStyle w:val="TableParagraph"/>
              <w:spacing w:line="240" w:lineRule="auto" w:before="125"/>
              <w:ind w:left="269"/>
              <w:rPr>
                <w:sz w:val="24"/>
              </w:rPr>
            </w:pPr>
            <w:r>
              <w:rPr>
                <w:sz w:val="24"/>
              </w:rPr>
              <w:t>1.3 Etapas en el Ciclo Vital…………………………………………………………………</w:t>
            </w:r>
          </w:p>
        </w:tc>
        <w:tc>
          <w:tcPr>
            <w:tcW w:w="604" w:type="dxa"/>
          </w:tcPr>
          <w:p>
            <w:pPr>
              <w:pStyle w:val="TableParagraph"/>
              <w:spacing w:line="240" w:lineRule="auto" w:before="125"/>
              <w:ind w:left="114"/>
              <w:rPr>
                <w:sz w:val="24"/>
              </w:rPr>
            </w:pPr>
            <w:r>
              <w:rPr>
                <w:w w:val="99"/>
                <w:sz w:val="24"/>
              </w:rPr>
              <w:t>8</w:t>
            </w:r>
          </w:p>
        </w:tc>
      </w:tr>
      <w:tr>
        <w:trPr>
          <w:trHeight w:val="552" w:hRule="exact"/>
        </w:trPr>
        <w:tc>
          <w:tcPr>
            <w:tcW w:w="438" w:type="dxa"/>
          </w:tcPr>
          <w:p>
            <w:pPr/>
          </w:p>
        </w:tc>
        <w:tc>
          <w:tcPr>
            <w:tcW w:w="9374" w:type="dxa"/>
          </w:tcPr>
          <w:p>
            <w:pPr>
              <w:pStyle w:val="TableParagraph"/>
              <w:spacing w:line="240" w:lineRule="auto" w:before="125"/>
              <w:ind w:left="269"/>
              <w:rPr>
                <w:sz w:val="24"/>
              </w:rPr>
            </w:pPr>
            <w:r>
              <w:rPr>
                <w:sz w:val="24"/>
              </w:rPr>
              <w:t>1.4 Intercambio Génico………………………………………………………………………</w:t>
            </w:r>
          </w:p>
        </w:tc>
        <w:tc>
          <w:tcPr>
            <w:tcW w:w="604" w:type="dxa"/>
          </w:tcPr>
          <w:p>
            <w:pPr>
              <w:pStyle w:val="TableParagraph"/>
              <w:spacing w:line="240" w:lineRule="auto" w:before="125"/>
              <w:ind w:left="114"/>
              <w:rPr>
                <w:sz w:val="24"/>
              </w:rPr>
            </w:pPr>
            <w:r>
              <w:rPr>
                <w:sz w:val="24"/>
              </w:rPr>
              <w:t>10</w:t>
            </w:r>
          </w:p>
        </w:tc>
      </w:tr>
      <w:tr>
        <w:trPr>
          <w:trHeight w:val="552" w:hRule="exact"/>
        </w:trPr>
        <w:tc>
          <w:tcPr>
            <w:tcW w:w="438" w:type="dxa"/>
          </w:tcPr>
          <w:p>
            <w:pPr/>
          </w:p>
        </w:tc>
        <w:tc>
          <w:tcPr>
            <w:tcW w:w="9374" w:type="dxa"/>
          </w:tcPr>
          <w:p>
            <w:pPr>
              <w:pStyle w:val="TableParagraph"/>
              <w:spacing w:line="240" w:lineRule="auto" w:before="125"/>
              <w:ind w:left="269"/>
              <w:rPr>
                <w:sz w:val="24"/>
              </w:rPr>
            </w:pPr>
            <w:r>
              <w:rPr>
                <w:sz w:val="24"/>
              </w:rPr>
              <w:t>1.5 Resistencia Bacteriana…………………………………………………………………</w:t>
            </w:r>
          </w:p>
        </w:tc>
        <w:tc>
          <w:tcPr>
            <w:tcW w:w="604" w:type="dxa"/>
          </w:tcPr>
          <w:p>
            <w:pPr>
              <w:pStyle w:val="TableParagraph"/>
              <w:spacing w:line="240" w:lineRule="auto" w:before="125"/>
              <w:ind w:left="114"/>
              <w:rPr>
                <w:sz w:val="24"/>
              </w:rPr>
            </w:pPr>
            <w:r>
              <w:rPr>
                <w:sz w:val="24"/>
              </w:rPr>
              <w:t>11</w:t>
            </w:r>
          </w:p>
        </w:tc>
      </w:tr>
      <w:tr>
        <w:trPr>
          <w:trHeight w:val="552" w:hRule="exact"/>
        </w:trPr>
        <w:tc>
          <w:tcPr>
            <w:tcW w:w="438" w:type="dxa"/>
          </w:tcPr>
          <w:p>
            <w:pPr/>
          </w:p>
        </w:tc>
        <w:tc>
          <w:tcPr>
            <w:tcW w:w="9374" w:type="dxa"/>
          </w:tcPr>
          <w:p>
            <w:pPr>
              <w:pStyle w:val="TableParagraph"/>
              <w:spacing w:line="240" w:lineRule="auto" w:before="125"/>
              <w:ind w:left="269"/>
              <w:rPr>
                <w:sz w:val="24"/>
              </w:rPr>
            </w:pPr>
            <w:r>
              <w:rPr>
                <w:sz w:val="24"/>
              </w:rPr>
              <w:t>1.6 Biopelícula en Líneas de Agua de Unidades Dentales………………………………</w:t>
            </w:r>
          </w:p>
        </w:tc>
        <w:tc>
          <w:tcPr>
            <w:tcW w:w="604" w:type="dxa"/>
          </w:tcPr>
          <w:p>
            <w:pPr>
              <w:pStyle w:val="TableParagraph"/>
              <w:spacing w:line="240" w:lineRule="auto" w:before="125"/>
              <w:ind w:left="114"/>
              <w:rPr>
                <w:sz w:val="24"/>
              </w:rPr>
            </w:pPr>
            <w:r>
              <w:rPr>
                <w:sz w:val="24"/>
              </w:rPr>
              <w:t>13</w:t>
            </w:r>
          </w:p>
        </w:tc>
      </w:tr>
      <w:tr>
        <w:trPr>
          <w:trHeight w:val="826" w:hRule="exact"/>
        </w:trPr>
        <w:tc>
          <w:tcPr>
            <w:tcW w:w="438" w:type="dxa"/>
          </w:tcPr>
          <w:p>
            <w:pPr/>
          </w:p>
        </w:tc>
        <w:tc>
          <w:tcPr>
            <w:tcW w:w="9374" w:type="dxa"/>
          </w:tcPr>
          <w:p>
            <w:pPr>
              <w:pStyle w:val="TableParagraph"/>
              <w:spacing w:line="275" w:lineRule="exact" w:before="125"/>
              <w:ind w:left="269"/>
              <w:rPr>
                <w:sz w:val="24"/>
              </w:rPr>
            </w:pPr>
            <w:r>
              <w:rPr>
                <w:sz w:val="24"/>
              </w:rPr>
              <w:t>Capítulo 2:  MICROORGANISMOS ENCONTRADOS EN BIOPELÍCULA DE</w:t>
            </w:r>
          </w:p>
          <w:p>
            <w:pPr>
              <w:pStyle w:val="TableParagraph"/>
              <w:spacing w:line="275" w:lineRule="exact"/>
              <w:ind w:left="269"/>
              <w:rPr>
                <w:sz w:val="24"/>
              </w:rPr>
            </w:pPr>
            <w:r>
              <w:rPr>
                <w:sz w:val="24"/>
              </w:rPr>
              <w:t>LÍNEAS DE AGUA DE UNIDADES DENTALES………………………………………….</w:t>
            </w:r>
          </w:p>
        </w:tc>
        <w:tc>
          <w:tcPr>
            <w:tcW w:w="604" w:type="dxa"/>
          </w:tcPr>
          <w:p>
            <w:pPr>
              <w:pStyle w:val="TableParagraph"/>
              <w:spacing w:line="240" w:lineRule="auto" w:before="8"/>
              <w:rPr>
                <w:b/>
                <w:sz w:val="34"/>
              </w:rPr>
            </w:pPr>
          </w:p>
          <w:p>
            <w:pPr>
              <w:pStyle w:val="TableParagraph"/>
              <w:spacing w:line="240" w:lineRule="auto"/>
              <w:ind w:left="114"/>
              <w:rPr>
                <w:sz w:val="24"/>
              </w:rPr>
            </w:pPr>
            <w:r>
              <w:rPr>
                <w:sz w:val="24"/>
              </w:rPr>
              <w:t>16</w:t>
            </w:r>
          </w:p>
        </w:tc>
      </w:tr>
      <w:tr>
        <w:trPr>
          <w:trHeight w:val="552" w:hRule="exact"/>
        </w:trPr>
        <w:tc>
          <w:tcPr>
            <w:tcW w:w="438" w:type="dxa"/>
          </w:tcPr>
          <w:p>
            <w:pPr/>
          </w:p>
        </w:tc>
        <w:tc>
          <w:tcPr>
            <w:tcW w:w="9374" w:type="dxa"/>
          </w:tcPr>
          <w:p>
            <w:pPr>
              <w:pStyle w:val="TableParagraph"/>
              <w:spacing w:line="240" w:lineRule="auto" w:before="125"/>
              <w:ind w:left="269"/>
              <w:rPr>
                <w:sz w:val="24"/>
              </w:rPr>
            </w:pPr>
            <w:r>
              <w:rPr>
                <w:sz w:val="24"/>
              </w:rPr>
              <w:t>2.1 </w:t>
            </w:r>
            <w:r>
              <w:rPr>
                <w:i/>
                <w:sz w:val="24"/>
              </w:rPr>
              <w:t>Pseudomona aeruginosa…</w:t>
            </w:r>
            <w:r>
              <w:rPr>
                <w:sz w:val="24"/>
              </w:rPr>
              <w:t>……………………………………………………………..</w:t>
            </w:r>
          </w:p>
        </w:tc>
        <w:tc>
          <w:tcPr>
            <w:tcW w:w="604" w:type="dxa"/>
          </w:tcPr>
          <w:p>
            <w:pPr>
              <w:pStyle w:val="TableParagraph"/>
              <w:spacing w:line="240" w:lineRule="auto" w:before="125"/>
              <w:ind w:left="114"/>
              <w:rPr>
                <w:sz w:val="24"/>
              </w:rPr>
            </w:pPr>
            <w:r>
              <w:rPr>
                <w:sz w:val="24"/>
              </w:rPr>
              <w:t>17</w:t>
            </w:r>
          </w:p>
        </w:tc>
      </w:tr>
      <w:tr>
        <w:trPr>
          <w:trHeight w:val="552" w:hRule="exact"/>
        </w:trPr>
        <w:tc>
          <w:tcPr>
            <w:tcW w:w="438" w:type="dxa"/>
          </w:tcPr>
          <w:p>
            <w:pPr/>
          </w:p>
        </w:tc>
        <w:tc>
          <w:tcPr>
            <w:tcW w:w="9374" w:type="dxa"/>
          </w:tcPr>
          <w:p>
            <w:pPr>
              <w:pStyle w:val="TableParagraph"/>
              <w:spacing w:line="240" w:lineRule="auto" w:before="125"/>
              <w:ind w:left="269"/>
              <w:rPr>
                <w:i/>
                <w:sz w:val="24"/>
              </w:rPr>
            </w:pPr>
            <w:r>
              <w:rPr>
                <w:sz w:val="24"/>
              </w:rPr>
              <w:t>2.2 </w:t>
            </w:r>
            <w:r>
              <w:rPr>
                <w:i/>
                <w:sz w:val="24"/>
              </w:rPr>
              <w:t>Staphylococcus spp…..…………………………………………………………………</w:t>
            </w:r>
          </w:p>
        </w:tc>
        <w:tc>
          <w:tcPr>
            <w:tcW w:w="604" w:type="dxa"/>
          </w:tcPr>
          <w:p>
            <w:pPr>
              <w:pStyle w:val="TableParagraph"/>
              <w:spacing w:line="240" w:lineRule="auto" w:before="125"/>
              <w:ind w:left="114"/>
              <w:rPr>
                <w:sz w:val="24"/>
              </w:rPr>
            </w:pPr>
            <w:r>
              <w:rPr>
                <w:sz w:val="24"/>
              </w:rPr>
              <w:t>19</w:t>
            </w:r>
          </w:p>
        </w:tc>
      </w:tr>
      <w:tr>
        <w:trPr>
          <w:trHeight w:val="552" w:hRule="exact"/>
        </w:trPr>
        <w:tc>
          <w:tcPr>
            <w:tcW w:w="438" w:type="dxa"/>
          </w:tcPr>
          <w:p>
            <w:pPr/>
          </w:p>
        </w:tc>
        <w:tc>
          <w:tcPr>
            <w:tcW w:w="9374" w:type="dxa"/>
          </w:tcPr>
          <w:p>
            <w:pPr>
              <w:pStyle w:val="TableParagraph"/>
              <w:spacing w:line="240" w:lineRule="auto" w:before="125"/>
              <w:ind w:left="269"/>
              <w:rPr>
                <w:i/>
                <w:sz w:val="24"/>
              </w:rPr>
            </w:pPr>
            <w:r>
              <w:rPr>
                <w:sz w:val="24"/>
              </w:rPr>
              <w:t>2.3 </w:t>
            </w:r>
            <w:r>
              <w:rPr>
                <w:i/>
                <w:sz w:val="24"/>
              </w:rPr>
              <w:t>Streptococcus spp………………………………………………………………………</w:t>
            </w:r>
          </w:p>
        </w:tc>
        <w:tc>
          <w:tcPr>
            <w:tcW w:w="604" w:type="dxa"/>
          </w:tcPr>
          <w:p>
            <w:pPr>
              <w:pStyle w:val="TableParagraph"/>
              <w:spacing w:line="240" w:lineRule="auto" w:before="125"/>
              <w:ind w:left="114"/>
              <w:rPr>
                <w:sz w:val="24"/>
              </w:rPr>
            </w:pPr>
            <w:r>
              <w:rPr>
                <w:sz w:val="24"/>
              </w:rPr>
              <w:t>20</w:t>
            </w:r>
          </w:p>
        </w:tc>
      </w:tr>
      <w:tr>
        <w:trPr>
          <w:trHeight w:val="552" w:hRule="exact"/>
        </w:trPr>
        <w:tc>
          <w:tcPr>
            <w:tcW w:w="438" w:type="dxa"/>
          </w:tcPr>
          <w:p>
            <w:pPr/>
          </w:p>
        </w:tc>
        <w:tc>
          <w:tcPr>
            <w:tcW w:w="9374" w:type="dxa"/>
          </w:tcPr>
          <w:p>
            <w:pPr>
              <w:pStyle w:val="TableParagraph"/>
              <w:spacing w:line="240" w:lineRule="auto" w:before="125"/>
              <w:ind w:left="269"/>
              <w:rPr>
                <w:i/>
                <w:sz w:val="24"/>
              </w:rPr>
            </w:pPr>
            <w:r>
              <w:rPr>
                <w:sz w:val="24"/>
              </w:rPr>
              <w:t>2.4 </w:t>
            </w:r>
            <w:r>
              <w:rPr>
                <w:i/>
                <w:sz w:val="24"/>
              </w:rPr>
              <w:t>Escherichia coli………………………………………………………………………….</w:t>
            </w:r>
          </w:p>
        </w:tc>
        <w:tc>
          <w:tcPr>
            <w:tcW w:w="604" w:type="dxa"/>
          </w:tcPr>
          <w:p>
            <w:pPr>
              <w:pStyle w:val="TableParagraph"/>
              <w:spacing w:line="240" w:lineRule="auto" w:before="125"/>
              <w:ind w:left="114"/>
              <w:rPr>
                <w:sz w:val="24"/>
              </w:rPr>
            </w:pPr>
            <w:r>
              <w:rPr>
                <w:sz w:val="24"/>
              </w:rPr>
              <w:t>21</w:t>
            </w:r>
          </w:p>
        </w:tc>
      </w:tr>
      <w:tr>
        <w:trPr>
          <w:trHeight w:val="497" w:hRule="exact"/>
        </w:trPr>
        <w:tc>
          <w:tcPr>
            <w:tcW w:w="438" w:type="dxa"/>
          </w:tcPr>
          <w:p>
            <w:pPr/>
          </w:p>
        </w:tc>
        <w:tc>
          <w:tcPr>
            <w:tcW w:w="9374" w:type="dxa"/>
          </w:tcPr>
          <w:p>
            <w:pPr>
              <w:pStyle w:val="TableParagraph"/>
              <w:spacing w:line="240" w:lineRule="auto" w:before="125"/>
              <w:ind w:left="269"/>
              <w:rPr>
                <w:i/>
                <w:sz w:val="24"/>
              </w:rPr>
            </w:pPr>
            <w:r>
              <w:rPr>
                <w:sz w:val="24"/>
              </w:rPr>
              <w:t>2.5 </w:t>
            </w:r>
            <w:r>
              <w:rPr>
                <w:i/>
                <w:sz w:val="24"/>
              </w:rPr>
              <w:t>Candida albicans……………………………………………………………………….</w:t>
            </w:r>
          </w:p>
        </w:tc>
        <w:tc>
          <w:tcPr>
            <w:tcW w:w="604" w:type="dxa"/>
          </w:tcPr>
          <w:p>
            <w:pPr>
              <w:pStyle w:val="TableParagraph"/>
              <w:spacing w:line="240" w:lineRule="auto" w:before="125"/>
              <w:ind w:left="114"/>
              <w:rPr>
                <w:sz w:val="24"/>
              </w:rPr>
            </w:pPr>
            <w:r>
              <w:rPr>
                <w:sz w:val="24"/>
              </w:rPr>
              <w:t>22</w:t>
            </w:r>
          </w:p>
        </w:tc>
      </w:tr>
      <w:tr>
        <w:trPr>
          <w:trHeight w:val="497" w:hRule="exact"/>
        </w:trPr>
        <w:tc>
          <w:tcPr>
            <w:tcW w:w="438" w:type="dxa"/>
          </w:tcPr>
          <w:p>
            <w:pPr/>
          </w:p>
        </w:tc>
        <w:tc>
          <w:tcPr>
            <w:tcW w:w="9374" w:type="dxa"/>
          </w:tcPr>
          <w:p>
            <w:pPr>
              <w:pStyle w:val="TableParagraph"/>
              <w:spacing w:line="240" w:lineRule="auto" w:before="70"/>
              <w:ind w:left="269"/>
              <w:rPr>
                <w:i/>
                <w:sz w:val="24"/>
              </w:rPr>
            </w:pPr>
            <w:r>
              <w:rPr>
                <w:i/>
                <w:sz w:val="24"/>
              </w:rPr>
              <w:t>2.6 Legionella Pneumophila………………………………………………………………..</w:t>
            </w:r>
          </w:p>
        </w:tc>
        <w:tc>
          <w:tcPr>
            <w:tcW w:w="604" w:type="dxa"/>
          </w:tcPr>
          <w:p>
            <w:pPr>
              <w:pStyle w:val="TableParagraph"/>
              <w:spacing w:line="240" w:lineRule="auto" w:before="70"/>
              <w:ind w:left="114"/>
              <w:rPr>
                <w:sz w:val="24"/>
              </w:rPr>
            </w:pPr>
            <w:r>
              <w:rPr>
                <w:sz w:val="24"/>
              </w:rPr>
              <w:t>23</w:t>
            </w:r>
          </w:p>
        </w:tc>
      </w:tr>
      <w:tr>
        <w:trPr>
          <w:trHeight w:val="415" w:hRule="exact"/>
        </w:trPr>
        <w:tc>
          <w:tcPr>
            <w:tcW w:w="438" w:type="dxa"/>
          </w:tcPr>
          <w:p>
            <w:pPr/>
          </w:p>
        </w:tc>
        <w:tc>
          <w:tcPr>
            <w:tcW w:w="9374" w:type="dxa"/>
          </w:tcPr>
          <w:p>
            <w:pPr>
              <w:pStyle w:val="TableParagraph"/>
              <w:spacing w:line="240" w:lineRule="auto" w:before="125"/>
              <w:ind w:left="269"/>
              <w:rPr>
                <w:sz w:val="24"/>
              </w:rPr>
            </w:pPr>
            <w:r>
              <w:rPr>
                <w:sz w:val="24"/>
              </w:rPr>
              <w:t>Capítulo 3: MÉTODOS DE CONTROL DE BIOPELÍCULA EN LÍNEAS DE AGUA DE</w:t>
            </w:r>
          </w:p>
        </w:tc>
        <w:tc>
          <w:tcPr>
            <w:tcW w:w="604" w:type="dxa"/>
          </w:tcPr>
          <w:p>
            <w:pPr/>
          </w:p>
        </w:tc>
      </w:tr>
      <w:tr>
        <w:trPr>
          <w:trHeight w:val="415" w:hRule="exact"/>
        </w:trPr>
        <w:tc>
          <w:tcPr>
            <w:tcW w:w="438" w:type="dxa"/>
          </w:tcPr>
          <w:p>
            <w:pPr/>
          </w:p>
        </w:tc>
        <w:tc>
          <w:tcPr>
            <w:tcW w:w="9374" w:type="dxa"/>
          </w:tcPr>
          <w:p>
            <w:pPr>
              <w:pStyle w:val="TableParagraph"/>
              <w:spacing w:line="265" w:lineRule="exact"/>
              <w:ind w:left="269"/>
              <w:rPr>
                <w:sz w:val="24"/>
              </w:rPr>
            </w:pPr>
            <w:r>
              <w:rPr>
                <w:sz w:val="24"/>
              </w:rPr>
              <w:t>ALTA VELOCIDAD DE UNIDADES DENTALES ………………………………………...</w:t>
            </w:r>
          </w:p>
        </w:tc>
        <w:tc>
          <w:tcPr>
            <w:tcW w:w="604" w:type="dxa"/>
          </w:tcPr>
          <w:p>
            <w:pPr>
              <w:pStyle w:val="TableParagraph"/>
              <w:spacing w:line="265" w:lineRule="exact"/>
              <w:ind w:left="114"/>
              <w:rPr>
                <w:sz w:val="24"/>
              </w:rPr>
            </w:pPr>
            <w:r>
              <w:rPr>
                <w:sz w:val="24"/>
              </w:rPr>
              <w:t>27</w:t>
            </w:r>
          </w:p>
        </w:tc>
      </w:tr>
      <w:tr>
        <w:trPr>
          <w:trHeight w:val="552" w:hRule="exact"/>
        </w:trPr>
        <w:tc>
          <w:tcPr>
            <w:tcW w:w="438" w:type="dxa"/>
          </w:tcPr>
          <w:p>
            <w:pPr/>
          </w:p>
        </w:tc>
        <w:tc>
          <w:tcPr>
            <w:tcW w:w="9374" w:type="dxa"/>
          </w:tcPr>
          <w:p>
            <w:pPr>
              <w:pStyle w:val="TableParagraph"/>
              <w:spacing w:line="240" w:lineRule="auto" w:before="125"/>
              <w:ind w:left="269"/>
              <w:rPr>
                <w:sz w:val="24"/>
              </w:rPr>
            </w:pPr>
            <w:r>
              <w:rPr>
                <w:sz w:val="24"/>
              </w:rPr>
              <w:t>3.1 Control de Infecciones en Odontología……………………………………………….</w:t>
            </w:r>
          </w:p>
        </w:tc>
        <w:tc>
          <w:tcPr>
            <w:tcW w:w="604" w:type="dxa"/>
          </w:tcPr>
          <w:p>
            <w:pPr>
              <w:pStyle w:val="TableParagraph"/>
              <w:spacing w:line="240" w:lineRule="auto" w:before="125"/>
              <w:ind w:left="114"/>
              <w:rPr>
                <w:sz w:val="24"/>
              </w:rPr>
            </w:pPr>
            <w:r>
              <w:rPr>
                <w:sz w:val="24"/>
              </w:rPr>
              <w:t>27</w:t>
            </w:r>
          </w:p>
        </w:tc>
      </w:tr>
      <w:tr>
        <w:trPr>
          <w:trHeight w:val="552" w:hRule="exact"/>
        </w:trPr>
        <w:tc>
          <w:tcPr>
            <w:tcW w:w="438" w:type="dxa"/>
          </w:tcPr>
          <w:p>
            <w:pPr/>
          </w:p>
        </w:tc>
        <w:tc>
          <w:tcPr>
            <w:tcW w:w="9374" w:type="dxa"/>
          </w:tcPr>
          <w:p>
            <w:pPr>
              <w:pStyle w:val="TableParagraph"/>
              <w:spacing w:line="240" w:lineRule="auto" w:before="125"/>
              <w:ind w:left="269"/>
              <w:rPr>
                <w:sz w:val="24"/>
              </w:rPr>
            </w:pPr>
            <w:r>
              <w:rPr>
                <w:sz w:val="24"/>
              </w:rPr>
              <w:t>3.2 Antisépticos y Desinfectantes…………………………………………………………..</w:t>
            </w:r>
          </w:p>
        </w:tc>
        <w:tc>
          <w:tcPr>
            <w:tcW w:w="604" w:type="dxa"/>
          </w:tcPr>
          <w:p>
            <w:pPr>
              <w:pStyle w:val="TableParagraph"/>
              <w:spacing w:line="240" w:lineRule="auto" w:before="125"/>
              <w:ind w:left="114"/>
              <w:rPr>
                <w:sz w:val="24"/>
              </w:rPr>
            </w:pPr>
            <w:r>
              <w:rPr>
                <w:sz w:val="24"/>
              </w:rPr>
              <w:t>31</w:t>
            </w:r>
          </w:p>
        </w:tc>
      </w:tr>
      <w:tr>
        <w:trPr>
          <w:trHeight w:val="496" w:hRule="exact"/>
        </w:trPr>
        <w:tc>
          <w:tcPr>
            <w:tcW w:w="438" w:type="dxa"/>
          </w:tcPr>
          <w:p>
            <w:pPr/>
          </w:p>
        </w:tc>
        <w:tc>
          <w:tcPr>
            <w:tcW w:w="9374" w:type="dxa"/>
          </w:tcPr>
          <w:p>
            <w:pPr>
              <w:pStyle w:val="TableParagraph"/>
              <w:spacing w:line="240" w:lineRule="auto" w:before="125"/>
              <w:ind w:left="269"/>
              <w:rPr>
                <w:sz w:val="24"/>
              </w:rPr>
            </w:pPr>
            <w:r>
              <w:rPr>
                <w:sz w:val="24"/>
              </w:rPr>
              <w:t>3.2.1 Mecanismos de Acción de Antisépticos y Desinfectantes…………………...……</w:t>
            </w:r>
          </w:p>
        </w:tc>
        <w:tc>
          <w:tcPr>
            <w:tcW w:w="604" w:type="dxa"/>
          </w:tcPr>
          <w:p>
            <w:pPr>
              <w:pStyle w:val="TableParagraph"/>
              <w:spacing w:line="240" w:lineRule="auto" w:before="125"/>
              <w:ind w:left="114"/>
              <w:rPr>
                <w:sz w:val="24"/>
              </w:rPr>
            </w:pPr>
            <w:r>
              <w:rPr>
                <w:sz w:val="24"/>
              </w:rPr>
              <w:t>32</w:t>
            </w:r>
          </w:p>
        </w:tc>
      </w:tr>
    </w:tbl>
    <w:p>
      <w:pPr>
        <w:spacing w:after="0" w:line="240" w:lineRule="auto"/>
        <w:rPr>
          <w:sz w:val="24"/>
        </w:rPr>
        <w:sectPr>
          <w:pgSz w:w="12240" w:h="15840"/>
          <w:pgMar w:top="1260" w:bottom="280" w:left="1100" w:right="500"/>
        </w:sectPr>
      </w:pPr>
    </w:p>
    <w:tbl>
      <w:tblPr>
        <w:tblW w:w="0" w:type="auto"/>
        <w:jc w:val="left"/>
        <w:tblInd w:w="1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64"/>
        <w:gridCol w:w="9248"/>
        <w:gridCol w:w="553"/>
      </w:tblGrid>
      <w:tr>
        <w:trPr>
          <w:trHeight w:val="496" w:hRule="exact"/>
        </w:trPr>
        <w:tc>
          <w:tcPr>
            <w:tcW w:w="564" w:type="dxa"/>
            <w:vMerge w:val="restart"/>
          </w:tcPr>
          <w:p>
            <w:pPr/>
          </w:p>
        </w:tc>
        <w:tc>
          <w:tcPr>
            <w:tcW w:w="9248" w:type="dxa"/>
          </w:tcPr>
          <w:p>
            <w:pPr>
              <w:pStyle w:val="TableParagraph"/>
              <w:spacing w:line="240" w:lineRule="auto" w:before="69"/>
              <w:ind w:left="143"/>
              <w:rPr>
                <w:sz w:val="24"/>
              </w:rPr>
            </w:pPr>
            <w:r>
              <w:rPr>
                <w:sz w:val="24"/>
              </w:rPr>
              <w:t>3.3 Biguanida………………………………………………………………………………….</w:t>
            </w:r>
          </w:p>
        </w:tc>
        <w:tc>
          <w:tcPr>
            <w:tcW w:w="553" w:type="dxa"/>
          </w:tcPr>
          <w:p>
            <w:pPr>
              <w:pStyle w:val="TableParagraph"/>
              <w:spacing w:line="240" w:lineRule="auto" w:before="69"/>
              <w:ind w:left="115"/>
              <w:rPr>
                <w:sz w:val="24"/>
              </w:rPr>
            </w:pPr>
            <w:r>
              <w:rPr>
                <w:sz w:val="24"/>
              </w:rPr>
              <w:t>34</w:t>
            </w:r>
          </w:p>
        </w:tc>
      </w:tr>
      <w:tr>
        <w:trPr>
          <w:trHeight w:val="552" w:hRule="exact"/>
        </w:trPr>
        <w:tc>
          <w:tcPr>
            <w:tcW w:w="564" w:type="dxa"/>
            <w:vMerge/>
          </w:tcPr>
          <w:p>
            <w:pPr/>
          </w:p>
        </w:tc>
        <w:tc>
          <w:tcPr>
            <w:tcW w:w="9248" w:type="dxa"/>
          </w:tcPr>
          <w:p>
            <w:pPr>
              <w:pStyle w:val="TableParagraph"/>
              <w:spacing w:line="240" w:lineRule="auto" w:before="125"/>
              <w:ind w:left="143"/>
              <w:rPr>
                <w:sz w:val="24"/>
              </w:rPr>
            </w:pPr>
            <w:r>
              <w:rPr>
                <w:sz w:val="24"/>
              </w:rPr>
              <w:t>3.3.1Clorhexidina .…………………………………………………………………………...</w:t>
            </w:r>
          </w:p>
        </w:tc>
        <w:tc>
          <w:tcPr>
            <w:tcW w:w="553" w:type="dxa"/>
          </w:tcPr>
          <w:p>
            <w:pPr>
              <w:pStyle w:val="TableParagraph"/>
              <w:spacing w:line="240" w:lineRule="auto" w:before="125"/>
              <w:ind w:left="115"/>
              <w:rPr>
                <w:sz w:val="24"/>
              </w:rPr>
            </w:pPr>
            <w:r>
              <w:rPr>
                <w:sz w:val="24"/>
              </w:rPr>
              <w:t>34</w:t>
            </w:r>
          </w:p>
        </w:tc>
      </w:tr>
      <w:tr>
        <w:trPr>
          <w:trHeight w:val="552" w:hRule="exact"/>
        </w:trPr>
        <w:tc>
          <w:tcPr>
            <w:tcW w:w="564" w:type="dxa"/>
            <w:vMerge/>
          </w:tcPr>
          <w:p>
            <w:pPr/>
          </w:p>
        </w:tc>
        <w:tc>
          <w:tcPr>
            <w:tcW w:w="9248" w:type="dxa"/>
          </w:tcPr>
          <w:p>
            <w:pPr>
              <w:pStyle w:val="TableParagraph"/>
              <w:spacing w:line="240" w:lineRule="auto" w:before="125"/>
              <w:ind w:left="143"/>
              <w:rPr>
                <w:sz w:val="24"/>
              </w:rPr>
            </w:pPr>
            <w:r>
              <w:rPr>
                <w:sz w:val="24"/>
              </w:rPr>
              <w:t>3.4 Derivados de Metales Pesados……….………………………………………………..</w:t>
            </w:r>
          </w:p>
        </w:tc>
        <w:tc>
          <w:tcPr>
            <w:tcW w:w="553" w:type="dxa"/>
          </w:tcPr>
          <w:p>
            <w:pPr>
              <w:pStyle w:val="TableParagraph"/>
              <w:spacing w:line="240" w:lineRule="auto" w:before="125"/>
              <w:ind w:left="115"/>
              <w:rPr>
                <w:sz w:val="24"/>
              </w:rPr>
            </w:pPr>
            <w:r>
              <w:rPr>
                <w:sz w:val="24"/>
              </w:rPr>
              <w:t>36</w:t>
            </w:r>
          </w:p>
        </w:tc>
      </w:tr>
      <w:tr>
        <w:trPr>
          <w:trHeight w:val="552" w:hRule="exact"/>
        </w:trPr>
        <w:tc>
          <w:tcPr>
            <w:tcW w:w="564" w:type="dxa"/>
            <w:vMerge/>
          </w:tcPr>
          <w:p>
            <w:pPr/>
          </w:p>
        </w:tc>
        <w:tc>
          <w:tcPr>
            <w:tcW w:w="9248" w:type="dxa"/>
          </w:tcPr>
          <w:p>
            <w:pPr>
              <w:pStyle w:val="TableParagraph"/>
              <w:spacing w:line="240" w:lineRule="auto" w:before="125"/>
              <w:ind w:left="143"/>
              <w:rPr>
                <w:sz w:val="24"/>
              </w:rPr>
            </w:pPr>
            <w:r>
              <w:rPr>
                <w:sz w:val="24"/>
              </w:rPr>
              <w:t>3.4.1 Compuestos de Plata….………………………………………………………………</w:t>
            </w:r>
          </w:p>
        </w:tc>
        <w:tc>
          <w:tcPr>
            <w:tcW w:w="553" w:type="dxa"/>
          </w:tcPr>
          <w:p>
            <w:pPr>
              <w:pStyle w:val="TableParagraph"/>
              <w:spacing w:line="240" w:lineRule="auto" w:before="125"/>
              <w:ind w:left="115"/>
              <w:rPr>
                <w:sz w:val="24"/>
              </w:rPr>
            </w:pPr>
            <w:r>
              <w:rPr>
                <w:sz w:val="24"/>
              </w:rPr>
              <w:t>36</w:t>
            </w:r>
          </w:p>
        </w:tc>
      </w:tr>
      <w:tr>
        <w:trPr>
          <w:trHeight w:val="552" w:hRule="exact"/>
        </w:trPr>
        <w:tc>
          <w:tcPr>
            <w:tcW w:w="564" w:type="dxa"/>
            <w:vMerge/>
          </w:tcPr>
          <w:p>
            <w:pPr/>
          </w:p>
        </w:tc>
        <w:tc>
          <w:tcPr>
            <w:tcW w:w="9248" w:type="dxa"/>
          </w:tcPr>
          <w:p>
            <w:pPr>
              <w:pStyle w:val="TableParagraph"/>
              <w:spacing w:line="240" w:lineRule="auto" w:before="125"/>
              <w:ind w:left="143"/>
              <w:rPr>
                <w:sz w:val="24"/>
              </w:rPr>
            </w:pPr>
            <w:r>
              <w:rPr>
                <w:sz w:val="24"/>
              </w:rPr>
              <w:t>3.4.2 Plata Coloidal………………………………………………………………………….</w:t>
            </w:r>
          </w:p>
        </w:tc>
        <w:tc>
          <w:tcPr>
            <w:tcW w:w="553" w:type="dxa"/>
          </w:tcPr>
          <w:p>
            <w:pPr>
              <w:pStyle w:val="TableParagraph"/>
              <w:spacing w:line="240" w:lineRule="auto" w:before="125"/>
              <w:ind w:left="115"/>
              <w:rPr>
                <w:sz w:val="24"/>
              </w:rPr>
            </w:pPr>
            <w:r>
              <w:rPr>
                <w:sz w:val="24"/>
              </w:rPr>
              <w:t>38</w:t>
            </w:r>
          </w:p>
        </w:tc>
      </w:tr>
      <w:tr>
        <w:trPr>
          <w:trHeight w:val="552" w:hRule="exact"/>
        </w:trPr>
        <w:tc>
          <w:tcPr>
            <w:tcW w:w="564" w:type="dxa"/>
          </w:tcPr>
          <w:p>
            <w:pPr>
              <w:pStyle w:val="TableParagraph"/>
              <w:spacing w:line="240" w:lineRule="auto" w:before="125"/>
              <w:ind w:left="35"/>
              <w:rPr>
                <w:sz w:val="24"/>
              </w:rPr>
            </w:pPr>
            <w:r>
              <w:rPr>
                <w:sz w:val="24"/>
              </w:rPr>
              <w:t>III</w:t>
            </w:r>
          </w:p>
        </w:tc>
        <w:tc>
          <w:tcPr>
            <w:tcW w:w="9248" w:type="dxa"/>
          </w:tcPr>
          <w:p>
            <w:pPr>
              <w:pStyle w:val="TableParagraph"/>
              <w:spacing w:line="240" w:lineRule="auto" w:before="125"/>
              <w:ind w:left="143"/>
              <w:rPr>
                <w:sz w:val="24"/>
              </w:rPr>
            </w:pPr>
            <w:r>
              <w:rPr>
                <w:sz w:val="24"/>
              </w:rPr>
              <w:t>PLANTEAMIENTO DEL PROBLEMA ……………………………………………………..</w:t>
            </w:r>
          </w:p>
        </w:tc>
        <w:tc>
          <w:tcPr>
            <w:tcW w:w="553" w:type="dxa"/>
          </w:tcPr>
          <w:p>
            <w:pPr>
              <w:pStyle w:val="TableParagraph"/>
              <w:spacing w:line="240" w:lineRule="auto" w:before="125"/>
              <w:ind w:left="115"/>
              <w:rPr>
                <w:sz w:val="24"/>
              </w:rPr>
            </w:pPr>
            <w:r>
              <w:rPr>
                <w:sz w:val="24"/>
              </w:rPr>
              <w:t>40</w:t>
            </w:r>
          </w:p>
        </w:tc>
      </w:tr>
      <w:tr>
        <w:trPr>
          <w:trHeight w:val="552" w:hRule="exact"/>
        </w:trPr>
        <w:tc>
          <w:tcPr>
            <w:tcW w:w="564" w:type="dxa"/>
          </w:tcPr>
          <w:p>
            <w:pPr>
              <w:pStyle w:val="TableParagraph"/>
              <w:spacing w:line="240" w:lineRule="auto" w:before="125"/>
              <w:ind w:left="35"/>
              <w:rPr>
                <w:sz w:val="24"/>
              </w:rPr>
            </w:pPr>
            <w:r>
              <w:rPr>
                <w:sz w:val="24"/>
              </w:rPr>
              <w:t>IV</w:t>
            </w:r>
          </w:p>
        </w:tc>
        <w:tc>
          <w:tcPr>
            <w:tcW w:w="9248" w:type="dxa"/>
          </w:tcPr>
          <w:p>
            <w:pPr>
              <w:pStyle w:val="TableParagraph"/>
              <w:spacing w:line="240" w:lineRule="auto" w:before="125"/>
              <w:ind w:left="143"/>
              <w:rPr>
                <w:sz w:val="24"/>
              </w:rPr>
            </w:pPr>
            <w:r>
              <w:rPr>
                <w:sz w:val="24"/>
              </w:rPr>
              <w:t>JUSTIFICACIÓN ……………………………………………………………………………..</w:t>
            </w:r>
          </w:p>
        </w:tc>
        <w:tc>
          <w:tcPr>
            <w:tcW w:w="553" w:type="dxa"/>
          </w:tcPr>
          <w:p>
            <w:pPr>
              <w:pStyle w:val="TableParagraph"/>
              <w:spacing w:line="240" w:lineRule="auto" w:before="125"/>
              <w:ind w:left="115"/>
              <w:rPr>
                <w:sz w:val="24"/>
              </w:rPr>
            </w:pPr>
            <w:r>
              <w:rPr>
                <w:sz w:val="24"/>
              </w:rPr>
              <w:t>42</w:t>
            </w:r>
          </w:p>
        </w:tc>
      </w:tr>
      <w:tr>
        <w:trPr>
          <w:trHeight w:val="552" w:hRule="exact"/>
        </w:trPr>
        <w:tc>
          <w:tcPr>
            <w:tcW w:w="564" w:type="dxa"/>
          </w:tcPr>
          <w:p>
            <w:pPr>
              <w:pStyle w:val="TableParagraph"/>
              <w:spacing w:line="240" w:lineRule="auto" w:before="125"/>
              <w:ind w:left="35"/>
              <w:rPr>
                <w:sz w:val="24"/>
              </w:rPr>
            </w:pPr>
            <w:r>
              <w:rPr>
                <w:w w:val="100"/>
                <w:sz w:val="24"/>
              </w:rPr>
              <w:t>V</w:t>
            </w:r>
          </w:p>
        </w:tc>
        <w:tc>
          <w:tcPr>
            <w:tcW w:w="9248" w:type="dxa"/>
          </w:tcPr>
          <w:p>
            <w:pPr>
              <w:pStyle w:val="TableParagraph"/>
              <w:spacing w:line="240" w:lineRule="auto" w:before="125"/>
              <w:ind w:left="143"/>
              <w:rPr>
                <w:sz w:val="24"/>
              </w:rPr>
            </w:pPr>
            <w:r>
              <w:rPr>
                <w:sz w:val="24"/>
              </w:rPr>
              <w:t>OBJETIVOS ………………………………………………………………………………….</w:t>
            </w:r>
          </w:p>
        </w:tc>
        <w:tc>
          <w:tcPr>
            <w:tcW w:w="553" w:type="dxa"/>
          </w:tcPr>
          <w:p>
            <w:pPr>
              <w:pStyle w:val="TableParagraph"/>
              <w:spacing w:line="240" w:lineRule="auto" w:before="125"/>
              <w:ind w:left="115"/>
              <w:rPr>
                <w:sz w:val="24"/>
              </w:rPr>
            </w:pPr>
            <w:r>
              <w:rPr>
                <w:sz w:val="24"/>
              </w:rPr>
              <w:t>44</w:t>
            </w:r>
          </w:p>
        </w:tc>
      </w:tr>
      <w:tr>
        <w:trPr>
          <w:trHeight w:val="552" w:hRule="exact"/>
        </w:trPr>
        <w:tc>
          <w:tcPr>
            <w:tcW w:w="564" w:type="dxa"/>
          </w:tcPr>
          <w:p>
            <w:pPr>
              <w:pStyle w:val="TableParagraph"/>
              <w:spacing w:line="240" w:lineRule="auto" w:before="125"/>
              <w:ind w:left="35"/>
              <w:rPr>
                <w:sz w:val="24"/>
              </w:rPr>
            </w:pPr>
            <w:r>
              <w:rPr>
                <w:sz w:val="24"/>
              </w:rPr>
              <w:t>VI</w:t>
            </w:r>
          </w:p>
        </w:tc>
        <w:tc>
          <w:tcPr>
            <w:tcW w:w="9248" w:type="dxa"/>
          </w:tcPr>
          <w:p>
            <w:pPr>
              <w:pStyle w:val="TableParagraph"/>
              <w:spacing w:line="240" w:lineRule="auto" w:before="125"/>
              <w:ind w:left="143"/>
              <w:rPr>
                <w:sz w:val="24"/>
              </w:rPr>
            </w:pPr>
            <w:r>
              <w:rPr>
                <w:sz w:val="24"/>
              </w:rPr>
              <w:t>HIPÓTESIS ………………………………………………………………………….............</w:t>
            </w:r>
          </w:p>
        </w:tc>
        <w:tc>
          <w:tcPr>
            <w:tcW w:w="553" w:type="dxa"/>
          </w:tcPr>
          <w:p>
            <w:pPr>
              <w:pStyle w:val="TableParagraph"/>
              <w:spacing w:line="240" w:lineRule="auto" w:before="125"/>
              <w:ind w:left="115"/>
              <w:rPr>
                <w:sz w:val="24"/>
              </w:rPr>
            </w:pPr>
            <w:r>
              <w:rPr>
                <w:sz w:val="24"/>
              </w:rPr>
              <w:t>45</w:t>
            </w:r>
          </w:p>
        </w:tc>
      </w:tr>
      <w:tr>
        <w:trPr>
          <w:trHeight w:val="552" w:hRule="exact"/>
        </w:trPr>
        <w:tc>
          <w:tcPr>
            <w:tcW w:w="564" w:type="dxa"/>
          </w:tcPr>
          <w:p>
            <w:pPr>
              <w:pStyle w:val="TableParagraph"/>
              <w:spacing w:line="240" w:lineRule="auto" w:before="125"/>
              <w:ind w:left="35"/>
              <w:rPr>
                <w:sz w:val="24"/>
              </w:rPr>
            </w:pPr>
            <w:r>
              <w:rPr>
                <w:sz w:val="24"/>
              </w:rPr>
              <w:t>VII</w:t>
            </w:r>
          </w:p>
        </w:tc>
        <w:tc>
          <w:tcPr>
            <w:tcW w:w="9248" w:type="dxa"/>
          </w:tcPr>
          <w:p>
            <w:pPr>
              <w:pStyle w:val="TableParagraph"/>
              <w:spacing w:line="240" w:lineRule="auto" w:before="125"/>
              <w:ind w:left="143"/>
              <w:rPr>
                <w:sz w:val="24"/>
              </w:rPr>
            </w:pPr>
            <w:r>
              <w:rPr>
                <w:sz w:val="24"/>
              </w:rPr>
              <w:t>MÉTODOS Y MATERIALES…….…………………………………………………………..</w:t>
            </w:r>
          </w:p>
        </w:tc>
        <w:tc>
          <w:tcPr>
            <w:tcW w:w="553" w:type="dxa"/>
          </w:tcPr>
          <w:p>
            <w:pPr>
              <w:pStyle w:val="TableParagraph"/>
              <w:spacing w:line="240" w:lineRule="auto" w:before="125"/>
              <w:ind w:left="115"/>
              <w:rPr>
                <w:sz w:val="24"/>
              </w:rPr>
            </w:pPr>
            <w:r>
              <w:rPr>
                <w:sz w:val="24"/>
              </w:rPr>
              <w:t>46</w:t>
            </w:r>
          </w:p>
        </w:tc>
      </w:tr>
      <w:tr>
        <w:trPr>
          <w:trHeight w:val="552" w:hRule="exact"/>
        </w:trPr>
        <w:tc>
          <w:tcPr>
            <w:tcW w:w="564" w:type="dxa"/>
          </w:tcPr>
          <w:p>
            <w:pPr>
              <w:pStyle w:val="TableParagraph"/>
              <w:spacing w:line="240" w:lineRule="auto" w:before="125"/>
              <w:ind w:left="35"/>
              <w:rPr>
                <w:sz w:val="24"/>
              </w:rPr>
            </w:pPr>
            <w:r>
              <w:rPr>
                <w:sz w:val="24"/>
              </w:rPr>
              <w:t>VIII</w:t>
            </w:r>
          </w:p>
        </w:tc>
        <w:tc>
          <w:tcPr>
            <w:tcW w:w="9248" w:type="dxa"/>
          </w:tcPr>
          <w:p>
            <w:pPr>
              <w:pStyle w:val="TableParagraph"/>
              <w:spacing w:line="240" w:lineRule="auto" w:before="125"/>
              <w:ind w:left="143"/>
              <w:rPr>
                <w:sz w:val="24"/>
              </w:rPr>
            </w:pPr>
            <w:r>
              <w:rPr>
                <w:sz w:val="24"/>
              </w:rPr>
              <w:t>RESULTADOS………………………………………………………………………………..</w:t>
            </w:r>
          </w:p>
        </w:tc>
        <w:tc>
          <w:tcPr>
            <w:tcW w:w="553" w:type="dxa"/>
          </w:tcPr>
          <w:p>
            <w:pPr>
              <w:pStyle w:val="TableParagraph"/>
              <w:spacing w:line="240" w:lineRule="auto" w:before="125"/>
              <w:ind w:left="115"/>
              <w:rPr>
                <w:sz w:val="24"/>
              </w:rPr>
            </w:pPr>
            <w:r>
              <w:rPr>
                <w:sz w:val="24"/>
              </w:rPr>
              <w:t>55</w:t>
            </w:r>
          </w:p>
        </w:tc>
      </w:tr>
      <w:tr>
        <w:trPr>
          <w:trHeight w:val="415" w:hRule="exact"/>
        </w:trPr>
        <w:tc>
          <w:tcPr>
            <w:tcW w:w="564" w:type="dxa"/>
          </w:tcPr>
          <w:p>
            <w:pPr/>
          </w:p>
        </w:tc>
        <w:tc>
          <w:tcPr>
            <w:tcW w:w="9248" w:type="dxa"/>
          </w:tcPr>
          <w:p>
            <w:pPr>
              <w:pStyle w:val="TableParagraph"/>
              <w:spacing w:line="240" w:lineRule="auto" w:before="125"/>
              <w:ind w:left="503"/>
              <w:rPr>
                <w:sz w:val="24"/>
              </w:rPr>
            </w:pPr>
            <w:r>
              <w:rPr>
                <w:sz w:val="24"/>
              </w:rPr>
              <w:t>A)  Artículo 1 Antimicrobial efficacy of colloidal silver on biofilm control in dental</w:t>
            </w:r>
          </w:p>
        </w:tc>
        <w:tc>
          <w:tcPr>
            <w:tcW w:w="553" w:type="dxa"/>
          </w:tcPr>
          <w:p>
            <w:pPr/>
          </w:p>
        </w:tc>
      </w:tr>
      <w:tr>
        <w:trPr>
          <w:trHeight w:val="415" w:hRule="exact"/>
        </w:trPr>
        <w:tc>
          <w:tcPr>
            <w:tcW w:w="564" w:type="dxa"/>
          </w:tcPr>
          <w:p>
            <w:pPr/>
          </w:p>
        </w:tc>
        <w:tc>
          <w:tcPr>
            <w:tcW w:w="9248" w:type="dxa"/>
          </w:tcPr>
          <w:p>
            <w:pPr>
              <w:pStyle w:val="TableParagraph"/>
              <w:spacing w:line="265" w:lineRule="exact"/>
              <w:ind w:right="130"/>
              <w:jc w:val="right"/>
              <w:rPr>
                <w:sz w:val="24"/>
              </w:rPr>
            </w:pPr>
            <w:r>
              <w:rPr>
                <w:sz w:val="24"/>
              </w:rPr>
              <w:t>unit waterlines…………………………………………………………………………</w:t>
            </w:r>
          </w:p>
        </w:tc>
        <w:tc>
          <w:tcPr>
            <w:tcW w:w="553" w:type="dxa"/>
          </w:tcPr>
          <w:p>
            <w:pPr>
              <w:pStyle w:val="TableParagraph"/>
              <w:spacing w:line="265" w:lineRule="exact"/>
              <w:ind w:left="115"/>
              <w:rPr>
                <w:sz w:val="24"/>
              </w:rPr>
            </w:pPr>
            <w:r>
              <w:rPr>
                <w:sz w:val="24"/>
              </w:rPr>
              <w:t>55</w:t>
            </w:r>
          </w:p>
        </w:tc>
      </w:tr>
      <w:tr>
        <w:trPr>
          <w:trHeight w:val="826" w:hRule="exact"/>
        </w:trPr>
        <w:tc>
          <w:tcPr>
            <w:tcW w:w="564" w:type="dxa"/>
          </w:tcPr>
          <w:p>
            <w:pPr/>
          </w:p>
        </w:tc>
        <w:tc>
          <w:tcPr>
            <w:tcW w:w="9248" w:type="dxa"/>
          </w:tcPr>
          <w:p>
            <w:pPr>
              <w:pStyle w:val="TableParagraph"/>
              <w:spacing w:line="274" w:lineRule="exact" w:before="131"/>
              <w:ind w:left="863" w:right="179" w:hanging="360"/>
              <w:rPr>
                <w:sz w:val="24"/>
              </w:rPr>
            </w:pPr>
            <w:r>
              <w:rPr>
                <w:sz w:val="24"/>
              </w:rPr>
              <w:t>B) Artículo 2 Detección de Legionella pneumophila en los sistemas de agua de la Facultad de Odontología de la UAEM…………………………………………..</w:t>
            </w:r>
          </w:p>
        </w:tc>
        <w:tc>
          <w:tcPr>
            <w:tcW w:w="553" w:type="dxa"/>
          </w:tcPr>
          <w:p>
            <w:pPr>
              <w:pStyle w:val="TableParagraph"/>
              <w:spacing w:line="240" w:lineRule="auto" w:before="8"/>
              <w:rPr>
                <w:b/>
                <w:sz w:val="34"/>
              </w:rPr>
            </w:pPr>
          </w:p>
          <w:p>
            <w:pPr>
              <w:pStyle w:val="TableParagraph"/>
              <w:spacing w:line="240" w:lineRule="auto"/>
              <w:ind w:left="115"/>
              <w:rPr>
                <w:sz w:val="24"/>
              </w:rPr>
            </w:pPr>
            <w:r>
              <w:rPr>
                <w:sz w:val="24"/>
              </w:rPr>
              <w:t>68</w:t>
            </w:r>
          </w:p>
        </w:tc>
      </w:tr>
      <w:tr>
        <w:trPr>
          <w:trHeight w:val="552" w:hRule="exact"/>
        </w:trPr>
        <w:tc>
          <w:tcPr>
            <w:tcW w:w="564" w:type="dxa"/>
          </w:tcPr>
          <w:p>
            <w:pPr/>
          </w:p>
        </w:tc>
        <w:tc>
          <w:tcPr>
            <w:tcW w:w="9248" w:type="dxa"/>
          </w:tcPr>
          <w:p>
            <w:pPr>
              <w:pStyle w:val="TableParagraph"/>
              <w:spacing w:line="240" w:lineRule="auto" w:before="125"/>
              <w:ind w:right="160"/>
              <w:jc w:val="right"/>
              <w:rPr>
                <w:sz w:val="24"/>
              </w:rPr>
            </w:pPr>
            <w:r>
              <w:rPr>
                <w:sz w:val="24"/>
              </w:rPr>
              <w:t>C) Artículo 3  Perfil microbiano de líneas de agua de unidades dentales…………</w:t>
            </w:r>
          </w:p>
        </w:tc>
        <w:tc>
          <w:tcPr>
            <w:tcW w:w="553" w:type="dxa"/>
          </w:tcPr>
          <w:p>
            <w:pPr>
              <w:pStyle w:val="TableParagraph"/>
              <w:spacing w:line="240" w:lineRule="auto" w:before="125"/>
              <w:ind w:left="115"/>
              <w:rPr>
                <w:sz w:val="24"/>
              </w:rPr>
            </w:pPr>
            <w:r>
              <w:rPr>
                <w:sz w:val="24"/>
              </w:rPr>
              <w:t>79</w:t>
            </w:r>
          </w:p>
        </w:tc>
      </w:tr>
      <w:tr>
        <w:trPr>
          <w:trHeight w:val="552" w:hRule="exact"/>
        </w:trPr>
        <w:tc>
          <w:tcPr>
            <w:tcW w:w="564" w:type="dxa"/>
          </w:tcPr>
          <w:p>
            <w:pPr/>
          </w:p>
        </w:tc>
        <w:tc>
          <w:tcPr>
            <w:tcW w:w="9248" w:type="dxa"/>
          </w:tcPr>
          <w:p>
            <w:pPr>
              <w:pStyle w:val="TableParagraph"/>
              <w:spacing w:line="240" w:lineRule="auto" w:before="125"/>
              <w:ind w:left="503"/>
              <w:rPr>
                <w:sz w:val="24"/>
              </w:rPr>
            </w:pPr>
            <w:r>
              <w:rPr>
                <w:sz w:val="24"/>
              </w:rPr>
              <w:t>D)  Resultados Generales del Proyecto………………………………………………</w:t>
            </w:r>
          </w:p>
        </w:tc>
        <w:tc>
          <w:tcPr>
            <w:tcW w:w="553" w:type="dxa"/>
          </w:tcPr>
          <w:p>
            <w:pPr>
              <w:pStyle w:val="TableParagraph"/>
              <w:spacing w:line="240" w:lineRule="auto" w:before="125"/>
              <w:ind w:left="115"/>
              <w:rPr>
                <w:sz w:val="24"/>
              </w:rPr>
            </w:pPr>
            <w:r>
              <w:rPr>
                <w:sz w:val="24"/>
              </w:rPr>
              <w:t>90</w:t>
            </w:r>
          </w:p>
        </w:tc>
      </w:tr>
      <w:tr>
        <w:trPr>
          <w:trHeight w:val="552" w:hRule="exact"/>
        </w:trPr>
        <w:tc>
          <w:tcPr>
            <w:tcW w:w="564" w:type="dxa"/>
          </w:tcPr>
          <w:p>
            <w:pPr>
              <w:pStyle w:val="TableParagraph"/>
              <w:spacing w:line="240" w:lineRule="auto" w:before="125"/>
              <w:ind w:left="35"/>
              <w:rPr>
                <w:sz w:val="24"/>
              </w:rPr>
            </w:pPr>
            <w:r>
              <w:rPr>
                <w:sz w:val="24"/>
              </w:rPr>
              <w:t>IX</w:t>
            </w:r>
          </w:p>
        </w:tc>
        <w:tc>
          <w:tcPr>
            <w:tcW w:w="9248" w:type="dxa"/>
          </w:tcPr>
          <w:p>
            <w:pPr>
              <w:pStyle w:val="TableParagraph"/>
              <w:spacing w:line="240" w:lineRule="auto" w:before="125"/>
              <w:ind w:left="143"/>
              <w:rPr>
                <w:sz w:val="24"/>
              </w:rPr>
            </w:pPr>
            <w:r>
              <w:rPr>
                <w:sz w:val="24"/>
              </w:rPr>
              <w:t>TABLAS Y FIGURAS ………………………………………………………………………..</w:t>
            </w:r>
          </w:p>
        </w:tc>
        <w:tc>
          <w:tcPr>
            <w:tcW w:w="553" w:type="dxa"/>
          </w:tcPr>
          <w:p>
            <w:pPr>
              <w:pStyle w:val="TableParagraph"/>
              <w:spacing w:line="240" w:lineRule="auto" w:before="125"/>
              <w:ind w:left="115"/>
              <w:rPr>
                <w:sz w:val="24"/>
              </w:rPr>
            </w:pPr>
            <w:r>
              <w:rPr>
                <w:sz w:val="24"/>
              </w:rPr>
              <w:t>92</w:t>
            </w:r>
          </w:p>
        </w:tc>
      </w:tr>
      <w:tr>
        <w:trPr>
          <w:trHeight w:val="552" w:hRule="exact"/>
        </w:trPr>
        <w:tc>
          <w:tcPr>
            <w:tcW w:w="564" w:type="dxa"/>
          </w:tcPr>
          <w:p>
            <w:pPr>
              <w:pStyle w:val="TableParagraph"/>
              <w:spacing w:line="240" w:lineRule="auto" w:before="125"/>
              <w:ind w:left="35"/>
              <w:rPr>
                <w:sz w:val="24"/>
              </w:rPr>
            </w:pPr>
            <w:r>
              <w:rPr>
                <w:w w:val="100"/>
                <w:sz w:val="24"/>
              </w:rPr>
              <w:t>X</w:t>
            </w:r>
          </w:p>
        </w:tc>
        <w:tc>
          <w:tcPr>
            <w:tcW w:w="9248" w:type="dxa"/>
          </w:tcPr>
          <w:p>
            <w:pPr>
              <w:pStyle w:val="TableParagraph"/>
              <w:spacing w:line="240" w:lineRule="auto" w:before="125"/>
              <w:ind w:left="143"/>
              <w:rPr>
                <w:sz w:val="24"/>
              </w:rPr>
            </w:pPr>
            <w:r>
              <w:rPr>
                <w:sz w:val="24"/>
              </w:rPr>
              <w:t>DISCUSIÓN…………………………………………………………………………………...</w:t>
            </w:r>
          </w:p>
        </w:tc>
        <w:tc>
          <w:tcPr>
            <w:tcW w:w="553" w:type="dxa"/>
          </w:tcPr>
          <w:p>
            <w:pPr>
              <w:pStyle w:val="TableParagraph"/>
              <w:spacing w:line="240" w:lineRule="auto" w:before="125"/>
              <w:ind w:left="115"/>
              <w:rPr>
                <w:sz w:val="24"/>
              </w:rPr>
            </w:pPr>
            <w:r>
              <w:rPr>
                <w:sz w:val="24"/>
              </w:rPr>
              <w:t>98</w:t>
            </w:r>
          </w:p>
        </w:tc>
      </w:tr>
      <w:tr>
        <w:trPr>
          <w:trHeight w:val="552" w:hRule="exact"/>
        </w:trPr>
        <w:tc>
          <w:tcPr>
            <w:tcW w:w="564" w:type="dxa"/>
          </w:tcPr>
          <w:p>
            <w:pPr>
              <w:pStyle w:val="TableParagraph"/>
              <w:spacing w:line="240" w:lineRule="auto" w:before="125"/>
              <w:ind w:left="35"/>
              <w:rPr>
                <w:sz w:val="24"/>
              </w:rPr>
            </w:pPr>
            <w:r>
              <w:rPr>
                <w:sz w:val="24"/>
              </w:rPr>
              <w:t>XI</w:t>
            </w:r>
          </w:p>
        </w:tc>
        <w:tc>
          <w:tcPr>
            <w:tcW w:w="9248" w:type="dxa"/>
          </w:tcPr>
          <w:p>
            <w:pPr>
              <w:pStyle w:val="TableParagraph"/>
              <w:spacing w:line="240" w:lineRule="auto" w:before="125"/>
              <w:ind w:left="143"/>
              <w:rPr>
                <w:sz w:val="24"/>
              </w:rPr>
            </w:pPr>
            <w:r>
              <w:rPr>
                <w:sz w:val="24"/>
              </w:rPr>
              <w:t>CONCLUSIONES…………………………………………………………………………….</w:t>
            </w:r>
          </w:p>
        </w:tc>
        <w:tc>
          <w:tcPr>
            <w:tcW w:w="553" w:type="dxa"/>
          </w:tcPr>
          <w:p>
            <w:pPr>
              <w:pStyle w:val="TableParagraph"/>
              <w:spacing w:line="240" w:lineRule="auto" w:before="125"/>
              <w:ind w:left="115"/>
              <w:rPr>
                <w:sz w:val="24"/>
              </w:rPr>
            </w:pPr>
            <w:r>
              <w:rPr>
                <w:sz w:val="24"/>
              </w:rPr>
              <w:t>105</w:t>
            </w:r>
          </w:p>
        </w:tc>
      </w:tr>
      <w:tr>
        <w:trPr>
          <w:trHeight w:val="552" w:hRule="exact"/>
        </w:trPr>
        <w:tc>
          <w:tcPr>
            <w:tcW w:w="564" w:type="dxa"/>
          </w:tcPr>
          <w:p>
            <w:pPr>
              <w:pStyle w:val="TableParagraph"/>
              <w:spacing w:line="240" w:lineRule="auto" w:before="125"/>
              <w:ind w:left="35"/>
              <w:rPr>
                <w:sz w:val="24"/>
              </w:rPr>
            </w:pPr>
            <w:r>
              <w:rPr>
                <w:sz w:val="24"/>
              </w:rPr>
              <w:t>XII</w:t>
            </w:r>
          </w:p>
        </w:tc>
        <w:tc>
          <w:tcPr>
            <w:tcW w:w="9248" w:type="dxa"/>
          </w:tcPr>
          <w:p>
            <w:pPr>
              <w:pStyle w:val="TableParagraph"/>
              <w:spacing w:line="240" w:lineRule="auto" w:before="125"/>
              <w:ind w:left="143"/>
              <w:rPr>
                <w:sz w:val="24"/>
              </w:rPr>
            </w:pPr>
            <w:r>
              <w:rPr>
                <w:sz w:val="24"/>
              </w:rPr>
              <w:t>RESUMEN…………………………………………………………………………………….</w:t>
            </w:r>
          </w:p>
        </w:tc>
        <w:tc>
          <w:tcPr>
            <w:tcW w:w="553" w:type="dxa"/>
          </w:tcPr>
          <w:p>
            <w:pPr>
              <w:pStyle w:val="TableParagraph"/>
              <w:spacing w:line="240" w:lineRule="auto" w:before="125"/>
              <w:ind w:left="115"/>
              <w:rPr>
                <w:sz w:val="24"/>
              </w:rPr>
            </w:pPr>
            <w:r>
              <w:rPr>
                <w:sz w:val="24"/>
              </w:rPr>
              <w:t>106</w:t>
            </w:r>
          </w:p>
        </w:tc>
      </w:tr>
      <w:tr>
        <w:trPr>
          <w:trHeight w:val="552" w:hRule="exact"/>
        </w:trPr>
        <w:tc>
          <w:tcPr>
            <w:tcW w:w="564" w:type="dxa"/>
          </w:tcPr>
          <w:p>
            <w:pPr/>
          </w:p>
        </w:tc>
        <w:tc>
          <w:tcPr>
            <w:tcW w:w="9248" w:type="dxa"/>
          </w:tcPr>
          <w:p>
            <w:pPr>
              <w:pStyle w:val="TableParagraph"/>
              <w:spacing w:line="240" w:lineRule="auto" w:before="125"/>
              <w:ind w:left="143"/>
              <w:rPr>
                <w:sz w:val="24"/>
              </w:rPr>
            </w:pPr>
            <w:r>
              <w:rPr>
                <w:sz w:val="24"/>
              </w:rPr>
              <w:t>ABSTRACT …………………………………………………………………………………..</w:t>
            </w:r>
          </w:p>
        </w:tc>
        <w:tc>
          <w:tcPr>
            <w:tcW w:w="553" w:type="dxa"/>
          </w:tcPr>
          <w:p>
            <w:pPr>
              <w:pStyle w:val="TableParagraph"/>
              <w:spacing w:line="240" w:lineRule="auto" w:before="125"/>
              <w:ind w:left="115"/>
              <w:rPr>
                <w:sz w:val="24"/>
              </w:rPr>
            </w:pPr>
            <w:r>
              <w:rPr>
                <w:sz w:val="24"/>
              </w:rPr>
              <w:t>107</w:t>
            </w:r>
          </w:p>
        </w:tc>
      </w:tr>
      <w:tr>
        <w:trPr>
          <w:trHeight w:val="552" w:hRule="exact"/>
        </w:trPr>
        <w:tc>
          <w:tcPr>
            <w:tcW w:w="564" w:type="dxa"/>
          </w:tcPr>
          <w:p>
            <w:pPr>
              <w:pStyle w:val="TableParagraph"/>
              <w:spacing w:line="240" w:lineRule="auto" w:before="125"/>
              <w:ind w:left="35"/>
              <w:rPr>
                <w:sz w:val="24"/>
              </w:rPr>
            </w:pPr>
            <w:r>
              <w:rPr>
                <w:sz w:val="24"/>
              </w:rPr>
              <w:t>XIII</w:t>
            </w:r>
          </w:p>
        </w:tc>
        <w:tc>
          <w:tcPr>
            <w:tcW w:w="9248" w:type="dxa"/>
          </w:tcPr>
          <w:p>
            <w:pPr>
              <w:pStyle w:val="TableParagraph"/>
              <w:spacing w:line="240" w:lineRule="auto" w:before="125"/>
              <w:ind w:left="143"/>
              <w:rPr>
                <w:sz w:val="24"/>
              </w:rPr>
            </w:pPr>
            <w:r>
              <w:rPr>
                <w:sz w:val="24"/>
              </w:rPr>
              <w:t>BIBLIOGRAFÍA……………………………………………………………………………….</w:t>
            </w:r>
          </w:p>
        </w:tc>
        <w:tc>
          <w:tcPr>
            <w:tcW w:w="553" w:type="dxa"/>
          </w:tcPr>
          <w:p>
            <w:pPr>
              <w:pStyle w:val="TableParagraph"/>
              <w:spacing w:line="240" w:lineRule="auto" w:before="125"/>
              <w:ind w:left="115"/>
              <w:rPr>
                <w:sz w:val="24"/>
              </w:rPr>
            </w:pPr>
            <w:r>
              <w:rPr>
                <w:sz w:val="24"/>
              </w:rPr>
              <w:t>108</w:t>
            </w:r>
          </w:p>
        </w:tc>
      </w:tr>
      <w:tr>
        <w:trPr>
          <w:trHeight w:val="496" w:hRule="exact"/>
        </w:trPr>
        <w:tc>
          <w:tcPr>
            <w:tcW w:w="564" w:type="dxa"/>
          </w:tcPr>
          <w:p>
            <w:pPr>
              <w:pStyle w:val="TableParagraph"/>
              <w:spacing w:line="240" w:lineRule="auto" w:before="125"/>
              <w:ind w:left="35"/>
              <w:rPr>
                <w:sz w:val="24"/>
              </w:rPr>
            </w:pPr>
            <w:r>
              <w:rPr>
                <w:sz w:val="24"/>
              </w:rPr>
              <w:t>XIV</w:t>
            </w:r>
          </w:p>
        </w:tc>
        <w:tc>
          <w:tcPr>
            <w:tcW w:w="9248" w:type="dxa"/>
          </w:tcPr>
          <w:p>
            <w:pPr>
              <w:pStyle w:val="TableParagraph"/>
              <w:spacing w:line="240" w:lineRule="auto" w:before="125"/>
              <w:ind w:left="143"/>
              <w:rPr>
                <w:sz w:val="24"/>
              </w:rPr>
            </w:pPr>
            <w:r>
              <w:rPr>
                <w:sz w:val="24"/>
              </w:rPr>
              <w:t>ANEXOS ………………………………………………………………………………………</w:t>
            </w:r>
          </w:p>
        </w:tc>
        <w:tc>
          <w:tcPr>
            <w:tcW w:w="553" w:type="dxa"/>
          </w:tcPr>
          <w:p>
            <w:pPr>
              <w:pStyle w:val="TableParagraph"/>
              <w:spacing w:line="240" w:lineRule="auto" w:before="125"/>
              <w:ind w:left="115"/>
              <w:rPr>
                <w:sz w:val="24"/>
              </w:rPr>
            </w:pPr>
            <w:r>
              <w:rPr>
                <w:sz w:val="24"/>
              </w:rPr>
              <w:t>115</w:t>
            </w:r>
          </w:p>
        </w:tc>
      </w:tr>
    </w:tbl>
    <w:p>
      <w:pPr>
        <w:spacing w:after="0" w:line="240" w:lineRule="auto"/>
        <w:rPr>
          <w:sz w:val="24"/>
        </w:rPr>
        <w:sectPr>
          <w:pgSz w:w="12240" w:h="15840"/>
          <w:pgMar w:top="1340" w:bottom="280" w:left="1100" w:right="56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spacing w:before="6"/>
        <w:rPr>
          <w:rFonts w:ascii="Times New Roman"/>
          <w:sz w:val="16"/>
        </w:rPr>
      </w:pPr>
    </w:p>
    <w:p>
      <w:pPr>
        <w:pStyle w:val="Heading2"/>
        <w:numPr>
          <w:ilvl w:val="1"/>
          <w:numId w:val="1"/>
        </w:numPr>
        <w:tabs>
          <w:tab w:pos="3807" w:val="left" w:leader="none"/>
        </w:tabs>
        <w:spacing w:line="240" w:lineRule="auto" w:before="69" w:after="0"/>
        <w:ind w:left="3806" w:right="3" w:hanging="201"/>
        <w:jc w:val="center"/>
      </w:pPr>
      <w:r>
        <w:rPr/>
        <w:t>INTRODUCCIÓN</w:t>
      </w:r>
    </w:p>
    <w:p>
      <w:pPr>
        <w:pStyle w:val="BodyText"/>
        <w:rPr>
          <w:b/>
        </w:rPr>
      </w:pPr>
    </w:p>
    <w:p>
      <w:pPr>
        <w:pStyle w:val="BodyText"/>
        <w:spacing w:before="7"/>
        <w:rPr>
          <w:b/>
        </w:rPr>
      </w:pPr>
    </w:p>
    <w:p>
      <w:pPr>
        <w:pStyle w:val="BodyText"/>
        <w:spacing w:line="360" w:lineRule="auto" w:before="1"/>
        <w:ind w:left="219" w:right="214"/>
        <w:jc w:val="both"/>
      </w:pPr>
      <w:r>
        <w:rPr/>
        <w:t>La Organización Mundial de la Salud (OMS) informó en el año 2005, que aproximadamente 1.8 millones de muertes en todo el mundo son atribuibles al agua insalubre y a la falta de saneamiento e higiene. Se estima además, que el 99.8% de estas muertes ocurren en los países en desarrollo y que el consumo de agua   contaminada   con   bacterias    patógenas    tales    como    </w:t>
      </w:r>
      <w:r>
        <w:rPr>
          <w:i/>
        </w:rPr>
        <w:t>Escherichia  </w:t>
      </w:r>
      <w:r>
        <w:rPr>
          <w:i/>
        </w:rPr>
        <w:t>coli</w:t>
      </w:r>
      <w:r>
        <w:rPr/>
        <w:t>, </w:t>
      </w:r>
      <w:r>
        <w:rPr>
          <w:i/>
        </w:rPr>
        <w:t>Salmonella typhimurium </w:t>
      </w:r>
      <w:r>
        <w:rPr/>
        <w:t>, </w:t>
      </w:r>
      <w:r>
        <w:rPr>
          <w:i/>
        </w:rPr>
        <w:t>Shigella dysenteriae </w:t>
      </w:r>
      <w:r>
        <w:rPr/>
        <w:t>y </w:t>
      </w:r>
      <w:r>
        <w:rPr>
          <w:i/>
          <w:spacing w:val="-3"/>
        </w:rPr>
        <w:t>Vibrio </w:t>
      </w:r>
      <w:r>
        <w:rPr>
          <w:i/>
        </w:rPr>
        <w:t>cholerae </w:t>
      </w:r>
      <w:r>
        <w:rPr/>
        <w:t>continúa siendo una de las causas principales de las enfermedades diarreicas y las infecciones  gastrointestinales.  </w:t>
      </w:r>
      <w:r>
        <w:rPr>
          <w:spacing w:val="-4"/>
        </w:rPr>
        <w:t>El </w:t>
      </w:r>
      <w:r>
        <w:rPr>
          <w:spacing w:val="58"/>
        </w:rPr>
        <w:t> </w:t>
      </w:r>
      <w:r>
        <w:rPr/>
        <w:t>Instituto  de  Salud  de  Estados  Unidos      </w:t>
      </w:r>
      <w:r>
        <w:rPr>
          <w:spacing w:val="21"/>
        </w:rPr>
        <w:t> </w:t>
      </w:r>
      <w:r>
        <w:rPr/>
        <w:t>de</w:t>
      </w:r>
    </w:p>
    <w:p>
      <w:pPr>
        <w:pStyle w:val="BodyText"/>
        <w:spacing w:line="352" w:lineRule="auto" w:before="2"/>
        <w:ind w:left="219" w:right="214"/>
        <w:jc w:val="both"/>
      </w:pPr>
      <w:r>
        <w:rPr/>
        <w:t>Norteamérica ha especificado que </w:t>
      </w:r>
      <w:r>
        <w:rPr>
          <w:spacing w:val="-3"/>
        </w:rPr>
        <w:t>más </w:t>
      </w:r>
      <w:r>
        <w:rPr/>
        <w:t>del 60% de estas y otras infecciones microbianas son causadas por biopelículas</w:t>
      </w:r>
      <w:r>
        <w:rPr>
          <w:position w:val="11"/>
          <w:sz w:val="16"/>
        </w:rPr>
        <w:t>1,2</w:t>
      </w:r>
      <w:r>
        <w:rPr/>
        <w:t>. Al respecto, el presente estudio, se centró en el control de este fenómeno natural propio de los ámbitos acuáticos y que constituye un problema de salud, en especial para sujetos medicamente comprometidos e</w:t>
      </w:r>
      <w:r>
        <w:rPr>
          <w:spacing w:val="-15"/>
        </w:rPr>
        <w:t> </w:t>
      </w:r>
      <w:r>
        <w:rPr/>
        <w:t>inmunocomprometidos.</w:t>
      </w:r>
    </w:p>
    <w:p>
      <w:pPr>
        <w:pStyle w:val="BodyText"/>
      </w:pPr>
    </w:p>
    <w:p>
      <w:pPr>
        <w:pStyle w:val="BodyText"/>
        <w:spacing w:line="360" w:lineRule="auto" w:before="147"/>
        <w:ind w:left="219" w:right="214"/>
        <w:jc w:val="both"/>
      </w:pPr>
      <w:r>
        <w:rPr/>
        <w:t>Con dichas cifras se deduce que toda actividad que involucre el uso </w:t>
      </w:r>
      <w:r>
        <w:rPr>
          <w:spacing w:val="-3"/>
        </w:rPr>
        <w:t>del </w:t>
      </w:r>
      <w:r>
        <w:rPr/>
        <w:t>vital líquido debe realizarse dentro de normativas específicas para el control de calidad de la </w:t>
      </w:r>
      <w:r>
        <w:rPr>
          <w:spacing w:val="-2"/>
        </w:rPr>
        <w:t>misma. </w:t>
      </w:r>
      <w:r>
        <w:rPr/>
        <w:t>En odontología, el agua es esencial para la operación de las piezas de mano de alta velocidad y para el enfriamiento de las superficies dentales sometidas a tratamiento odontológico. Diversos estudios han reportado que dicho elemento presenta altas concentraciones de microorganismos considerados patógenos oportunistas, como </w:t>
      </w:r>
      <w:r>
        <w:rPr>
          <w:i/>
        </w:rPr>
        <w:t>Pseudomona aeruginosa, Legionella pneumophila </w:t>
      </w:r>
      <w:r>
        <w:rPr/>
        <w:t>e incluso enterobacterias. La presencia de estos microorganismos se debe a que son habitantes comunes de la biopelícula que se </w:t>
      </w:r>
      <w:r>
        <w:rPr>
          <w:spacing w:val="-3"/>
        </w:rPr>
        <w:t>forma </w:t>
      </w:r>
      <w:r>
        <w:rPr/>
        <w:t>en los sistemas acuáticos de  las  unidades  dentales,  lo  cual  conlleva  una  alta  dispersión  de     </w:t>
      </w:r>
      <w:r>
        <w:rPr>
          <w:spacing w:val="52"/>
        </w:rPr>
        <w:t> </w:t>
      </w:r>
      <w:r>
        <w:rPr/>
        <w:t>agentes</w:t>
      </w:r>
    </w:p>
    <w:p>
      <w:pPr>
        <w:pStyle w:val="BodyText"/>
        <w:spacing w:line="328" w:lineRule="auto" w:before="7"/>
        <w:ind w:left="219" w:right="220"/>
        <w:jc w:val="both"/>
      </w:pPr>
      <w:r>
        <w:rPr/>
        <w:t>infecciosos en aerosol y por salpicaduras, provocando que dichas bacterias sean transferidas directamente a los pacientes y al personal de atención bucodental</w:t>
      </w:r>
      <w:r>
        <w:rPr>
          <w:position w:val="11"/>
          <w:sz w:val="16"/>
        </w:rPr>
        <w:t>3-16</w:t>
      </w:r>
      <w:r>
        <w:rPr/>
        <w:t>.</w:t>
      </w:r>
    </w:p>
    <w:p>
      <w:pPr>
        <w:pStyle w:val="BodyText"/>
        <w:rPr>
          <w:sz w:val="38"/>
        </w:rPr>
      </w:pPr>
    </w:p>
    <w:p>
      <w:pPr>
        <w:pStyle w:val="BodyText"/>
        <w:spacing w:line="362" w:lineRule="auto"/>
        <w:ind w:left="219" w:right="219"/>
        <w:jc w:val="both"/>
      </w:pPr>
      <w:r>
        <w:rPr/>
        <w:t>Para disminuir esta fuente de contaminación se han desarrollado algunas directrices alrededor del mundo. En la Unión Europea se recomienda que el   agua</w:t>
      </w:r>
    </w:p>
    <w:p>
      <w:pPr>
        <w:spacing w:after="0" w:line="362" w:lineRule="auto"/>
        <w:jc w:val="both"/>
        <w:sectPr>
          <w:headerReference w:type="default" r:id="rId7"/>
          <w:footerReference w:type="default" r:id="rId8"/>
          <w:pgSz w:w="12240" w:h="15840"/>
          <w:pgMar w:header="731" w:footer="1012" w:top="1160" w:bottom="1200" w:left="1480" w:right="1480"/>
          <w:pgNumType w:start="1"/>
        </w:sectPr>
      </w:pPr>
    </w:p>
    <w:p>
      <w:pPr>
        <w:pStyle w:val="BodyText"/>
        <w:spacing w:before="11"/>
        <w:rPr>
          <w:sz w:val="16"/>
        </w:rPr>
      </w:pPr>
    </w:p>
    <w:p>
      <w:pPr>
        <w:pStyle w:val="BodyText"/>
        <w:spacing w:line="357" w:lineRule="auto" w:before="69"/>
        <w:ind w:left="219" w:right="217"/>
        <w:jc w:val="both"/>
      </w:pPr>
      <w:r>
        <w:rPr/>
        <w:t>potable debe contar con una cantidad menor a 100 Unidades Formadoras de Colonias por mililitro (UFC/ml), aunque no se han realizado pautas dirigidas a la calidad bacteriológica del agua de unidades dentales. En Estados Unidos, la Asociación Dental Americana (ADA) y los Centros para el Control y Prevención de Enfermedades (CDC) han sugerido una norma específica para el agua de las unidades dentales de no más de 200 UFC/ml, y han propuesto una serie de posturas y declaraciones en las que se invita a la comunidad odontológica a seguir las medidas pertinentes que mejoren la calidad del agua empleada durante el tratamiento dental, alentando también  a los  fabricantes de equipos dentales  a que promuevan acciones que mejoren y mantengan la calidad de la misma</w:t>
      </w:r>
      <w:r>
        <w:rPr>
          <w:position w:val="11"/>
          <w:sz w:val="16"/>
        </w:rPr>
        <w:t>17, 18</w:t>
      </w:r>
      <w:r>
        <w:rPr/>
        <w:t>.</w:t>
      </w:r>
    </w:p>
    <w:p>
      <w:pPr>
        <w:pStyle w:val="BodyText"/>
        <w:spacing w:before="8"/>
        <w:rPr>
          <w:sz w:val="34"/>
        </w:rPr>
      </w:pPr>
    </w:p>
    <w:p>
      <w:pPr>
        <w:pStyle w:val="BodyText"/>
        <w:spacing w:line="360" w:lineRule="auto" w:before="1"/>
        <w:ind w:left="219" w:right="216"/>
        <w:jc w:val="both"/>
      </w:pPr>
      <w:r>
        <w:rPr/>
        <w:t>En países sudamericanos no existen directrices similares. En México, la Norma Oficial Mexicana 013 de la Secretaría de Salud (NOM013-SSA) no establece niveles mínimos aceptables para el control de la calidad bacteriológica del agua de las unidades dentales, aunque propone que para eliminar la biopelícula “se  deben</w:t>
      </w:r>
    </w:p>
    <w:p>
      <w:pPr>
        <w:pStyle w:val="BodyText"/>
        <w:spacing w:line="352" w:lineRule="auto" w:before="2"/>
        <w:ind w:left="219" w:right="213"/>
        <w:jc w:val="both"/>
      </w:pPr>
      <w:r>
        <w:rPr/>
        <w:t>purgar las mangueras de la pieza de mano y jeringa triple, 3 minutos al inicio y término del día y 30 segundos entre cada paciente”</w:t>
      </w:r>
      <w:r>
        <w:rPr>
          <w:position w:val="11"/>
          <w:sz w:val="16"/>
        </w:rPr>
        <w:t>19</w:t>
      </w:r>
      <w:r>
        <w:rPr/>
        <w:t>. Sin embargo, la Organización para la Seguridad, Asepsia y Prevención (OSAP), ha puntualizado que la efectividad de la purga mecánica no está bien sustentada por la literatura científica    y    que    aunque    puede    reducir    temporalmente    el    número  de</w:t>
      </w:r>
    </w:p>
    <w:p>
      <w:pPr>
        <w:pStyle w:val="BodyText"/>
        <w:spacing w:line="360" w:lineRule="auto" w:before="11"/>
        <w:ind w:left="219" w:right="220"/>
        <w:jc w:val="both"/>
      </w:pPr>
      <w:r>
        <w:rPr/>
        <w:t>microorganismos suspendidos en las líneas de agua dental, no hay un efecto predecible sobre las biopelículas adherentes, por lo que es preciso pensar en la adición de un antimicrobiano en los reservorios independientes de agua de las unidades dentales que junto con el    arrastre mecánico producido por la purga, en</w:t>
      </w:r>
    </w:p>
    <w:p>
      <w:pPr>
        <w:pStyle w:val="BodyText"/>
        <w:spacing w:line="328" w:lineRule="auto" w:before="3"/>
        <w:ind w:left="219" w:right="226"/>
        <w:jc w:val="both"/>
      </w:pPr>
      <w:r>
        <w:rPr/>
        <w:t>teoría proporcionaría una disminución del recuento total de bacterias existentes en el mismo</w:t>
      </w:r>
      <w:r>
        <w:rPr>
          <w:position w:val="11"/>
          <w:sz w:val="16"/>
        </w:rPr>
        <w:t>20</w:t>
      </w:r>
      <w:r>
        <w:rPr/>
        <w:t>. El presente trabajo de investigación, toma dicha propuesta.</w:t>
      </w:r>
    </w:p>
    <w:p>
      <w:pPr>
        <w:pStyle w:val="BodyText"/>
        <w:spacing w:before="4"/>
        <w:rPr>
          <w:sz w:val="38"/>
        </w:rPr>
      </w:pPr>
    </w:p>
    <w:p>
      <w:pPr>
        <w:pStyle w:val="BodyText"/>
        <w:spacing w:line="360" w:lineRule="auto"/>
        <w:ind w:left="219" w:right="217"/>
        <w:jc w:val="both"/>
      </w:pPr>
      <w:r>
        <w:rPr/>
        <w:t>Para tal efecto, fue considerada la clorhexidina, el antimicrobiano </w:t>
      </w:r>
      <w:r>
        <w:rPr>
          <w:spacing w:val="-3"/>
        </w:rPr>
        <w:t>más </w:t>
      </w:r>
      <w:r>
        <w:rPr/>
        <w:t>estudiado en odontología. Potente inhibidor de biopelícula dental y que ha sido probado como una opción para desinfectar las líneas de agua de unidades dentales, con </w:t>
      </w:r>
      <w:r>
        <w:rPr>
          <w:spacing w:val="-3"/>
        </w:rPr>
        <w:t>muy </w:t>
      </w:r>
      <w:r>
        <w:rPr/>
        <w:t>buenos resultados, aunque debe considerarse  que </w:t>
      </w:r>
      <w:r>
        <w:rPr>
          <w:spacing w:val="-3"/>
        </w:rPr>
        <w:t>su </w:t>
      </w:r>
      <w:r>
        <w:rPr/>
        <w:t>costo es elevado y</w:t>
      </w:r>
      <w:r>
        <w:rPr>
          <w:spacing w:val="56"/>
        </w:rPr>
        <w:t> </w:t>
      </w:r>
      <w:r>
        <w:rPr/>
        <w:t>por</w:t>
      </w:r>
    </w:p>
    <w:p>
      <w:pPr>
        <w:spacing w:after="0" w:line="360" w:lineRule="auto"/>
        <w:jc w:val="both"/>
        <w:sectPr>
          <w:pgSz w:w="12240" w:h="15840"/>
          <w:pgMar w:header="731" w:footer="1012" w:top="1160" w:bottom="1200" w:left="1480" w:right="1480"/>
        </w:sectPr>
      </w:pPr>
    </w:p>
    <w:p>
      <w:pPr>
        <w:pStyle w:val="BodyText"/>
        <w:spacing w:before="1"/>
        <w:rPr>
          <w:sz w:val="13"/>
        </w:rPr>
      </w:pPr>
    </w:p>
    <w:p>
      <w:pPr>
        <w:pStyle w:val="BodyText"/>
        <w:spacing w:line="348" w:lineRule="auto" w:before="79"/>
        <w:ind w:left="219" w:right="213"/>
        <w:jc w:val="both"/>
      </w:pPr>
      <w:r>
        <w:rPr/>
        <w:t>lo tanto resulta poco factible su utilización de manera diaria y constante</w:t>
      </w:r>
      <w:r>
        <w:rPr>
          <w:position w:val="11"/>
          <w:sz w:val="16"/>
        </w:rPr>
        <w:t>10,14,21,22</w:t>
      </w:r>
      <w:r>
        <w:rPr/>
        <w:t>. Así </w:t>
      </w:r>
      <w:r>
        <w:rPr>
          <w:spacing w:val="-2"/>
        </w:rPr>
        <w:t>mismo, </w:t>
      </w:r>
      <w:r>
        <w:rPr/>
        <w:t>se consideró un antimicrobiano que no ha sido utilizado en los  sistemas de agua odontológicos, pero que se usa de manera rutinaria en la erradicación de biopelículas presentes en los sistemas de agua de la Estación Espacial Internacional</w:t>
      </w:r>
      <w:r>
        <w:rPr>
          <w:position w:val="11"/>
          <w:sz w:val="16"/>
        </w:rPr>
        <w:t>23 </w:t>
      </w:r>
      <w:r>
        <w:rPr/>
        <w:t>o en la desinfección de agua de consumo humano posterior a desastres naturales (propuesto por la OMS)</w:t>
      </w:r>
      <w:r>
        <w:rPr>
          <w:position w:val="11"/>
          <w:sz w:val="16"/>
        </w:rPr>
        <w:t>20</w:t>
      </w:r>
      <w:r>
        <w:rPr/>
        <w:t>, tal es el caso de la plata coloidal. Sus variantes y eficacia han sido reportadas por varios investigadores documentando ampliamente las propiedades antibacterianas y baja toxicidad que posee</w:t>
      </w:r>
      <w:r>
        <w:rPr>
          <w:position w:val="11"/>
          <w:sz w:val="16"/>
        </w:rPr>
        <w:t>24-28</w:t>
      </w:r>
      <w:r>
        <w:rPr/>
        <w:t>.</w:t>
      </w:r>
    </w:p>
    <w:p>
      <w:pPr>
        <w:pStyle w:val="BodyText"/>
        <w:spacing w:before="3"/>
        <w:rPr>
          <w:sz w:val="36"/>
        </w:rPr>
      </w:pPr>
    </w:p>
    <w:p>
      <w:pPr>
        <w:pStyle w:val="BodyText"/>
        <w:spacing w:line="360" w:lineRule="auto"/>
        <w:ind w:left="219" w:right="215"/>
        <w:jc w:val="both"/>
      </w:pPr>
      <w:r>
        <w:rPr/>
        <w:t>De tal manera que a través del presente estudio fue evaluada la eficacia antimicrobiana de la plata coloidal para el control de la formación de biopelícula en líneas de agua de alta velocidad de unidades dentales en comparación con el gluconato de clorhexidina, con el fin de contribuir a la obtención de un método sistemático que garantice la inocuidad bacteriana del agua de salida de la pieza de mano de alta velocidad, con lo que se ayudará a proteger la salud del paciente, la del odontólogo y mejorar así la calidad del medio ambiente en el que se desenvuelve el personal de atención bucodental.</w:t>
      </w:r>
    </w:p>
    <w:p>
      <w:pPr>
        <w:spacing w:after="0" w:line="360" w:lineRule="auto"/>
        <w:jc w:val="both"/>
        <w:sectPr>
          <w:pgSz w:w="12240" w:h="15840"/>
          <w:pgMar w:header="731" w:footer="1012" w:top="1160" w:bottom="1200" w:left="1480" w:right="1480"/>
        </w:sectPr>
      </w:pPr>
    </w:p>
    <w:p>
      <w:pPr>
        <w:pStyle w:val="BodyText"/>
        <w:spacing w:before="8"/>
        <w:rPr>
          <w:sz w:val="16"/>
        </w:rPr>
      </w:pPr>
    </w:p>
    <w:p>
      <w:pPr>
        <w:pStyle w:val="Heading1"/>
        <w:numPr>
          <w:ilvl w:val="1"/>
          <w:numId w:val="1"/>
        </w:numPr>
        <w:tabs>
          <w:tab w:pos="3831" w:val="left" w:leader="none"/>
        </w:tabs>
        <w:spacing w:line="240" w:lineRule="auto" w:before="63" w:after="0"/>
        <w:ind w:left="3830" w:right="0" w:hanging="312"/>
        <w:jc w:val="center"/>
      </w:pPr>
      <w:r>
        <w:rPr/>
        <w:t>ANTECEDENTES</w:t>
      </w:r>
    </w:p>
    <w:p>
      <w:pPr>
        <w:pStyle w:val="BodyText"/>
        <w:rPr>
          <w:b/>
          <w:sz w:val="28"/>
        </w:rPr>
      </w:pPr>
    </w:p>
    <w:p>
      <w:pPr>
        <w:pStyle w:val="BodyText"/>
        <w:spacing w:before="5"/>
        <w:rPr>
          <w:b/>
          <w:sz w:val="22"/>
        </w:rPr>
      </w:pPr>
    </w:p>
    <w:p>
      <w:pPr>
        <w:pStyle w:val="Heading2"/>
        <w:ind w:left="3038" w:right="387"/>
      </w:pPr>
      <w:r>
        <w:rPr/>
        <w:t>CAPÍTULO 1: BIOPELÍCULA</w:t>
      </w:r>
    </w:p>
    <w:p>
      <w:pPr>
        <w:pStyle w:val="BodyText"/>
        <w:rPr>
          <w:b/>
        </w:rPr>
      </w:pPr>
    </w:p>
    <w:p>
      <w:pPr>
        <w:pStyle w:val="BodyText"/>
        <w:spacing w:before="7"/>
        <w:rPr>
          <w:b/>
        </w:rPr>
      </w:pPr>
    </w:p>
    <w:p>
      <w:pPr>
        <w:pStyle w:val="BodyText"/>
        <w:spacing w:line="360" w:lineRule="auto"/>
        <w:ind w:left="219" w:right="214"/>
        <w:jc w:val="both"/>
      </w:pPr>
      <w:r>
        <w:rPr/>
        <w:t>Las bacterias existen en la naturaleza bajo dos formas o estados: bacterias planctónicas (de libre flotación) y bacterias biofilm o de biopelícula (en colonias de microorganismos sésiles). Desde los tiempos de Koch, bacteriólogos y clínicos se han abocado al estudio de los gérmenes planctónicos, libremente suspendidos, y descritos en base a sus características de desarrollo en medios de cultivo adecuados, esto se ha debido entre otras razones, al hecho de que la investigación de las biopelículas bacterianas es singularmente </w:t>
      </w:r>
      <w:r>
        <w:rPr>
          <w:spacing w:val="-3"/>
        </w:rPr>
        <w:t>más </w:t>
      </w:r>
      <w:r>
        <w:rPr/>
        <w:t>difícil que aquélla respecto a las bacterias planctónicas. Desafortunadamente, este enfoque centrado en el desarrollo de estas últimas en cultivos de laboratorio, una condición que tiene escasa relación con los ambientes microbianos verdaderos, ha  </w:t>
      </w:r>
      <w:r>
        <w:rPr>
          <w:spacing w:val="22"/>
        </w:rPr>
        <w:t> </w:t>
      </w:r>
      <w:r>
        <w:rPr/>
        <w:t>limitado</w:t>
      </w:r>
    </w:p>
    <w:p>
      <w:pPr>
        <w:pStyle w:val="BodyText"/>
        <w:spacing w:line="279" w:lineRule="exact"/>
        <w:ind w:left="219"/>
        <w:jc w:val="both"/>
      </w:pPr>
      <w:r>
        <w:rPr/>
        <w:t>la comprensión respecto a las interacciones entre bacterias y huéspedes</w:t>
      </w:r>
      <w:r>
        <w:rPr>
          <w:position w:val="11"/>
          <w:sz w:val="16"/>
        </w:rPr>
        <w:t>29,30</w:t>
      </w:r>
      <w:r>
        <w:rPr/>
        <w:t>.</w:t>
      </w:r>
    </w:p>
    <w:p>
      <w:pPr>
        <w:pStyle w:val="BodyText"/>
        <w:rPr>
          <w:sz w:val="28"/>
        </w:rPr>
      </w:pPr>
    </w:p>
    <w:p>
      <w:pPr>
        <w:pStyle w:val="BodyText"/>
        <w:spacing w:line="348" w:lineRule="auto" w:before="232"/>
        <w:ind w:left="219" w:right="214"/>
        <w:jc w:val="both"/>
      </w:pPr>
      <w:r>
        <w:rPr/>
        <w:t>Una </w:t>
      </w:r>
      <w:r>
        <w:rPr>
          <w:spacing w:val="-3"/>
        </w:rPr>
        <w:t>muy </w:t>
      </w:r>
      <w:r>
        <w:rPr/>
        <w:t>pequeña fracción de las bacterias se halla en forma planctónica o de  libre flotación, y las bacterias de biopelícula son diferentes a las planctónicas. Se postula que el 99% de todas las células bacterianas existen en calidad de biofilms, y</w:t>
      </w:r>
      <w:r>
        <w:rPr>
          <w:spacing w:val="22"/>
        </w:rPr>
        <w:t> </w:t>
      </w:r>
      <w:r>
        <w:rPr/>
        <w:t>tan</w:t>
      </w:r>
      <w:r>
        <w:rPr>
          <w:spacing w:val="23"/>
        </w:rPr>
        <w:t> </w:t>
      </w:r>
      <w:r>
        <w:rPr/>
        <w:t>sólo</w:t>
      </w:r>
      <w:r>
        <w:rPr>
          <w:spacing w:val="20"/>
        </w:rPr>
        <w:t> </w:t>
      </w:r>
      <w:r>
        <w:rPr/>
        <w:t>1%</w:t>
      </w:r>
      <w:r>
        <w:rPr>
          <w:spacing w:val="20"/>
        </w:rPr>
        <w:t> </w:t>
      </w:r>
      <w:r>
        <w:rPr/>
        <w:t>vive</w:t>
      </w:r>
      <w:r>
        <w:rPr>
          <w:spacing w:val="23"/>
        </w:rPr>
        <w:t> </w:t>
      </w:r>
      <w:r>
        <w:rPr/>
        <w:t>en</w:t>
      </w:r>
      <w:r>
        <w:rPr>
          <w:spacing w:val="18"/>
        </w:rPr>
        <w:t> </w:t>
      </w:r>
      <w:r>
        <w:rPr/>
        <w:t>estado</w:t>
      </w:r>
      <w:r>
        <w:rPr>
          <w:spacing w:val="18"/>
        </w:rPr>
        <w:t> </w:t>
      </w:r>
      <w:r>
        <w:rPr/>
        <w:t>planctónico</w:t>
      </w:r>
      <w:r>
        <w:rPr>
          <w:position w:val="11"/>
          <w:sz w:val="16"/>
        </w:rPr>
        <w:t>31</w:t>
      </w:r>
      <w:r>
        <w:rPr/>
        <w:t>.</w:t>
      </w:r>
      <w:r>
        <w:rPr>
          <w:spacing w:val="23"/>
        </w:rPr>
        <w:t> </w:t>
      </w:r>
      <w:r>
        <w:rPr/>
        <w:t>La</w:t>
      </w:r>
      <w:r>
        <w:rPr>
          <w:spacing w:val="23"/>
        </w:rPr>
        <w:t> </w:t>
      </w:r>
      <w:r>
        <w:rPr/>
        <w:t>adhesión</w:t>
      </w:r>
      <w:r>
        <w:rPr>
          <w:spacing w:val="23"/>
        </w:rPr>
        <w:t> </w:t>
      </w:r>
      <w:r>
        <w:rPr/>
        <w:t>bacteriana</w:t>
      </w:r>
      <w:r>
        <w:rPr>
          <w:spacing w:val="18"/>
        </w:rPr>
        <w:t> </w:t>
      </w:r>
      <w:r>
        <w:rPr/>
        <w:t>a</w:t>
      </w:r>
      <w:r>
        <w:rPr>
          <w:spacing w:val="28"/>
        </w:rPr>
        <w:t> </w:t>
      </w:r>
      <w:r>
        <w:rPr/>
        <w:t>superficies</w:t>
      </w:r>
    </w:p>
    <w:p>
      <w:pPr>
        <w:pStyle w:val="BodyText"/>
        <w:spacing w:line="360" w:lineRule="auto" w:before="4"/>
        <w:ind w:left="219" w:right="214"/>
        <w:jc w:val="both"/>
      </w:pPr>
      <w:r>
        <w:rPr/>
        <w:t>ha sido reconocida por varias décadas. En la década de 1970, los microbiólogos plantearon que, probablemente, la mayor parte de las bacterias en la naturaleza existían en estado de biopelícula, sin embargo, la terapia de la mayoría de las infecciones humanas continúa aún basada en el estudio de las minoritarias bacterias planctónicas libres flotantes.</w:t>
      </w:r>
    </w:p>
    <w:p>
      <w:pPr>
        <w:pStyle w:val="BodyText"/>
      </w:pPr>
    </w:p>
    <w:p>
      <w:pPr>
        <w:pStyle w:val="BodyText"/>
        <w:spacing w:line="360" w:lineRule="auto" w:before="139"/>
        <w:ind w:left="219" w:right="215"/>
        <w:jc w:val="both"/>
      </w:pPr>
      <w:r>
        <w:rPr/>
        <w:t>Las biopelículas se crean cuando las bacterias libres flotantes perciben una superficie, se adhieren a ella y, a continuación, elaboran señales químicas para coordinar diferenciación y formación de estructura, incluyendo el desarrollo de una cubierta polisacárida protectora. Los gérmenes pueden crear condiciones para formar biopelículas casi en cualquier ambiente líquido. La interfase    sólido-líquida</w:t>
      </w:r>
    </w:p>
    <w:p>
      <w:pPr>
        <w:spacing w:after="0" w:line="360" w:lineRule="auto"/>
        <w:jc w:val="both"/>
        <w:sectPr>
          <w:pgSz w:w="12240" w:h="15840"/>
          <w:pgMar w:header="731" w:footer="1012" w:top="1160" w:bottom="1200" w:left="1480" w:right="1480"/>
        </w:sectPr>
      </w:pPr>
    </w:p>
    <w:p>
      <w:pPr>
        <w:pStyle w:val="BodyText"/>
        <w:spacing w:before="11"/>
        <w:rPr>
          <w:sz w:val="16"/>
        </w:rPr>
      </w:pPr>
    </w:p>
    <w:p>
      <w:pPr>
        <w:pStyle w:val="BodyText"/>
        <w:spacing w:line="350" w:lineRule="auto" w:before="69"/>
        <w:ind w:left="219" w:right="217"/>
        <w:jc w:val="both"/>
      </w:pPr>
      <w:r>
        <w:rPr/>
        <w:t>entre una superficie y un medio acuoso proporciona un entorno ideal para la fijación y crecimiento de microorganismos, por consiguiente, los biofilms son ubicuos en la naturaleza y se encuentran prácticamente en todo cuerpo natural de agua en el mundo</w:t>
      </w:r>
      <w:r>
        <w:rPr>
          <w:position w:val="11"/>
          <w:sz w:val="16"/>
        </w:rPr>
        <w:t>32</w:t>
      </w:r>
      <w:r>
        <w:rPr/>
        <w:t>.</w:t>
      </w:r>
    </w:p>
    <w:p>
      <w:pPr>
        <w:pStyle w:val="BodyText"/>
        <w:spacing w:before="11"/>
        <w:rPr>
          <w:sz w:val="35"/>
        </w:rPr>
      </w:pPr>
    </w:p>
    <w:p>
      <w:pPr>
        <w:pStyle w:val="BodyText"/>
        <w:spacing w:line="360" w:lineRule="auto"/>
        <w:ind w:left="219" w:right="218"/>
        <w:jc w:val="both"/>
      </w:pPr>
      <w:r>
        <w:rPr/>
        <w:t>Las biopelículas representan una antigua estrategia de supervivencia procariótica, ya que les brindan protección frente a fluctuaciones medioambientales, </w:t>
      </w:r>
      <w:r>
        <w:rPr>
          <w:spacing w:val="-4"/>
        </w:rPr>
        <w:t>de</w:t>
      </w:r>
      <w:r>
        <w:rPr>
          <w:spacing w:val="58"/>
        </w:rPr>
        <w:t> </w:t>
      </w:r>
      <w:r>
        <w:rPr/>
        <w:t>humedad, temperatura y pH, al igual que concentrando nutrientes y facilitando la eliminación de desechos. Registros efectuados en fósiles revelan que diversos procariotes han estado viviendo en estas estructuras por </w:t>
      </w:r>
      <w:r>
        <w:rPr>
          <w:spacing w:val="-3"/>
        </w:rPr>
        <w:t>más </w:t>
      </w:r>
      <w:r>
        <w:rPr/>
        <w:t>de tres billones de años. Su capacidad de formación no parece restringirse a ningún grupo específico de microorganismos y, en la actualidad, se considera que bajo condiciones ambientales adecuadas la inmensa mayoría de las bacterias, independiente de la especie,  puede  existir  dentro  de  biopelículas  adheridas  a  superficies  en   una</w:t>
      </w:r>
    </w:p>
    <w:p>
      <w:pPr>
        <w:spacing w:line="328" w:lineRule="auto" w:before="2"/>
        <w:ind w:left="219" w:right="223" w:firstLine="0"/>
        <w:jc w:val="both"/>
        <w:rPr>
          <w:i/>
          <w:sz w:val="24"/>
        </w:rPr>
      </w:pPr>
      <w:r>
        <w:rPr>
          <w:sz w:val="24"/>
        </w:rPr>
        <w:t>interfase sólido/ líquida, incluyendo organismos importantes, tales como </w:t>
      </w:r>
      <w:r>
        <w:rPr>
          <w:i/>
          <w:sz w:val="24"/>
        </w:rPr>
        <w:t>P. </w:t>
      </w:r>
      <w:r>
        <w:rPr>
          <w:i/>
          <w:sz w:val="24"/>
        </w:rPr>
        <w:t>aeruginosa, H. influenzae y S. aureus</w:t>
      </w:r>
      <w:r>
        <w:rPr>
          <w:i/>
          <w:position w:val="11"/>
          <w:sz w:val="16"/>
        </w:rPr>
        <w:t>33</w:t>
      </w:r>
      <w:r>
        <w:rPr>
          <w:i/>
          <w:sz w:val="24"/>
        </w:rPr>
        <w:t>.</w:t>
      </w:r>
    </w:p>
    <w:p>
      <w:pPr>
        <w:pStyle w:val="BodyText"/>
        <w:rPr>
          <w:i/>
          <w:sz w:val="28"/>
        </w:rPr>
      </w:pPr>
    </w:p>
    <w:p>
      <w:pPr>
        <w:pStyle w:val="BodyText"/>
        <w:rPr>
          <w:i/>
          <w:sz w:val="28"/>
        </w:rPr>
      </w:pPr>
    </w:p>
    <w:p>
      <w:pPr>
        <w:pStyle w:val="Heading2"/>
        <w:numPr>
          <w:ilvl w:val="1"/>
          <w:numId w:val="2"/>
        </w:numPr>
        <w:tabs>
          <w:tab w:pos="624" w:val="left" w:leader="none"/>
        </w:tabs>
        <w:spacing w:line="240" w:lineRule="auto" w:before="205" w:after="0"/>
        <w:ind w:left="623" w:right="0" w:hanging="404"/>
        <w:jc w:val="both"/>
      </w:pPr>
      <w:r>
        <w:rPr/>
        <w:t>Definición e</w:t>
      </w:r>
      <w:r>
        <w:rPr>
          <w:spacing w:val="-8"/>
        </w:rPr>
        <w:t> </w:t>
      </w:r>
      <w:r>
        <w:rPr/>
        <w:t>Historia</w:t>
      </w:r>
    </w:p>
    <w:p>
      <w:pPr>
        <w:pStyle w:val="BodyText"/>
        <w:spacing w:before="5"/>
        <w:rPr>
          <w:b/>
          <w:sz w:val="28"/>
        </w:rPr>
      </w:pPr>
    </w:p>
    <w:p>
      <w:pPr>
        <w:spacing w:line="360" w:lineRule="auto" w:before="0"/>
        <w:ind w:left="219" w:right="214" w:firstLine="0"/>
        <w:jc w:val="both"/>
        <w:rPr>
          <w:sz w:val="24"/>
        </w:rPr>
      </w:pPr>
      <w:r>
        <w:rPr>
          <w:sz w:val="24"/>
        </w:rPr>
        <w:t>En 2002, Donlan</w:t>
      </w:r>
      <w:r>
        <w:rPr>
          <w:position w:val="11"/>
          <w:sz w:val="16"/>
        </w:rPr>
        <w:t>29 </w:t>
      </w:r>
      <w:r>
        <w:rPr>
          <w:sz w:val="24"/>
        </w:rPr>
        <w:t>efectuó una descripción ampliamente aceptada de </w:t>
      </w:r>
      <w:r>
        <w:rPr>
          <w:spacing w:val="3"/>
          <w:sz w:val="24"/>
        </w:rPr>
        <w:t>una </w:t>
      </w:r>
      <w:r>
        <w:rPr>
          <w:sz w:val="24"/>
        </w:rPr>
        <w:t>biopelícula, estableciendo que es “</w:t>
      </w:r>
      <w:r>
        <w:rPr>
          <w:i/>
          <w:sz w:val="24"/>
        </w:rPr>
        <w:t>una comunidad microbiana sésil, caracterizada </w:t>
      </w:r>
      <w:r>
        <w:rPr>
          <w:i/>
          <w:sz w:val="24"/>
        </w:rPr>
        <w:t>por células que están adheridas irreversiblemente a un substrato o interfase, o unas con otras, encerradas en una matriz </w:t>
      </w:r>
      <w:r>
        <w:rPr>
          <w:i/>
          <w:spacing w:val="4"/>
          <w:sz w:val="24"/>
        </w:rPr>
        <w:t>de </w:t>
      </w:r>
      <w:r>
        <w:rPr>
          <w:i/>
          <w:sz w:val="24"/>
        </w:rPr>
        <w:t>sustancias poliméricas extracelulares que ellas han producido, y exhiben un fenotipo alterado en relación con la tasa de crecimiento y trascripción génica</w:t>
      </w:r>
      <w:r>
        <w:rPr>
          <w:sz w:val="24"/>
        </w:rPr>
        <w:t>”. En el siglo XVII, Van Leeuwenhoek, utilizando sus  simples  microscopios  de  luz,  fue  el  primero  en  describir  la  presencia</w:t>
      </w:r>
      <w:r>
        <w:rPr>
          <w:spacing w:val="52"/>
          <w:sz w:val="24"/>
        </w:rPr>
        <w:t> </w:t>
      </w:r>
      <w:r>
        <w:rPr>
          <w:sz w:val="24"/>
        </w:rPr>
        <w:t>de</w:t>
      </w:r>
    </w:p>
    <w:p>
      <w:pPr>
        <w:pStyle w:val="BodyText"/>
        <w:spacing w:line="328" w:lineRule="auto" w:before="7"/>
        <w:ind w:left="219" w:right="229"/>
        <w:jc w:val="both"/>
      </w:pPr>
      <w:r>
        <w:rPr/>
        <w:t>microorganismos adheridos a superficies dentales, a raíz de lo cual se le reconoce como el descubridor de las biopelículas bacterianas</w:t>
      </w:r>
      <w:r>
        <w:rPr>
          <w:position w:val="11"/>
          <w:sz w:val="16"/>
        </w:rPr>
        <w:t>34</w:t>
      </w:r>
      <w:r>
        <w:rPr/>
        <w:t>.</w:t>
      </w:r>
    </w:p>
    <w:p>
      <w:pPr>
        <w:pStyle w:val="BodyText"/>
        <w:spacing w:before="10"/>
        <w:rPr>
          <w:sz w:val="34"/>
        </w:rPr>
      </w:pPr>
    </w:p>
    <w:p>
      <w:pPr>
        <w:pStyle w:val="BodyText"/>
        <w:spacing w:line="362" w:lineRule="auto"/>
        <w:ind w:left="219" w:right="220"/>
        <w:jc w:val="both"/>
      </w:pPr>
      <w:r>
        <w:rPr/>
        <w:t>Esta línea de investigación resurgió en 1970, cuando Characklis</w:t>
      </w:r>
      <w:r>
        <w:rPr>
          <w:position w:val="11"/>
          <w:sz w:val="16"/>
        </w:rPr>
        <w:t>34 </w:t>
      </w:r>
      <w:r>
        <w:rPr/>
        <w:t>procedió a estudiar   légamos   microbianos   en   sistemas   de   aguas   industriales logrando</w:t>
      </w:r>
    </w:p>
    <w:p>
      <w:pPr>
        <w:spacing w:after="0" w:line="362" w:lineRule="auto"/>
        <w:jc w:val="both"/>
        <w:sectPr>
          <w:pgSz w:w="12240" w:h="15840"/>
          <w:pgMar w:header="731" w:footer="1012" w:top="1160" w:bottom="1200" w:left="1480" w:right="1480"/>
        </w:sectPr>
      </w:pPr>
    </w:p>
    <w:p>
      <w:pPr>
        <w:pStyle w:val="BodyText"/>
        <w:spacing w:before="11"/>
        <w:rPr>
          <w:sz w:val="16"/>
        </w:rPr>
      </w:pPr>
    </w:p>
    <w:p>
      <w:pPr>
        <w:pStyle w:val="BodyText"/>
        <w:spacing w:line="355" w:lineRule="auto" w:before="69"/>
        <w:ind w:left="219" w:right="214"/>
        <w:jc w:val="both"/>
      </w:pPr>
      <w:r>
        <w:rPr/>
        <w:t>demostrar su tenacidad y resistencia a diferentes desinfectantes, entre ellos, el cloro. Posteriormente, Costerton y cols.</w:t>
      </w:r>
      <w:r>
        <w:rPr>
          <w:position w:val="11"/>
          <w:sz w:val="16"/>
        </w:rPr>
        <w:t>35</w:t>
      </w:r>
      <w:r>
        <w:rPr/>
        <w:t>, describieron la presencia de comunidades bacterianas embebidas en una matriz glucoproteica unidas a superficies en contacto con el agua, postulando que las biopelículas podrían ser la explicación para los mecanismos por los cuales los gérmenes se adhieren a superficies vivientes e inertes, sin embargo, se debió esperar al advenimiento del microscopio electrónico para lograr un examen detallado de las biopelículas. En las últimas dos décadas gran parte del trabajo realizado para la descripción de biopelículas    </w:t>
      </w:r>
      <w:r>
        <w:rPr>
          <w:spacing w:val="-3"/>
        </w:rPr>
        <w:t>se    </w:t>
      </w:r>
      <w:r>
        <w:rPr/>
        <w:t>ha    basado    en    la    microscopía    electrónica    de</w:t>
      </w:r>
      <w:r>
        <w:rPr>
          <w:spacing w:val="64"/>
        </w:rPr>
        <w:t> </w:t>
      </w:r>
      <w:r>
        <w:rPr/>
        <w:t>barrido.</w:t>
      </w:r>
    </w:p>
    <w:p>
      <w:pPr>
        <w:pStyle w:val="BodyText"/>
        <w:spacing w:line="360" w:lineRule="auto" w:before="13"/>
        <w:ind w:left="219" w:right="213"/>
        <w:jc w:val="both"/>
      </w:pPr>
      <w:r>
        <w:rPr/>
        <w:t>Recientemente, dos grandes avances han incrementado substancialmente la comprensión de dichos sistemas, la utilización del microscopio láser con focal y la investigación de los genes involucrados en la adhesión celular y la formación de la biopelícula.</w:t>
      </w:r>
    </w:p>
    <w:p>
      <w:pPr>
        <w:pStyle w:val="BodyText"/>
      </w:pPr>
    </w:p>
    <w:p>
      <w:pPr>
        <w:pStyle w:val="BodyText"/>
      </w:pPr>
    </w:p>
    <w:p>
      <w:pPr>
        <w:pStyle w:val="BodyText"/>
      </w:pPr>
    </w:p>
    <w:p>
      <w:pPr>
        <w:pStyle w:val="Heading2"/>
        <w:numPr>
          <w:ilvl w:val="1"/>
          <w:numId w:val="2"/>
        </w:numPr>
        <w:tabs>
          <w:tab w:pos="624" w:val="left" w:leader="none"/>
        </w:tabs>
        <w:spacing w:line="240" w:lineRule="auto" w:before="1" w:after="0"/>
        <w:ind w:left="623" w:right="0" w:hanging="404"/>
        <w:jc w:val="both"/>
      </w:pPr>
      <w:r>
        <w:rPr/>
        <w:t>Composición y</w:t>
      </w:r>
      <w:r>
        <w:rPr>
          <w:spacing w:val="-24"/>
        </w:rPr>
        <w:t> </w:t>
      </w:r>
      <w:r>
        <w:rPr/>
        <w:t>Arquitectura</w:t>
      </w:r>
    </w:p>
    <w:p>
      <w:pPr>
        <w:pStyle w:val="BodyText"/>
        <w:spacing w:before="6"/>
        <w:rPr>
          <w:b/>
          <w:sz w:val="31"/>
        </w:rPr>
      </w:pPr>
    </w:p>
    <w:p>
      <w:pPr>
        <w:pStyle w:val="BodyText"/>
        <w:spacing w:line="352" w:lineRule="auto"/>
        <w:ind w:left="219" w:right="216"/>
        <w:jc w:val="both"/>
      </w:pPr>
      <w:r>
        <w:rPr/>
        <w:t>Toda comunidad microbiana desarrollada en una biopelícula es única en su género, aunque algunos atributos estructurales pueden, generalmente, ser considerados universales. El término biofilm o biopelícula es, en cierto modo, un nombre inapropiado, puesto que no constituyen un depósito superficial de una monocapa  continua</w:t>
      </w:r>
      <w:r>
        <w:rPr>
          <w:position w:val="11"/>
          <w:sz w:val="16"/>
        </w:rPr>
        <w:t>29</w:t>
      </w:r>
      <w:r>
        <w:rPr/>
        <w:t>.  Las  biopelículas,  están  estructuradas  principalmente por</w:t>
      </w:r>
    </w:p>
    <w:p>
      <w:pPr>
        <w:pStyle w:val="BodyText"/>
        <w:spacing w:line="352" w:lineRule="auto"/>
        <w:ind w:left="219" w:right="218"/>
        <w:jc w:val="both"/>
      </w:pPr>
      <w:r>
        <w:rPr/>
        <w:t>grandes colonias de bacterias sésiles incrustadas en una matriz polimérica extracelular o glicocálix. Las células bacterianas, que componen el 15%-20% del volumen, no se dividen al interior de la biopelícula, lo cual podría atribuirse al hecho de adoptar un fenotipo alterado, diferente al de las mismas bacterias en estado  de libre  flotación</w:t>
      </w:r>
      <w:r>
        <w:rPr>
          <w:position w:val="11"/>
          <w:sz w:val="16"/>
        </w:rPr>
        <w:t>32</w:t>
      </w:r>
      <w:r>
        <w:rPr/>
        <w:t>.  La  matriz es  muy  hidratada  debido  a que incorpora</w:t>
      </w:r>
    </w:p>
    <w:p>
      <w:pPr>
        <w:pStyle w:val="BodyText"/>
        <w:spacing w:line="328" w:lineRule="auto"/>
        <w:ind w:left="219" w:right="234"/>
        <w:jc w:val="both"/>
      </w:pPr>
      <w:r>
        <w:rPr/>
        <w:t>grandes cantidades de agua dentro de su estructura, llegando este elemento a representar hasta el 97%</w:t>
      </w:r>
      <w:r>
        <w:rPr>
          <w:position w:val="11"/>
          <w:sz w:val="16"/>
        </w:rPr>
        <w:t>29</w:t>
      </w:r>
      <w:r>
        <w:rPr/>
        <w:t>.</w:t>
      </w:r>
    </w:p>
    <w:p>
      <w:pPr>
        <w:pStyle w:val="BodyText"/>
        <w:spacing w:before="10"/>
        <w:rPr>
          <w:sz w:val="37"/>
        </w:rPr>
      </w:pPr>
    </w:p>
    <w:p>
      <w:pPr>
        <w:pStyle w:val="BodyText"/>
        <w:spacing w:line="362" w:lineRule="auto" w:before="1"/>
        <w:ind w:left="219" w:right="221"/>
        <w:jc w:val="both"/>
      </w:pPr>
      <w:r>
        <w:rPr/>
        <w:t>Además de agua y gérmenes, la matriz está formada por exopolisacáridos (EPS), los  que  constituyen  su  componente  fundamental,  producidos  por  los   propios</w:t>
      </w:r>
    </w:p>
    <w:p>
      <w:pPr>
        <w:spacing w:after="0" w:line="362" w:lineRule="auto"/>
        <w:jc w:val="both"/>
        <w:sectPr>
          <w:pgSz w:w="12240" w:h="15840"/>
          <w:pgMar w:header="731" w:footer="1012" w:top="1160" w:bottom="1200" w:left="1480" w:right="1480"/>
        </w:sectPr>
      </w:pPr>
    </w:p>
    <w:p>
      <w:pPr>
        <w:pStyle w:val="BodyText"/>
        <w:spacing w:before="11"/>
        <w:rPr>
          <w:sz w:val="16"/>
        </w:rPr>
      </w:pPr>
    </w:p>
    <w:p>
      <w:pPr>
        <w:pStyle w:val="BodyText"/>
        <w:spacing w:line="360" w:lineRule="auto" w:before="69"/>
        <w:ind w:left="219" w:right="213"/>
        <w:jc w:val="both"/>
      </w:pPr>
      <w:r>
        <w:rPr/>
        <w:t>microorganismos integrantes. En menor cantidad se encuentran otras macromoléculas como proteínas, ácidos nucleicos, y diversos productos que proceden de la lisis bacteriana. El conjunto de polisacáridos, ácidos nucleicos y proteínas se conocen bajo el nombre de substancias poliméricas extracelulares (SPE). En la matriz también pueden hallarse materiales no bacterianos, tales  como cristales de sales minerales, partículas de corrosión y/o de sedimento, o componentes sanguíneos, según sea el medioambiente en el cual se desarrolla.  La producción de SPE es influida por la calidad nutricional del medioambiente, </w:t>
      </w:r>
      <w:r>
        <w:rPr>
          <w:spacing w:val="2"/>
        </w:rPr>
        <w:t>se </w:t>
      </w:r>
      <w:r>
        <w:rPr/>
        <w:t>ha observado que un incremento en la concentración de nutrientes está correlacionado con un aumento  en  el  número  de células bacterianas </w:t>
      </w:r>
      <w:r>
        <w:rPr>
          <w:spacing w:val="2"/>
        </w:rPr>
        <w:t> </w:t>
      </w:r>
      <w:r>
        <w:rPr/>
        <w:t>adheridas.</w:t>
      </w:r>
    </w:p>
    <w:p>
      <w:pPr>
        <w:pStyle w:val="BodyText"/>
        <w:spacing w:line="328" w:lineRule="auto" w:before="2"/>
        <w:ind w:left="219" w:right="229"/>
        <w:jc w:val="both"/>
      </w:pPr>
      <w:r>
        <w:rPr/>
        <w:t>Además, una disponibilidad excesiva de carbono y/o limitación de nitrógeno, potasio o fosfato promueve la síntesis de SPE</w:t>
      </w:r>
      <w:r>
        <w:rPr>
          <w:position w:val="11"/>
          <w:sz w:val="16"/>
        </w:rPr>
        <w:t>30,36,37</w:t>
      </w:r>
      <w:r>
        <w:rPr/>
        <w:t>.</w:t>
      </w:r>
    </w:p>
    <w:p>
      <w:pPr>
        <w:pStyle w:val="BodyText"/>
        <w:spacing w:before="4"/>
        <w:rPr>
          <w:sz w:val="38"/>
        </w:rPr>
      </w:pPr>
    </w:p>
    <w:p>
      <w:pPr>
        <w:pStyle w:val="BodyText"/>
        <w:spacing w:line="357" w:lineRule="auto"/>
        <w:ind w:left="219" w:right="214"/>
        <w:jc w:val="both"/>
      </w:pPr>
      <w:r>
        <w:rPr/>
        <w:t>La arquitectura de la matriz no es sólida, las bacterias viven en torreones celulares que se extienden en forma tridimensional desde la superficie a la cual están adheridas. Estos torreones están compuestos por microcolonias de diferentes células bacterianas, tanto aeróbicas </w:t>
      </w:r>
      <w:r>
        <w:rPr>
          <w:spacing w:val="-3"/>
        </w:rPr>
        <w:t>como </w:t>
      </w:r>
      <w:r>
        <w:rPr/>
        <w:t>anaeróbicas, englobadas por exopolisacáridos, y separadas unas de otras por espacios intersticiales huecos, llamados canales de agua, que permiten el flujo de líquido y actúan como un sist}ema circulatorio primitivo para el transporte y difusión de nutrientes y oxígeno a las bacterias ubicadas en </w:t>
      </w:r>
      <w:r>
        <w:rPr>
          <w:spacing w:val="-3"/>
        </w:rPr>
        <w:t>su </w:t>
      </w:r>
      <w:r>
        <w:rPr/>
        <w:t>interior, incluso aquéllas situadas en las zonas </w:t>
      </w:r>
      <w:r>
        <w:rPr>
          <w:spacing w:val="-3"/>
        </w:rPr>
        <w:t>más </w:t>
      </w:r>
      <w:r>
        <w:rPr/>
        <w:t>profundas. Asimismo, constituyen un mecanismo para la remoción de productos  de desecho</w:t>
      </w:r>
      <w:r>
        <w:rPr>
          <w:spacing w:val="-10"/>
        </w:rPr>
        <w:t> </w:t>
      </w:r>
      <w:r>
        <w:rPr/>
        <w:t>metabólico</w:t>
      </w:r>
      <w:r>
        <w:rPr>
          <w:position w:val="11"/>
          <w:sz w:val="16"/>
        </w:rPr>
        <w:t>38</w:t>
      </w:r>
      <w:r>
        <w:rPr/>
        <w:t>.</w:t>
      </w:r>
    </w:p>
    <w:p>
      <w:pPr>
        <w:pStyle w:val="BodyText"/>
        <w:spacing w:before="9"/>
        <w:rPr>
          <w:sz w:val="34"/>
        </w:rPr>
      </w:pPr>
    </w:p>
    <w:p>
      <w:pPr>
        <w:pStyle w:val="BodyText"/>
        <w:spacing w:line="360" w:lineRule="auto"/>
        <w:ind w:left="219" w:right="215"/>
        <w:jc w:val="both"/>
      </w:pPr>
      <w:r>
        <w:rPr/>
        <w:t>La existencia de estos canales de agua no impide, sin embargo, que dentro se encuentren ambientes en los que la concentración de nutrientes, pH u oxígeno es diferente. Se genera, de esta manera, un gradiente de tensión de Ph y de oxígeno, siendo metabólicamente más activas las áreas superficiales respecto a las más profundas. En estas últimas, las bacterias deben adaptarse a una disponibilidad</w:t>
      </w:r>
    </w:p>
    <w:p>
      <w:pPr>
        <w:pStyle w:val="BodyText"/>
        <w:spacing w:line="279" w:lineRule="exact"/>
        <w:ind w:left="219"/>
        <w:jc w:val="both"/>
      </w:pPr>
      <w:r>
        <w:rPr/>
        <w:t>reducida de oxígeno</w:t>
      </w:r>
      <w:r>
        <w:rPr>
          <w:position w:val="11"/>
          <w:sz w:val="16"/>
        </w:rPr>
        <w:t>36, 38</w:t>
      </w:r>
      <w:r>
        <w:rPr/>
        <w:t>. La formación y estructura de una biopelícula depende de</w:t>
      </w:r>
    </w:p>
    <w:p>
      <w:pPr>
        <w:pStyle w:val="BodyText"/>
        <w:spacing w:before="141"/>
        <w:ind w:left="219"/>
        <w:jc w:val="both"/>
      </w:pPr>
      <w:r>
        <w:rPr/>
        <w:t>las  características  del  substrato  al  cual  se  une  y  a  otros  aspectos  del medio</w:t>
      </w:r>
    </w:p>
    <w:p>
      <w:pPr>
        <w:spacing w:after="0"/>
        <w:jc w:val="both"/>
        <w:sectPr>
          <w:pgSz w:w="12240" w:h="15840"/>
          <w:pgMar w:header="731" w:footer="1012" w:top="1160" w:bottom="1200" w:left="1480" w:right="1480"/>
        </w:sectPr>
      </w:pPr>
    </w:p>
    <w:p>
      <w:pPr>
        <w:pStyle w:val="BodyText"/>
        <w:spacing w:before="11"/>
        <w:rPr>
          <w:sz w:val="16"/>
        </w:rPr>
      </w:pPr>
    </w:p>
    <w:p>
      <w:pPr>
        <w:pStyle w:val="BodyText"/>
        <w:spacing w:line="362" w:lineRule="auto" w:before="69"/>
        <w:ind w:left="219" w:right="221"/>
        <w:jc w:val="both"/>
      </w:pPr>
      <w:r>
        <w:rPr/>
        <w:t>ambiente. Así, las biopelículas en una superficie mucosa son fisiológicamente diferentes de aquellas formadas en superficies inertes.</w:t>
      </w:r>
    </w:p>
    <w:p>
      <w:pPr>
        <w:pStyle w:val="BodyText"/>
        <w:spacing w:before="6"/>
        <w:rPr>
          <w:sz w:val="35"/>
        </w:rPr>
      </w:pPr>
    </w:p>
    <w:p>
      <w:pPr>
        <w:pStyle w:val="Heading2"/>
        <w:numPr>
          <w:ilvl w:val="1"/>
          <w:numId w:val="2"/>
        </w:numPr>
        <w:tabs>
          <w:tab w:pos="624" w:val="left" w:leader="none"/>
        </w:tabs>
        <w:spacing w:line="240" w:lineRule="auto" w:before="0" w:after="0"/>
        <w:ind w:left="623" w:right="0" w:hanging="404"/>
        <w:jc w:val="both"/>
      </w:pPr>
      <w:r>
        <w:rPr/>
        <w:t>Etapas en el Ciclo</w:t>
      </w:r>
      <w:r>
        <w:rPr>
          <w:spacing w:val="-7"/>
        </w:rPr>
        <w:t> </w:t>
      </w:r>
      <w:r>
        <w:rPr/>
        <w:t>Vital</w:t>
      </w:r>
    </w:p>
    <w:p>
      <w:pPr>
        <w:pStyle w:val="BodyText"/>
        <w:spacing w:before="5"/>
        <w:rPr>
          <w:b/>
          <w:sz w:val="31"/>
        </w:rPr>
      </w:pPr>
    </w:p>
    <w:p>
      <w:pPr>
        <w:pStyle w:val="BodyText"/>
        <w:spacing w:line="360" w:lineRule="auto" w:before="1"/>
        <w:ind w:left="219" w:right="213"/>
        <w:jc w:val="both"/>
      </w:pPr>
      <w:r>
        <w:rPr/>
        <w:t>La biología de las biopelículas </w:t>
      </w:r>
      <w:r>
        <w:rPr>
          <w:spacing w:val="-3"/>
        </w:rPr>
        <w:t>se </w:t>
      </w:r>
      <w:r>
        <w:rPr/>
        <w:t>centra en su ciclo vital e interacciones con el medio ambiente. </w:t>
      </w:r>
      <w:r>
        <w:rPr>
          <w:spacing w:val="-3"/>
        </w:rPr>
        <w:t>El </w:t>
      </w:r>
      <w:r>
        <w:rPr/>
        <w:t>ciclo vital es un proceso dinámico que puede ser dividido en tres partes: adhesión, crecimiento y separación o desprendimiento. Durante la primera fase, el substrato tiene que ser adecuado para la adsorción reversible y, finalmente, la adhesión irreversible de la bacteria a la superficie. Las bacterias,  una vez percibida una superficie, proceden a formar una unión activa vía apéndices, </w:t>
      </w:r>
      <w:r>
        <w:rPr>
          <w:spacing w:val="-4"/>
        </w:rPr>
        <w:t>como </w:t>
      </w:r>
      <w:r>
        <w:rPr/>
        <w:t>fimbrias, flagelos o pili. Mediante microscopía electrónica se ha descrito que las bacterias adheridas </w:t>
      </w:r>
      <w:r>
        <w:rPr>
          <w:spacing w:val="-3"/>
        </w:rPr>
        <w:t>se </w:t>
      </w:r>
      <w:r>
        <w:rPr/>
        <w:t>encuentran conectadas a la superficie por medio  de  finas  fibrillas poliméricas  extracelulares.  Las fimbrias, </w:t>
      </w:r>
      <w:r>
        <w:rPr>
          <w:spacing w:val="21"/>
        </w:rPr>
        <w:t> </w:t>
      </w:r>
      <w:r>
        <w:rPr/>
        <w:t>probablemente</w:t>
      </w:r>
    </w:p>
    <w:p>
      <w:pPr>
        <w:pStyle w:val="BodyText"/>
        <w:spacing w:line="350" w:lineRule="auto" w:before="8"/>
        <w:ind w:left="219" w:right="213"/>
        <w:jc w:val="both"/>
      </w:pPr>
      <w:r>
        <w:rPr/>
        <w:t>luego de superar la barrera de repulsión electroestática inicial que existe entre el germen y el sustrato, contribuyen a la adhesión bacteriana</w:t>
      </w:r>
      <w:r>
        <w:rPr>
          <w:position w:val="11"/>
          <w:sz w:val="16"/>
        </w:rPr>
        <w:t>29,30</w:t>
      </w:r>
      <w:r>
        <w:rPr/>
        <w:t>. La motilidad, otorgada por flagelos, ayuda a la bacteria a alcanzar la superficie en las etapas iniciales de la adhesión, siendo su función principal vencer las fuerzas de repulsión más  que  actuar  como  adherente.  Sin  embargo, la  motilidad no  parece  ser  un</w:t>
      </w:r>
    </w:p>
    <w:p>
      <w:pPr>
        <w:pStyle w:val="BodyText"/>
        <w:spacing w:line="348" w:lineRule="auto" w:before="18"/>
        <w:ind w:left="219" w:right="217"/>
        <w:jc w:val="both"/>
      </w:pPr>
      <w:r>
        <w:rPr/>
        <w:t>requisito esencial, puesto que bacterias Gram positivas inmóviles, como estafilococos, estreptococos y micobacterias, también poseen la capacidad de formar biopelícula. En el caso de las bacterias Gram positivas se ha descrito, en esta primera etapa, la participación de proteínas de superficie</w:t>
      </w:r>
      <w:r>
        <w:rPr>
          <w:position w:val="11"/>
          <w:sz w:val="16"/>
        </w:rPr>
        <w:t>36,39</w:t>
      </w:r>
      <w:r>
        <w:rPr/>
        <w:t>.</w:t>
      </w:r>
    </w:p>
    <w:p>
      <w:pPr>
        <w:pStyle w:val="BodyText"/>
        <w:spacing w:before="2"/>
        <w:rPr>
          <w:sz w:val="36"/>
        </w:rPr>
      </w:pPr>
    </w:p>
    <w:p>
      <w:pPr>
        <w:pStyle w:val="BodyText"/>
        <w:spacing w:line="352" w:lineRule="auto" w:before="1"/>
        <w:ind w:left="219" w:right="214"/>
        <w:jc w:val="both"/>
      </w:pPr>
      <w:r>
        <w:rPr/>
        <w:t>La adhesión de bacterias a una superficie ocurre </w:t>
      </w:r>
      <w:r>
        <w:rPr>
          <w:spacing w:val="-3"/>
        </w:rPr>
        <w:t>más </w:t>
      </w:r>
      <w:r>
        <w:rPr/>
        <w:t>fácilmente en aquéllas ásperas, hidrofóbicas, y recubiertas por “films condicionantes”. Se ha descrito que la colonización microbiana parece incrementar a medida que aumenta la aspereza de la superficie debido a que están reducidas las fuerzas de deslizamiento, y el área  de  superficie  se  torna  mayor</w:t>
      </w:r>
      <w:r>
        <w:rPr>
          <w:position w:val="11"/>
          <w:sz w:val="16"/>
        </w:rPr>
        <w:t>30</w:t>
      </w:r>
      <w:r>
        <w:rPr/>
        <w:t>.  Los  “films  condicionantes”,  </w:t>
      </w:r>
      <w:r>
        <w:rPr>
          <w:spacing w:val="54"/>
        </w:rPr>
        <w:t> </w:t>
      </w:r>
      <w:r>
        <w:rPr/>
        <w:t>compuestos</w:t>
      </w:r>
    </w:p>
    <w:p>
      <w:pPr>
        <w:pStyle w:val="BodyText"/>
        <w:spacing w:line="360" w:lineRule="auto"/>
        <w:ind w:left="219" w:right="213"/>
        <w:jc w:val="both"/>
      </w:pPr>
      <w:r>
        <w:rPr/>
        <w:t>habitualmente por polímeros, cubren inevitable y rápidamente la superficie de cualquier material que se encuentre en contacto con un líquido, y constituyen un requisito indispensable para una ulterior adhesión microbiana. Un buen ejemplo en</w:t>
      </w:r>
    </w:p>
    <w:p>
      <w:pPr>
        <w:spacing w:after="0" w:line="360" w:lineRule="auto"/>
        <w:jc w:val="both"/>
        <w:sectPr>
          <w:pgSz w:w="12240" w:h="15840"/>
          <w:pgMar w:header="731" w:footer="1012" w:top="1160" w:bottom="1200" w:left="1480" w:right="1480"/>
        </w:sectPr>
      </w:pPr>
    </w:p>
    <w:p>
      <w:pPr>
        <w:pStyle w:val="BodyText"/>
        <w:spacing w:before="11"/>
        <w:rPr>
          <w:sz w:val="16"/>
        </w:rPr>
      </w:pPr>
    </w:p>
    <w:p>
      <w:pPr>
        <w:pStyle w:val="BodyText"/>
        <w:spacing w:line="362" w:lineRule="auto" w:before="69"/>
        <w:ind w:left="219" w:right="231"/>
        <w:jc w:val="both"/>
      </w:pPr>
      <w:r>
        <w:rPr/>
        <w:t>el hombre es la “película adquirida”, que se desarrolla en superficies del esmalte dental.</w:t>
      </w:r>
    </w:p>
    <w:p>
      <w:pPr>
        <w:pStyle w:val="BodyText"/>
        <w:spacing w:before="11"/>
        <w:rPr>
          <w:sz w:val="35"/>
        </w:rPr>
      </w:pPr>
    </w:p>
    <w:p>
      <w:pPr>
        <w:pStyle w:val="BodyText"/>
        <w:spacing w:line="357" w:lineRule="auto"/>
        <w:ind w:left="219" w:right="214"/>
        <w:jc w:val="both"/>
      </w:pPr>
      <w:r>
        <w:rPr/>
        <w:t>Durante la segunda fase o de crecimiento, la bacteria, una vez adherida, comienza a dividirse y las células hijas se extienden alrededor del sitio de </w:t>
      </w:r>
      <w:r>
        <w:rPr>
          <w:spacing w:val="2"/>
        </w:rPr>
        <w:t>unión, </w:t>
      </w:r>
      <w:r>
        <w:rPr/>
        <w:t>formando una microcolonia similar al proceso de formación de colonias en placas de agar. A medida que las células se dividen y colonizan la superficie, las bacterias  comienzan a elaborar un exopolisacárido que constituye la matriz, y la biopelícula comienza a desplegarse en una formación tridimensional, generando estructuras similares a setas</w:t>
      </w:r>
      <w:r>
        <w:rPr>
          <w:position w:val="11"/>
          <w:sz w:val="16"/>
        </w:rPr>
        <w:t>36</w:t>
      </w:r>
      <w:r>
        <w:rPr/>
        <w:t>. La composición del exopolisacárido es diferente para cada bacteria: alginato, en </w:t>
      </w:r>
      <w:r>
        <w:rPr>
          <w:i/>
        </w:rPr>
        <w:t>P. aeruginosa</w:t>
      </w:r>
      <w:r>
        <w:rPr/>
        <w:t>; celulosa, en </w:t>
      </w:r>
      <w:r>
        <w:rPr>
          <w:i/>
        </w:rPr>
        <w:t>S. typhimurium</w:t>
      </w:r>
      <w:r>
        <w:rPr/>
        <w:t>; exopolisacárido rico en glucosa y galactosa en </w:t>
      </w:r>
      <w:r>
        <w:rPr>
          <w:i/>
        </w:rPr>
        <w:t>V. cholerae</w:t>
      </w:r>
      <w:r>
        <w:rPr/>
        <w:t>; poli-Nacetil- glucosamina, en </w:t>
      </w:r>
      <w:r>
        <w:rPr>
          <w:i/>
        </w:rPr>
        <w:t>S. </w:t>
      </w:r>
      <w:r>
        <w:rPr>
          <w:i/>
        </w:rPr>
        <w:t>aureus</w:t>
      </w:r>
      <w:r>
        <w:rPr/>
        <w:t>, etc. Además, estudios recientes señalan que, incluso una </w:t>
      </w:r>
      <w:r>
        <w:rPr>
          <w:spacing w:val="-3"/>
        </w:rPr>
        <w:t>misma </w:t>
      </w:r>
      <w:r>
        <w:rPr>
          <w:spacing w:val="9"/>
        </w:rPr>
        <w:t> </w:t>
      </w:r>
      <w:r>
        <w:rPr/>
        <w:t>bacteria,</w:t>
      </w:r>
    </w:p>
    <w:p>
      <w:pPr>
        <w:pStyle w:val="BodyText"/>
        <w:spacing w:line="328" w:lineRule="auto" w:before="10"/>
        <w:ind w:left="219" w:right="220"/>
        <w:jc w:val="both"/>
      </w:pPr>
      <w:r>
        <w:rPr/>
        <w:t>dependiendo de las condiciones ambientales en las que se encuentre, puede producir diferentes exopolisacáridos</w:t>
      </w:r>
      <w:r>
        <w:rPr>
          <w:position w:val="11"/>
          <w:sz w:val="16"/>
        </w:rPr>
        <w:t>36</w:t>
      </w:r>
      <w:r>
        <w:rPr/>
        <w:t>.</w:t>
      </w:r>
    </w:p>
    <w:p>
      <w:pPr>
        <w:pStyle w:val="BodyText"/>
        <w:spacing w:before="11"/>
        <w:rPr>
          <w:sz w:val="37"/>
        </w:rPr>
      </w:pPr>
    </w:p>
    <w:p>
      <w:pPr>
        <w:pStyle w:val="BodyText"/>
        <w:spacing w:line="360" w:lineRule="auto"/>
        <w:ind w:left="219" w:right="215"/>
        <w:jc w:val="both"/>
      </w:pPr>
      <w:r>
        <w:rPr/>
        <w:t>Finalmente, en la tercera etapa, después de que la biopelícula ha alcanzado la madurez, algunas células, ya sea aisladamente o en conglomerados bacterianos, se liberan de la matriz para poder colonizar nuevas superficies, cerrando el proceso de formación y desarrollo. El desprendimiento puede ser resultado de fuerzas externas o de procesos activos inducidos. Los tres principales  mecanismos para generar el desprendimiento son: erosión o deslizamiento (remoción continua), separación (remoción rápida y masiva) y abrasión (liberación por colisión de partículas del líquido circundante). La separación es menos frecuente que la erosión, y se piensa que deriva de depleción de nutrientes u oxígeno al interior de la biopelícula. Se observa preferentemente en biopelículas voluminosas, que se han desarrollado en medioambientes ricos en</w:t>
      </w:r>
      <w:r>
        <w:rPr>
          <w:spacing w:val="-21"/>
        </w:rPr>
        <w:t> </w:t>
      </w:r>
      <w:r>
        <w:rPr/>
        <w:t>nutrientes.</w:t>
      </w:r>
    </w:p>
    <w:p>
      <w:pPr>
        <w:pStyle w:val="BodyText"/>
      </w:pPr>
    </w:p>
    <w:p>
      <w:pPr>
        <w:pStyle w:val="BodyText"/>
        <w:spacing w:line="360" w:lineRule="auto" w:before="140"/>
        <w:ind w:left="219" w:right="220"/>
        <w:jc w:val="both"/>
      </w:pPr>
      <w:r>
        <w:rPr/>
        <w:t>La separación proporciona un mecanismo para que las bacterias migren desde zonas densamente colonizadas a áreas que podrían favorecer mejor su desarrollo, logrando así formar  nuevos asentamientos  en sitios distantes. Un ejemplo es    la</w:t>
      </w:r>
    </w:p>
    <w:p>
      <w:pPr>
        <w:spacing w:after="0" w:line="360" w:lineRule="auto"/>
        <w:jc w:val="both"/>
        <w:sectPr>
          <w:pgSz w:w="12240" w:h="15840"/>
          <w:pgMar w:header="731" w:footer="1012" w:top="1160" w:bottom="1200" w:left="1480" w:right="1480"/>
        </w:sectPr>
      </w:pPr>
    </w:p>
    <w:p>
      <w:pPr>
        <w:pStyle w:val="BodyText"/>
        <w:spacing w:before="1"/>
        <w:rPr>
          <w:sz w:val="13"/>
        </w:rPr>
      </w:pPr>
    </w:p>
    <w:p>
      <w:pPr>
        <w:pStyle w:val="BodyText"/>
        <w:spacing w:line="360" w:lineRule="auto" w:before="79"/>
        <w:ind w:left="219" w:right="214"/>
        <w:jc w:val="both"/>
      </w:pPr>
      <w:r>
        <w:rPr/>
        <w:t>sepsis recurrente en un paciente con un catéter infectado</w:t>
      </w:r>
      <w:r>
        <w:rPr>
          <w:position w:val="11"/>
          <w:sz w:val="16"/>
        </w:rPr>
        <w:t>29,39</w:t>
      </w:r>
      <w:r>
        <w:rPr/>
        <w:t>. La forma en que se produce la dispersión afecta, aparentemente, las características fenotípicas de los gérmenes. Los conglomerados desprendidos desde el biofilm conservan, probablemente, ciertas características de éste, como la resistencia antimicrobiana. En  cambio,  las células bacterianas liberadas aisladamente  pueden  rápidamente</w:t>
      </w:r>
    </w:p>
    <w:p>
      <w:pPr>
        <w:pStyle w:val="BodyText"/>
        <w:spacing w:line="328" w:lineRule="auto" w:before="7"/>
        <w:ind w:left="219" w:right="227"/>
        <w:jc w:val="both"/>
      </w:pPr>
      <w:r>
        <w:rPr/>
        <w:t>volver a su fenotipo planctónico, tornándose nuevamente susceptibles a las defensas del huésped y a los antimicrobianos</w:t>
      </w:r>
      <w:r>
        <w:rPr>
          <w:position w:val="11"/>
          <w:sz w:val="16"/>
        </w:rPr>
        <w:t>29</w:t>
      </w:r>
      <w:r>
        <w:rPr/>
        <w:t>.</w:t>
      </w:r>
    </w:p>
    <w:p>
      <w:pPr>
        <w:pStyle w:val="BodyText"/>
        <w:spacing w:before="6"/>
        <w:rPr>
          <w:sz w:val="37"/>
        </w:rPr>
      </w:pPr>
    </w:p>
    <w:p>
      <w:pPr>
        <w:pStyle w:val="Heading2"/>
        <w:numPr>
          <w:ilvl w:val="1"/>
          <w:numId w:val="2"/>
        </w:numPr>
        <w:tabs>
          <w:tab w:pos="624" w:val="left" w:leader="none"/>
        </w:tabs>
        <w:spacing w:line="240" w:lineRule="auto" w:before="0" w:after="0"/>
        <w:ind w:left="623" w:right="0" w:hanging="404"/>
        <w:jc w:val="both"/>
      </w:pPr>
      <w:r>
        <w:rPr/>
        <w:t>Intercambio</w:t>
      </w:r>
      <w:r>
        <w:rPr>
          <w:spacing w:val="-11"/>
        </w:rPr>
        <w:t> </w:t>
      </w:r>
      <w:r>
        <w:rPr/>
        <w:t>Génico</w:t>
      </w:r>
    </w:p>
    <w:p>
      <w:pPr>
        <w:pStyle w:val="BodyText"/>
        <w:spacing w:before="11"/>
        <w:rPr>
          <w:b/>
          <w:sz w:val="31"/>
        </w:rPr>
      </w:pPr>
    </w:p>
    <w:p>
      <w:pPr>
        <w:pStyle w:val="BodyText"/>
        <w:spacing w:line="357" w:lineRule="auto"/>
        <w:ind w:left="219" w:right="215"/>
        <w:jc w:val="both"/>
      </w:pPr>
      <w:r>
        <w:rPr/>
        <w:t>En los últimos años diversos grupos de investigadores han orientado sus  esfuerzos intentando identificar los genes responsables de la transición de los microorganismos de biopelícula a microorganismos planctónicos, al igual que aquellos que están expresados únicamente en dichas estructuras y que son indispensables para mantener </w:t>
      </w:r>
      <w:r>
        <w:rPr>
          <w:spacing w:val="-3"/>
        </w:rPr>
        <w:t>su </w:t>
      </w:r>
      <w:r>
        <w:rPr/>
        <w:t>particular orden. Las bacterias de biopelícula poseen una expresión génica diferente respecto a sus contrapartes planctónicas, originando bacterias fenotípicamente distintas respecto a aquéllas. Se ha encontrado que hasta el 30% de los genes pueden expresarse de manera diferente entre la misma bacteria desarrollada en condiciones planctónicas o en una biopelícula</w:t>
      </w:r>
      <w:r>
        <w:rPr>
          <w:position w:val="11"/>
          <w:sz w:val="16"/>
        </w:rPr>
        <w:t>32,</w:t>
      </w:r>
      <w:r>
        <w:rPr>
          <w:spacing w:val="-12"/>
          <w:position w:val="11"/>
          <w:sz w:val="16"/>
        </w:rPr>
        <w:t> </w:t>
      </w:r>
      <w:r>
        <w:rPr>
          <w:position w:val="11"/>
          <w:sz w:val="16"/>
        </w:rPr>
        <w:t>36</w:t>
      </w:r>
      <w:r>
        <w:rPr/>
        <w:t>.</w:t>
      </w:r>
    </w:p>
    <w:p>
      <w:pPr>
        <w:pStyle w:val="BodyText"/>
        <w:spacing w:before="9"/>
        <w:rPr>
          <w:sz w:val="34"/>
        </w:rPr>
      </w:pPr>
    </w:p>
    <w:p>
      <w:pPr>
        <w:pStyle w:val="BodyText"/>
        <w:spacing w:line="357" w:lineRule="auto"/>
        <w:ind w:left="219" w:right="214"/>
        <w:jc w:val="both"/>
      </w:pPr>
      <w:r>
        <w:rPr/>
        <w:t>Las biopelículas hospedan un medioambiente </w:t>
      </w:r>
      <w:r>
        <w:rPr>
          <w:spacing w:val="-3"/>
        </w:rPr>
        <w:t>muy </w:t>
      </w:r>
      <w:r>
        <w:rPr/>
        <w:t>dinámico, donde se  intercambia material genético tal como plásmidos (ácido desoxirribonucleico extracromosómico), enzimas y otras moléculas</w:t>
      </w:r>
      <w:r>
        <w:rPr>
          <w:position w:val="11"/>
          <w:sz w:val="16"/>
        </w:rPr>
        <w:t>31</w:t>
      </w:r>
      <w:r>
        <w:rPr/>
        <w:t>. Estudios recientes postulan que la matriz de </w:t>
      </w:r>
      <w:r>
        <w:rPr>
          <w:i/>
        </w:rPr>
        <w:t>P. aeruginosa </w:t>
      </w:r>
      <w:r>
        <w:rPr/>
        <w:t>contiene ácido desoxirribonucleico como constituyente principal. Estos estudios, combinados con otros que muestran una tasa de transferencia génica, mediada por plásmidos, enormemente incrementada entre bacterias de biopelícula, sugieren que la redistribución de genes entre éstas es un proceso continuo con importantes consecuencias en su adaptación evolutiva. Se ha planteado que cepas bacterianas de importancia clínica unidas a plásmidos desarrollan  biopelículas  </w:t>
      </w:r>
      <w:r>
        <w:rPr>
          <w:spacing w:val="-3"/>
        </w:rPr>
        <w:t>más  </w:t>
      </w:r>
      <w:r>
        <w:rPr/>
        <w:t>fácilmente.  Se  ha observado, además,  que</w:t>
      </w:r>
      <w:r>
        <w:rPr>
          <w:spacing w:val="47"/>
        </w:rPr>
        <w:t> </w:t>
      </w:r>
      <w:r>
        <w:rPr/>
        <w:t>cepas</w:t>
      </w:r>
    </w:p>
    <w:p>
      <w:pPr>
        <w:pStyle w:val="BodyText"/>
        <w:spacing w:before="10"/>
        <w:ind w:left="219"/>
        <w:jc w:val="both"/>
      </w:pPr>
      <w:r>
        <w:rPr/>
        <w:t>portadoras de plásmidos transfieren éstos a organismos receptores, sin</w:t>
      </w:r>
      <w:r>
        <w:rPr>
          <w:spacing w:val="51"/>
        </w:rPr>
        <w:t> </w:t>
      </w:r>
      <w:r>
        <w:rPr/>
        <w:t>plásmidos</w:t>
      </w:r>
    </w:p>
    <w:p>
      <w:pPr>
        <w:spacing w:after="0"/>
        <w:jc w:val="both"/>
        <w:sectPr>
          <w:footerReference w:type="default" r:id="rId9"/>
          <w:pgSz w:w="12240" w:h="15840"/>
          <w:pgMar w:footer="1012" w:header="731" w:top="1160" w:bottom="1200" w:left="1480" w:right="1480"/>
        </w:sectPr>
      </w:pPr>
    </w:p>
    <w:p>
      <w:pPr>
        <w:pStyle w:val="BodyText"/>
        <w:spacing w:before="11"/>
        <w:rPr>
          <w:sz w:val="16"/>
        </w:rPr>
      </w:pPr>
    </w:p>
    <w:p>
      <w:pPr>
        <w:pStyle w:val="BodyText"/>
        <w:spacing w:line="350" w:lineRule="auto" w:before="69"/>
        <w:ind w:left="219" w:right="221"/>
        <w:jc w:val="both"/>
      </w:pPr>
      <w:r>
        <w:rPr/>
        <w:t>asociados, estos </w:t>
      </w:r>
      <w:r>
        <w:rPr>
          <w:spacing w:val="-2"/>
        </w:rPr>
        <w:t>mismos </w:t>
      </w:r>
      <w:r>
        <w:rPr/>
        <w:t>gérmenes producen únicamente microcolonias de  escaso desarrollo. Debido a que los plásmidos pueden codificar resistencia a múltiples antimicrobianos, la biopelícula proporciona también un mecanismo para selección e incremento de la resistencia bacteriana a los</w:t>
      </w:r>
      <w:r>
        <w:rPr>
          <w:spacing w:val="-28"/>
        </w:rPr>
        <w:t> </w:t>
      </w:r>
      <w:r>
        <w:rPr/>
        <w:t>antibióticos</w:t>
      </w:r>
      <w:r>
        <w:rPr>
          <w:position w:val="11"/>
          <w:sz w:val="16"/>
        </w:rPr>
        <w:t>29,31</w:t>
      </w:r>
      <w:r>
        <w:rPr/>
        <w:t>.</w:t>
      </w:r>
    </w:p>
    <w:p>
      <w:pPr>
        <w:pStyle w:val="BodyText"/>
        <w:rPr>
          <w:sz w:val="28"/>
        </w:rPr>
      </w:pPr>
    </w:p>
    <w:p>
      <w:pPr>
        <w:pStyle w:val="BodyText"/>
        <w:rPr>
          <w:sz w:val="28"/>
        </w:rPr>
      </w:pPr>
    </w:p>
    <w:p>
      <w:pPr>
        <w:pStyle w:val="Heading2"/>
        <w:numPr>
          <w:ilvl w:val="1"/>
          <w:numId w:val="2"/>
        </w:numPr>
        <w:tabs>
          <w:tab w:pos="624" w:val="left" w:leader="none"/>
        </w:tabs>
        <w:spacing w:line="240" w:lineRule="auto" w:before="178" w:after="0"/>
        <w:ind w:left="623" w:right="0" w:hanging="404"/>
        <w:jc w:val="both"/>
      </w:pPr>
      <w:r>
        <w:rPr/>
        <w:t>Resistencia</w:t>
      </w:r>
      <w:r>
        <w:rPr>
          <w:spacing w:val="-15"/>
        </w:rPr>
        <w:t> </w:t>
      </w:r>
      <w:r>
        <w:rPr/>
        <w:t>Bacteriana</w:t>
      </w:r>
    </w:p>
    <w:p>
      <w:pPr>
        <w:pStyle w:val="BodyText"/>
        <w:spacing w:before="5"/>
        <w:rPr>
          <w:b/>
          <w:sz w:val="31"/>
        </w:rPr>
      </w:pPr>
    </w:p>
    <w:p>
      <w:pPr>
        <w:pStyle w:val="BodyText"/>
        <w:spacing w:line="360" w:lineRule="auto" w:before="1"/>
        <w:ind w:left="219" w:right="214"/>
        <w:jc w:val="both"/>
      </w:pPr>
      <w:r>
        <w:rPr/>
        <w:t>Las biopelículas presentan una organización estructural que las hace resistentes a los mecanismos de defensa del huésped. Revestidas con SPE y conteniendo múltiples microcolonias bacterianas en su interior, se convierten en estructuras demasiado grandes como para ser fagocitadas, reduciendo la accesibilidad del sistema inmune a las bacterias. Por añadidura, la biopelícula provee de una barrera física que aumenta la resistencia de patógenos a las defensas del huésped, como opsonización, lisis por complemento, y fagocitosis. En rigor, provocan respuestas inmunes celular y humoral, demostradas por </w:t>
      </w:r>
      <w:r>
        <w:rPr>
          <w:spacing w:val="8"/>
        </w:rPr>
        <w:t>la </w:t>
      </w:r>
      <w:r>
        <w:rPr/>
        <w:t>identificación de citoquinas liberadas por leucocitos expuestos. Sin embargo, debido a su aislamiento del entorno por la matriz y su reducido estado metabólico, esta respuesta sistémica es </w:t>
      </w:r>
      <w:r>
        <w:rPr>
          <w:spacing w:val="-3"/>
        </w:rPr>
        <w:t>muy </w:t>
      </w:r>
      <w:r>
        <w:rPr/>
        <w:t>pequeña. Otra ventaja, extremadamente importante desde el punto de vista clínico, es que las bacterias en este estado son </w:t>
      </w:r>
      <w:r>
        <w:rPr>
          <w:spacing w:val="-3"/>
        </w:rPr>
        <w:t>muy </w:t>
      </w:r>
      <w:r>
        <w:rPr/>
        <w:t>resistentes a los antibióticos, siendo capaces de sobrevivir frente  a concentraciones miles de veces mayores respecto a las bacterias planctónicas. Por ejemplo, una cepa de Klebsiella pneumoniae en estado planctónico tiene una concentración</w:t>
      </w:r>
      <w:r>
        <w:rPr>
          <w:spacing w:val="23"/>
        </w:rPr>
        <w:t> </w:t>
      </w:r>
      <w:r>
        <w:rPr/>
        <w:t>inhibitoria</w:t>
      </w:r>
      <w:r>
        <w:rPr>
          <w:spacing w:val="23"/>
        </w:rPr>
        <w:t> </w:t>
      </w:r>
      <w:r>
        <w:rPr/>
        <w:t>mínima</w:t>
      </w:r>
      <w:r>
        <w:rPr>
          <w:spacing w:val="27"/>
        </w:rPr>
        <w:t> </w:t>
      </w:r>
      <w:r>
        <w:rPr/>
        <w:t>de</w:t>
      </w:r>
      <w:r>
        <w:rPr>
          <w:spacing w:val="23"/>
        </w:rPr>
        <w:t> </w:t>
      </w:r>
      <w:r>
        <w:rPr/>
        <w:t>2</w:t>
      </w:r>
      <w:r>
        <w:rPr>
          <w:spacing w:val="23"/>
        </w:rPr>
        <w:t> </w:t>
      </w:r>
      <w:r>
        <w:rPr/>
        <w:t>µg/ml</w:t>
      </w:r>
      <w:r>
        <w:rPr>
          <w:spacing w:val="31"/>
        </w:rPr>
        <w:t> </w:t>
      </w:r>
      <w:r>
        <w:rPr/>
        <w:t>a</w:t>
      </w:r>
      <w:r>
        <w:rPr>
          <w:spacing w:val="23"/>
        </w:rPr>
        <w:t> </w:t>
      </w:r>
      <w:r>
        <w:rPr/>
        <w:t>la</w:t>
      </w:r>
      <w:r>
        <w:rPr>
          <w:spacing w:val="23"/>
        </w:rPr>
        <w:t> </w:t>
      </w:r>
      <w:r>
        <w:rPr/>
        <w:t>ampicilina.</w:t>
      </w:r>
      <w:r>
        <w:rPr>
          <w:spacing w:val="22"/>
        </w:rPr>
        <w:t> </w:t>
      </w:r>
      <w:r>
        <w:rPr/>
        <w:t>Esta</w:t>
      </w:r>
      <w:r>
        <w:rPr>
          <w:spacing w:val="28"/>
        </w:rPr>
        <w:t> </w:t>
      </w:r>
      <w:r>
        <w:rPr>
          <w:spacing w:val="-3"/>
        </w:rPr>
        <w:t>misma</w:t>
      </w:r>
      <w:r>
        <w:rPr>
          <w:spacing w:val="27"/>
        </w:rPr>
        <w:t> </w:t>
      </w:r>
      <w:r>
        <w:rPr/>
        <w:t>cepa,</w:t>
      </w:r>
      <w:r>
        <w:rPr>
          <w:spacing w:val="22"/>
        </w:rPr>
        <w:t> </w:t>
      </w:r>
      <w:r>
        <w:rPr/>
        <w:t>al</w:t>
      </w:r>
    </w:p>
    <w:p>
      <w:pPr>
        <w:pStyle w:val="BodyText"/>
        <w:spacing w:line="328" w:lineRule="auto" w:before="2"/>
        <w:ind w:left="219" w:right="220"/>
        <w:jc w:val="both"/>
      </w:pPr>
      <w:r>
        <w:rPr/>
        <w:t>crecer como biofilm, exhibe 66% de sobrevida luego de terapia con 5.000 µg/ml de </w:t>
      </w:r>
      <w:r>
        <w:rPr>
          <w:position w:val="-10"/>
        </w:rPr>
        <w:t>ampicilina</w:t>
      </w:r>
      <w:r>
        <w:rPr>
          <w:sz w:val="16"/>
        </w:rPr>
        <w:t>29,32,40,41</w:t>
      </w:r>
      <w:r>
        <w:rPr>
          <w:position w:val="-10"/>
        </w:rPr>
        <w:t>.</w:t>
      </w:r>
    </w:p>
    <w:p>
      <w:pPr>
        <w:pStyle w:val="BodyText"/>
        <w:spacing w:before="4"/>
        <w:rPr>
          <w:sz w:val="38"/>
        </w:rPr>
      </w:pPr>
    </w:p>
    <w:p>
      <w:pPr>
        <w:pStyle w:val="BodyText"/>
        <w:spacing w:line="360" w:lineRule="auto"/>
        <w:ind w:left="219" w:right="215"/>
        <w:jc w:val="both"/>
      </w:pPr>
      <w:r>
        <w:rPr/>
        <w:t>Para intentar explicar esta resistencia se han planteado diversas hipótesis: una de ellas es la de penetración lenta o incompleta del antibiótico, que se debe a que la matriz de exopolisacáridos constituye una barrera impidiendo el ingreso. Si bien estudios in vitro muestran que algunos antibióticos logran ingresar con cierta facilidad, debido a que no existiría una barrera genérica a su difusión a través de</w:t>
      </w:r>
    </w:p>
    <w:p>
      <w:pPr>
        <w:spacing w:after="0" w:line="360" w:lineRule="auto"/>
        <w:jc w:val="both"/>
        <w:sectPr>
          <w:footerReference w:type="default" r:id="rId10"/>
          <w:pgSz w:w="12240" w:h="15840"/>
          <w:pgMar w:footer="1012" w:header="731" w:top="1160" w:bottom="1200" w:left="1480" w:right="1480"/>
          <w:pgNumType w:start="11"/>
        </w:sectPr>
      </w:pPr>
    </w:p>
    <w:p>
      <w:pPr>
        <w:pStyle w:val="BodyText"/>
        <w:spacing w:before="11"/>
        <w:rPr>
          <w:sz w:val="16"/>
        </w:rPr>
      </w:pPr>
    </w:p>
    <w:p>
      <w:pPr>
        <w:pStyle w:val="BodyText"/>
        <w:spacing w:line="352" w:lineRule="auto" w:before="69"/>
        <w:ind w:left="219" w:right="220"/>
        <w:jc w:val="both"/>
      </w:pPr>
      <w:r>
        <w:rPr/>
        <w:t>la matriz, se postula que si el antibiótico logra ser desactivado en ésta por acción de polímeros extracelulares, puede tener tan sólo una difusión limitada dentro del biofilm</w:t>
      </w:r>
      <w:r>
        <w:rPr>
          <w:position w:val="11"/>
          <w:sz w:val="16"/>
        </w:rPr>
        <w:t>41</w:t>
      </w:r>
      <w:r>
        <w:rPr/>
        <w:t>. Existe también la teoría de las causas metabólicas, donde una baja actividad metabólica de las bacterias por limitación de oxígeno y nutrientes puede causar que ingresen en un estado de lentitud o cese de su mitosis,  especialmente</w:t>
      </w:r>
    </w:p>
    <w:p>
      <w:pPr>
        <w:pStyle w:val="BodyText"/>
        <w:spacing w:line="360" w:lineRule="auto" w:before="15"/>
        <w:ind w:left="219" w:right="214"/>
        <w:jc w:val="both"/>
      </w:pPr>
      <w:r>
        <w:rPr/>
        <w:t>aquéllas situadas más profundamente, con lo cual dejan de ser susceptibles a los antimicrobianos. Además, se ha descrito la formación de nichos anaeróbicos en zonas profundas de biofilms debido a consumo completo del oxígeno en las capas superficiales. Algunos antibióticos como los aminoglicósidos, son comprobadamente menos eficaces contra la misma bacteria en condiciones anaeróbicas que aeróbicas. Finalmente, una eventual acumulación de    productos</w:t>
      </w:r>
    </w:p>
    <w:p>
      <w:pPr>
        <w:pStyle w:val="BodyText"/>
        <w:spacing w:line="328" w:lineRule="auto" w:before="2"/>
        <w:ind w:left="219" w:right="220"/>
        <w:jc w:val="both"/>
      </w:pPr>
      <w:r>
        <w:rPr/>
        <w:t>ácidos puede conducir a diferencias significativas de pH entre el exterior y el interior de la biopelícula, interfiriendo con la acción del antibiótico</w:t>
      </w:r>
      <w:r>
        <w:rPr>
          <w:position w:val="11"/>
          <w:sz w:val="16"/>
        </w:rPr>
        <w:t>41</w:t>
      </w:r>
      <w:r>
        <w:rPr/>
        <w:t>.</w:t>
      </w:r>
    </w:p>
    <w:p>
      <w:pPr>
        <w:pStyle w:val="BodyText"/>
        <w:spacing w:before="4"/>
        <w:rPr>
          <w:sz w:val="38"/>
        </w:rPr>
      </w:pPr>
    </w:p>
    <w:p>
      <w:pPr>
        <w:pStyle w:val="BodyText"/>
        <w:spacing w:line="360" w:lineRule="auto"/>
        <w:ind w:left="219" w:right="215"/>
        <w:jc w:val="both"/>
      </w:pPr>
      <w:r>
        <w:rPr/>
        <w:t>Por otro lado, la teoría de cambios genéticos, establece que la producción de modificaciones en la fisiología de las bacterias y aparición de genes específicos, producto de cambios genéticos, potencia los mecanismos de resistencia a múltiples antibióticos. Según diversos investigadores, </w:t>
      </w:r>
      <w:r>
        <w:rPr>
          <w:spacing w:val="2"/>
        </w:rPr>
        <w:t>esta </w:t>
      </w:r>
      <w:r>
        <w:rPr/>
        <w:t>resistencia se debe principalmente</w:t>
      </w:r>
      <w:r>
        <w:rPr>
          <w:spacing w:val="29"/>
        </w:rPr>
        <w:t> </w:t>
      </w:r>
      <w:r>
        <w:rPr/>
        <w:t>a</w:t>
      </w:r>
      <w:r>
        <w:rPr>
          <w:spacing w:val="28"/>
        </w:rPr>
        <w:t> </w:t>
      </w:r>
      <w:r>
        <w:rPr/>
        <w:t>modificaciones</w:t>
      </w:r>
      <w:r>
        <w:rPr>
          <w:spacing w:val="23"/>
        </w:rPr>
        <w:t> </w:t>
      </w:r>
      <w:r>
        <w:rPr/>
        <w:t>fenotípicas</w:t>
      </w:r>
      <w:r>
        <w:rPr>
          <w:spacing w:val="23"/>
        </w:rPr>
        <w:t> </w:t>
      </w:r>
      <w:r>
        <w:rPr/>
        <w:t>en</w:t>
      </w:r>
      <w:r>
        <w:rPr>
          <w:spacing w:val="24"/>
        </w:rPr>
        <w:t> </w:t>
      </w:r>
      <w:r>
        <w:rPr/>
        <w:t>las</w:t>
      </w:r>
      <w:r>
        <w:rPr>
          <w:spacing w:val="23"/>
        </w:rPr>
        <w:t> </w:t>
      </w:r>
      <w:r>
        <w:rPr/>
        <w:t>bacterias,</w:t>
      </w:r>
      <w:r>
        <w:rPr>
          <w:spacing w:val="23"/>
        </w:rPr>
        <w:t> </w:t>
      </w:r>
      <w:r>
        <w:rPr/>
        <w:t>las</w:t>
      </w:r>
      <w:r>
        <w:rPr>
          <w:spacing w:val="24"/>
        </w:rPr>
        <w:t> </w:t>
      </w:r>
      <w:r>
        <w:rPr/>
        <w:t>que</w:t>
      </w:r>
      <w:r>
        <w:rPr>
          <w:spacing w:val="24"/>
        </w:rPr>
        <w:t> </w:t>
      </w:r>
      <w:r>
        <w:rPr/>
        <w:t>son</w:t>
      </w:r>
      <w:r>
        <w:rPr>
          <w:spacing w:val="25"/>
        </w:rPr>
        <w:t> </w:t>
      </w:r>
      <w:r>
        <w:rPr/>
        <w:t>de</w:t>
      </w:r>
      <w:r>
        <w:rPr>
          <w:spacing w:val="28"/>
        </w:rPr>
        <w:t> </w:t>
      </w:r>
      <w:r>
        <w:rPr/>
        <w:t>tipo</w:t>
      </w:r>
    </w:p>
    <w:p>
      <w:pPr>
        <w:pStyle w:val="BodyText"/>
        <w:spacing w:line="279" w:lineRule="exact"/>
        <w:ind w:left="219"/>
        <w:jc w:val="both"/>
      </w:pPr>
      <w:r>
        <w:rPr/>
        <w:t>protectoras, especialmente al  generar el  cese de la mitosis</w:t>
      </w:r>
      <w:r>
        <w:rPr>
          <w:position w:val="11"/>
          <w:sz w:val="16"/>
        </w:rPr>
        <w:t>30,32,36,39</w:t>
      </w:r>
      <w:r>
        <w:rPr/>
        <w:t>. A pesar     de</w:t>
      </w:r>
    </w:p>
    <w:p>
      <w:pPr>
        <w:pStyle w:val="BodyText"/>
        <w:spacing w:line="360" w:lineRule="auto" w:before="102"/>
        <w:ind w:left="219" w:right="214"/>
        <w:jc w:val="both"/>
      </w:pPr>
      <w:r>
        <w:rPr/>
        <w:t>que existe un respaldo mayoritario a </w:t>
      </w:r>
      <w:r>
        <w:rPr>
          <w:spacing w:val="-3"/>
        </w:rPr>
        <w:t>esta </w:t>
      </w:r>
      <w:r>
        <w:rPr/>
        <w:t>hipótesis, Stewart y Costerton</w:t>
      </w:r>
      <w:r>
        <w:rPr>
          <w:position w:val="11"/>
          <w:sz w:val="16"/>
        </w:rPr>
        <w:t>41  </w:t>
      </w:r>
      <w:r>
        <w:rPr/>
        <w:t>expresan sus dudas al respecto, señalando que cuando las bacterias son dispersadas desde una biopelícula, con frecuencia se tornan rápidamente susceptibles a antibióticos, lo que sugiere que tal resistencia no es adquirida vía mutaciones o elementos genéticamente movibles. Existe una última teoría, la de formación de esporas, ésta establece la posibilidad de génesis de una subpoblación de bacterias con un estado fenotípico </w:t>
      </w:r>
      <w:r>
        <w:rPr>
          <w:spacing w:val="-3"/>
        </w:rPr>
        <w:t>muy </w:t>
      </w:r>
      <w:r>
        <w:rPr/>
        <w:t>especial y altamente protegido, con una diferenciación a esporas. Este planteamiento es apoyado por investigaciones que muestran resistencia en biopelículas recientemente formadas, aun  cuando  estas  son  demasiado  delgadas  para  constituir  una  barrera  a  </w:t>
      </w:r>
      <w:r>
        <w:rPr>
          <w:spacing w:val="45"/>
        </w:rPr>
        <w:t> </w:t>
      </w:r>
      <w:r>
        <w:rPr/>
        <w:t>la</w:t>
      </w:r>
    </w:p>
    <w:p>
      <w:pPr>
        <w:pStyle w:val="BodyText"/>
        <w:spacing w:line="283" w:lineRule="exact"/>
        <w:ind w:left="219"/>
        <w:jc w:val="both"/>
      </w:pPr>
      <w:r>
        <w:rPr/>
        <w:t>penetración de agentes antimicrobianos</w:t>
      </w:r>
      <w:r>
        <w:rPr>
          <w:position w:val="11"/>
          <w:sz w:val="16"/>
        </w:rPr>
        <w:t>41</w:t>
      </w:r>
      <w:r>
        <w:rPr/>
        <w:t>.</w:t>
      </w:r>
    </w:p>
    <w:p>
      <w:pPr>
        <w:spacing w:after="0" w:line="283" w:lineRule="exact"/>
        <w:jc w:val="both"/>
        <w:sectPr>
          <w:pgSz w:w="12240" w:h="15840"/>
          <w:pgMar w:header="731" w:footer="1012" w:top="1160" w:bottom="1200" w:left="1480" w:right="1480"/>
        </w:sectPr>
      </w:pPr>
    </w:p>
    <w:p>
      <w:pPr>
        <w:pStyle w:val="BodyText"/>
        <w:rPr>
          <w:sz w:val="20"/>
        </w:rPr>
      </w:pPr>
    </w:p>
    <w:p>
      <w:pPr>
        <w:pStyle w:val="BodyText"/>
        <w:rPr>
          <w:sz w:val="20"/>
        </w:rPr>
      </w:pPr>
    </w:p>
    <w:p>
      <w:pPr>
        <w:pStyle w:val="BodyText"/>
        <w:spacing w:before="3"/>
        <w:rPr>
          <w:sz w:val="19"/>
        </w:rPr>
      </w:pPr>
    </w:p>
    <w:p>
      <w:pPr>
        <w:pStyle w:val="BodyText"/>
        <w:spacing w:line="360" w:lineRule="auto"/>
        <w:ind w:left="219" w:right="215"/>
        <w:jc w:val="both"/>
      </w:pPr>
      <w:r>
        <w:rPr/>
        <w:t>Es preciso tener presente que los antibióticos utilizados rutinariamente en clínica han sido seleccionados por su actividad frente a bacterias planctónicas debido a que los estudios de sensibilidad o antibiogramas que se realizan habitualmente están diseñados para medir la susceptibilidad de la bacteria crecida de dicha forma, sin tener en cuenta que los resultados obtenidos pueden no extrapolarse a esa misma bacteria cuando lo hace en el interior de una biopelícula.</w:t>
      </w:r>
    </w:p>
    <w:p>
      <w:pPr>
        <w:pStyle w:val="BodyText"/>
      </w:pPr>
    </w:p>
    <w:p>
      <w:pPr>
        <w:pStyle w:val="BodyText"/>
      </w:pPr>
    </w:p>
    <w:p>
      <w:pPr>
        <w:pStyle w:val="Heading2"/>
        <w:numPr>
          <w:ilvl w:val="1"/>
          <w:numId w:val="2"/>
        </w:numPr>
        <w:tabs>
          <w:tab w:pos="622" w:val="left" w:leader="none"/>
        </w:tabs>
        <w:spacing w:line="240" w:lineRule="auto" w:before="175" w:after="0"/>
        <w:ind w:left="621" w:right="0" w:hanging="402"/>
        <w:jc w:val="both"/>
      </w:pPr>
      <w:r>
        <w:rPr/>
        <w:t>Biopelícula en Líneas de Agua de Unidades</w:t>
      </w:r>
      <w:r>
        <w:rPr>
          <w:spacing w:val="-20"/>
        </w:rPr>
        <w:t> </w:t>
      </w:r>
      <w:r>
        <w:rPr/>
        <w:t>Dentales</w:t>
      </w:r>
    </w:p>
    <w:p>
      <w:pPr>
        <w:pStyle w:val="BodyText"/>
        <w:spacing w:before="11"/>
        <w:rPr>
          <w:b/>
          <w:sz w:val="31"/>
        </w:rPr>
      </w:pPr>
    </w:p>
    <w:p>
      <w:pPr>
        <w:pStyle w:val="BodyText"/>
        <w:spacing w:line="360" w:lineRule="auto"/>
        <w:ind w:left="219" w:right="214"/>
        <w:jc w:val="both"/>
      </w:pPr>
      <w:r>
        <w:rPr/>
        <w:t>La presencia de biopelícula en líneas de agua de unidades dentales sirve como una fuente continua de contaminación, por lo que el agua suministrada por las unidades dentales en la consulta odontológica puede albergar un gran número de bacterias incluyendo microorganismos oportunistas. La unidad dental es un elemento del equipo odontológico que consta de dos porciones básicas: el sillón dental propiamente dicho y el Brackett, unido al resto del equipo mediante  un brazo articulado que permite su desplazamiento horizontal y vertical en el que se encuentra la charola porta-instrumentos, la jeringa de triple función que provee agua, aire o ambas durante los tratamientos dentales y las conexiones para el equipo rotatorio que incluye tres mangueras de plástico flexible, delgadas y tubulares llamadas líneas de agua. La primera manguera sirve para vincular la pieza de mano de alta velocidad y debido a ello recibe el nombre de línea de agua de alta velocidad, la segunda es usada para  la pieza de mano de baja    velocidad</w:t>
      </w:r>
    </w:p>
    <w:p>
      <w:pPr>
        <w:pStyle w:val="BodyText"/>
        <w:spacing w:line="326" w:lineRule="auto" w:before="2"/>
        <w:ind w:left="219" w:right="214"/>
        <w:jc w:val="both"/>
      </w:pPr>
      <w:r>
        <w:rPr/>
        <w:t>y por último la manguera propia de la jeringa triple. El flujo de agua y la presión de aire que por ellas circula se controlan con el pedal o reóstato</w:t>
      </w:r>
      <w:r>
        <w:rPr>
          <w:rFonts w:ascii="Times New Roman" w:hAnsi="Times New Roman"/>
          <w:position w:val="11"/>
          <w:sz w:val="16"/>
        </w:rPr>
        <w:t>42</w:t>
      </w:r>
      <w:r>
        <w:rPr/>
        <w:t>.</w:t>
      </w:r>
    </w:p>
    <w:p>
      <w:pPr>
        <w:pStyle w:val="BodyText"/>
        <w:spacing w:before="1"/>
        <w:rPr>
          <w:sz w:val="39"/>
        </w:rPr>
      </w:pPr>
    </w:p>
    <w:p>
      <w:pPr>
        <w:pStyle w:val="BodyText"/>
        <w:spacing w:line="360" w:lineRule="auto"/>
        <w:ind w:left="219" w:right="222"/>
        <w:jc w:val="both"/>
      </w:pPr>
      <w:r>
        <w:rPr/>
        <w:t>La línea de alta velocidad provee aire a presión y agua para hacer funcionar el sistema rotatorio de la pieza de mano y permitir el enfriamiento de los  instrumentos rotatorios o fresas, además, el abastecimiento de agua  también actúa como medio refrigerante protector de los órganos dentarios contra el calentamiento  provocado por la fricción  de las  fresas  odontológicas  durante</w:t>
      </w:r>
      <w:r>
        <w:rPr>
          <w:spacing w:val="65"/>
        </w:rPr>
        <w:t> </w:t>
      </w:r>
      <w:r>
        <w:rPr/>
        <w:t>los</w:t>
      </w:r>
    </w:p>
    <w:p>
      <w:pPr>
        <w:spacing w:after="0" w:line="360" w:lineRule="auto"/>
        <w:jc w:val="both"/>
        <w:sectPr>
          <w:pgSz w:w="12240" w:h="15840"/>
          <w:pgMar w:header="731" w:footer="1012" w:top="1160" w:bottom="1200" w:left="1480" w:right="1480"/>
        </w:sectPr>
      </w:pPr>
    </w:p>
    <w:p>
      <w:pPr>
        <w:pStyle w:val="BodyText"/>
        <w:spacing w:before="11"/>
        <w:rPr>
          <w:sz w:val="16"/>
        </w:rPr>
      </w:pPr>
    </w:p>
    <w:p>
      <w:pPr>
        <w:pStyle w:val="BodyText"/>
        <w:spacing w:line="352" w:lineRule="auto" w:before="69"/>
        <w:ind w:left="219" w:right="217"/>
        <w:jc w:val="both"/>
      </w:pPr>
      <w:r>
        <w:rPr/>
        <w:t>tratamientos dentales de rutina. El agua utilizada para este propósito puede circular en un sistema abierto, cuya fuente de abastecimiento es un suministro de agua municipal, o en un sistema cerrado, donde es tomada de un contenedor independiente perteneciente a la unidad</w:t>
      </w:r>
      <w:r>
        <w:rPr>
          <w:position w:val="11"/>
          <w:sz w:val="16"/>
        </w:rPr>
        <w:t>42</w:t>
      </w:r>
      <w:r>
        <w:rPr/>
        <w:t>. Barbeau</w:t>
      </w:r>
      <w:r>
        <w:rPr>
          <w:position w:val="11"/>
          <w:sz w:val="16"/>
        </w:rPr>
        <w:t>43 </w:t>
      </w:r>
      <w:r>
        <w:rPr/>
        <w:t>describe las líneas de agua de  las  unidades  dentales  como  un  ecosistema  acuático  en  el  que</w:t>
      </w:r>
      <w:r>
        <w:rPr>
          <w:spacing w:val="9"/>
        </w:rPr>
        <w:t> </w:t>
      </w:r>
      <w:r>
        <w:rPr/>
        <w:t>patógenos</w:t>
      </w:r>
    </w:p>
    <w:p>
      <w:pPr>
        <w:pStyle w:val="BodyText"/>
        <w:spacing w:line="360" w:lineRule="auto" w:before="15"/>
        <w:ind w:left="219" w:right="228"/>
        <w:jc w:val="both"/>
      </w:pPr>
      <w:r>
        <w:rPr/>
        <w:t>oportunistas colonizan exitosamente superficies sintéticas aumentando la concentración de los agentes patógenos en el agua a niveles potencialmente peligrosos.</w:t>
      </w:r>
    </w:p>
    <w:p>
      <w:pPr>
        <w:pStyle w:val="BodyText"/>
      </w:pPr>
    </w:p>
    <w:p>
      <w:pPr>
        <w:pStyle w:val="BodyText"/>
        <w:spacing w:line="352" w:lineRule="auto" w:before="145"/>
        <w:ind w:left="219" w:right="214"/>
        <w:jc w:val="both"/>
      </w:pPr>
      <w:r>
        <w:rPr/>
        <w:t>En diversas publicaciones se ha descrito que los niveles de contaminación del agua de las unidades dentales son en promedio de 180,000 UFC/ml, destacando que en algunas se reportaron hasta 1,000,000 de UFC/ml, cuya comparación con el agua potable es superior e incluso </w:t>
      </w:r>
      <w:r>
        <w:rPr>
          <w:spacing w:val="-3"/>
        </w:rPr>
        <w:t>más </w:t>
      </w:r>
      <w:r>
        <w:rPr/>
        <w:t>elevada que la de ríos y lagos</w:t>
      </w:r>
      <w:r>
        <w:rPr>
          <w:position w:val="11"/>
          <w:sz w:val="16"/>
        </w:rPr>
        <w:t>44,45</w:t>
      </w:r>
      <w:r>
        <w:rPr/>
        <w:t>. Es conveniente subrayar que en general, se ha demostrado que ninguna de las líneas de agua analizadas está a salvo de la contaminación bacteriana</w:t>
      </w:r>
      <w:r>
        <w:rPr>
          <w:position w:val="11"/>
          <w:sz w:val="16"/>
        </w:rPr>
        <w:t>46,47</w:t>
      </w:r>
      <w:r>
        <w:rPr/>
        <w:t>. Esta  situación enfatiza el riesgo existente en odontología. Debido a la acción mecánica de la pieza de mano de alta velocidad cuyo empleo implica rotación potente, aire a presión y agua, ésta genera una gran cantidad de aerosoles, de tal manera, que</w:t>
      </w:r>
      <w:r>
        <w:rPr>
          <w:spacing w:val="27"/>
        </w:rPr>
        <w:t> </w:t>
      </w:r>
      <w:r>
        <w:rPr>
          <w:spacing w:val="-3"/>
        </w:rPr>
        <w:t>si</w:t>
      </w:r>
    </w:p>
    <w:p>
      <w:pPr>
        <w:pStyle w:val="BodyText"/>
        <w:spacing w:line="360" w:lineRule="auto" w:before="15"/>
        <w:ind w:left="219" w:right="217"/>
        <w:jc w:val="both"/>
      </w:pPr>
      <w:r>
        <w:rPr/>
        <w:t>las líneas de agua de la unidad dental están contaminadas, dicha contaminación pasará al área de tratamiento con el resultante riesgo laboral y para los usuarios de los servicios estomatológicos que ello</w:t>
      </w:r>
      <w:r>
        <w:rPr>
          <w:spacing w:val="-16"/>
        </w:rPr>
        <w:t> </w:t>
      </w:r>
      <w:r>
        <w:rPr/>
        <w:t>supone.</w:t>
      </w:r>
    </w:p>
    <w:p>
      <w:pPr>
        <w:pStyle w:val="BodyText"/>
      </w:pPr>
    </w:p>
    <w:p>
      <w:pPr>
        <w:pStyle w:val="BodyText"/>
        <w:spacing w:line="352" w:lineRule="auto" w:before="144"/>
        <w:ind w:left="219" w:right="216"/>
        <w:jc w:val="both"/>
      </w:pPr>
      <w:r>
        <w:rPr/>
        <w:t>En los últimos años, el control de la calidad microbiológica del agua en las unidades dentales ha surgido como un tema de gran actualidad</w:t>
      </w:r>
      <w:r>
        <w:rPr>
          <w:position w:val="11"/>
          <w:sz w:val="16"/>
        </w:rPr>
        <w:t>48</w:t>
      </w:r>
      <w:r>
        <w:rPr/>
        <w:t>. La Asociación Dental Americana (ADA) ha trabajado en ello, publicando en 1996 a través del Journal of the American Dental Association (JADA) el primer reglamento para las líneas de agua en unidades dentales (DUWLs por sus siglas en ingles)    en la que</w:t>
      </w:r>
    </w:p>
    <w:p>
      <w:pPr>
        <w:pStyle w:val="BodyText"/>
        <w:spacing w:line="350" w:lineRule="auto" w:before="11"/>
        <w:ind w:left="219" w:right="213"/>
        <w:jc w:val="both"/>
      </w:pPr>
      <w:r>
        <w:rPr/>
        <w:t>se indica que la meta para el año 2000 en la calidad del vital líquido para uso rutinario en tratamientos dentales debe ser menor a 200 Unidades Formadoras de Colonias por mililitro (UFC/ml) para un recuento total de bacterias aeróbicas heterotróficas</w:t>
      </w:r>
      <w:r>
        <w:rPr>
          <w:position w:val="11"/>
          <w:sz w:val="16"/>
        </w:rPr>
        <w:t>17,18</w:t>
      </w:r>
      <w:r>
        <w:rPr/>
        <w:t>.  Para alcanzar dicho objetivo se debe tener en cuenta  que   las</w:t>
      </w:r>
    </w:p>
    <w:p>
      <w:pPr>
        <w:spacing w:after="0" w:line="350" w:lineRule="auto"/>
        <w:jc w:val="both"/>
        <w:sectPr>
          <w:pgSz w:w="12240" w:h="15840"/>
          <w:pgMar w:header="731" w:footer="1012" w:top="1160" w:bottom="1200" w:left="1480" w:right="1480"/>
        </w:sectPr>
      </w:pPr>
    </w:p>
    <w:p>
      <w:pPr>
        <w:pStyle w:val="BodyText"/>
        <w:spacing w:before="11"/>
        <w:rPr>
          <w:sz w:val="16"/>
        </w:rPr>
      </w:pPr>
    </w:p>
    <w:p>
      <w:pPr>
        <w:pStyle w:val="BodyText"/>
        <w:spacing w:line="360" w:lineRule="auto" w:before="69"/>
        <w:ind w:left="219" w:right="214"/>
        <w:jc w:val="both"/>
      </w:pPr>
      <w:r>
        <w:rPr/>
        <w:t>fuentes directas de contaminación bacteriana en estos sistemas provienen de dos orígenes: el primero, es el uso de agua proveniente del suministro potable municipal. </w:t>
      </w:r>
      <w:r>
        <w:rPr>
          <w:spacing w:val="-4"/>
        </w:rPr>
        <w:t>El </w:t>
      </w:r>
      <w:r>
        <w:rPr/>
        <w:t>segundo, se debe a un mecanismo denominado retrosucción, que teóricamente es un proceso de succión, activado cuando </w:t>
      </w:r>
      <w:r>
        <w:rPr>
          <w:spacing w:val="-3"/>
        </w:rPr>
        <w:t>se </w:t>
      </w:r>
      <w:r>
        <w:rPr/>
        <w:t>retrae el aire  a presión proveniente de la pieza de mano de alta velocidad al dejar de ser accionada  por  el  pedal,  trayendo  consigo  pequeñas  porciones  de      </w:t>
      </w:r>
      <w:r>
        <w:rPr>
          <w:spacing w:val="36"/>
        </w:rPr>
        <w:t> </w:t>
      </w:r>
      <w:r>
        <w:rPr/>
        <w:t>líquidos</w:t>
      </w:r>
    </w:p>
    <w:p>
      <w:pPr>
        <w:pStyle w:val="BodyText"/>
        <w:spacing w:line="328" w:lineRule="auto" w:before="3"/>
        <w:ind w:left="219" w:right="235"/>
        <w:jc w:val="both"/>
      </w:pPr>
      <w:r>
        <w:rPr/>
        <w:t>intrabucales contaminados al interior de las mangueras e infectando de manera intermitente la biopelícula</w:t>
      </w:r>
      <w:r>
        <w:rPr>
          <w:position w:val="11"/>
          <w:sz w:val="16"/>
        </w:rPr>
        <w:t>49,50,51</w:t>
      </w:r>
      <w:r>
        <w:rPr/>
        <w:t>.</w:t>
      </w:r>
    </w:p>
    <w:p>
      <w:pPr>
        <w:spacing w:after="0" w:line="328" w:lineRule="auto"/>
        <w:jc w:val="both"/>
        <w:sectPr>
          <w:pgSz w:w="12240" w:h="15840"/>
          <w:pgMar w:header="731" w:footer="1012" w:top="1160" w:bottom="1200" w:left="1480" w:right="1480"/>
        </w:sectPr>
      </w:pPr>
    </w:p>
    <w:p>
      <w:pPr>
        <w:pStyle w:val="BodyText"/>
        <w:spacing w:before="6"/>
        <w:rPr>
          <w:sz w:val="16"/>
        </w:rPr>
      </w:pPr>
    </w:p>
    <w:p>
      <w:pPr>
        <w:pStyle w:val="Heading2"/>
        <w:spacing w:line="362" w:lineRule="auto" w:before="69"/>
        <w:ind w:left="1871" w:right="387" w:hanging="1465"/>
      </w:pPr>
      <w:r>
        <w:rPr/>
        <w:t>CAPÍTULO 2: MICROORGANISMOS ENCONTRADOS EN LA BIOPELÍCULA DE LÍNEAS DE AGUA DE UNIDADES DENTALES</w:t>
      </w:r>
    </w:p>
    <w:p>
      <w:pPr>
        <w:pStyle w:val="BodyText"/>
        <w:rPr>
          <w:b/>
        </w:rPr>
      </w:pPr>
    </w:p>
    <w:p>
      <w:pPr>
        <w:pStyle w:val="BodyText"/>
        <w:spacing w:line="355" w:lineRule="auto" w:before="142"/>
        <w:ind w:left="219" w:right="216"/>
        <w:jc w:val="both"/>
      </w:pPr>
      <w:r>
        <w:rPr/>
        <w:t>En general, los microorganismos que integran la microbiota de tránsito del agua no son dañinos para el hombre y solo un 30% del total de la población bacteriana presente en los sistemas de distribución de agua se consideran patógenos oportunistas que en condiciones normales presentan concentraciones bajas y prácticamente indetectables, sin embargo, la formación de biopelícula en los sistemas de conducción de agua puede favorecer su crecimiento y aumentar sus niveles siendo con ello potencialmente infecciosos</w:t>
      </w:r>
      <w:r>
        <w:rPr>
          <w:position w:val="11"/>
          <w:sz w:val="16"/>
        </w:rPr>
        <w:t>45,46,47</w:t>
      </w:r>
      <w:r>
        <w:rPr/>
        <w:t>.</w:t>
      </w:r>
    </w:p>
    <w:p>
      <w:pPr>
        <w:pStyle w:val="BodyText"/>
        <w:spacing w:before="11"/>
        <w:rPr>
          <w:sz w:val="31"/>
        </w:rPr>
      </w:pPr>
    </w:p>
    <w:p>
      <w:pPr>
        <w:pStyle w:val="BodyText"/>
        <w:spacing w:line="360" w:lineRule="auto"/>
        <w:ind w:left="219" w:right="217"/>
        <w:jc w:val="both"/>
      </w:pPr>
      <w:r>
        <w:rPr/>
        <w:t>Estudios realizados por la Asociación Dental Canadiense (CDA)</w:t>
      </w:r>
      <w:r>
        <w:rPr>
          <w:position w:val="11"/>
          <w:sz w:val="16"/>
        </w:rPr>
        <w:t>48</w:t>
      </w:r>
      <w:r>
        <w:rPr/>
        <w:t>, reportan el hallazgo de concentraciones de 105 UFC/ml de </w:t>
      </w:r>
      <w:r>
        <w:rPr>
          <w:i/>
        </w:rPr>
        <w:t>P. aeruginosa y </w:t>
      </w:r>
      <w:r>
        <w:rPr/>
        <w:t>de102 a 104 UfC/ml de </w:t>
      </w:r>
      <w:r>
        <w:rPr>
          <w:i/>
        </w:rPr>
        <w:t>Legionella </w:t>
      </w:r>
      <w:r>
        <w:rPr/>
        <w:t>spp en un 24% de las muestras de agua procesadas provenientes de unidades dentales. La proliferación de estos microorganismos puede verse favorecida por la presencia de amebas en la biopelícula, las cuales son el principal hospedero de </w:t>
      </w:r>
      <w:r>
        <w:rPr>
          <w:i/>
        </w:rPr>
        <w:t>Legionella </w:t>
      </w:r>
      <w:r>
        <w:rPr/>
        <w:t>y de otras bacterias como </w:t>
      </w:r>
      <w:r>
        <w:rPr>
          <w:i/>
        </w:rPr>
        <w:t>Pseudomonas</w:t>
      </w:r>
      <w:r>
        <w:rPr/>
        <w:t>. Se ha demostrado que la concentración de micobacterias encontradas, incluyendo </w:t>
      </w:r>
      <w:r>
        <w:rPr>
          <w:i/>
        </w:rPr>
        <w:t>Mycobacterium chelonei </w:t>
      </w:r>
      <w:r>
        <w:rPr/>
        <w:t>y </w:t>
      </w:r>
      <w:r>
        <w:rPr>
          <w:i/>
        </w:rPr>
        <w:t>Mycobacterium gordonae</w:t>
      </w:r>
      <w:r>
        <w:rPr/>
        <w:t>, en el agua en las unidades dentales puede alcanzar valores 400 veces superiores a las halladas en las aguas</w:t>
      </w:r>
    </w:p>
    <w:p>
      <w:pPr>
        <w:spacing w:line="279" w:lineRule="exact" w:before="0"/>
        <w:ind w:left="219" w:right="0" w:firstLine="0"/>
        <w:jc w:val="both"/>
        <w:rPr>
          <w:sz w:val="24"/>
        </w:rPr>
      </w:pPr>
      <w:r>
        <w:rPr>
          <w:sz w:val="24"/>
        </w:rPr>
        <w:t>potables</w:t>
      </w:r>
      <w:r>
        <w:rPr>
          <w:position w:val="11"/>
          <w:sz w:val="16"/>
        </w:rPr>
        <w:t>43,48</w:t>
      </w:r>
      <w:r>
        <w:rPr>
          <w:sz w:val="24"/>
        </w:rPr>
        <w:t>.</w:t>
      </w:r>
    </w:p>
    <w:p>
      <w:pPr>
        <w:pStyle w:val="BodyText"/>
        <w:rPr>
          <w:sz w:val="28"/>
        </w:rPr>
      </w:pPr>
    </w:p>
    <w:p>
      <w:pPr>
        <w:pStyle w:val="BodyText"/>
        <w:spacing w:line="352" w:lineRule="auto" w:before="232"/>
        <w:ind w:left="219" w:right="219"/>
        <w:jc w:val="both"/>
      </w:pPr>
      <w:r>
        <w:rPr/>
        <w:t>Así mismo, un estudio realizado en Washington, Oregón y California  EE.UU. reveló que de 150 unidades dentales evaluadas el 72% contenían elevados  niveles de bacterias: en promedio 49x103 UFC/ml relacionadas con la jeringa triple y 72x103UFC/ml en los instrumentos rotatorios</w:t>
      </w:r>
      <w:r>
        <w:rPr>
          <w:position w:val="11"/>
          <w:sz w:val="16"/>
        </w:rPr>
        <w:t>43</w:t>
      </w:r>
      <w:r>
        <w:rPr/>
        <w:t>. De igual </w:t>
      </w:r>
      <w:r>
        <w:rPr>
          <w:spacing w:val="-2"/>
        </w:rPr>
        <w:t>forma, </w:t>
      </w:r>
      <w:r>
        <w:rPr/>
        <w:t>en la Unión europea  se  llevó  a  cabo  un  estudio  multicéntrico  donde  se  mostró  que   </w:t>
      </w:r>
      <w:r>
        <w:rPr>
          <w:spacing w:val="36"/>
        </w:rPr>
        <w:t> </w:t>
      </w:r>
      <w:r>
        <w:rPr/>
        <w:t>las</w:t>
      </w:r>
    </w:p>
    <w:p>
      <w:pPr>
        <w:pStyle w:val="BodyText"/>
        <w:spacing w:line="343" w:lineRule="auto" w:before="11"/>
        <w:ind w:left="219" w:right="228"/>
        <w:jc w:val="both"/>
      </w:pPr>
      <w:r>
        <w:rPr/>
        <w:t>concentraciones de gérmenes totales obtenidos a partir de muestras de agua de los sistemas de conducción de las unidades dentales son más elevadas que las encontradas en la red de distribución de agua potable, estanques, lagos y ríos</w:t>
      </w:r>
      <w:r>
        <w:rPr>
          <w:position w:val="11"/>
          <w:sz w:val="16"/>
        </w:rPr>
        <w:t>49</w:t>
      </w:r>
      <w:r>
        <w:rPr/>
        <w:t>.</w:t>
      </w:r>
    </w:p>
    <w:p>
      <w:pPr>
        <w:spacing w:after="0" w:line="343" w:lineRule="auto"/>
        <w:jc w:val="both"/>
        <w:sectPr>
          <w:pgSz w:w="12240" w:h="15840"/>
          <w:pgMar w:header="731" w:footer="1012" w:top="1160" w:bottom="1200" w:left="1480" w:right="1480"/>
        </w:sectPr>
      </w:pPr>
    </w:p>
    <w:p>
      <w:pPr>
        <w:pStyle w:val="BodyText"/>
        <w:spacing w:before="11"/>
        <w:rPr>
          <w:sz w:val="16"/>
        </w:rPr>
      </w:pPr>
    </w:p>
    <w:p>
      <w:pPr>
        <w:spacing w:line="360" w:lineRule="auto" w:before="69"/>
        <w:ind w:left="219" w:right="218" w:firstLine="0"/>
        <w:jc w:val="both"/>
        <w:rPr>
          <w:sz w:val="24"/>
        </w:rPr>
      </w:pPr>
      <w:r>
        <w:rPr>
          <w:sz w:val="24"/>
        </w:rPr>
        <w:t>En la Universidad Autónoma de Zacatecas, México, se efectuó un estudio para determinar la calidad bacteriológica del agua que se utiliza en sus clínicas odontológicas, con ello demostraron la presencia de altas densidades de coliformes totales y fecales considerados como indicadores de alta contaminación del agua, así como </w:t>
      </w:r>
      <w:r>
        <w:rPr>
          <w:i/>
          <w:sz w:val="24"/>
        </w:rPr>
        <w:t>E. Coli, Klebsiella pneumonia, Streptococcus ssp, </w:t>
      </w:r>
      <w:r>
        <w:rPr>
          <w:i/>
          <w:sz w:val="24"/>
        </w:rPr>
        <w:t>Staphylococcus aureus y Pseudomona aeruginosa </w:t>
      </w:r>
      <w:r>
        <w:rPr>
          <w:sz w:val="24"/>
        </w:rPr>
        <w:t>a partir del agua contenida   en</w:t>
      </w:r>
    </w:p>
    <w:p>
      <w:pPr>
        <w:pStyle w:val="BodyText"/>
        <w:spacing w:line="343" w:lineRule="auto" w:before="3"/>
        <w:ind w:left="219" w:right="226"/>
        <w:jc w:val="both"/>
      </w:pPr>
      <w:r>
        <w:rPr/>
        <w:t>la unidad dental. Muchos de estos microbios se asocian regularmente a procesos sépticos</w:t>
      </w:r>
      <w:r>
        <w:rPr>
          <w:position w:val="11"/>
          <w:sz w:val="16"/>
        </w:rPr>
        <w:t>12</w:t>
      </w:r>
      <w:r>
        <w:rPr/>
        <w:t>, razón por la cual es importante conocer los aspectos microbiológicos  de dichos</w:t>
      </w:r>
      <w:r>
        <w:rPr>
          <w:spacing w:val="-16"/>
        </w:rPr>
        <w:t> </w:t>
      </w:r>
      <w:r>
        <w:rPr/>
        <w:t>microorganismos.</w:t>
      </w:r>
    </w:p>
    <w:p>
      <w:pPr>
        <w:pStyle w:val="BodyText"/>
      </w:pPr>
    </w:p>
    <w:p>
      <w:pPr>
        <w:pStyle w:val="Heading3"/>
        <w:numPr>
          <w:ilvl w:val="1"/>
          <w:numId w:val="3"/>
        </w:numPr>
        <w:tabs>
          <w:tab w:pos="624" w:val="left" w:leader="none"/>
        </w:tabs>
        <w:spacing w:line="240" w:lineRule="auto" w:before="159" w:after="0"/>
        <w:ind w:left="623" w:right="0" w:hanging="404"/>
        <w:jc w:val="both"/>
        <w:rPr>
          <w:i/>
        </w:rPr>
      </w:pPr>
      <w:r>
        <w:rPr>
          <w:i/>
        </w:rPr>
        <w:t>Pseudomona</w:t>
      </w:r>
      <w:r>
        <w:rPr>
          <w:i/>
          <w:spacing w:val="-15"/>
        </w:rPr>
        <w:t> </w:t>
      </w:r>
      <w:r>
        <w:rPr>
          <w:i/>
        </w:rPr>
        <w:t>aeruginosa</w:t>
      </w:r>
    </w:p>
    <w:p>
      <w:pPr>
        <w:pStyle w:val="BodyText"/>
        <w:rPr>
          <w:b/>
          <w:i/>
        </w:rPr>
      </w:pPr>
    </w:p>
    <w:p>
      <w:pPr>
        <w:pStyle w:val="BodyText"/>
        <w:spacing w:line="360" w:lineRule="auto" w:before="182"/>
        <w:ind w:left="219" w:right="218"/>
        <w:jc w:val="both"/>
      </w:pPr>
      <w:r>
        <w:rPr/>
        <w:t>Las </w:t>
      </w:r>
      <w:r>
        <w:rPr>
          <w:i/>
        </w:rPr>
        <w:t>Pseudomonas </w:t>
      </w:r>
      <w:r>
        <w:rPr/>
        <w:t>son bacilos gramnegativos, dotados de motilidad y aerobios, algunos de los cuales producen pigmentos hidrosolubles. Se distribuyen ampliamente en el suelo, agua, plantas y animales. Se clasifican de acuerdo a su RNA/DNA y características de cultivo, la más importante de ellas es la </w:t>
      </w:r>
      <w:r>
        <w:rPr>
          <w:i/>
        </w:rPr>
        <w:t>Pseudomona aeruginosa </w:t>
      </w:r>
      <w:r>
        <w:rPr/>
        <w:t>ya que es un patógeno nosocomial importante y es el principal patógeno humano del género </w:t>
      </w:r>
      <w:r>
        <w:rPr>
          <w:i/>
        </w:rPr>
        <w:t>Pseudomonas</w:t>
      </w:r>
      <w:r>
        <w:rPr/>
        <w:t>. Aunque puede colonizar a los seres humanos sin causarles ninguna enfermedad, también es un patógeno</w:t>
      </w:r>
    </w:p>
    <w:p>
      <w:pPr>
        <w:pStyle w:val="BodyText"/>
        <w:spacing w:line="328" w:lineRule="auto" w:before="2"/>
        <w:ind w:left="219" w:right="229"/>
        <w:jc w:val="both"/>
      </w:pPr>
      <w:r>
        <w:rPr/>
        <w:t>oportunista importante y uno de los principales responsables de las infecciones nosocomiales</w:t>
      </w:r>
      <w:r>
        <w:rPr>
          <w:position w:val="11"/>
          <w:sz w:val="16"/>
        </w:rPr>
        <w:t>50,51</w:t>
      </w:r>
      <w:r>
        <w:rPr/>
        <w:t>.</w:t>
      </w:r>
    </w:p>
    <w:p>
      <w:pPr>
        <w:pStyle w:val="BodyText"/>
        <w:spacing w:before="4"/>
        <w:rPr>
          <w:sz w:val="38"/>
        </w:rPr>
      </w:pPr>
    </w:p>
    <w:p>
      <w:pPr>
        <w:pStyle w:val="BodyText"/>
        <w:spacing w:line="360" w:lineRule="auto" w:before="1"/>
        <w:ind w:left="219" w:right="222"/>
        <w:jc w:val="both"/>
      </w:pPr>
      <w:r>
        <w:rPr>
          <w:i/>
        </w:rPr>
        <w:t>P. aeruginosa </w:t>
      </w:r>
      <w:r>
        <w:rPr/>
        <w:t>es un bacilo móvil encapsulado y aerobio obligado. Mide de 0.6 a 2μm. Es gramnegativo y se le encuentra como bacteria única, en pares y ocasionalmente en cadenas cortas. Sus requerimientos nutricionales son mínimos y puede crecer en una gran variedad de sustratos orgánicos, incluso baños maría de laboratorios, tubos calientes, tubos intravenosos húmedos y otros recipientes que contienen agua. Crece fácilmente en muchos tipos de medios de cultivo, produciendo un olor dulzón semejante a jugo de uva o de maíz. Algunas cepas causan hemólisis. Forma colonias redondas y lisas de color verde fluorescente y con frecuencia produce un pigmento azuloso no fluorescente, piocianina, que se</w:t>
      </w:r>
    </w:p>
    <w:p>
      <w:pPr>
        <w:spacing w:after="0" w:line="360" w:lineRule="auto"/>
        <w:jc w:val="both"/>
        <w:sectPr>
          <w:pgSz w:w="12240" w:h="15840"/>
          <w:pgMar w:header="731" w:footer="1012" w:top="1160" w:bottom="1200" w:left="1480" w:right="1480"/>
        </w:sectPr>
      </w:pPr>
    </w:p>
    <w:p>
      <w:pPr>
        <w:pStyle w:val="BodyText"/>
        <w:spacing w:before="11"/>
        <w:rPr>
          <w:sz w:val="16"/>
        </w:rPr>
      </w:pPr>
    </w:p>
    <w:p>
      <w:pPr>
        <w:pStyle w:val="BodyText"/>
        <w:spacing w:line="350" w:lineRule="auto" w:before="69"/>
        <w:ind w:left="219" w:right="217"/>
        <w:jc w:val="both"/>
      </w:pPr>
      <w:r>
        <w:rPr/>
        <w:t>difunde y distribuye en el agar, otras cepas de </w:t>
      </w:r>
      <w:r>
        <w:rPr>
          <w:i/>
        </w:rPr>
        <w:t>P. aeruginosa </w:t>
      </w:r>
      <w:r>
        <w:rPr/>
        <w:t>producen pioverdina que confiere color verdoso al agar. Su identificación generalmente se basa en la morfología de las colonias, positividad a oxidasa presencia de pigmentos y crecimiento entre 37°C y 42°C</w:t>
      </w:r>
      <w:r>
        <w:rPr>
          <w:position w:val="11"/>
          <w:sz w:val="16"/>
        </w:rPr>
        <w:t>50</w:t>
      </w:r>
      <w:r>
        <w:rPr/>
        <w:t>.</w:t>
      </w:r>
    </w:p>
    <w:p>
      <w:pPr>
        <w:pStyle w:val="BodyText"/>
        <w:spacing w:before="11"/>
        <w:rPr>
          <w:sz w:val="35"/>
        </w:rPr>
      </w:pPr>
    </w:p>
    <w:p>
      <w:pPr>
        <w:pStyle w:val="BodyText"/>
        <w:spacing w:line="360" w:lineRule="auto"/>
        <w:ind w:left="219" w:right="219"/>
        <w:jc w:val="both"/>
      </w:pPr>
      <w:r>
        <w:rPr>
          <w:i/>
        </w:rPr>
        <w:t>P. aeruginosa </w:t>
      </w:r>
      <w:r>
        <w:rPr/>
        <w:t>causa enfermedad ya que se adhiere al tejido de un hospedador y  lo coloniza, su pilli le ayuda a adherirse y un glucocáliz o cápsula reduce la efectividad de los mecanismos de limpieza normales del hospedador. La presencia de lesiones en los tejidos del hospedador   </w:t>
      </w:r>
      <w:r>
        <w:rPr>
          <w:spacing w:val="44"/>
        </w:rPr>
        <w:t> </w:t>
      </w:r>
      <w:r>
        <w:rPr/>
        <w:t>facilita la adherencia y colonización de</w:t>
      </w:r>
    </w:p>
    <w:p>
      <w:pPr>
        <w:pStyle w:val="BodyText"/>
        <w:spacing w:line="352" w:lineRule="auto" w:before="8"/>
        <w:ind w:left="219" w:right="217"/>
        <w:jc w:val="both"/>
      </w:pPr>
      <w:r>
        <w:rPr>
          <w:i/>
        </w:rPr>
        <w:t>P. aeruginosa </w:t>
      </w:r>
      <w:r>
        <w:rPr/>
        <w:t>que produce numerosas toxinas y productos extracelulares inductores de la invasión local y la diseminación del microorganismo. </w:t>
      </w:r>
      <w:r>
        <w:rPr>
          <w:i/>
        </w:rPr>
        <w:t>P. </w:t>
      </w:r>
      <w:r>
        <w:rPr>
          <w:i/>
        </w:rPr>
        <w:t>aeruginosa </w:t>
      </w:r>
      <w:r>
        <w:rPr/>
        <w:t>solo es patógena cuando se introduce en regiones desprovistas de defensas normales, por ejemplo en mucosas y piel lesionadas  por  daño tisular</w:t>
      </w:r>
      <w:r>
        <w:rPr>
          <w:position w:val="11"/>
          <w:sz w:val="16"/>
        </w:rPr>
        <w:t>51,52</w:t>
      </w:r>
      <w:r>
        <w:rPr/>
        <w:t>.</w:t>
      </w:r>
    </w:p>
    <w:p>
      <w:pPr>
        <w:pStyle w:val="BodyText"/>
        <w:spacing w:before="3"/>
        <w:rPr>
          <w:sz w:val="35"/>
        </w:rPr>
      </w:pPr>
    </w:p>
    <w:p>
      <w:pPr>
        <w:pStyle w:val="BodyText"/>
        <w:spacing w:line="360" w:lineRule="auto"/>
        <w:ind w:left="219" w:right="215"/>
        <w:jc w:val="both"/>
      </w:pPr>
      <w:r>
        <w:rPr/>
        <w:t>Su importancia clínica radica en que causa tanto enfermedades localizadas (queratitis, otitis, erupciones pustulosas, neumonía, insuficiencia cardíaca congestiva, diarrea, meningitis) como sistémicas (bacteriemia, neumonías secundarias, infecciones articulares y óseas, endocarditis, infecciones del sistema nervioso central y piel) y a menudo es resistente a los antibióticos, lo que hace complicada la elección </w:t>
      </w:r>
      <w:r>
        <w:rPr>
          <w:spacing w:val="-3"/>
        </w:rPr>
        <w:t>del </w:t>
      </w:r>
      <w:r>
        <w:rPr/>
        <w:t>tratamiento. Ya que es un patógeno principalmente nosocomial que prolifera en ambientes húmedos, debe prestarse  especial  atención a tinas de baño, regaderas, tuberías de agua caliente y otras áreas húmedas. Debido a que las infecciones por </w:t>
      </w:r>
      <w:r>
        <w:rPr>
          <w:i/>
        </w:rPr>
        <w:t>Pseudomonas </w:t>
      </w:r>
      <w:r>
        <w:rPr/>
        <w:t>de dan típicamente en pacientes con las defensas disminuidas suele ser necesario un tratamiento antimicrobiano   agresivo:  aminoglucósidos  combinados   con   un   antibiótico </w:t>
      </w:r>
      <w:r>
        <w:rPr>
          <w:spacing w:val="48"/>
        </w:rPr>
        <w:t> </w:t>
      </w:r>
      <w:r>
        <w:rPr/>
        <w:t>β-</w:t>
      </w:r>
    </w:p>
    <w:p>
      <w:pPr>
        <w:spacing w:line="284" w:lineRule="exact" w:before="0"/>
        <w:ind w:left="219" w:right="0" w:firstLine="0"/>
        <w:jc w:val="both"/>
        <w:rPr>
          <w:sz w:val="24"/>
        </w:rPr>
      </w:pPr>
      <w:r>
        <w:rPr>
          <w:sz w:val="24"/>
        </w:rPr>
        <w:t>lactámico o una quinolona</w:t>
      </w:r>
      <w:r>
        <w:rPr>
          <w:position w:val="11"/>
          <w:sz w:val="16"/>
        </w:rPr>
        <w:t>50,51,52</w:t>
      </w:r>
      <w:r>
        <w:rPr>
          <w:sz w:val="24"/>
        </w:rPr>
        <w:t>.</w:t>
      </w:r>
    </w:p>
    <w:p>
      <w:pPr>
        <w:spacing w:after="0" w:line="284" w:lineRule="exact"/>
        <w:jc w:val="both"/>
        <w:rPr>
          <w:sz w:val="24"/>
        </w:rPr>
        <w:sectPr>
          <w:pgSz w:w="12240" w:h="15840"/>
          <w:pgMar w:header="731" w:footer="1012" w:top="1160" w:bottom="1200" w:left="1480" w:right="1480"/>
        </w:sectPr>
      </w:pPr>
    </w:p>
    <w:p>
      <w:pPr>
        <w:pStyle w:val="BodyText"/>
        <w:spacing w:before="6"/>
        <w:rPr>
          <w:sz w:val="16"/>
        </w:rPr>
      </w:pPr>
    </w:p>
    <w:p>
      <w:pPr>
        <w:pStyle w:val="Heading3"/>
        <w:numPr>
          <w:ilvl w:val="1"/>
          <w:numId w:val="3"/>
        </w:numPr>
        <w:tabs>
          <w:tab w:pos="624" w:val="left" w:leader="none"/>
        </w:tabs>
        <w:spacing w:line="240" w:lineRule="auto" w:before="69" w:after="0"/>
        <w:ind w:left="623" w:right="0" w:hanging="404"/>
        <w:jc w:val="both"/>
        <w:rPr>
          <w:i/>
        </w:rPr>
      </w:pPr>
      <w:r>
        <w:rPr>
          <w:i/>
        </w:rPr>
        <w:t>Staphylococcus</w:t>
      </w:r>
      <w:r>
        <w:rPr>
          <w:i/>
          <w:spacing w:val="-16"/>
        </w:rPr>
        <w:t> </w:t>
      </w:r>
      <w:r>
        <w:rPr>
          <w:i/>
        </w:rPr>
        <w:t>spp.</w:t>
      </w:r>
    </w:p>
    <w:p>
      <w:pPr>
        <w:pStyle w:val="BodyText"/>
        <w:spacing w:before="11"/>
        <w:rPr>
          <w:b/>
          <w:i/>
          <w:sz w:val="31"/>
        </w:rPr>
      </w:pPr>
    </w:p>
    <w:p>
      <w:pPr>
        <w:pStyle w:val="BodyText"/>
        <w:spacing w:line="355" w:lineRule="auto"/>
        <w:ind w:left="219" w:right="216"/>
        <w:jc w:val="both"/>
      </w:pPr>
      <w:r>
        <w:rPr/>
        <w:t>Los </w:t>
      </w:r>
      <w:r>
        <w:rPr>
          <w:i/>
        </w:rPr>
        <w:t>estafilococos </w:t>
      </w:r>
      <w:r>
        <w:rPr/>
        <w:t>son cocos grampositivos de 0.5 a 1.5μm de diámetro, con agrupación irregular que semejan racimos de uvas como consecuencia de su división irregular en los tres planos del espacio. Se trata de microorganismos inmóviles y no esporulados figurando entre los microbios más resistentes. Toleran bien la desecación, el calor, las altas concentraciones salinas e incluso algunos antisépticos. Son aerobios o anaerobios facultativos catalasa-positivos. En la actualidad este género comprende 32 especies que se encuentran ampliamente distribuidos en la naturaleza, sobre todo en la piel, las glándulas cutáneas, las mucosas, los tractos intestinal y genitourinario y el aparato respiratorio superior</w:t>
      </w:r>
      <w:r>
        <w:rPr>
          <w:position w:val="11"/>
          <w:sz w:val="16"/>
        </w:rPr>
        <w:t>50</w:t>
      </w:r>
      <w:r>
        <w:rPr/>
        <w:t>.</w:t>
      </w:r>
    </w:p>
    <w:p>
      <w:pPr>
        <w:pStyle w:val="BodyText"/>
        <w:rPr>
          <w:sz w:val="35"/>
        </w:rPr>
      </w:pPr>
    </w:p>
    <w:p>
      <w:pPr>
        <w:pStyle w:val="BodyText"/>
        <w:spacing w:line="360" w:lineRule="auto"/>
        <w:ind w:left="219" w:right="216"/>
        <w:jc w:val="both"/>
      </w:pPr>
      <w:r>
        <w:rPr/>
        <w:t>Las especies </w:t>
      </w:r>
      <w:r>
        <w:rPr>
          <w:spacing w:val="-3"/>
        </w:rPr>
        <w:t>más </w:t>
      </w:r>
      <w:r>
        <w:rPr/>
        <w:t>aisladas de las infecciones humanas son </w:t>
      </w:r>
      <w:r>
        <w:rPr>
          <w:i/>
        </w:rPr>
        <w:t>Staphylococcus </w:t>
      </w:r>
      <w:r>
        <w:rPr>
          <w:i/>
        </w:rPr>
        <w:t>aureus, S. epidermidis y S. hemolíticus. S. aureus </w:t>
      </w:r>
      <w:r>
        <w:rPr/>
        <w:t>es un patógeno hospitalario  </w:t>
      </w:r>
      <w:r>
        <w:rPr>
          <w:spacing w:val="-3"/>
        </w:rPr>
        <w:t>muy </w:t>
      </w:r>
      <w:r>
        <w:rPr/>
        <w:t>temido porque es responsable de altas tasas de morbimortalidad, puede producir una amplia gama de infecciones tanto localizadas como diseminadas que pueden afectar cualquier órgano o tejido con una gravedad variable. En los  cultivos es  fácil  de reconocer por la producción de un pigmento amarillo   </w:t>
      </w:r>
      <w:r>
        <w:rPr>
          <w:spacing w:val="33"/>
        </w:rPr>
        <w:t> </w:t>
      </w:r>
      <w:r>
        <w:rPr/>
        <w:t>dorado</w:t>
      </w:r>
    </w:p>
    <w:p>
      <w:pPr>
        <w:pStyle w:val="BodyText"/>
        <w:spacing w:line="279" w:lineRule="exact"/>
        <w:ind w:left="219"/>
        <w:jc w:val="both"/>
      </w:pPr>
      <w:r>
        <w:rPr/>
        <w:t>que le da el nombre a esta especie</w:t>
      </w:r>
      <w:r>
        <w:rPr>
          <w:position w:val="11"/>
          <w:sz w:val="16"/>
        </w:rPr>
        <w:t>51</w:t>
      </w:r>
      <w:r>
        <w:rPr/>
        <w:t>.</w:t>
      </w:r>
    </w:p>
    <w:p>
      <w:pPr>
        <w:pStyle w:val="BodyText"/>
        <w:rPr>
          <w:sz w:val="28"/>
        </w:rPr>
      </w:pPr>
    </w:p>
    <w:p>
      <w:pPr>
        <w:pStyle w:val="BodyText"/>
        <w:spacing w:line="360" w:lineRule="auto" w:before="232"/>
        <w:ind w:left="219" w:right="213"/>
        <w:jc w:val="both"/>
      </w:pPr>
      <w:r>
        <w:rPr>
          <w:i/>
        </w:rPr>
        <w:t>S. aureus </w:t>
      </w:r>
      <w:r>
        <w:rPr/>
        <w:t>se encuentra en la nasofaringe del 20% a 40% de las personas, especialmente en el vestíbulo nasal anterior, por su adhesión a células de la mucosa mediante el ácido teicoico. Casi todos los individuos han albergado estos microorganismos en algún momento de su vida. Si se trata de personas con estadías prolongadas en hospitales, como los médicos o las enfermeras estas cifras pueden subir al 50%-70%. En odontología se ha encontrado en infecciones endodónticas  y  algunos  abscesos  periapicales.  Este  microorganismo  ha   sido</w:t>
      </w:r>
    </w:p>
    <w:p>
      <w:pPr>
        <w:pStyle w:val="BodyText"/>
        <w:spacing w:line="328" w:lineRule="auto" w:before="7"/>
        <w:ind w:left="219" w:right="216"/>
        <w:jc w:val="both"/>
      </w:pPr>
      <w:r>
        <w:rPr/>
        <w:t>aislado de pacientes con osteomielitis de los maxilares, parotiditis,  manifestaciones gingivales, periodontitis y</w:t>
      </w:r>
      <w:r>
        <w:rPr>
          <w:spacing w:val="-22"/>
        </w:rPr>
        <w:t> </w:t>
      </w:r>
      <w:r>
        <w:rPr/>
        <w:t>estomatitis</w:t>
      </w:r>
      <w:r>
        <w:rPr>
          <w:position w:val="11"/>
          <w:sz w:val="16"/>
        </w:rPr>
        <w:t>50,51</w:t>
      </w:r>
      <w:r>
        <w:rPr/>
        <w:t>.</w:t>
      </w:r>
    </w:p>
    <w:p>
      <w:pPr>
        <w:pStyle w:val="BodyText"/>
        <w:spacing w:before="10"/>
        <w:rPr>
          <w:sz w:val="37"/>
        </w:rPr>
      </w:pPr>
    </w:p>
    <w:p>
      <w:pPr>
        <w:pStyle w:val="BodyText"/>
        <w:spacing w:line="362" w:lineRule="auto" w:before="1"/>
        <w:ind w:left="219" w:right="230"/>
        <w:jc w:val="both"/>
      </w:pPr>
      <w:r>
        <w:rPr/>
        <w:t>Su prevención consiste en detectar a los portadores sanos, especialmente entre los trabajadores del área de la salud y entre las personas que se ocupan de la</w:t>
      </w:r>
    </w:p>
    <w:p>
      <w:pPr>
        <w:spacing w:after="0" w:line="362" w:lineRule="auto"/>
        <w:jc w:val="both"/>
        <w:sectPr>
          <w:pgSz w:w="12240" w:h="15840"/>
          <w:pgMar w:header="731" w:footer="1012" w:top="1160" w:bottom="1200" w:left="1480" w:right="1480"/>
        </w:sectPr>
      </w:pPr>
    </w:p>
    <w:p>
      <w:pPr>
        <w:pStyle w:val="BodyText"/>
        <w:spacing w:before="11"/>
        <w:rPr>
          <w:sz w:val="16"/>
        </w:rPr>
      </w:pPr>
    </w:p>
    <w:p>
      <w:pPr>
        <w:pStyle w:val="BodyText"/>
        <w:spacing w:line="345" w:lineRule="auto" w:before="69"/>
        <w:ind w:left="219" w:right="225"/>
        <w:jc w:val="both"/>
      </w:pPr>
      <w:r>
        <w:rPr/>
        <w:t>producción de alimentos y tratarlos. Es aconsejable extremar las medidas de higiene en grupos de riesgo o de personas susceptibles. Además se debe evitar el contacto con las fuentes de infección y minimizar el uso de antibióticos</w:t>
      </w:r>
      <w:r>
        <w:rPr>
          <w:position w:val="11"/>
          <w:sz w:val="16"/>
        </w:rPr>
        <w:t>50</w:t>
      </w:r>
      <w:r>
        <w:rPr/>
        <w:t>.</w:t>
      </w:r>
    </w:p>
    <w:p>
      <w:pPr>
        <w:pStyle w:val="BodyText"/>
        <w:spacing w:before="7"/>
        <w:rPr>
          <w:sz w:val="35"/>
        </w:rPr>
      </w:pPr>
    </w:p>
    <w:p>
      <w:pPr>
        <w:pStyle w:val="Heading2"/>
        <w:numPr>
          <w:ilvl w:val="1"/>
          <w:numId w:val="3"/>
        </w:numPr>
        <w:tabs>
          <w:tab w:pos="624" w:val="left" w:leader="none"/>
        </w:tabs>
        <w:spacing w:line="240" w:lineRule="auto" w:before="1" w:after="0"/>
        <w:ind w:left="623" w:right="0" w:hanging="404"/>
        <w:jc w:val="both"/>
      </w:pPr>
      <w:r>
        <w:rPr/>
        <w:t>Streptococcus</w:t>
      </w:r>
      <w:r>
        <w:rPr>
          <w:spacing w:val="-14"/>
        </w:rPr>
        <w:t> </w:t>
      </w:r>
      <w:r>
        <w:rPr/>
        <w:t>spp.</w:t>
      </w:r>
    </w:p>
    <w:p>
      <w:pPr>
        <w:pStyle w:val="BodyText"/>
        <w:spacing w:before="11"/>
        <w:rPr>
          <w:b/>
          <w:sz w:val="31"/>
        </w:rPr>
      </w:pPr>
    </w:p>
    <w:p>
      <w:pPr>
        <w:pStyle w:val="BodyText"/>
        <w:spacing w:line="355" w:lineRule="auto"/>
        <w:ind w:left="219" w:right="217"/>
        <w:jc w:val="both"/>
      </w:pPr>
      <w:r>
        <w:rPr/>
        <w:t>Los </w:t>
      </w:r>
      <w:r>
        <w:rPr>
          <w:i/>
        </w:rPr>
        <w:t>estreptococcus </w:t>
      </w:r>
      <w:r>
        <w:rPr/>
        <w:t>son microorganismos sumamente difundidos que pueden provocar distintas patologías como consecuencia de sus productos o por el hecho de ser resistentes a la fagocitosis. Tienen forma esférica y están agrupados en cadenas de longitud variable. Tienen un diámetro que oscila entre 0.6 y 1μm. A veces adquieren un aspecto de </w:t>
      </w:r>
      <w:r>
        <w:rPr>
          <w:i/>
        </w:rPr>
        <w:t>diploestreptococcus</w:t>
      </w:r>
      <w:r>
        <w:rPr/>
        <w:t>. Son grampositivos, no esporulados, carecen de flagelos de modo que son inmóviles, presentan prolongaciones extracelulares del tipo de las fimbrias y pueden tener cápsula. Son catalasa negativos, se comportan como anaerobios facultativos o estrictos y producen ácido láctico</w:t>
      </w:r>
      <w:r>
        <w:rPr>
          <w:position w:val="11"/>
          <w:sz w:val="16"/>
        </w:rPr>
        <w:t>50</w:t>
      </w:r>
      <w:r>
        <w:rPr/>
        <w:t>.</w:t>
      </w:r>
    </w:p>
    <w:p>
      <w:pPr>
        <w:pStyle w:val="BodyText"/>
        <w:rPr>
          <w:sz w:val="35"/>
        </w:rPr>
      </w:pPr>
    </w:p>
    <w:p>
      <w:pPr>
        <w:pStyle w:val="BodyText"/>
        <w:spacing w:line="355" w:lineRule="auto"/>
        <w:ind w:left="219" w:right="215"/>
        <w:jc w:val="both"/>
      </w:pPr>
      <w:r>
        <w:rPr/>
        <w:t>Las clasificaciones que se han realizado para estas bacterias son innumerables y se basan en sus distintas características, las </w:t>
      </w:r>
      <w:r>
        <w:rPr>
          <w:spacing w:val="-3"/>
        </w:rPr>
        <w:t>más </w:t>
      </w:r>
      <w:r>
        <w:rPr/>
        <w:t>actuales tienen en cuenta la biología molecular. Una de las clasificaciones considera la capacidad de estos  para lisar los glóbulos rojos, lo que </w:t>
      </w:r>
      <w:r>
        <w:rPr>
          <w:spacing w:val="-3"/>
        </w:rPr>
        <w:t>se </w:t>
      </w:r>
      <w:r>
        <w:rPr/>
        <w:t>pone de manifiesto </w:t>
      </w:r>
      <w:r>
        <w:rPr>
          <w:spacing w:val="-3"/>
        </w:rPr>
        <w:t>si </w:t>
      </w:r>
      <w:r>
        <w:rPr/>
        <w:t>se siembra en placas que contengan agar sangre y se denominan β-hemolíticos. Otras especies dan lugar a un halo de color verdoso debido a una hemólisis parcial y se denominan </w:t>
      </w:r>
      <w:r>
        <w:rPr>
          <w:spacing w:val="8"/>
        </w:rPr>
        <w:t>α- </w:t>
      </w:r>
      <w:r>
        <w:rPr/>
        <w:t>hemolíticos y por último están aquellos que no producen cambios y se denominan gamma-hemolíticos</w:t>
      </w:r>
      <w:r>
        <w:rPr>
          <w:position w:val="11"/>
          <w:sz w:val="16"/>
        </w:rPr>
        <w:t>51,53</w:t>
      </w:r>
      <w:r>
        <w:rPr/>
        <w:t>.</w:t>
      </w:r>
    </w:p>
    <w:p>
      <w:pPr>
        <w:pStyle w:val="BodyText"/>
        <w:rPr>
          <w:sz w:val="35"/>
        </w:rPr>
      </w:pPr>
    </w:p>
    <w:p>
      <w:pPr>
        <w:pStyle w:val="BodyText"/>
        <w:spacing w:line="360" w:lineRule="auto" w:before="1"/>
        <w:ind w:left="219" w:right="219"/>
        <w:jc w:val="both"/>
      </w:pPr>
      <w:r>
        <w:rPr/>
        <w:t>Los </w:t>
      </w:r>
      <w:r>
        <w:rPr>
          <w:i/>
        </w:rPr>
        <w:t>estreptococos </w:t>
      </w:r>
      <w:r>
        <w:rPr/>
        <w:t>son especies residentes de la boca que se encuentran aumentados en la saliva de los niños y que colonizan el tracto gastrointestinal, la vagina y el aparato respiratorio superior. Algunas cepas son altamente patógenas mientras que otras se comportan como comensales. La transmisión tiene lugar por contacto directo en forma horizontal o vertical en el momento del nacimiento. Las enfermedades generadas por este grupo de bacterias son sumamente variadas y pueden afectar cualquier órgano o tejido. Se les puede clasificar desde distintos</w:t>
      </w:r>
    </w:p>
    <w:p>
      <w:pPr>
        <w:spacing w:after="0" w:line="360" w:lineRule="auto"/>
        <w:jc w:val="both"/>
        <w:sectPr>
          <w:footerReference w:type="default" r:id="rId11"/>
          <w:pgSz w:w="12240" w:h="15840"/>
          <w:pgMar w:footer="1012" w:header="731" w:top="1160" w:bottom="1200" w:left="1480" w:right="1480"/>
        </w:sectPr>
      </w:pPr>
    </w:p>
    <w:p>
      <w:pPr>
        <w:pStyle w:val="BodyText"/>
        <w:spacing w:before="11"/>
        <w:rPr>
          <w:sz w:val="16"/>
        </w:rPr>
      </w:pPr>
    </w:p>
    <w:p>
      <w:pPr>
        <w:pStyle w:val="BodyText"/>
        <w:spacing w:line="333" w:lineRule="auto" w:before="69"/>
        <w:ind w:left="219" w:right="218"/>
        <w:jc w:val="both"/>
      </w:pPr>
      <w:r>
        <w:rPr/>
        <w:t>puntos de vista pero lo más usual es que se consideren dentro de dos grandes categorías: las estreptocócicas y las posestreptocócicas</w:t>
      </w:r>
      <w:r>
        <w:rPr>
          <w:position w:val="11"/>
          <w:sz w:val="16"/>
        </w:rPr>
        <w:t>52</w:t>
      </w:r>
      <w:r>
        <w:rPr/>
        <w:t>.</w:t>
      </w:r>
    </w:p>
    <w:p>
      <w:pPr>
        <w:pStyle w:val="BodyText"/>
        <w:spacing w:before="5"/>
        <w:rPr>
          <w:sz w:val="37"/>
        </w:rPr>
      </w:pPr>
    </w:p>
    <w:p>
      <w:pPr>
        <w:pStyle w:val="BodyText"/>
        <w:spacing w:line="360" w:lineRule="auto"/>
        <w:ind w:left="219" w:right="217"/>
        <w:jc w:val="both"/>
      </w:pPr>
      <w:r>
        <w:rPr/>
        <w:t>Las enfermedades estreptocócicas se agrupan según el grupo de </w:t>
      </w:r>
      <w:r>
        <w:rPr>
          <w:i/>
        </w:rPr>
        <w:t>estreptococos </w:t>
      </w:r>
      <w:r>
        <w:rPr/>
        <w:t>que las producen y según su localización y evolución. </w:t>
      </w:r>
      <w:r>
        <w:rPr>
          <w:spacing w:val="-4"/>
        </w:rPr>
        <w:t>El </w:t>
      </w:r>
      <w:r>
        <w:rPr>
          <w:spacing w:val="-3"/>
        </w:rPr>
        <w:t>más </w:t>
      </w:r>
      <w:r>
        <w:rPr/>
        <w:t>importante es el </w:t>
      </w:r>
      <w:r>
        <w:rPr>
          <w:i/>
        </w:rPr>
        <w:t>estreptococo β-hemolítico </w:t>
      </w:r>
      <w:r>
        <w:rPr/>
        <w:t>del grupo A conocido como </w:t>
      </w:r>
      <w:r>
        <w:rPr>
          <w:i/>
        </w:rPr>
        <w:t>Streptococcus  pyogenes </w:t>
      </w:r>
      <w:r>
        <w:rPr/>
        <w:t>que ocasiona cuadros por invasión como la erisipela, la fiebre puerperal y la  sepsis y por acción local provoca faringitis, impétigo y glomerulonefritis. Las enfermedades posestreptocócicas son las que se padecen como consecuencia de haber sufrido alguna enfermedad estreptocócica previa como la fiebre reumática</w:t>
      </w:r>
      <w:r>
        <w:rPr>
          <w:spacing w:val="47"/>
        </w:rPr>
        <w:t> </w:t>
      </w:r>
      <w:r>
        <w:rPr/>
        <w:t>y</w:t>
      </w:r>
    </w:p>
    <w:p>
      <w:pPr>
        <w:pStyle w:val="BodyText"/>
        <w:spacing w:line="279" w:lineRule="exact"/>
        <w:ind w:left="219"/>
        <w:jc w:val="both"/>
      </w:pPr>
      <w:r>
        <w:rPr/>
        <w:t>la glomerulonefritis</w:t>
      </w:r>
      <w:r>
        <w:rPr>
          <w:position w:val="11"/>
          <w:sz w:val="16"/>
        </w:rPr>
        <w:t>51</w:t>
      </w:r>
      <w:r>
        <w:rPr/>
        <w:t>.</w:t>
      </w:r>
    </w:p>
    <w:p>
      <w:pPr>
        <w:pStyle w:val="BodyText"/>
        <w:rPr>
          <w:sz w:val="28"/>
        </w:rPr>
      </w:pPr>
    </w:p>
    <w:p>
      <w:pPr>
        <w:pStyle w:val="BodyText"/>
        <w:spacing w:line="350" w:lineRule="auto" w:before="227"/>
        <w:ind w:left="219" w:right="221"/>
        <w:jc w:val="both"/>
      </w:pPr>
      <w:r>
        <w:rPr/>
        <w:t>Su prevención consiste básicamente en tratar cuanto antes a las personas afectadas y evitar el contacto con ellas. Los portadores nasales o los niños con infecciones cutáneas así como aquellos con faringitis sin tratar son peligrosos porque actúan como amplificadores o diseminadores del microorganismo</w:t>
      </w:r>
      <w:r>
        <w:rPr>
          <w:position w:val="11"/>
          <w:sz w:val="16"/>
        </w:rPr>
        <w:t>50</w:t>
      </w:r>
      <w:r>
        <w:rPr/>
        <w:t>.</w:t>
      </w:r>
    </w:p>
    <w:p>
      <w:pPr>
        <w:pStyle w:val="BodyText"/>
        <w:rPr>
          <w:sz w:val="28"/>
        </w:rPr>
      </w:pPr>
    </w:p>
    <w:p>
      <w:pPr>
        <w:pStyle w:val="BodyText"/>
        <w:rPr>
          <w:sz w:val="28"/>
        </w:rPr>
      </w:pPr>
    </w:p>
    <w:p>
      <w:pPr>
        <w:pStyle w:val="Heading3"/>
        <w:numPr>
          <w:ilvl w:val="1"/>
          <w:numId w:val="3"/>
        </w:numPr>
        <w:tabs>
          <w:tab w:pos="624" w:val="left" w:leader="none"/>
        </w:tabs>
        <w:spacing w:line="240" w:lineRule="auto" w:before="183" w:after="0"/>
        <w:ind w:left="623" w:right="0" w:hanging="404"/>
        <w:jc w:val="both"/>
        <w:rPr>
          <w:i/>
        </w:rPr>
      </w:pPr>
      <w:r>
        <w:rPr>
          <w:i/>
        </w:rPr>
        <w:t>Escherichia</w:t>
      </w:r>
      <w:r>
        <w:rPr>
          <w:i/>
          <w:spacing w:val="-10"/>
        </w:rPr>
        <w:t> </w:t>
      </w:r>
      <w:r>
        <w:rPr>
          <w:i/>
        </w:rPr>
        <w:t>coli</w:t>
      </w:r>
    </w:p>
    <w:p>
      <w:pPr>
        <w:pStyle w:val="BodyText"/>
        <w:spacing w:before="1"/>
        <w:rPr>
          <w:b/>
          <w:i/>
          <w:sz w:val="31"/>
        </w:rPr>
      </w:pPr>
    </w:p>
    <w:p>
      <w:pPr>
        <w:pStyle w:val="BodyText"/>
        <w:spacing w:line="355" w:lineRule="auto"/>
        <w:ind w:left="219" w:right="216"/>
        <w:jc w:val="both"/>
      </w:pPr>
      <w:r>
        <w:rPr/>
        <w:t>Las enterobacterias son un vasto grupo de bacilos gramnegativos cuyo hábitat natural es el intestino humano y animal. Se han definido más de 25 géneros y 110 especies, sin embargo las enterobacterias clínicamente significativas comprenden 20 a 25 especies. </w:t>
      </w:r>
      <w:r>
        <w:rPr>
          <w:i/>
        </w:rPr>
        <w:t>Escherichia coli </w:t>
      </w:r>
      <w:r>
        <w:rPr/>
        <w:t>es un miembro de la flora intestinal normal y es la más frecuente. Es la causa más común de infección del aparato urinario y del 99% de las infecciones urinarias primarias en mujeres jóvenes. Los síntomas y signos incluyen poliuria, disuria, hematuria y piuria. Es también la causante más común de diarrea en todo el mundo</w:t>
      </w:r>
      <w:r>
        <w:rPr>
          <w:position w:val="11"/>
          <w:sz w:val="16"/>
        </w:rPr>
        <w:t>50</w:t>
      </w:r>
      <w:r>
        <w:rPr/>
        <w:t>.</w:t>
      </w:r>
    </w:p>
    <w:p>
      <w:pPr>
        <w:pStyle w:val="BodyText"/>
        <w:spacing w:before="1"/>
        <w:rPr>
          <w:sz w:val="35"/>
        </w:rPr>
      </w:pPr>
    </w:p>
    <w:p>
      <w:pPr>
        <w:pStyle w:val="BodyText"/>
        <w:spacing w:line="360" w:lineRule="auto"/>
        <w:ind w:left="219" w:right="224"/>
        <w:jc w:val="both"/>
      </w:pPr>
      <w:r>
        <w:rPr/>
        <w:t>La presencia de este microorganismo en el agua o la leche </w:t>
      </w:r>
      <w:r>
        <w:rPr>
          <w:spacing w:val="-3"/>
        </w:rPr>
        <w:t>se </w:t>
      </w:r>
      <w:r>
        <w:rPr/>
        <w:t>acepta </w:t>
      </w:r>
      <w:r>
        <w:rPr>
          <w:spacing w:val="-4"/>
        </w:rPr>
        <w:t>como</w:t>
      </w:r>
      <w:r>
        <w:rPr>
          <w:spacing w:val="58"/>
        </w:rPr>
        <w:t> </w:t>
      </w:r>
      <w:r>
        <w:rPr/>
        <w:t>prueba de contaminación fecal por aguas negras u otras fuentes. Es una bacteria entérica  oportunista  que  causa  enfermedad  cuando  se  introduce  en</w:t>
      </w:r>
      <w:r>
        <w:rPr>
          <w:spacing w:val="-16"/>
        </w:rPr>
        <w:t> </w:t>
      </w:r>
      <w:r>
        <w:rPr/>
        <w:t>pacientes</w:t>
      </w:r>
    </w:p>
    <w:p>
      <w:pPr>
        <w:spacing w:after="0" w:line="360" w:lineRule="auto"/>
        <w:jc w:val="both"/>
        <w:sectPr>
          <w:footerReference w:type="default" r:id="rId12"/>
          <w:pgSz w:w="12240" w:h="15840"/>
          <w:pgMar w:footer="1012" w:header="731" w:top="1160" w:bottom="1200" w:left="1480" w:right="1480"/>
          <w:pgNumType w:start="21"/>
        </w:sectPr>
      </w:pPr>
    </w:p>
    <w:p>
      <w:pPr>
        <w:pStyle w:val="BodyText"/>
        <w:spacing w:before="11"/>
        <w:rPr>
          <w:sz w:val="16"/>
        </w:rPr>
      </w:pPr>
    </w:p>
    <w:p>
      <w:pPr>
        <w:pStyle w:val="BodyText"/>
        <w:spacing w:line="350" w:lineRule="auto" w:before="69"/>
        <w:ind w:left="219" w:right="220"/>
        <w:jc w:val="both"/>
      </w:pPr>
      <w:r>
        <w:rPr/>
        <w:t>debilitados. En hospitales u otras instituciones suele transmitirse por el personal, instrumentos o por medicación parenteral. Su control depende del lavado de manos, asepsis rigurosa, esterilización del equipo, desinfección y precauciones higiénicas estrictas</w:t>
      </w:r>
      <w:r>
        <w:rPr>
          <w:position w:val="11"/>
          <w:sz w:val="16"/>
        </w:rPr>
        <w:t>50</w:t>
      </w:r>
      <w:r>
        <w:rPr/>
        <w:t>.</w:t>
      </w:r>
    </w:p>
    <w:p>
      <w:pPr>
        <w:pStyle w:val="BodyText"/>
        <w:rPr>
          <w:sz w:val="28"/>
        </w:rPr>
      </w:pPr>
    </w:p>
    <w:p>
      <w:pPr>
        <w:pStyle w:val="BodyText"/>
        <w:rPr>
          <w:sz w:val="28"/>
        </w:rPr>
      </w:pPr>
    </w:p>
    <w:p>
      <w:pPr>
        <w:pStyle w:val="Heading3"/>
        <w:numPr>
          <w:ilvl w:val="1"/>
          <w:numId w:val="3"/>
        </w:numPr>
        <w:tabs>
          <w:tab w:pos="624" w:val="left" w:leader="none"/>
        </w:tabs>
        <w:spacing w:line="240" w:lineRule="auto" w:before="183" w:after="0"/>
        <w:ind w:left="623" w:right="0" w:hanging="404"/>
        <w:jc w:val="both"/>
        <w:rPr>
          <w:i/>
        </w:rPr>
      </w:pPr>
      <w:r>
        <w:rPr>
          <w:i/>
        </w:rPr>
        <w:t>Candida</w:t>
      </w:r>
      <w:r>
        <w:rPr>
          <w:i/>
          <w:spacing w:val="-6"/>
        </w:rPr>
        <w:t> </w:t>
      </w:r>
      <w:r>
        <w:rPr>
          <w:i/>
        </w:rPr>
        <w:t>albicans</w:t>
      </w:r>
    </w:p>
    <w:p>
      <w:pPr>
        <w:pStyle w:val="BodyText"/>
        <w:spacing w:before="1"/>
        <w:rPr>
          <w:b/>
          <w:i/>
          <w:sz w:val="31"/>
        </w:rPr>
      </w:pPr>
    </w:p>
    <w:p>
      <w:pPr>
        <w:pStyle w:val="BodyText"/>
        <w:spacing w:line="360" w:lineRule="auto"/>
        <w:ind w:left="219" w:right="215"/>
        <w:jc w:val="both"/>
      </w:pPr>
      <w:r>
        <w:rPr>
          <w:i/>
        </w:rPr>
        <w:t>Candida </w:t>
      </w:r>
      <w:r>
        <w:rPr/>
        <w:t>es un género de hongos unicelulares también llamados levaduras, varias especies de este género pueden causar candidiasis. Son miembros de la flora normal de la piel, las mucosas y el aparato gastrointestinal por lo que el riesgo de infección siempre está presente. La candidiasis es la micosis sistémica </w:t>
      </w:r>
      <w:r>
        <w:rPr>
          <w:spacing w:val="-3"/>
        </w:rPr>
        <w:t>más </w:t>
      </w:r>
      <w:r>
        <w:rPr/>
        <w:t>común. En cultivo crecen </w:t>
      </w:r>
      <w:r>
        <w:rPr>
          <w:spacing w:val="-4"/>
        </w:rPr>
        <w:t>como</w:t>
      </w:r>
      <w:r>
        <w:rPr>
          <w:spacing w:val="58"/>
        </w:rPr>
        <w:t> </w:t>
      </w:r>
      <w:r>
        <w:rPr/>
        <w:t>levaduras ovales en gemación formando pseudohifas.  La especie de </w:t>
      </w:r>
      <w:r>
        <w:rPr>
          <w:i/>
        </w:rPr>
        <w:t>Candida </w:t>
      </w:r>
      <w:r>
        <w:rPr>
          <w:spacing w:val="-3"/>
        </w:rPr>
        <w:t>más </w:t>
      </w:r>
      <w:r>
        <w:rPr/>
        <w:t>significativa por </w:t>
      </w:r>
      <w:r>
        <w:rPr>
          <w:spacing w:val="-3"/>
        </w:rPr>
        <w:t>su </w:t>
      </w:r>
      <w:r>
        <w:rPr/>
        <w:t>importancia clínica  es </w:t>
      </w:r>
      <w:r>
        <w:rPr>
          <w:i/>
        </w:rPr>
        <w:t>Candida albicans</w:t>
      </w:r>
      <w:r>
        <w:rPr/>
        <w:t>. Sobre medios de agar producen colonias blandas de color cremoso con olor a levadura. En el estado saprófito se encuentra en forma de levadura, célula redondeada u ovalada de 2 a 4 micras, con paredes finas. En el estado parasitario </w:t>
      </w:r>
      <w:r>
        <w:rPr>
          <w:spacing w:val="-3"/>
        </w:rPr>
        <w:t>forma </w:t>
      </w:r>
      <w:r>
        <w:rPr/>
        <w:t>filamentos con extremos redondos de 3 a 5 micras de diámetro, de longitud variable, pues los brotes no se separan de la célula madre y toman así una forma cilíndrica, formando una pseudomicela. La apariencia microscópica de todas las especies de </w:t>
      </w:r>
      <w:r>
        <w:rPr>
          <w:i/>
        </w:rPr>
        <w:t>Candida </w:t>
      </w:r>
      <w:r>
        <w:rPr/>
        <w:t>es similar; todas las levaduras son grampositivas. Microscópicamente, </w:t>
      </w:r>
      <w:r>
        <w:rPr>
          <w:i/>
        </w:rPr>
        <w:t>C. albicans </w:t>
      </w:r>
      <w:r>
        <w:rPr/>
        <w:t>presenta dimorfismo, el </w:t>
      </w:r>
      <w:r>
        <w:rPr>
          <w:spacing w:val="-3"/>
        </w:rPr>
        <w:t>cual  </w:t>
      </w:r>
      <w:r>
        <w:rPr/>
        <w:t>es una transformación de la forma ovoide de las blastosporas (levaduras) gemantes</w:t>
      </w:r>
      <w:r>
        <w:rPr>
          <w:spacing w:val="-25"/>
        </w:rPr>
        <w:t> </w:t>
      </w:r>
      <w:r>
        <w:rPr/>
        <w:t>a</w:t>
      </w:r>
    </w:p>
    <w:p>
      <w:pPr>
        <w:spacing w:line="284" w:lineRule="exact" w:before="0"/>
        <w:ind w:left="219" w:right="0" w:firstLine="0"/>
        <w:jc w:val="both"/>
        <w:rPr>
          <w:sz w:val="24"/>
        </w:rPr>
      </w:pPr>
      <w:r>
        <w:rPr>
          <w:sz w:val="24"/>
        </w:rPr>
        <w:t>hifas</w:t>
      </w:r>
      <w:r>
        <w:rPr>
          <w:position w:val="11"/>
          <w:sz w:val="16"/>
        </w:rPr>
        <w:t>50-53</w:t>
      </w:r>
      <w:r>
        <w:rPr>
          <w:sz w:val="24"/>
        </w:rPr>
        <w:t>.</w:t>
      </w:r>
    </w:p>
    <w:p>
      <w:pPr>
        <w:pStyle w:val="BodyText"/>
        <w:spacing w:line="360" w:lineRule="auto" w:before="137"/>
        <w:ind w:left="219" w:right="217"/>
        <w:jc w:val="both"/>
      </w:pPr>
      <w:r>
        <w:rPr/>
        <w:t>Está claramente demostrado que de las diversas especies pertenecientes al género </w:t>
      </w:r>
      <w:r>
        <w:rPr>
          <w:i/>
        </w:rPr>
        <w:t>Candida </w:t>
      </w:r>
      <w:r>
        <w:rPr/>
        <w:t>que producen infecciones en la cavidad bucal humana, es </w:t>
      </w:r>
      <w:r>
        <w:rPr>
          <w:i/>
        </w:rPr>
        <w:t>C. </w:t>
      </w:r>
      <w:r>
        <w:rPr>
          <w:i/>
        </w:rPr>
        <w:t>albicans </w:t>
      </w:r>
      <w:r>
        <w:rPr/>
        <w:t>la especie más virulenta y la que se encuentra presente en la mayoría de los casos. No obstante, otras especies del género </w:t>
      </w:r>
      <w:r>
        <w:rPr>
          <w:i/>
        </w:rPr>
        <w:t>Candida </w:t>
      </w:r>
      <w:r>
        <w:rPr/>
        <w:t>menos virulentas    que</w:t>
      </w:r>
    </w:p>
    <w:p>
      <w:pPr>
        <w:spacing w:line="343" w:lineRule="auto" w:before="3"/>
        <w:ind w:left="219" w:right="223" w:firstLine="0"/>
        <w:jc w:val="both"/>
        <w:rPr>
          <w:i/>
          <w:sz w:val="24"/>
        </w:rPr>
      </w:pPr>
      <w:r>
        <w:rPr>
          <w:i/>
          <w:sz w:val="24"/>
        </w:rPr>
        <w:t>C. albicans</w:t>
      </w:r>
      <w:r>
        <w:rPr>
          <w:sz w:val="24"/>
        </w:rPr>
        <w:t>, también pueden encontrarse implicadas en procesos infecciosos de la cavidad bucal, entre estas: </w:t>
      </w:r>
      <w:r>
        <w:rPr>
          <w:i/>
          <w:sz w:val="24"/>
        </w:rPr>
        <w:t>C. tropicalis, C. glabrata, C. parapsilosis, C. kefyr, C. </w:t>
      </w:r>
      <w:r>
        <w:rPr>
          <w:i/>
          <w:sz w:val="24"/>
        </w:rPr>
        <w:t>krusei y C. guillermondi</w:t>
      </w:r>
      <w:r>
        <w:rPr>
          <w:i/>
          <w:position w:val="11"/>
          <w:sz w:val="16"/>
        </w:rPr>
        <w:t>50</w:t>
      </w:r>
      <w:r>
        <w:rPr>
          <w:i/>
          <w:sz w:val="24"/>
        </w:rPr>
        <w:t>.</w:t>
      </w:r>
    </w:p>
    <w:p>
      <w:pPr>
        <w:spacing w:after="0" w:line="343" w:lineRule="auto"/>
        <w:jc w:val="both"/>
        <w:rPr>
          <w:sz w:val="24"/>
        </w:rPr>
        <w:sectPr>
          <w:pgSz w:w="12240" w:h="15840"/>
          <w:pgMar w:header="731" w:footer="1012" w:top="1160" w:bottom="1200" w:left="1480" w:right="1480"/>
        </w:sectPr>
      </w:pPr>
    </w:p>
    <w:p>
      <w:pPr>
        <w:pStyle w:val="BodyText"/>
        <w:spacing w:before="11"/>
        <w:rPr>
          <w:i/>
          <w:sz w:val="16"/>
        </w:rPr>
      </w:pPr>
    </w:p>
    <w:p>
      <w:pPr>
        <w:pStyle w:val="Heading3"/>
        <w:numPr>
          <w:ilvl w:val="1"/>
          <w:numId w:val="3"/>
        </w:numPr>
        <w:tabs>
          <w:tab w:pos="624" w:val="left" w:leader="none"/>
        </w:tabs>
        <w:spacing w:line="240" w:lineRule="auto" w:before="69" w:after="0"/>
        <w:ind w:left="623" w:right="0" w:hanging="404"/>
        <w:jc w:val="both"/>
        <w:rPr>
          <w:i/>
        </w:rPr>
      </w:pPr>
      <w:r>
        <w:rPr>
          <w:i/>
        </w:rPr>
        <w:t>Legionella</w:t>
      </w:r>
      <w:r>
        <w:rPr>
          <w:i/>
          <w:spacing w:val="-14"/>
        </w:rPr>
        <w:t> </w:t>
      </w:r>
      <w:r>
        <w:rPr>
          <w:i/>
        </w:rPr>
        <w:t>pneumophila</w:t>
      </w:r>
    </w:p>
    <w:p>
      <w:pPr>
        <w:pStyle w:val="BodyText"/>
        <w:spacing w:before="6"/>
        <w:rPr>
          <w:b/>
          <w:i/>
          <w:sz w:val="31"/>
        </w:rPr>
      </w:pPr>
    </w:p>
    <w:p>
      <w:pPr>
        <w:pStyle w:val="BodyText"/>
        <w:spacing w:line="355" w:lineRule="auto"/>
        <w:ind w:left="219" w:right="219"/>
        <w:jc w:val="both"/>
        <w:rPr>
          <w:i/>
        </w:rPr>
      </w:pPr>
      <w:r>
        <w:rPr/>
        <w:t>Durante el verano de 1976, se documentó una epidemia explosiva de neumonía  de etiología desconocida entre las personas que concurrieron a una convención  de la American legión en Philadelphia. Esta enfermedad polisistémica, que también se asociaba con una neumonía, se designó con el nombre de enfermedad de los legionarios. Se documentaron 182 casos en total, 29 de estos pacientes fallecieron. A principios de enero de 1977, el Dr. Joseph McDade, de los Centers for Disease Control (CDC), aisló el agente etiológico de este trastorno. Este descubrimiento resolvió un </w:t>
      </w:r>
      <w:r>
        <w:rPr>
          <w:spacing w:val="-2"/>
        </w:rPr>
        <w:t>enigma </w:t>
      </w:r>
      <w:r>
        <w:rPr/>
        <w:t>médico importante y dío lugar a la creación de una nueva familia de bacterias: las</w:t>
      </w:r>
      <w:r>
        <w:rPr>
          <w:spacing w:val="-21"/>
        </w:rPr>
        <w:t> </w:t>
      </w:r>
      <w:r>
        <w:rPr>
          <w:i/>
        </w:rPr>
        <w:t>legionellaceae</w:t>
      </w:r>
      <w:r>
        <w:rPr>
          <w:i/>
          <w:position w:val="11"/>
          <w:sz w:val="16"/>
        </w:rPr>
        <w:t>53</w:t>
      </w:r>
      <w:r>
        <w:rPr>
          <w:i/>
        </w:rPr>
        <w:t>.</w:t>
      </w:r>
    </w:p>
    <w:p>
      <w:pPr>
        <w:pStyle w:val="BodyText"/>
        <w:rPr>
          <w:i/>
          <w:sz w:val="35"/>
        </w:rPr>
      </w:pPr>
    </w:p>
    <w:p>
      <w:pPr>
        <w:pStyle w:val="BodyText"/>
        <w:spacing w:line="360" w:lineRule="auto"/>
        <w:ind w:left="219" w:right="214"/>
        <w:jc w:val="both"/>
      </w:pPr>
      <w:r>
        <w:rPr/>
        <w:t>En la actualidad, se conocen 41 especies de </w:t>
      </w:r>
      <w:r>
        <w:rPr>
          <w:i/>
        </w:rPr>
        <w:t>Legionella </w:t>
      </w:r>
      <w:r>
        <w:rPr/>
        <w:t>aisladas de muestras clínicas humanas o de fuentes ambientales. Las especies de </w:t>
      </w:r>
      <w:r>
        <w:rPr>
          <w:i/>
        </w:rPr>
        <w:t>Legionella </w:t>
      </w:r>
      <w:r>
        <w:rPr/>
        <w:t>son  bacilos Gramnegativos no formadores de esporas y estrechos (0.3 a 0.9μm de ancho) que varían entre formas cortas de 1.5μm a 2 </w:t>
      </w:r>
      <w:r>
        <w:rPr>
          <w:spacing w:val="2"/>
        </w:rPr>
        <w:t>μm </w:t>
      </w:r>
      <w:r>
        <w:rPr/>
        <w:t>de largo y filamentos de mayor longitud. Los extendidos directos de muestras clínicas generalmente revelan formas cortas y delgadas o cocobacilos, pero la longitud es </w:t>
      </w:r>
      <w:r>
        <w:rPr>
          <w:spacing w:val="-3"/>
        </w:rPr>
        <w:t>más </w:t>
      </w:r>
      <w:r>
        <w:rPr/>
        <w:t>variable en medios de cultivo y no es raro que se detecten </w:t>
      </w:r>
      <w:r>
        <w:rPr>
          <w:spacing w:val="-2"/>
        </w:rPr>
        <w:t>formas </w:t>
      </w:r>
      <w:r>
        <w:rPr/>
        <w:t>de </w:t>
      </w:r>
      <w:r>
        <w:rPr>
          <w:spacing w:val="-3"/>
        </w:rPr>
        <w:t>más </w:t>
      </w:r>
      <w:r>
        <w:rPr/>
        <w:t>de 20μm de largo. Se tiñen </w:t>
      </w:r>
      <w:r>
        <w:rPr>
          <w:spacing w:val="-3"/>
        </w:rPr>
        <w:t>más </w:t>
      </w:r>
      <w:r>
        <w:rPr/>
        <w:t>fácilmente con las técnicas de Giemsa y Gram-weigter que por la técnica de Gram en preparaciones por contacto de impronta de tejido fresco. Son aerobias y exigentes desde el punto de vista nutricional. Estas bacterias requieren L-Cisteína y sales de hierro para su crecimiento, sustancias que están presentes en el medio agar-extracto de levadura-carbón amortiguado (BCYEα) y no crecen en los medios de agar sangre. </w:t>
      </w:r>
      <w:r>
        <w:rPr>
          <w:spacing w:val="-4"/>
        </w:rPr>
        <w:t>El </w:t>
      </w:r>
      <w:r>
        <w:rPr/>
        <w:t>desarrollo en BCYE y ausencia de desarrollo</w:t>
      </w:r>
      <w:r>
        <w:rPr>
          <w:spacing w:val="24"/>
        </w:rPr>
        <w:t> </w:t>
      </w:r>
      <w:r>
        <w:rPr/>
        <w:t>en</w:t>
      </w:r>
      <w:r>
        <w:rPr>
          <w:spacing w:val="24"/>
        </w:rPr>
        <w:t> </w:t>
      </w:r>
      <w:r>
        <w:rPr/>
        <w:t>agar</w:t>
      </w:r>
      <w:r>
        <w:rPr>
          <w:spacing w:val="24"/>
        </w:rPr>
        <w:t> </w:t>
      </w:r>
      <w:r>
        <w:rPr/>
        <w:t>sangre</w:t>
      </w:r>
      <w:r>
        <w:rPr>
          <w:spacing w:val="24"/>
        </w:rPr>
        <w:t> </w:t>
      </w:r>
      <w:r>
        <w:rPr/>
        <w:t>es</w:t>
      </w:r>
      <w:r>
        <w:rPr>
          <w:spacing w:val="23"/>
        </w:rPr>
        <w:t> </w:t>
      </w:r>
      <w:r>
        <w:rPr/>
        <w:t>uno</w:t>
      </w:r>
      <w:r>
        <w:rPr>
          <w:spacing w:val="24"/>
        </w:rPr>
        <w:t> </w:t>
      </w:r>
      <w:r>
        <w:rPr/>
        <w:t>de</w:t>
      </w:r>
      <w:r>
        <w:rPr>
          <w:spacing w:val="19"/>
        </w:rPr>
        <w:t> </w:t>
      </w:r>
      <w:r>
        <w:rPr/>
        <w:t>los</w:t>
      </w:r>
      <w:r>
        <w:rPr>
          <w:spacing w:val="23"/>
        </w:rPr>
        <w:t> </w:t>
      </w:r>
      <w:r>
        <w:rPr/>
        <w:t>hallazgos</w:t>
      </w:r>
      <w:r>
        <w:rPr>
          <w:spacing w:val="23"/>
        </w:rPr>
        <w:t> </w:t>
      </w:r>
      <w:r>
        <w:rPr/>
        <w:t>presuntivos</w:t>
      </w:r>
      <w:r>
        <w:rPr>
          <w:spacing w:val="23"/>
        </w:rPr>
        <w:t> </w:t>
      </w:r>
      <w:r>
        <w:rPr/>
        <w:t>que</w:t>
      </w:r>
      <w:r>
        <w:rPr>
          <w:spacing w:val="24"/>
        </w:rPr>
        <w:t> </w:t>
      </w:r>
      <w:r>
        <w:rPr>
          <w:spacing w:val="-3"/>
        </w:rPr>
        <w:t>más</w:t>
      </w:r>
      <w:r>
        <w:rPr>
          <w:spacing w:val="23"/>
        </w:rPr>
        <w:t> </w:t>
      </w:r>
      <w:r>
        <w:rPr>
          <w:spacing w:val="2"/>
        </w:rPr>
        <w:t>orientan</w:t>
      </w:r>
    </w:p>
    <w:p>
      <w:pPr>
        <w:spacing w:line="279" w:lineRule="exact" w:before="0"/>
        <w:ind w:left="219" w:right="0" w:firstLine="0"/>
        <w:jc w:val="both"/>
        <w:rPr>
          <w:sz w:val="24"/>
        </w:rPr>
      </w:pPr>
      <w:r>
        <w:rPr>
          <w:sz w:val="24"/>
        </w:rPr>
        <w:t>hacia la presencia de </w:t>
      </w:r>
      <w:r>
        <w:rPr>
          <w:i/>
          <w:sz w:val="24"/>
        </w:rPr>
        <w:t>Legionella</w:t>
      </w:r>
      <w:r>
        <w:rPr>
          <w:i/>
          <w:position w:val="11"/>
          <w:sz w:val="16"/>
        </w:rPr>
        <w:t>51,52</w:t>
      </w:r>
      <w:r>
        <w:rPr>
          <w:sz w:val="24"/>
        </w:rPr>
        <w:t>.</w:t>
      </w:r>
    </w:p>
    <w:p>
      <w:pPr>
        <w:pStyle w:val="BodyText"/>
        <w:rPr>
          <w:sz w:val="28"/>
        </w:rPr>
      </w:pPr>
    </w:p>
    <w:p>
      <w:pPr>
        <w:pStyle w:val="BodyText"/>
        <w:spacing w:line="360" w:lineRule="auto" w:before="233"/>
        <w:ind w:left="219" w:right="218"/>
        <w:jc w:val="both"/>
      </w:pPr>
      <w:r>
        <w:rPr/>
        <w:t>La </w:t>
      </w:r>
      <w:r>
        <w:rPr>
          <w:i/>
        </w:rPr>
        <w:t>Legionella</w:t>
      </w:r>
      <w:r>
        <w:rPr/>
        <w:t>, no fermenta ni oxida los carbohidratos, produce ácidos grasos de cadena ramificada y la mayoría de las especies son débilmente positivas para catalasa  y  peroxidasa.  La  prueba  de  hidrólisis  del  hipurato  de  sodio,  que</w:t>
      </w:r>
      <w:r>
        <w:rPr>
          <w:spacing w:val="62"/>
        </w:rPr>
        <w:t> </w:t>
      </w:r>
      <w:r>
        <w:rPr/>
        <w:t>es</w:t>
      </w:r>
    </w:p>
    <w:p>
      <w:pPr>
        <w:spacing w:after="0" w:line="360" w:lineRule="auto"/>
        <w:jc w:val="both"/>
        <w:sectPr>
          <w:pgSz w:w="12240" w:h="15840"/>
          <w:pgMar w:header="731" w:footer="1012" w:top="1160" w:bottom="1200" w:left="1480" w:right="1480"/>
        </w:sectPr>
      </w:pPr>
    </w:p>
    <w:p>
      <w:pPr>
        <w:pStyle w:val="BodyText"/>
        <w:spacing w:before="11"/>
        <w:rPr>
          <w:sz w:val="16"/>
        </w:rPr>
      </w:pPr>
    </w:p>
    <w:p>
      <w:pPr>
        <w:spacing w:line="362" w:lineRule="auto" w:before="69"/>
        <w:ind w:left="219" w:right="218" w:firstLine="0"/>
        <w:jc w:val="both"/>
        <w:rPr>
          <w:sz w:val="24"/>
        </w:rPr>
      </w:pPr>
      <w:r>
        <w:rPr>
          <w:sz w:val="24"/>
        </w:rPr>
        <w:t>positiva para </w:t>
      </w:r>
      <w:r>
        <w:rPr>
          <w:i/>
          <w:sz w:val="24"/>
        </w:rPr>
        <w:t>L. pneumophila </w:t>
      </w:r>
      <w:r>
        <w:rPr>
          <w:sz w:val="24"/>
        </w:rPr>
        <w:t>y negativa para las otras especies de </w:t>
      </w:r>
      <w:r>
        <w:rPr>
          <w:i/>
          <w:sz w:val="24"/>
        </w:rPr>
        <w:t>Legionella </w:t>
      </w:r>
      <w:r>
        <w:rPr>
          <w:sz w:val="24"/>
        </w:rPr>
        <w:t>es un procedimiento útil para su diferenciación.</w:t>
      </w:r>
    </w:p>
    <w:p>
      <w:pPr>
        <w:pStyle w:val="BodyText"/>
        <w:spacing w:before="11"/>
        <w:rPr>
          <w:sz w:val="35"/>
        </w:rPr>
      </w:pPr>
    </w:p>
    <w:p>
      <w:pPr>
        <w:pStyle w:val="BodyText"/>
        <w:spacing w:line="360" w:lineRule="auto"/>
        <w:ind w:left="219" w:right="215"/>
        <w:jc w:val="both"/>
      </w:pPr>
      <w:r>
        <w:rPr/>
        <w:t>La enfermedad de los legionarios se observa esporádicamente en la forma de una neumonía adquirida en la comunidad y de brotes epidémicos. Las </w:t>
      </w:r>
      <w:r>
        <w:rPr>
          <w:i/>
        </w:rPr>
        <w:t>Legionelas </w:t>
      </w:r>
      <w:r>
        <w:rPr/>
        <w:t>también pueden provocar una variante menor de la enfermedad de los legionarios conocida como fiebre de Pontiac. Aproximadamente el 85% de los casos de enfermedad documentados han sido causados por L. pneumophila. La infección también puede afectar áreas anatómicas extrapulmonares, en consecuencia, el término legionelosis se usa para abarcar tanto la enfermedad de los legionarios</w:t>
      </w:r>
    </w:p>
    <w:p>
      <w:pPr>
        <w:pStyle w:val="BodyText"/>
        <w:spacing w:line="279" w:lineRule="exact"/>
        <w:ind w:left="219"/>
        <w:jc w:val="both"/>
      </w:pPr>
      <w:r>
        <w:rPr/>
        <w:t>como la fiebre de pontiac y el compromiso extrapulmonar</w:t>
      </w:r>
      <w:r>
        <w:rPr>
          <w:position w:val="11"/>
          <w:sz w:val="16"/>
        </w:rPr>
        <w:t>53,54</w:t>
      </w:r>
      <w:r>
        <w:rPr/>
        <w:t>.</w:t>
      </w:r>
    </w:p>
    <w:p>
      <w:pPr>
        <w:pStyle w:val="BodyText"/>
        <w:rPr>
          <w:sz w:val="28"/>
        </w:rPr>
      </w:pPr>
    </w:p>
    <w:p>
      <w:pPr>
        <w:pStyle w:val="BodyText"/>
        <w:spacing w:line="333" w:lineRule="auto" w:before="227"/>
        <w:ind w:left="219" w:right="227"/>
        <w:jc w:val="both"/>
      </w:pPr>
      <w:r>
        <w:rPr/>
        <w:t>Las diferencias en las manifestaciones clínicas de la enfermedad se presentan en el cuadro 1</w:t>
      </w:r>
      <w:r>
        <w:rPr>
          <w:position w:val="11"/>
          <w:sz w:val="16"/>
        </w:rPr>
        <w:t>51</w:t>
      </w:r>
      <w:r>
        <w:rPr/>
        <w:t>.</w:t>
      </w:r>
    </w:p>
    <w:p>
      <w:pPr>
        <w:pStyle w:val="BodyText"/>
        <w:spacing w:before="3"/>
        <w:rPr>
          <w:sz w:val="37"/>
        </w:rPr>
      </w:pPr>
    </w:p>
    <w:p>
      <w:pPr>
        <w:spacing w:before="0" w:after="5"/>
        <w:ind w:left="1463" w:right="387" w:firstLine="0"/>
        <w:jc w:val="left"/>
        <w:rPr>
          <w:b/>
          <w:sz w:val="18"/>
        </w:rPr>
      </w:pPr>
      <w:r>
        <w:rPr>
          <w:b/>
          <w:sz w:val="18"/>
        </w:rPr>
        <w:t>Cuadro 1. Manifestaciones clínicas en dos tipos comunes de Legionelosis</w:t>
      </w:r>
    </w:p>
    <w:tbl>
      <w:tblPr>
        <w:tblW w:w="0" w:type="auto"/>
        <w:jc w:val="left"/>
        <w:tblInd w:w="733" w:type="dxa"/>
        <w:tblBorders>
          <w:top w:val="single" w:sz="8" w:space="0" w:color="9BBA58"/>
          <w:left w:val="single" w:sz="8" w:space="0" w:color="9BBA58"/>
          <w:bottom w:val="single" w:sz="8" w:space="0" w:color="9BBA58"/>
          <w:right w:val="single" w:sz="8" w:space="0" w:color="9BBA58"/>
          <w:insideH w:val="single" w:sz="8" w:space="0" w:color="9BBA58"/>
          <w:insideV w:val="single" w:sz="8" w:space="0" w:color="9BBA58"/>
        </w:tblBorders>
        <w:tblLayout w:type="fixed"/>
        <w:tblCellMar>
          <w:top w:w="0" w:type="dxa"/>
          <w:left w:w="0" w:type="dxa"/>
          <w:bottom w:w="0" w:type="dxa"/>
          <w:right w:w="0" w:type="dxa"/>
        </w:tblCellMar>
        <w:tblLook w:val="01E0"/>
      </w:tblPr>
      <w:tblGrid>
        <w:gridCol w:w="1700"/>
        <w:gridCol w:w="3894"/>
        <w:gridCol w:w="2204"/>
      </w:tblGrid>
      <w:tr>
        <w:trPr>
          <w:trHeight w:val="228" w:hRule="exact"/>
        </w:trPr>
        <w:tc>
          <w:tcPr>
            <w:tcW w:w="1700" w:type="dxa"/>
            <w:tcBorders>
              <w:left w:val="nil"/>
              <w:right w:val="single" w:sz="6" w:space="0" w:color="9BBA58"/>
            </w:tcBorders>
          </w:tcPr>
          <w:p>
            <w:pPr/>
          </w:p>
        </w:tc>
        <w:tc>
          <w:tcPr>
            <w:tcW w:w="3894" w:type="dxa"/>
            <w:tcBorders>
              <w:left w:val="single" w:sz="6" w:space="0" w:color="9BBA58"/>
              <w:right w:val="single" w:sz="6" w:space="0" w:color="9BBA58"/>
            </w:tcBorders>
            <w:shd w:val="clear" w:color="auto" w:fill="CDDDAC"/>
          </w:tcPr>
          <w:p>
            <w:pPr>
              <w:pStyle w:val="TableParagraph"/>
              <w:spacing w:line="201" w:lineRule="exact"/>
              <w:ind w:left="256" w:right="253"/>
              <w:jc w:val="center"/>
              <w:rPr>
                <w:b/>
                <w:sz w:val="18"/>
              </w:rPr>
            </w:pPr>
            <w:r>
              <w:rPr>
                <w:b/>
                <w:sz w:val="18"/>
              </w:rPr>
              <w:t>Enfermedad del Legionario</w:t>
            </w:r>
          </w:p>
        </w:tc>
        <w:tc>
          <w:tcPr>
            <w:tcW w:w="2204" w:type="dxa"/>
            <w:tcBorders>
              <w:left w:val="single" w:sz="6" w:space="0" w:color="9BBA58"/>
            </w:tcBorders>
            <w:shd w:val="clear" w:color="auto" w:fill="CDDDAC"/>
          </w:tcPr>
          <w:p>
            <w:pPr>
              <w:pStyle w:val="TableParagraph"/>
              <w:spacing w:line="201" w:lineRule="exact"/>
              <w:ind w:left="326" w:right="320"/>
              <w:jc w:val="center"/>
              <w:rPr>
                <w:b/>
                <w:sz w:val="18"/>
              </w:rPr>
            </w:pPr>
            <w:r>
              <w:rPr>
                <w:b/>
                <w:sz w:val="18"/>
              </w:rPr>
              <w:t>Fiebre de Pontiac</w:t>
            </w:r>
          </w:p>
        </w:tc>
      </w:tr>
      <w:tr>
        <w:trPr>
          <w:trHeight w:val="228" w:hRule="exact"/>
        </w:trPr>
        <w:tc>
          <w:tcPr>
            <w:tcW w:w="1700" w:type="dxa"/>
            <w:tcBorders>
              <w:left w:val="nil"/>
            </w:tcBorders>
          </w:tcPr>
          <w:p>
            <w:pPr>
              <w:pStyle w:val="TableParagraph"/>
              <w:spacing w:line="204" w:lineRule="exact"/>
              <w:ind w:left="372" w:right="368"/>
              <w:jc w:val="center"/>
              <w:rPr>
                <w:b/>
                <w:sz w:val="18"/>
              </w:rPr>
            </w:pPr>
            <w:r>
              <w:rPr>
                <w:b/>
                <w:sz w:val="18"/>
              </w:rPr>
              <w:t>Mortalidad</w:t>
            </w:r>
          </w:p>
        </w:tc>
        <w:tc>
          <w:tcPr>
            <w:tcW w:w="3894" w:type="dxa"/>
            <w:shd w:val="clear" w:color="auto" w:fill="E6EDD4"/>
          </w:tcPr>
          <w:p>
            <w:pPr>
              <w:pStyle w:val="TableParagraph"/>
              <w:spacing w:line="204" w:lineRule="exact"/>
              <w:ind w:left="1478" w:right="1475"/>
              <w:jc w:val="center"/>
              <w:rPr>
                <w:sz w:val="18"/>
              </w:rPr>
            </w:pPr>
            <w:r>
              <w:rPr>
                <w:sz w:val="18"/>
              </w:rPr>
              <w:t>15% - 30%</w:t>
            </w:r>
          </w:p>
        </w:tc>
        <w:tc>
          <w:tcPr>
            <w:tcW w:w="2204" w:type="dxa"/>
            <w:shd w:val="clear" w:color="auto" w:fill="E6EDD4"/>
          </w:tcPr>
          <w:p>
            <w:pPr>
              <w:pStyle w:val="TableParagraph"/>
              <w:spacing w:line="204" w:lineRule="exact"/>
              <w:ind w:left="946" w:right="938"/>
              <w:jc w:val="center"/>
              <w:rPr>
                <w:sz w:val="18"/>
              </w:rPr>
            </w:pPr>
            <w:r>
              <w:rPr>
                <w:sz w:val="18"/>
              </w:rPr>
              <w:t>0%</w:t>
            </w:r>
          </w:p>
        </w:tc>
      </w:tr>
      <w:tr>
        <w:trPr>
          <w:trHeight w:val="432" w:hRule="exact"/>
        </w:trPr>
        <w:tc>
          <w:tcPr>
            <w:tcW w:w="1700" w:type="dxa"/>
            <w:tcBorders>
              <w:left w:val="nil"/>
              <w:right w:val="single" w:sz="6" w:space="0" w:color="9BBA58"/>
            </w:tcBorders>
          </w:tcPr>
          <w:p>
            <w:pPr>
              <w:pStyle w:val="TableParagraph"/>
              <w:spacing w:line="240" w:lineRule="auto"/>
              <w:ind w:left="369" w:right="353" w:firstLine="9"/>
              <w:rPr>
                <w:b/>
                <w:sz w:val="18"/>
              </w:rPr>
            </w:pPr>
            <w:r>
              <w:rPr>
                <w:b/>
                <w:sz w:val="18"/>
              </w:rPr>
              <w:t>Periodo de incubación</w:t>
            </w:r>
          </w:p>
        </w:tc>
        <w:tc>
          <w:tcPr>
            <w:tcW w:w="3894" w:type="dxa"/>
            <w:tcBorders>
              <w:left w:val="single" w:sz="6" w:space="0" w:color="9BBA58"/>
              <w:right w:val="single" w:sz="6" w:space="0" w:color="9BBA58"/>
            </w:tcBorders>
            <w:shd w:val="clear" w:color="auto" w:fill="CDDDAC"/>
          </w:tcPr>
          <w:p>
            <w:pPr>
              <w:pStyle w:val="TableParagraph"/>
              <w:spacing w:line="202" w:lineRule="exact"/>
              <w:ind w:left="256" w:right="247"/>
              <w:jc w:val="center"/>
              <w:rPr>
                <w:sz w:val="18"/>
              </w:rPr>
            </w:pPr>
            <w:r>
              <w:rPr>
                <w:sz w:val="18"/>
              </w:rPr>
              <w:t>2-10 días</w:t>
            </w:r>
          </w:p>
        </w:tc>
        <w:tc>
          <w:tcPr>
            <w:tcW w:w="2204" w:type="dxa"/>
            <w:tcBorders>
              <w:left w:val="single" w:sz="6" w:space="0" w:color="9BBA58"/>
            </w:tcBorders>
            <w:shd w:val="clear" w:color="auto" w:fill="CDDDAC"/>
          </w:tcPr>
          <w:p>
            <w:pPr>
              <w:pStyle w:val="TableParagraph"/>
              <w:spacing w:line="202" w:lineRule="exact"/>
              <w:ind w:left="326" w:right="319"/>
              <w:jc w:val="center"/>
              <w:rPr>
                <w:sz w:val="18"/>
              </w:rPr>
            </w:pPr>
            <w:r>
              <w:rPr>
                <w:sz w:val="18"/>
              </w:rPr>
              <w:t>1-2 días</w:t>
            </w:r>
          </w:p>
        </w:tc>
      </w:tr>
      <w:tr>
        <w:trPr>
          <w:trHeight w:val="437" w:hRule="exact"/>
        </w:trPr>
        <w:tc>
          <w:tcPr>
            <w:tcW w:w="1700" w:type="dxa"/>
            <w:tcBorders>
              <w:left w:val="nil"/>
            </w:tcBorders>
          </w:tcPr>
          <w:p>
            <w:pPr>
              <w:pStyle w:val="TableParagraph"/>
              <w:spacing w:line="201" w:lineRule="exact"/>
              <w:ind w:left="372" w:right="363"/>
              <w:jc w:val="center"/>
              <w:rPr>
                <w:b/>
                <w:sz w:val="18"/>
              </w:rPr>
            </w:pPr>
            <w:r>
              <w:rPr>
                <w:b/>
                <w:sz w:val="18"/>
              </w:rPr>
              <w:t>Síntomas</w:t>
            </w:r>
          </w:p>
        </w:tc>
        <w:tc>
          <w:tcPr>
            <w:tcW w:w="3894" w:type="dxa"/>
            <w:shd w:val="clear" w:color="auto" w:fill="E6EDD4"/>
          </w:tcPr>
          <w:p>
            <w:pPr>
              <w:pStyle w:val="TableParagraph"/>
              <w:spacing w:line="240" w:lineRule="auto"/>
              <w:ind w:left="658" w:right="83" w:hanging="558"/>
              <w:rPr>
                <w:sz w:val="18"/>
              </w:rPr>
            </w:pPr>
            <w:r>
              <w:rPr>
                <w:sz w:val="18"/>
              </w:rPr>
              <w:t>Fiebre, escalofríos, tos, mialgia, cefalea, dolor torácico, expectoración, diarrea.</w:t>
            </w:r>
          </w:p>
        </w:tc>
        <w:tc>
          <w:tcPr>
            <w:tcW w:w="2204" w:type="dxa"/>
            <w:shd w:val="clear" w:color="auto" w:fill="E6EDD4"/>
          </w:tcPr>
          <w:p>
            <w:pPr>
              <w:pStyle w:val="TableParagraph"/>
              <w:spacing w:line="240" w:lineRule="auto"/>
              <w:ind w:left="783" w:right="261" w:hanging="500"/>
              <w:rPr>
                <w:sz w:val="18"/>
              </w:rPr>
            </w:pPr>
            <w:r>
              <w:rPr>
                <w:sz w:val="18"/>
              </w:rPr>
              <w:t>Fiebre, escalofríos y mialgia.</w:t>
            </w:r>
          </w:p>
        </w:tc>
      </w:tr>
      <w:tr>
        <w:trPr>
          <w:trHeight w:val="638" w:hRule="exact"/>
        </w:trPr>
        <w:tc>
          <w:tcPr>
            <w:tcW w:w="1700" w:type="dxa"/>
            <w:tcBorders>
              <w:left w:val="nil"/>
              <w:bottom w:val="nil"/>
              <w:right w:val="single" w:sz="6" w:space="0" w:color="9BBA58"/>
            </w:tcBorders>
          </w:tcPr>
          <w:p>
            <w:pPr>
              <w:pStyle w:val="TableParagraph"/>
              <w:spacing w:line="240" w:lineRule="auto"/>
              <w:ind w:left="489" w:right="239" w:hanging="236"/>
              <w:rPr>
                <w:b/>
                <w:sz w:val="18"/>
              </w:rPr>
            </w:pPr>
            <w:r>
              <w:rPr>
                <w:b/>
                <w:sz w:val="18"/>
              </w:rPr>
              <w:t>Afectación de órganos</w:t>
            </w:r>
          </w:p>
        </w:tc>
        <w:tc>
          <w:tcPr>
            <w:tcW w:w="3894" w:type="dxa"/>
            <w:tcBorders>
              <w:left w:val="single" w:sz="6" w:space="0" w:color="9BBA58"/>
              <w:right w:val="single" w:sz="6" w:space="0" w:color="9BBA58"/>
            </w:tcBorders>
            <w:shd w:val="clear" w:color="auto" w:fill="CDDDAC"/>
          </w:tcPr>
          <w:p>
            <w:pPr>
              <w:pStyle w:val="TableParagraph"/>
              <w:spacing w:line="240" w:lineRule="auto"/>
              <w:ind w:left="256" w:right="258"/>
              <w:jc w:val="center"/>
              <w:rPr>
                <w:sz w:val="18"/>
              </w:rPr>
            </w:pPr>
            <w:r>
              <w:rPr>
                <w:sz w:val="18"/>
              </w:rPr>
              <w:t>Neumonía y derrame pleural, insuficiencia renal, alteraciones de la función hepática, daño en sistema nervioso central.</w:t>
            </w:r>
          </w:p>
        </w:tc>
        <w:tc>
          <w:tcPr>
            <w:tcW w:w="2204" w:type="dxa"/>
            <w:tcBorders>
              <w:left w:val="single" w:sz="6" w:space="0" w:color="9BBA58"/>
            </w:tcBorders>
            <w:shd w:val="clear" w:color="auto" w:fill="CDDDAC"/>
          </w:tcPr>
          <w:p>
            <w:pPr>
              <w:pStyle w:val="TableParagraph"/>
              <w:spacing w:line="201" w:lineRule="exact"/>
              <w:ind w:left="325" w:right="320"/>
              <w:jc w:val="center"/>
              <w:rPr>
                <w:sz w:val="18"/>
              </w:rPr>
            </w:pPr>
            <w:r>
              <w:rPr>
                <w:sz w:val="18"/>
              </w:rPr>
              <w:t>Ausente.</w:t>
            </w:r>
          </w:p>
        </w:tc>
      </w:tr>
    </w:tbl>
    <w:p>
      <w:pPr>
        <w:spacing w:line="160" w:lineRule="exact" w:before="0"/>
        <w:ind w:left="757" w:right="387" w:firstLine="0"/>
        <w:jc w:val="left"/>
        <w:rPr>
          <w:sz w:val="14"/>
        </w:rPr>
      </w:pPr>
      <w:r>
        <w:rPr>
          <w:sz w:val="14"/>
        </w:rPr>
        <w:t>Fuente: modificado de J Yvan,  The Legionelosis. Med Sci. (París) 2012, 28: 639-645</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line="360" w:lineRule="auto" w:before="102"/>
        <w:ind w:left="219" w:right="222"/>
        <w:jc w:val="both"/>
      </w:pPr>
      <w:r>
        <w:rPr/>
        <w:t>Algunos ejemplos de manifestaciones con compromiso extrapulmonar son: casos de bacteriemia, manifestaciones asociadas con el sistema nervioso central tales como cefalea, letargo, confusión, estupor, ataxia, convulsiones y en menor frecuencia coma. Otros pacientes presentan signos y síntomas focales de absceso cerebral o encefalitis que simulan una encefalitis herpética. Las manifestaciones extrapulmonares se asocian frecuentemente con </w:t>
      </w:r>
      <w:r>
        <w:rPr>
          <w:i/>
        </w:rPr>
        <w:t>L. pneumophila </w:t>
      </w:r>
      <w:r>
        <w:rPr/>
        <w:t>más que con otras especies.</w:t>
      </w:r>
    </w:p>
    <w:p>
      <w:pPr>
        <w:spacing w:after="0" w:line="360" w:lineRule="auto"/>
        <w:jc w:val="both"/>
        <w:sectPr>
          <w:pgSz w:w="12240" w:h="15840"/>
          <w:pgMar w:header="731" w:footer="1012" w:top="1160" w:bottom="1200" w:left="1480" w:right="1480"/>
        </w:sectPr>
      </w:pPr>
    </w:p>
    <w:p>
      <w:pPr>
        <w:pStyle w:val="BodyText"/>
        <w:spacing w:before="11"/>
        <w:rPr>
          <w:sz w:val="16"/>
        </w:rPr>
      </w:pPr>
    </w:p>
    <w:p>
      <w:pPr>
        <w:pStyle w:val="BodyText"/>
        <w:spacing w:line="360" w:lineRule="auto" w:before="69"/>
        <w:ind w:left="219" w:right="216"/>
        <w:jc w:val="both"/>
      </w:pPr>
      <w:r>
        <w:rPr/>
        <w:t>Los pacientes con Legionelosis por lo general son de mediana edad aunque  puede afectar a personas de cualquier edad, incluidos niños. La Legionelosis debe ser incorporada en el diagnóstico diferencial de los pacientes inmunosuprimidos que desarrollan un cuadro de fiebre con infiltrados pulmonares, en pacientes que desarrollan una neumonía que no responde a las penicilinas, las cefalosporinas y los aminoglucósidos o en cualquier paciente con una neumonía severa, sobre todo si no existe otra causa rápidamente evidente. En los pacientes tratados con hemodiálisis, trasplante renal y trasplante cardíaco, y en otros pacientes quirúrgicos la enfermedad ha sido una causa importante de morbilidad y mortalidad.  Otros  factores  posiblemente  predisponentes  incluyen  la   </w:t>
      </w:r>
      <w:r>
        <w:rPr>
          <w:spacing w:val="66"/>
        </w:rPr>
        <w:t> </w:t>
      </w:r>
      <w:r>
        <w:rPr/>
        <w:t>diabetes</w:t>
      </w:r>
    </w:p>
    <w:p>
      <w:pPr>
        <w:pStyle w:val="BodyText"/>
        <w:spacing w:line="328" w:lineRule="auto" w:before="2"/>
        <w:ind w:left="219" w:right="224"/>
        <w:jc w:val="both"/>
      </w:pPr>
      <w:r>
        <w:rPr/>
        <w:t>mellitus, el alcoholismo, la enfermedad pulmonar obstructiva crónica y la enfermedad cardiovascular</w:t>
      </w:r>
      <w:r>
        <w:rPr>
          <w:position w:val="11"/>
          <w:sz w:val="16"/>
        </w:rPr>
        <w:t>52</w:t>
      </w:r>
      <w:r>
        <w:rPr/>
        <w:t>.</w:t>
      </w:r>
    </w:p>
    <w:p>
      <w:pPr>
        <w:pStyle w:val="BodyText"/>
        <w:spacing w:before="4"/>
        <w:rPr>
          <w:sz w:val="38"/>
        </w:rPr>
      </w:pPr>
    </w:p>
    <w:p>
      <w:pPr>
        <w:pStyle w:val="BodyText"/>
        <w:spacing w:line="360" w:lineRule="auto"/>
        <w:ind w:left="219" w:right="221"/>
        <w:jc w:val="both"/>
      </w:pPr>
      <w:r>
        <w:rPr/>
        <w:t>En el brote epidémico de Filadelfia y en otras epidemias posteriores se sugirió el tabaquismo como factor predisponente. </w:t>
      </w:r>
      <w:r>
        <w:rPr>
          <w:spacing w:val="-3"/>
        </w:rPr>
        <w:t>Otro </w:t>
      </w:r>
      <w:r>
        <w:rPr/>
        <w:t>factor es la exposición a cepas virulentas concentradas en el medio ambiente, así, esta enfermedad ha sido observada con mayor frecuencia en personas que han viajado a sitios epidémicos tales </w:t>
      </w:r>
      <w:r>
        <w:rPr>
          <w:spacing w:val="-4"/>
        </w:rPr>
        <w:t>como </w:t>
      </w:r>
      <w:r>
        <w:rPr/>
        <w:t>hoteles u hospitales con un brote hiperendémico o situados en un área altamente  endémica  y  en  pacientes  internados  que  han  desarrollado       </w:t>
      </w:r>
      <w:r>
        <w:rPr>
          <w:spacing w:val="56"/>
        </w:rPr>
        <w:t> </w:t>
      </w:r>
      <w:r>
        <w:rPr/>
        <w:t>una</w:t>
      </w:r>
    </w:p>
    <w:p>
      <w:pPr>
        <w:pStyle w:val="BodyText"/>
        <w:spacing w:line="279" w:lineRule="exact"/>
        <w:ind w:left="219"/>
        <w:jc w:val="both"/>
      </w:pPr>
      <w:r>
        <w:rPr/>
        <w:t>neumonía durante su estancia hospitalaria</w:t>
      </w:r>
      <w:r>
        <w:rPr>
          <w:position w:val="11"/>
          <w:sz w:val="16"/>
        </w:rPr>
        <w:t>52</w:t>
      </w:r>
      <w:r>
        <w:rPr/>
        <w:t>.</w:t>
      </w:r>
    </w:p>
    <w:p>
      <w:pPr>
        <w:pStyle w:val="BodyText"/>
        <w:rPr>
          <w:sz w:val="28"/>
        </w:rPr>
      </w:pPr>
    </w:p>
    <w:p>
      <w:pPr>
        <w:pStyle w:val="BodyText"/>
        <w:spacing w:line="360" w:lineRule="auto" w:before="228"/>
        <w:ind w:left="219" w:right="221"/>
        <w:jc w:val="both"/>
      </w:pPr>
      <w:r>
        <w:rPr/>
        <w:t>Las especies de </w:t>
      </w:r>
      <w:r>
        <w:rPr>
          <w:i/>
        </w:rPr>
        <w:t>Legionella </w:t>
      </w:r>
      <w:r>
        <w:rPr/>
        <w:t>son ubicuas tanto en el ambiente natural como en el ser humano, las enfermedades producidas por estas bacterias pueden adquirirse por la exposición a una amplia gamas de fuentes ambientales pero no se cuenta con evidencias convincentes de contagio interpersonal. La vía de transmisión más probable consiste en la inhalación de microorganismos aerosolizados en el aire atmosférico desde fuentes ambientales y posiblemente en la aspiración de microorganismos presentes en el agua o en material orofaríngeo.</w:t>
      </w:r>
    </w:p>
    <w:p>
      <w:pPr>
        <w:pStyle w:val="BodyText"/>
      </w:pPr>
    </w:p>
    <w:p>
      <w:pPr>
        <w:pStyle w:val="BodyText"/>
        <w:spacing w:line="362" w:lineRule="auto" w:before="140"/>
        <w:ind w:left="219" w:right="228"/>
        <w:jc w:val="both"/>
      </w:pPr>
      <w:r>
        <w:rPr/>
        <w:t>La Legionelosis ha sido documentada en diversos países del mundo pero las tasas de morbilidad y mortalidad asociadas con casos epidémicos y   </w:t>
      </w:r>
      <w:r>
        <w:rPr>
          <w:spacing w:val="29"/>
        </w:rPr>
        <w:t> </w:t>
      </w:r>
      <w:r>
        <w:rPr/>
        <w:t>esporádicos</w:t>
      </w:r>
    </w:p>
    <w:p>
      <w:pPr>
        <w:spacing w:after="0" w:line="362" w:lineRule="auto"/>
        <w:jc w:val="both"/>
        <w:sectPr>
          <w:pgSz w:w="12240" w:h="15840"/>
          <w:pgMar w:header="731" w:footer="1012" w:top="1160" w:bottom="1200" w:left="1480" w:right="1480"/>
        </w:sectPr>
      </w:pPr>
    </w:p>
    <w:p>
      <w:pPr>
        <w:pStyle w:val="BodyText"/>
        <w:spacing w:before="11"/>
        <w:rPr>
          <w:sz w:val="16"/>
        </w:rPr>
      </w:pPr>
    </w:p>
    <w:p>
      <w:pPr>
        <w:pStyle w:val="BodyText"/>
        <w:spacing w:line="360" w:lineRule="auto" w:before="69"/>
        <w:ind w:left="219" w:right="221"/>
        <w:jc w:val="both"/>
      </w:pPr>
      <w:r>
        <w:rPr/>
        <w:t>son subestimadas por las estadísticas de salud pública. La mayoría de los países carecen de un sistema de vigilancia para rastrear la enfermedad y en los laboratorios clínicos y microbiológicos muchas veces pasa inadvertida debido a la ausencia de sospecha, a la semejanza de sus manifestaciones clínicas con las de otras neumonías bacterianas o a la falta de uso de métodos diagnósticos de laboratorio adecuados. Se requieren programas de vigilancia mejor planificados</w:t>
      </w:r>
    </w:p>
    <w:p>
      <w:pPr>
        <w:pStyle w:val="BodyText"/>
        <w:spacing w:line="328" w:lineRule="auto" w:before="3"/>
        <w:ind w:left="219" w:right="221"/>
        <w:jc w:val="both"/>
      </w:pPr>
      <w:r>
        <w:rPr/>
        <w:t>para establecer con precisión la incidencia de la enfermedad de los legionarios y de la fiebre de Pontiac</w:t>
      </w:r>
      <w:r>
        <w:rPr>
          <w:position w:val="11"/>
          <w:sz w:val="16"/>
        </w:rPr>
        <w:t>53</w:t>
      </w:r>
      <w:r>
        <w:rPr/>
        <w:t>.</w:t>
      </w:r>
    </w:p>
    <w:p>
      <w:pPr>
        <w:pStyle w:val="BodyText"/>
        <w:spacing w:before="4"/>
        <w:rPr>
          <w:sz w:val="38"/>
        </w:rPr>
      </w:pPr>
    </w:p>
    <w:p>
      <w:pPr>
        <w:pStyle w:val="BodyText"/>
        <w:spacing w:line="360" w:lineRule="auto" w:before="1"/>
        <w:ind w:left="219" w:right="215"/>
        <w:jc w:val="both"/>
      </w:pPr>
      <w:r>
        <w:rPr/>
        <w:t>En general se ha estimado que </w:t>
      </w:r>
      <w:r>
        <w:rPr>
          <w:i/>
        </w:rPr>
        <w:t>L. penumophilla </w:t>
      </w:r>
      <w:r>
        <w:rPr/>
        <w:t>es la responsable del 1.5% de todas las neumonías, pero es posible que esta afirmación sea una simplificación excesiva del problema. En las epidemias, las tasas de ataque a la población expuesta han llegado hasta el 30%. La incidencia de fiebre de Pontiac en la población general se desconoce. Es probable que en aquellos casos que no corresponden  a  un  brote  epidémico  la  fiebre  de  Pontiac  casi  siempre   </w:t>
      </w:r>
      <w:r>
        <w:rPr>
          <w:spacing w:val="53"/>
        </w:rPr>
        <w:t> </w:t>
      </w:r>
      <w:r>
        <w:rPr/>
        <w:t>pase</w:t>
      </w:r>
    </w:p>
    <w:p>
      <w:pPr>
        <w:pStyle w:val="BodyText"/>
        <w:spacing w:line="279" w:lineRule="exact"/>
        <w:ind w:left="219"/>
        <w:jc w:val="both"/>
      </w:pPr>
      <w:r>
        <w:rPr/>
        <w:t>inadvertida como entidad diagnóstica específica</w:t>
      </w:r>
      <w:r>
        <w:rPr>
          <w:position w:val="11"/>
          <w:sz w:val="16"/>
        </w:rPr>
        <w:t>50</w:t>
      </w:r>
      <w:r>
        <w:rPr/>
        <w:t>.</w:t>
      </w:r>
    </w:p>
    <w:p>
      <w:pPr>
        <w:pStyle w:val="BodyText"/>
        <w:rPr>
          <w:sz w:val="28"/>
        </w:rPr>
      </w:pPr>
    </w:p>
    <w:p>
      <w:pPr>
        <w:pStyle w:val="BodyText"/>
        <w:spacing w:line="360" w:lineRule="auto" w:before="228"/>
        <w:ind w:left="219" w:right="214"/>
        <w:jc w:val="both"/>
      </w:pPr>
      <w:r>
        <w:rPr/>
        <w:t>En cuanto a la presencia de </w:t>
      </w:r>
      <w:r>
        <w:rPr>
          <w:i/>
        </w:rPr>
        <w:t>L. pneumophila </w:t>
      </w:r>
      <w:r>
        <w:rPr/>
        <w:t>en hábitats naturales, ésta fue aislada por primera vez del ambiente natural por George K. Morris y col., en los CDC. Como parte integral de un estudio acerca de una importante epidemia de enfermedad de los legionarios asociada con viajeros que visitaron el memorial building del campus de la Universidad de Indiana en Bloomington Indiana, </w:t>
      </w:r>
      <w:r>
        <w:rPr>
          <w:i/>
        </w:rPr>
        <w:t>L. </w:t>
      </w:r>
      <w:r>
        <w:rPr>
          <w:i/>
        </w:rPr>
        <w:t>pneumophila </w:t>
      </w:r>
      <w:r>
        <w:rPr/>
        <w:t>se aisló de un arroyo y del suelo de las orillas del río.  Desde entonces este microorganismo se ha aislado de hábitats acuáticos con temperaturas que oscilan entre los 5.7°C y los 63°C, aparentemente su concentración es mayor en agua caliente. Se sabe con certeza que la </w:t>
      </w:r>
      <w:r>
        <w:rPr>
          <w:i/>
        </w:rPr>
        <w:t>Legionella </w:t>
      </w:r>
      <w:r>
        <w:rPr/>
        <w:t>es un microorganismo ubicuo en los sistemas acuáticos creados por el hombre y se encuentran con frecuencia en torres de agua refrigerante, agua corriente, </w:t>
      </w:r>
      <w:r>
        <w:rPr>
          <w:spacing w:val="14"/>
        </w:rPr>
        <w:t> </w:t>
      </w:r>
      <w:r>
        <w:rPr/>
        <w:t>agua</w:t>
      </w:r>
    </w:p>
    <w:p>
      <w:pPr>
        <w:pStyle w:val="BodyText"/>
        <w:spacing w:line="328" w:lineRule="auto" w:before="3"/>
        <w:ind w:left="219" w:right="230"/>
        <w:jc w:val="both"/>
      </w:pPr>
      <w:r>
        <w:rPr/>
        <w:t>de duchas, tanques de agua caliente, juntas de goma y el interior de las cañerías de los sistemas de agua potable domiciliarias</w:t>
      </w:r>
      <w:r>
        <w:rPr>
          <w:position w:val="11"/>
          <w:sz w:val="16"/>
        </w:rPr>
        <w:t>50</w:t>
      </w:r>
      <w:r>
        <w:rPr/>
        <w:t>.</w:t>
      </w:r>
    </w:p>
    <w:p>
      <w:pPr>
        <w:spacing w:after="0" w:line="328" w:lineRule="auto"/>
        <w:jc w:val="both"/>
        <w:sectPr>
          <w:pgSz w:w="12240" w:h="15840"/>
          <w:pgMar w:header="731" w:footer="1012" w:top="1160" w:bottom="1200" w:left="1480" w:right="1480"/>
        </w:sectPr>
      </w:pPr>
    </w:p>
    <w:p>
      <w:pPr>
        <w:pStyle w:val="BodyText"/>
        <w:spacing w:before="6"/>
        <w:rPr>
          <w:sz w:val="16"/>
        </w:rPr>
      </w:pPr>
    </w:p>
    <w:p>
      <w:pPr>
        <w:pStyle w:val="Heading2"/>
        <w:spacing w:line="362" w:lineRule="auto" w:before="69"/>
        <w:ind w:left="2745" w:right="208" w:hanging="2521"/>
      </w:pPr>
      <w:r>
        <w:rPr/>
        <w:t>CAPÍTULO 3: MÉTODOS DE CONTROL DE BIOPELÍCULA EN LAS LÍNEAS DE AGUA DE UNIDADES DENTALES</w:t>
      </w:r>
    </w:p>
    <w:p>
      <w:pPr>
        <w:pStyle w:val="BodyText"/>
        <w:spacing w:before="11"/>
        <w:rPr>
          <w:b/>
          <w:sz w:val="35"/>
        </w:rPr>
      </w:pPr>
    </w:p>
    <w:p>
      <w:pPr>
        <w:pStyle w:val="ListParagraph"/>
        <w:numPr>
          <w:ilvl w:val="1"/>
          <w:numId w:val="4"/>
        </w:numPr>
        <w:tabs>
          <w:tab w:pos="622" w:val="left" w:leader="none"/>
        </w:tabs>
        <w:spacing w:line="240" w:lineRule="auto" w:before="0" w:after="0"/>
        <w:ind w:left="621" w:right="0" w:hanging="402"/>
        <w:jc w:val="both"/>
        <w:rPr>
          <w:b/>
          <w:sz w:val="24"/>
        </w:rPr>
      </w:pPr>
      <w:r>
        <w:rPr>
          <w:b/>
          <w:sz w:val="24"/>
        </w:rPr>
        <w:t>Control de Infecciones en</w:t>
      </w:r>
      <w:r>
        <w:rPr>
          <w:b/>
          <w:spacing w:val="-16"/>
          <w:sz w:val="24"/>
        </w:rPr>
        <w:t> </w:t>
      </w:r>
      <w:r>
        <w:rPr>
          <w:b/>
          <w:sz w:val="24"/>
        </w:rPr>
        <w:t>Odontología</w:t>
      </w:r>
    </w:p>
    <w:p>
      <w:pPr>
        <w:pStyle w:val="BodyText"/>
        <w:spacing w:before="5"/>
        <w:rPr>
          <w:b/>
          <w:sz w:val="31"/>
        </w:rPr>
      </w:pPr>
    </w:p>
    <w:p>
      <w:pPr>
        <w:pStyle w:val="BodyText"/>
        <w:spacing w:line="360" w:lineRule="auto" w:before="1"/>
        <w:ind w:left="219" w:right="214"/>
        <w:jc w:val="both"/>
      </w:pPr>
      <w:r>
        <w:rPr/>
        <w:t>Teniendo en cuenta que la salud resulta de una gran cantidad de factores complejos y dinámicos conocidos en conjunto como proceso salud-enfermedad, la atención en las áreas médico-biológicas se debe basar en el manejo adecuado y en la prevención de éste, permitiendo así disminuir la incidencia y prevalencia de las  enfermedades  más  frecuentes,  en  consecuencia,  las  normas  que  se  han</w:t>
      </w:r>
    </w:p>
    <w:p>
      <w:pPr>
        <w:pStyle w:val="BodyText"/>
        <w:spacing w:line="328" w:lineRule="auto" w:before="8"/>
        <w:ind w:left="219" w:right="234"/>
        <w:jc w:val="both"/>
      </w:pPr>
      <w:r>
        <w:rPr/>
        <w:t>establecido para la prevención de la enfermedad son una estrategia de acción  </w:t>
      </w:r>
      <w:r>
        <w:rPr>
          <w:spacing w:val="-3"/>
        </w:rPr>
        <w:t>muy </w:t>
      </w:r>
      <w:r>
        <w:rPr/>
        <w:t>efectiva para mejorar y/o conservar el estado de salud de los</w:t>
      </w:r>
      <w:r>
        <w:rPr>
          <w:spacing w:val="-11"/>
        </w:rPr>
        <w:t> </w:t>
      </w:r>
      <w:r>
        <w:rPr/>
        <w:t>individuos</w:t>
      </w:r>
      <w:r>
        <w:rPr>
          <w:position w:val="11"/>
          <w:sz w:val="16"/>
        </w:rPr>
        <w:t>54</w:t>
      </w:r>
      <w:r>
        <w:rPr/>
        <w:t>.</w:t>
      </w:r>
    </w:p>
    <w:p>
      <w:pPr>
        <w:pStyle w:val="BodyText"/>
        <w:spacing w:before="11"/>
        <w:rPr>
          <w:sz w:val="37"/>
        </w:rPr>
      </w:pPr>
    </w:p>
    <w:p>
      <w:pPr>
        <w:pStyle w:val="BodyText"/>
        <w:spacing w:line="360" w:lineRule="auto"/>
        <w:ind w:left="219" w:right="215"/>
        <w:jc w:val="both"/>
      </w:pPr>
      <w:r>
        <w:rPr/>
        <w:t>El control de infecciones en ciencias de la salud, está destinado a proteger tanto a los pacientes como al equipo de salud, evitando contaminación cruzada o de posible adquisición por parte de los operadores y también impidiendo que en los pacientes con enfermedades sistémicas se instalen nuevas patologías, es por eso, que en la práctica odontológica esto es imprescindible para proporcionar un ambiente clínico seguro que elimine o reduzca el riesgo de transmisión de enfermedades. La modificación a la Norma Oficial Mexicana 013 (NOM 013-SSA2- 2006), para la prevención y control de enfermedades bucales, establece puntos específicos acerca de cómo realizar de forma segura la práctica odontológica a través de procedimientos encaminados a proteger a los pacientes,    profesionales</w:t>
      </w:r>
    </w:p>
    <w:p>
      <w:pPr>
        <w:pStyle w:val="BodyText"/>
        <w:spacing w:line="328" w:lineRule="auto" w:before="7"/>
        <w:ind w:left="219" w:right="229"/>
        <w:jc w:val="both"/>
      </w:pPr>
      <w:r>
        <w:rPr/>
        <w:t>de la salud bucal, personal auxiliar, técnico dental e indirectamente a las personas con las que todos ellos interactúan</w:t>
      </w:r>
      <w:r>
        <w:rPr>
          <w:position w:val="11"/>
          <w:sz w:val="16"/>
        </w:rPr>
        <w:t>19,55</w:t>
      </w:r>
      <w:r>
        <w:rPr/>
        <w:t>.</w:t>
      </w:r>
    </w:p>
    <w:p>
      <w:pPr>
        <w:pStyle w:val="BodyText"/>
        <w:spacing w:before="11"/>
        <w:rPr>
          <w:sz w:val="37"/>
        </w:rPr>
      </w:pPr>
    </w:p>
    <w:p>
      <w:pPr>
        <w:pStyle w:val="BodyText"/>
        <w:spacing w:line="360" w:lineRule="auto"/>
        <w:ind w:left="219" w:right="215"/>
        <w:jc w:val="both"/>
      </w:pPr>
      <w:r>
        <w:rPr/>
        <w:t>Debido a la existencia de un potencial riesgo de transmitir o de contraer enfermedades infecciosas durante la práctica clínica del cirujano dentista, organizaciones internacionales como los CDCs (Centers for Disease Control and Prevention), la OSAP (Office Safety and Asepsis Procedures), la ADA (American Dental Association) y la FDA (Food and Drug Administration), entre otras, se han preocupado  por  elaborar  recomendaciones,  reglamentos  y  normas,    definidas</w:t>
      </w:r>
    </w:p>
    <w:p>
      <w:pPr>
        <w:spacing w:after="0" w:line="360" w:lineRule="auto"/>
        <w:jc w:val="both"/>
        <w:sectPr>
          <w:pgSz w:w="12240" w:h="15840"/>
          <w:pgMar w:header="731" w:footer="1012" w:top="1160" w:bottom="1200" w:left="1480" w:right="1480"/>
        </w:sectPr>
      </w:pPr>
    </w:p>
    <w:p>
      <w:pPr>
        <w:pStyle w:val="BodyText"/>
        <w:spacing w:before="11"/>
        <w:rPr>
          <w:sz w:val="16"/>
        </w:rPr>
      </w:pPr>
    </w:p>
    <w:p>
      <w:pPr>
        <w:pStyle w:val="BodyText"/>
        <w:spacing w:line="355" w:lineRule="auto" w:before="69"/>
        <w:ind w:left="219" w:right="218"/>
        <w:jc w:val="both"/>
      </w:pPr>
      <w:r>
        <w:rPr/>
        <w:t>como “Precauciones Universales” para el control de infección en el ambiente de la salud, las cuales exigen la implementación de cautelas con la sangre, saliva y fluidos corporales de todos los pacientes, debido a que no todas las personas infectadas pueden ser identificadas por su historia clínica, examen físico, o test de laboratorio entonces dichos fluidos deben ser siempre considerados, sin excepción, como potencialmente</w:t>
      </w:r>
      <w:r>
        <w:rPr>
          <w:spacing w:val="-15"/>
        </w:rPr>
        <w:t> </w:t>
      </w:r>
      <w:r>
        <w:rPr/>
        <w:t>infecciosos</w:t>
      </w:r>
      <w:r>
        <w:rPr>
          <w:position w:val="11"/>
          <w:sz w:val="16"/>
        </w:rPr>
        <w:t>17-20</w:t>
      </w:r>
      <w:r>
        <w:rPr/>
        <w:t>.</w:t>
      </w:r>
    </w:p>
    <w:p>
      <w:pPr>
        <w:pStyle w:val="BodyText"/>
        <w:rPr>
          <w:sz w:val="35"/>
        </w:rPr>
      </w:pPr>
    </w:p>
    <w:p>
      <w:pPr>
        <w:pStyle w:val="BodyText"/>
        <w:spacing w:line="360" w:lineRule="auto" w:before="1"/>
        <w:ind w:left="219" w:right="217"/>
        <w:jc w:val="both"/>
      </w:pPr>
      <w:r>
        <w:rPr/>
        <w:t>En general, tras la entrada de microorganismos en el cuerpo, hay tres factores básicos que determinan si llegará a desarrollarse o no una enfermedad infecciosa: la virulencia, la dosis de microorganismos y la resistencia del huésped. Entonces podemos deducir que la salud se verá favorecida por una baja virulencia, una baja dosis de microorganismos y una elevada resistencia. Debido a que es difícil actuar sobre la virulencia y la resistencia, el objetivo del control de infecciones es eliminar o reducir la dosis de microorganismos que pueden transmitirse entre individuos o entre éstos y las áreas contaminadas logrando así que cuanto más reducida sea la</w:t>
      </w:r>
    </w:p>
    <w:p>
      <w:pPr>
        <w:pStyle w:val="BodyText"/>
        <w:spacing w:line="328" w:lineRule="auto" w:before="2"/>
        <w:ind w:left="219" w:right="224"/>
        <w:jc w:val="both"/>
      </w:pPr>
      <w:r>
        <w:rPr/>
        <w:t>cantidad de microorganismos, mejores posibilidades habrá de prevenir la transmisión de la enfermedad</w:t>
      </w:r>
      <w:r>
        <w:rPr>
          <w:position w:val="11"/>
          <w:sz w:val="16"/>
        </w:rPr>
        <w:t>54,56</w:t>
      </w:r>
      <w:r>
        <w:rPr/>
        <w:t>.</w:t>
      </w:r>
    </w:p>
    <w:p>
      <w:pPr>
        <w:pStyle w:val="BodyText"/>
        <w:spacing w:before="4"/>
        <w:rPr>
          <w:sz w:val="38"/>
        </w:rPr>
      </w:pPr>
    </w:p>
    <w:p>
      <w:pPr>
        <w:pStyle w:val="BodyText"/>
        <w:spacing w:line="360" w:lineRule="auto"/>
        <w:ind w:left="219" w:right="219"/>
        <w:jc w:val="both"/>
      </w:pPr>
      <w:r>
        <w:rPr/>
        <w:t>Los principales mecanismos de transmisión de enfermedad son: contacto directo, exposición a superficies ambientales, instrumentos médicos o aerosoles contaminados. En el área odontológica todos estos mecanismos existen de manera potencial y para todos ellos existen medidas de seguridad, sin embargo</w:t>
      </w:r>
      <w:r>
        <w:rPr>
          <w:spacing w:val="-31"/>
        </w:rPr>
        <w:t> </w:t>
      </w:r>
      <w:r>
        <w:rPr/>
        <w:t>en</w:t>
      </w:r>
    </w:p>
    <w:p>
      <w:pPr>
        <w:pStyle w:val="BodyText"/>
        <w:spacing w:line="352" w:lineRule="auto" w:before="7"/>
        <w:ind w:left="219" w:right="219"/>
        <w:jc w:val="both"/>
      </w:pPr>
      <w:r>
        <w:rPr/>
        <w:t>cuanto a la transmisión de enfermedades por aerosoles aún falta mejorar los medios y métodos para controlar su efecto</w:t>
      </w:r>
      <w:r>
        <w:rPr>
          <w:position w:val="11"/>
          <w:sz w:val="16"/>
        </w:rPr>
        <w:t>54,56</w:t>
      </w:r>
      <w:r>
        <w:rPr/>
        <w:t>. La aerosolización es un proceso  en el cual las partículas generadas por fuerzas mecánicas permanecen suspendidas en el aire durante largo </w:t>
      </w:r>
      <w:r>
        <w:rPr>
          <w:spacing w:val="-3"/>
        </w:rPr>
        <w:t>tiempo </w:t>
      </w:r>
      <w:r>
        <w:rPr/>
        <w:t>y pueden infectar cuando las  personas las respiran, un aspecto importante acerca del potencial de  </w:t>
      </w:r>
      <w:r>
        <w:rPr>
          <w:spacing w:val="40"/>
        </w:rPr>
        <w:t> </w:t>
      </w:r>
      <w:r>
        <w:rPr/>
        <w:t>transmisión</w:t>
      </w:r>
    </w:p>
    <w:p>
      <w:pPr>
        <w:pStyle w:val="BodyText"/>
        <w:spacing w:line="343" w:lineRule="auto" w:before="11"/>
        <w:ind w:left="219" w:right="228"/>
        <w:jc w:val="both"/>
      </w:pPr>
      <w:r>
        <w:rPr/>
        <w:t>de las enfermedades en la consulta odontológica es que existe la posibilidad de estar en contacto con individuos que son portadores asintomáticos de diversos patógenos presentes en los líquidos orales</w:t>
      </w:r>
      <w:r>
        <w:rPr>
          <w:position w:val="11"/>
          <w:sz w:val="16"/>
        </w:rPr>
        <w:t>54</w:t>
      </w:r>
      <w:r>
        <w:rPr/>
        <w:t>.</w:t>
      </w:r>
    </w:p>
    <w:p>
      <w:pPr>
        <w:spacing w:after="0" w:line="343" w:lineRule="auto"/>
        <w:jc w:val="both"/>
        <w:sectPr>
          <w:pgSz w:w="12240" w:h="15840"/>
          <w:pgMar w:header="731" w:footer="1012" w:top="1160" w:bottom="1200" w:left="1480" w:right="1480"/>
        </w:sectPr>
      </w:pPr>
    </w:p>
    <w:p>
      <w:pPr>
        <w:pStyle w:val="BodyText"/>
        <w:spacing w:before="11"/>
        <w:rPr>
          <w:sz w:val="16"/>
        </w:rPr>
      </w:pPr>
    </w:p>
    <w:p>
      <w:pPr>
        <w:pStyle w:val="BodyText"/>
        <w:spacing w:line="360" w:lineRule="auto" w:before="69"/>
        <w:ind w:left="219" w:right="227"/>
        <w:jc w:val="both"/>
      </w:pPr>
      <w:r>
        <w:rPr/>
        <w:t>La ADA en su reunión anual de 1999 reporto que la evaluación de la calidad del agua es primordial debido a que la literatura científica ha sugerido que todas las unidades dentales están altamente contaminadas. La FDA por su parte, ha declarado una lista de productos que tratan de mejorar la calidad del agua de las unidades   dentales   los   cuales   pueden   dividirse   en   4   categorías: sistemas</w:t>
      </w:r>
    </w:p>
    <w:p>
      <w:pPr>
        <w:pStyle w:val="BodyText"/>
        <w:spacing w:line="328" w:lineRule="auto" w:before="7"/>
        <w:ind w:left="219" w:right="228"/>
        <w:jc w:val="both"/>
      </w:pPr>
      <w:r>
        <w:rPr/>
        <w:t>independientes de agua, protocolos de tratamiento químico intermitente o continuo, uso de filtros y uso de agua</w:t>
      </w:r>
      <w:r>
        <w:rPr>
          <w:spacing w:val="-22"/>
        </w:rPr>
        <w:t> </w:t>
      </w:r>
      <w:r>
        <w:rPr/>
        <w:t>estéril</w:t>
      </w:r>
      <w:r>
        <w:rPr>
          <w:position w:val="11"/>
          <w:sz w:val="16"/>
        </w:rPr>
        <w:t>17,56</w:t>
      </w:r>
      <w:r>
        <w:rPr/>
        <w:t>.</w:t>
      </w:r>
    </w:p>
    <w:p>
      <w:pPr>
        <w:pStyle w:val="BodyText"/>
        <w:spacing w:before="11"/>
        <w:rPr>
          <w:sz w:val="37"/>
        </w:rPr>
      </w:pPr>
    </w:p>
    <w:p>
      <w:pPr>
        <w:pStyle w:val="BodyText"/>
        <w:spacing w:line="360" w:lineRule="auto"/>
        <w:ind w:left="219" w:right="215"/>
        <w:jc w:val="both"/>
      </w:pPr>
      <w:r>
        <w:rPr/>
        <w:t>En la actualidad se ha implementado en la mayoría de las unidades dentales el sistema independiente de agua, que no utiliza abastecimiento proveniente del sistema potable propio de cada comunidad, sin embargo, dichos aditamentos por  si </w:t>
      </w:r>
      <w:r>
        <w:rPr>
          <w:spacing w:val="-2"/>
        </w:rPr>
        <w:t>mismos </w:t>
      </w:r>
      <w:r>
        <w:rPr/>
        <w:t>no pueden mejorar la calidad del agua ya que para eliminar la biopelícula adherida se necesita de un procedimiento químico o mecánico, por lo que una gran variedad de productos antimicrobianos han sido valorados para su control. Monarca y col. evaluaron la efectividad de los métodos de descontaminación química utilizando diferentes desinfectantes: ácido paracético, peróxido de hidrógeno, sales de plata, cloramina T, glutaraldehído T4 y métodos de descontaminación física utilizando membranas sintéticas para la filtración de agua. Entre los desinfectantes utilizados para el mantenimiento de la calidad del agua   solamente   glutaraldehído   T4   fue   capaz   de   reducir   la contaminación</w:t>
      </w:r>
    </w:p>
    <w:p>
      <w:pPr>
        <w:pStyle w:val="BodyText"/>
        <w:spacing w:line="328" w:lineRule="auto" w:before="3"/>
        <w:ind w:left="219" w:right="230"/>
        <w:jc w:val="both"/>
      </w:pPr>
      <w:r>
        <w:rPr/>
        <w:t>bacteriana por debajo del límite sugerido por la ADA. El sistema de filtro de membrana no tuvo eficacia considerable</w:t>
      </w:r>
      <w:r>
        <w:rPr>
          <w:position w:val="11"/>
          <w:sz w:val="16"/>
        </w:rPr>
        <w:t>47</w:t>
      </w:r>
      <w:r>
        <w:rPr/>
        <w:t>.</w:t>
      </w:r>
    </w:p>
    <w:p>
      <w:pPr>
        <w:pStyle w:val="BodyText"/>
        <w:spacing w:before="3"/>
        <w:rPr>
          <w:sz w:val="35"/>
        </w:rPr>
      </w:pPr>
    </w:p>
    <w:p>
      <w:pPr>
        <w:pStyle w:val="BodyText"/>
        <w:spacing w:line="360" w:lineRule="auto" w:before="1"/>
        <w:ind w:left="219" w:right="214"/>
        <w:jc w:val="both"/>
      </w:pPr>
      <w:r>
        <w:rPr/>
        <w:t>Kettering y col</w:t>
      </w:r>
      <w:r>
        <w:rPr>
          <w:position w:val="11"/>
          <w:sz w:val="16"/>
        </w:rPr>
        <w:t>57</w:t>
      </w:r>
      <w:r>
        <w:rPr/>
        <w:t>, Shepherd y col</w:t>
      </w:r>
      <w:r>
        <w:rPr>
          <w:position w:val="11"/>
          <w:sz w:val="16"/>
        </w:rPr>
        <w:t>58</w:t>
      </w:r>
      <w:r>
        <w:rPr/>
        <w:t>, así como Fhien y Larsen</w:t>
      </w:r>
      <w:r>
        <w:rPr>
          <w:position w:val="11"/>
          <w:sz w:val="16"/>
        </w:rPr>
        <w:t>59 </w:t>
      </w:r>
      <w:r>
        <w:rPr>
          <w:color w:val="333333"/>
        </w:rPr>
        <w:t>realizaron estudios donde </w:t>
      </w:r>
      <w:r>
        <w:rPr/>
        <w:t>evaluaron muestras de agua para determinar </w:t>
      </w:r>
      <w:r>
        <w:rPr>
          <w:spacing w:val="-3"/>
        </w:rPr>
        <w:t>si </w:t>
      </w:r>
      <w:r>
        <w:rPr/>
        <w:t>diversos desinfectantes, entre ellos la clorhexidina, afectan a la presencia de organismos microbianos en el agua de la unidad dental, donde se demostró que la descontaminación del agua  es posible utilizando clorhexidina seguida por el riego con agua estéril. Además fueron evaluadas las sustancias Sterilex Ultra y Sanosil en la reducción de las cargas bacterianas a niveles seguros, teniendo como resultado que el agua analizada  de   las unidades dio  un  promedio  de  concentración aeróbica  de</w:t>
      </w:r>
      <w:r>
        <w:rPr>
          <w:spacing w:val="13"/>
        </w:rPr>
        <w:t> </w:t>
      </w:r>
      <w:r>
        <w:rPr/>
        <w:t>184</w:t>
      </w:r>
    </w:p>
    <w:p>
      <w:pPr>
        <w:spacing w:after="0" w:line="360" w:lineRule="auto"/>
        <w:jc w:val="both"/>
        <w:sectPr>
          <w:pgSz w:w="12240" w:h="15840"/>
          <w:pgMar w:header="731" w:footer="1012" w:top="1160" w:bottom="1200" w:left="1480" w:right="1480"/>
        </w:sectPr>
      </w:pPr>
    </w:p>
    <w:p>
      <w:pPr>
        <w:pStyle w:val="BodyText"/>
        <w:spacing w:before="11"/>
        <w:rPr>
          <w:sz w:val="16"/>
        </w:rPr>
      </w:pPr>
    </w:p>
    <w:p>
      <w:pPr>
        <w:pStyle w:val="BodyText"/>
        <w:spacing w:line="345" w:lineRule="auto" w:before="69"/>
        <w:ind w:left="219" w:right="229"/>
        <w:jc w:val="both"/>
      </w:pPr>
      <w:r>
        <w:rPr/>
        <w:t>UFC / ml, inferior a lo establecido por la ADA, sin embargo, la concentración correspondiente al agua de salida de la pieza de mano de alta velocidad fue considerablemente mayor: 4300 UFC / ml</w:t>
      </w:r>
      <w:r>
        <w:rPr>
          <w:position w:val="11"/>
          <w:sz w:val="16"/>
        </w:rPr>
        <w:t>33, 34, 35</w:t>
      </w:r>
      <w:r>
        <w:rPr/>
        <w:t>.</w:t>
      </w:r>
    </w:p>
    <w:p>
      <w:pPr>
        <w:pStyle w:val="BodyText"/>
        <w:rPr>
          <w:sz w:val="33"/>
        </w:rPr>
      </w:pPr>
    </w:p>
    <w:p>
      <w:pPr>
        <w:pStyle w:val="BodyText"/>
        <w:spacing w:line="360" w:lineRule="auto"/>
        <w:ind w:left="219" w:right="214"/>
        <w:jc w:val="both"/>
      </w:pPr>
      <w:r>
        <w:rPr/>
        <w:t>Por otra parte, Linger y col.</w:t>
      </w:r>
      <w:r>
        <w:rPr>
          <w:position w:val="11"/>
          <w:sz w:val="16"/>
        </w:rPr>
        <w:t>60</w:t>
      </w:r>
      <w:r>
        <w:rPr/>
        <w:t>, valoraron los métodos de control de la calidad microbiológica del agua y de la presencia de biopelícula en la unidad dental mediante el uso de cinco desinfectantes químicos. Sesenta y nueve unidades dentales, con un sistema de agua de circuito cerrado se utilizaron para comparar los niveles microbianos en líneas de agua que fueron tratadas con Listerine, Bio 2000, Rembrandt, Dentosept, fluoruro de sodio, y agua destilada estéril como control durante un periodo de 6-semanas. Para todas las unidades, las líneas de agua se llenaron con solución, se dejó durante la noche, y se enjuago posteriormente durante 30 segundos con agua destilada estéril a la mañana siguiente antes del tratamiento de pacientes. Los resultados de este estudio mostraron que, incluso en un sistema de agua de circuito cerrado, el agua destilada sola no puede reducir la contaminación microbiana de tratamiento dental, no obstante, el agua tratada con 5 antimicrobianos, hizo cumplir la meta de reducción microbiana </w:t>
      </w:r>
      <w:r>
        <w:rPr>
          <w:spacing w:val="-3"/>
        </w:rPr>
        <w:t>ya </w:t>
      </w:r>
      <w:r>
        <w:rPr/>
        <w:t>que la biopelícula al parecer, se redujo en volumen, aunque no fue eliminada del todo. En otro análisis, Kettering y col. mostraron que el agua del grifo con el toque cloro no mejoró </w:t>
      </w:r>
      <w:r>
        <w:rPr>
          <w:spacing w:val="7"/>
        </w:rPr>
        <w:t>la </w:t>
      </w:r>
      <w:r>
        <w:rPr/>
        <w:t>calidad de la </w:t>
      </w:r>
      <w:r>
        <w:rPr>
          <w:spacing w:val="-2"/>
        </w:rPr>
        <w:t>misma,     </w:t>
      </w:r>
      <w:r>
        <w:rPr>
          <w:spacing w:val="45"/>
        </w:rPr>
        <w:t> </w:t>
      </w:r>
      <w:r>
        <w:rPr/>
        <w:t>aunque </w:t>
      </w:r>
      <w:r>
        <w:rPr>
          <w:spacing w:val="5"/>
        </w:rPr>
        <w:t>la</w:t>
      </w:r>
    </w:p>
    <w:p>
      <w:pPr>
        <w:pStyle w:val="BodyText"/>
        <w:spacing w:line="328" w:lineRule="auto" w:before="3"/>
        <w:ind w:left="219" w:right="214"/>
        <w:jc w:val="both"/>
      </w:pPr>
      <w:r>
        <w:rPr/>
        <w:t>combinación de tratamiento intermitente y continuo con hipoclorito de sodio diluido puede ser útil</w:t>
      </w:r>
      <w:r>
        <w:rPr>
          <w:position w:val="11"/>
          <w:sz w:val="16"/>
        </w:rPr>
        <w:t>57</w:t>
      </w:r>
      <w:r>
        <w:rPr/>
        <w:t>.</w:t>
      </w:r>
    </w:p>
    <w:p>
      <w:pPr>
        <w:pStyle w:val="BodyText"/>
        <w:spacing w:before="4"/>
        <w:rPr>
          <w:sz w:val="38"/>
        </w:rPr>
      </w:pPr>
    </w:p>
    <w:p>
      <w:pPr>
        <w:pStyle w:val="BodyText"/>
        <w:spacing w:line="355" w:lineRule="auto"/>
        <w:ind w:left="219" w:right="214"/>
        <w:jc w:val="both"/>
      </w:pPr>
      <w:r>
        <w:rPr/>
        <w:t>En nuestro país, la NOM-013-SSA-2006 para la prevención y control de las enfermedades bucales, indica que teóricamente existe la posibilidad de transmitir ciertas infecciones a través de los aerosoles producidos por la pieza de mano de alta velocidad, por lo que es obligatoria su desinfección con soluciones  de alto nivel biocida. Además menciona que a partir del 1o. de enero del año 2000 es forzosa la esterilización de la pieza de mano o la utilización de piezas de mano desechables e indica que se debe purgar su manguera y la de la jeringa triple 3 minutos  al  inicio  y  término  del  día  y  30  segundos  entre  cada  paciente</w:t>
      </w:r>
      <w:r>
        <w:rPr>
          <w:position w:val="11"/>
          <w:sz w:val="16"/>
        </w:rPr>
        <w:t>19</w:t>
      </w:r>
      <w:r>
        <w:rPr/>
        <w:t>. Sin</w:t>
      </w:r>
    </w:p>
    <w:p>
      <w:pPr>
        <w:spacing w:after="0" w:line="355" w:lineRule="auto"/>
        <w:jc w:val="both"/>
        <w:sectPr>
          <w:footerReference w:type="default" r:id="rId13"/>
          <w:pgSz w:w="12240" w:h="15840"/>
          <w:pgMar w:footer="1012" w:header="731" w:top="1160" w:bottom="1200" w:left="1480" w:right="1480"/>
        </w:sectPr>
      </w:pPr>
    </w:p>
    <w:p>
      <w:pPr>
        <w:pStyle w:val="BodyText"/>
        <w:spacing w:before="11"/>
        <w:rPr>
          <w:sz w:val="16"/>
        </w:rPr>
      </w:pPr>
    </w:p>
    <w:p>
      <w:pPr>
        <w:pStyle w:val="BodyText"/>
        <w:spacing w:line="352" w:lineRule="auto" w:before="69"/>
        <w:ind w:left="219" w:right="214"/>
        <w:jc w:val="both"/>
      </w:pPr>
      <w:r>
        <w:rPr/>
        <w:t>embargo la OSAP en sus postulados referentes al control de la biopelícula alerta que la purga de las líneas de agua por varios minutos antes de iniciar el tratamiento dental, sin tratamientos adicionales para remover o suprimir </w:t>
      </w:r>
      <w:r>
        <w:rPr>
          <w:spacing w:val="9"/>
        </w:rPr>
        <w:t>la </w:t>
      </w:r>
      <w:r>
        <w:rPr/>
        <w:t>contaminación microbiana, debe ser usada sólo como una medida interina hasta que  métodos  </w:t>
      </w:r>
      <w:r>
        <w:rPr>
          <w:spacing w:val="-3"/>
        </w:rPr>
        <w:t>más  </w:t>
      </w:r>
      <w:r>
        <w:rPr/>
        <w:t>efectivos puedan ser aplicados</w:t>
      </w:r>
      <w:r>
        <w:rPr>
          <w:position w:val="11"/>
          <w:sz w:val="16"/>
        </w:rPr>
        <w:t>20</w:t>
      </w:r>
      <w:r>
        <w:rPr/>
        <w:t>,</w:t>
      </w:r>
      <w:r>
        <w:rPr>
          <w:position w:val="11"/>
          <w:sz w:val="16"/>
        </w:rPr>
        <w:t>,  </w:t>
      </w:r>
      <w:r>
        <w:rPr/>
        <w:t>debido a ello, se sugiere </w:t>
      </w:r>
      <w:r>
        <w:rPr>
          <w:spacing w:val="59"/>
        </w:rPr>
        <w:t> </w:t>
      </w:r>
      <w:r>
        <w:rPr/>
        <w:t>la</w:t>
      </w:r>
    </w:p>
    <w:p>
      <w:pPr>
        <w:pStyle w:val="BodyText"/>
        <w:spacing w:line="328" w:lineRule="auto"/>
        <w:ind w:left="219" w:right="224"/>
        <w:jc w:val="both"/>
      </w:pPr>
      <w:r>
        <w:rPr/>
        <w:t>adición de alguna sustancia que coadyuve controlando la contaminación por retrosucción</w:t>
      </w:r>
      <w:r>
        <w:rPr>
          <w:position w:val="11"/>
          <w:sz w:val="16"/>
        </w:rPr>
        <w:t>20</w:t>
      </w:r>
      <w:r>
        <w:rPr/>
        <w:t>.</w:t>
      </w:r>
    </w:p>
    <w:p>
      <w:pPr>
        <w:pStyle w:val="BodyText"/>
        <w:rPr>
          <w:sz w:val="28"/>
        </w:rPr>
      </w:pPr>
    </w:p>
    <w:p>
      <w:pPr>
        <w:pStyle w:val="BodyText"/>
        <w:rPr>
          <w:sz w:val="28"/>
        </w:rPr>
      </w:pPr>
    </w:p>
    <w:p>
      <w:pPr>
        <w:pStyle w:val="BodyText"/>
        <w:spacing w:before="1"/>
        <w:rPr>
          <w:sz w:val="22"/>
        </w:rPr>
      </w:pPr>
    </w:p>
    <w:p>
      <w:pPr>
        <w:pStyle w:val="Heading2"/>
        <w:numPr>
          <w:ilvl w:val="1"/>
          <w:numId w:val="4"/>
        </w:numPr>
        <w:tabs>
          <w:tab w:pos="622" w:val="left" w:leader="none"/>
        </w:tabs>
        <w:spacing w:line="240" w:lineRule="auto" w:before="0" w:after="0"/>
        <w:ind w:left="621" w:right="0" w:hanging="402"/>
        <w:jc w:val="both"/>
      </w:pPr>
      <w:r>
        <w:rPr/>
        <w:t>Antisépticos y</w:t>
      </w:r>
      <w:r>
        <w:rPr>
          <w:spacing w:val="-11"/>
        </w:rPr>
        <w:t> </w:t>
      </w:r>
      <w:r>
        <w:rPr/>
        <w:t>Desinfectantes</w:t>
      </w:r>
    </w:p>
    <w:p>
      <w:pPr>
        <w:pStyle w:val="BodyText"/>
        <w:spacing w:before="2"/>
        <w:rPr>
          <w:b/>
          <w:sz w:val="28"/>
        </w:rPr>
      </w:pPr>
    </w:p>
    <w:p>
      <w:pPr>
        <w:pStyle w:val="BodyText"/>
        <w:spacing w:line="360" w:lineRule="auto"/>
        <w:ind w:left="219" w:right="216"/>
        <w:jc w:val="both"/>
      </w:pPr>
      <w:r>
        <w:rPr/>
        <w:t>Los antisépticos son biocidas o sustancias químicas que se aplican sobre los tejidos vivos, con la finalidad de destruir o inhibir el crecimiento de microorganismos patógenos. No tienen actividad selectiva ya que eliminan todo tipo de gérmenes. A altas concentraciones pueden ser tóxicos para los tejidos vivos.  Son sustancias de uso estrictamente externo y deben responder a un doble</w:t>
      </w:r>
    </w:p>
    <w:p>
      <w:pPr>
        <w:pStyle w:val="BodyText"/>
        <w:spacing w:line="328" w:lineRule="auto" w:before="7"/>
        <w:ind w:left="219" w:right="229"/>
        <w:jc w:val="both"/>
      </w:pPr>
      <w:r>
        <w:rPr/>
        <w:t>criterio de eficacia e inocuidad. Su objetivo debe ser eliminar o destruir los microorganismos presentes en la piel sin alterar las estructuras</w:t>
      </w:r>
      <w:r>
        <w:rPr>
          <w:position w:val="11"/>
          <w:sz w:val="16"/>
        </w:rPr>
        <w:t>61,62</w:t>
      </w:r>
      <w:r>
        <w:rPr/>
        <w:t>.</w:t>
      </w:r>
    </w:p>
    <w:p>
      <w:pPr>
        <w:pStyle w:val="BodyText"/>
        <w:spacing w:before="3"/>
        <w:rPr>
          <w:sz w:val="26"/>
        </w:rPr>
      </w:pPr>
    </w:p>
    <w:p>
      <w:pPr>
        <w:pStyle w:val="BodyText"/>
        <w:spacing w:line="360" w:lineRule="auto"/>
        <w:ind w:left="219" w:right="214"/>
        <w:jc w:val="both"/>
      </w:pPr>
      <w:r>
        <w:rPr/>
        <w:t>Terapéuticamente hablando, el papel de los antisépticos es el de coadyuvar con los medios naturales de defensa de la piel en el control de los microorganismos patógenos responsables de las infecciones cutáneas primitivas. Algunos antisépticos se aplican sobre la piel intacta o membranas mucosas, quemaduras, laceraciones o heridas abiertas para prevenir la sepsis al debridar o excluir los microorganismos de estas áreas. La mayoría de los antisépticos no son convenientes para aplicarlos en heridas abiertas, debido a que pueden impedir la curación por sus efectos citotóxicos directos sobre los queratinocitos  y  fibroblastos. El espectro de acción, tiempo de inicio de activación, tiempo de actividad,   efecto   residual,   toxicidad,   capacidad   de   penetración   y  </w:t>
      </w:r>
      <w:r>
        <w:rPr>
          <w:spacing w:val="3"/>
        </w:rPr>
        <w:t> </w:t>
      </w:r>
      <w:r>
        <w:rPr/>
        <w:t>posibles</w:t>
      </w:r>
    </w:p>
    <w:p>
      <w:pPr>
        <w:pStyle w:val="BodyText"/>
        <w:spacing w:line="328" w:lineRule="auto" w:before="3"/>
        <w:ind w:left="219" w:right="223"/>
        <w:jc w:val="both"/>
      </w:pPr>
      <w:r>
        <w:rPr/>
        <w:t>materiales que inactivan a los antisépticos pueden variar de un producto a  </w:t>
      </w:r>
      <w:r>
        <w:rPr>
          <w:position w:val="-10"/>
        </w:rPr>
        <w:t>otro</w:t>
      </w:r>
      <w:r>
        <w:rPr>
          <w:sz w:val="16"/>
        </w:rPr>
        <w:t>61,62</w:t>
      </w:r>
      <w:r>
        <w:rPr>
          <w:position w:val="-10"/>
        </w:rPr>
        <w:t>.</w:t>
      </w:r>
    </w:p>
    <w:p>
      <w:pPr>
        <w:spacing w:after="0" w:line="328" w:lineRule="auto"/>
        <w:jc w:val="both"/>
        <w:sectPr>
          <w:footerReference w:type="default" r:id="rId14"/>
          <w:pgSz w:w="12240" w:h="15840"/>
          <w:pgMar w:footer="1012" w:header="731" w:top="1160" w:bottom="1200" w:left="1480" w:right="1480"/>
          <w:pgNumType w:start="31"/>
        </w:sectPr>
      </w:pPr>
    </w:p>
    <w:p>
      <w:pPr>
        <w:pStyle w:val="BodyText"/>
        <w:spacing w:before="11"/>
        <w:rPr>
          <w:sz w:val="16"/>
        </w:rPr>
      </w:pPr>
    </w:p>
    <w:p>
      <w:pPr>
        <w:pStyle w:val="BodyText"/>
        <w:spacing w:line="352" w:lineRule="auto" w:before="69"/>
        <w:ind w:left="219" w:right="220"/>
        <w:jc w:val="both"/>
      </w:pPr>
      <w:r>
        <w:rPr/>
        <w:t>Por otro lado, un desinfectante, es un agente químico que se aplica sobre superficies o materiales inertes o inanimados, para destruir los microorganismos y prevenir las infecciones. Los desinfectantes también se pueden utilizar para desinfectar la piel y otros tejidos antes de la cirugía, aunque no tienen actividad selectiva y su elección debe tener en cuenta los posibles patógenos a eliminar</w:t>
      </w:r>
      <w:r>
        <w:rPr>
          <w:position w:val="11"/>
          <w:sz w:val="16"/>
        </w:rPr>
        <w:t>62</w:t>
      </w:r>
      <w:r>
        <w:rPr/>
        <w:t>.</w:t>
      </w:r>
    </w:p>
    <w:p>
      <w:pPr>
        <w:pStyle w:val="BodyText"/>
        <w:spacing w:before="7"/>
        <w:rPr>
          <w:sz w:val="23"/>
        </w:rPr>
      </w:pPr>
    </w:p>
    <w:p>
      <w:pPr>
        <w:pStyle w:val="Heading2"/>
        <w:jc w:val="both"/>
      </w:pPr>
      <w:r>
        <w:rPr/>
        <w:t>3.2.1 Mecanismos de Acción de los Antisépticos y Desinfectantes</w:t>
      </w:r>
    </w:p>
    <w:p>
      <w:pPr>
        <w:pStyle w:val="BodyText"/>
        <w:spacing w:before="2"/>
        <w:rPr>
          <w:b/>
          <w:sz w:val="28"/>
        </w:rPr>
      </w:pPr>
    </w:p>
    <w:p>
      <w:pPr>
        <w:pStyle w:val="BodyText"/>
        <w:spacing w:line="360" w:lineRule="auto"/>
        <w:ind w:left="219" w:right="214"/>
        <w:jc w:val="both"/>
      </w:pPr>
      <w:r>
        <w:rPr/>
        <w:t>Se han realizado considerables progresos en el conocimiento de los mecanismos de acción antibacterianos de los antisépticos y desinfectantes. En contraste, existen escasos estudios sobre el mecanismo de acción de los antisépticos contra los hongos, virus y parásitos. Cualquiera </w:t>
      </w:r>
      <w:r>
        <w:rPr>
          <w:spacing w:val="-3"/>
        </w:rPr>
        <w:t>que </w:t>
      </w:r>
      <w:r>
        <w:rPr/>
        <w:t>sea el tipo de células microbianas,  es probable que exista una secuencia </w:t>
      </w:r>
      <w:r>
        <w:rPr>
          <w:spacing w:val="-3"/>
        </w:rPr>
        <w:t>común </w:t>
      </w:r>
      <w:r>
        <w:rPr/>
        <w:t>de eventos. Ésta puede ser evidenciada como una interacción del antiséptico o desinfectante con la superficie de la membrana celular del microorganismo, seguida de la penetración dentro de la célula y luego su acción sobre un blanco, alterando las funciones normales del microorganismo. La cantidad absorbida aumenta con el incremento de la concentración   del   antiséptico.   El   sitio   más   importante   de   absorción</w:t>
      </w:r>
      <w:r>
        <w:rPr>
          <w:spacing w:val="13"/>
        </w:rPr>
        <w:t> </w:t>
      </w:r>
      <w:r>
        <w:rPr/>
        <w:t>es  la</w:t>
      </w:r>
    </w:p>
    <w:p>
      <w:pPr>
        <w:pStyle w:val="BodyText"/>
        <w:spacing w:line="328" w:lineRule="auto" w:before="3"/>
        <w:ind w:left="219" w:right="215"/>
        <w:jc w:val="both"/>
      </w:pPr>
      <w:r>
        <w:rPr/>
        <w:t>membrana citoplasmática. La composición y naturaleza de la superficie celular también puede alterase como resultado de los cambios en el medio ambiente</w:t>
      </w:r>
      <w:r>
        <w:rPr>
          <w:position w:val="11"/>
          <w:sz w:val="16"/>
        </w:rPr>
        <w:t>61,63</w:t>
      </w:r>
      <w:r>
        <w:rPr/>
        <w:t>.</w:t>
      </w:r>
    </w:p>
    <w:p>
      <w:pPr>
        <w:pStyle w:val="BodyText"/>
        <w:spacing w:before="7"/>
        <w:rPr>
          <w:sz w:val="26"/>
        </w:rPr>
      </w:pPr>
    </w:p>
    <w:p>
      <w:pPr>
        <w:pStyle w:val="BodyText"/>
        <w:spacing w:line="360" w:lineRule="auto" w:before="1"/>
        <w:ind w:left="219" w:right="215"/>
        <w:jc w:val="both"/>
      </w:pPr>
      <w:r>
        <w:rPr/>
        <w:t>En general, el mecanismo de acción de los antisépticos y desinfectantes depende de tres acciones básicas: Capacidad de coagular y precipitar proteínas, capacidad para alterar las características de permeabilidad celular y toxicidad o envenenamiento de los sistemas enzimáticos de las bacterias, que a su vez dependen del grupo químico. Éstos pueden producir la muerte o inhibición celular de las bacterias por oxidación, hidrólisis o inactivación de enzimas, con pérdida de los constituyentes celulares. Los desinfectantes actúan como desnaturalizantes o precipitantes de proteínas. Inhiben enzimas  y  causan  muerte celular. Son     más</w:t>
      </w:r>
    </w:p>
    <w:p>
      <w:pPr>
        <w:pStyle w:val="BodyText"/>
        <w:spacing w:line="328" w:lineRule="auto" w:before="8"/>
        <w:ind w:left="219" w:right="222"/>
        <w:jc w:val="both"/>
      </w:pPr>
      <w:r>
        <w:rPr/>
        <w:t>potentes, más rápidos y termoestables que los antisépticos. Algunos son más tóxicos</w:t>
      </w:r>
      <w:r>
        <w:rPr>
          <w:position w:val="11"/>
          <w:sz w:val="16"/>
        </w:rPr>
        <w:t>64</w:t>
      </w:r>
      <w:r>
        <w:rPr/>
        <w:t>.</w:t>
      </w:r>
    </w:p>
    <w:p>
      <w:pPr>
        <w:spacing w:after="0" w:line="328" w:lineRule="auto"/>
        <w:jc w:val="both"/>
        <w:sectPr>
          <w:pgSz w:w="12240" w:h="15840"/>
          <w:pgMar w:header="731" w:footer="1012" w:top="1160" w:bottom="1200" w:left="1480" w:right="1480"/>
        </w:sectPr>
      </w:pPr>
    </w:p>
    <w:p>
      <w:pPr>
        <w:pStyle w:val="BodyText"/>
        <w:spacing w:before="11"/>
        <w:rPr>
          <w:sz w:val="16"/>
        </w:rPr>
      </w:pPr>
    </w:p>
    <w:p>
      <w:pPr>
        <w:pStyle w:val="BodyText"/>
        <w:spacing w:line="333" w:lineRule="auto" w:before="69"/>
        <w:ind w:left="239" w:right="489"/>
        <w:rPr>
          <w:sz w:val="16"/>
        </w:rPr>
      </w:pPr>
      <w:r>
        <w:rPr/>
        <w:t>Un antiséptico-desinfectante ideal debe cumplir con los siguientes atributos para su elección: (cuadro 2)</w:t>
      </w:r>
      <w:r>
        <w:rPr>
          <w:position w:val="11"/>
          <w:sz w:val="16"/>
        </w:rPr>
        <w:t>64</w:t>
      </w:r>
    </w:p>
    <w:p>
      <w:pPr>
        <w:pStyle w:val="BodyText"/>
        <w:spacing w:before="8"/>
        <w:rPr>
          <w:sz w:val="22"/>
        </w:rPr>
      </w:pPr>
      <w:r>
        <w:rPr/>
        <w:pict>
          <v:line style="position:absolute;mso-position-horizontal-relative:page;mso-position-vertical-relative:paragraph;z-index:1048;mso-wrap-distance-left:0;mso-wrap-distance-right:0" from="81.384003pt,15.525818pt" to="530.614003pt,15.525818pt" stroked="true" strokeweight=".96pt" strokecolor="#9bba58">
            <w10:wrap type="topAndBottom"/>
          </v:line>
        </w:pict>
      </w:r>
    </w:p>
    <w:p>
      <w:pPr>
        <w:spacing w:before="0" w:after="39"/>
        <w:ind w:left="1671" w:right="489" w:firstLine="0"/>
        <w:jc w:val="left"/>
        <w:rPr>
          <w:b/>
          <w:sz w:val="20"/>
        </w:rPr>
      </w:pPr>
      <w:r>
        <w:rPr>
          <w:b/>
          <w:color w:val="76923B"/>
          <w:sz w:val="20"/>
        </w:rPr>
        <w:t>Cuadro 2. Características de un antiséptico-desinfectante ideal</w:t>
      </w:r>
    </w:p>
    <w:p>
      <w:pPr>
        <w:pStyle w:val="BodyText"/>
        <w:ind w:left="157"/>
        <w:rPr>
          <w:sz w:val="20"/>
        </w:rPr>
      </w:pPr>
      <w:r>
        <w:rPr>
          <w:sz w:val="20"/>
        </w:rPr>
        <w:pict>
          <v:group style="width:450.25pt;height:14.45pt;mso-position-horizontal-relative:char;mso-position-vertical-relative:line" coordorigin="0,0" coordsize="9005,289">
            <v:rect style="position:absolute;left:15;top:24;width:106;height:264" filled="true" fillcolor="#76923b" stroked="false">
              <v:fill type="solid"/>
            </v:rect>
            <v:rect style="position:absolute;left:4394;top:24;width:110;height:264" filled="true" fillcolor="#76923b" stroked="false">
              <v:fill type="solid"/>
            </v:rect>
            <v:rect style="position:absolute;left:120;top:24;width:4274;height:264" filled="true" fillcolor="#76923b" stroked="false">
              <v:fill type="solid"/>
            </v:rect>
            <v:rect style="position:absolute;left:4505;top:24;width:106;height:264" filled="true" fillcolor="#76923b" stroked="false">
              <v:fill type="solid"/>
            </v:rect>
            <v:rect style="position:absolute;left:8889;top:24;width:106;height:264" filled="true" fillcolor="#76923b" stroked="false">
              <v:fill type="solid"/>
            </v:rect>
            <v:rect style="position:absolute;left:4610;top:24;width:4278;height:264" filled="true" fillcolor="#76923b" stroked="false">
              <v:fill type="solid"/>
            </v:rect>
            <v:line style="position:absolute" from="10,10" to="4505,10" stroked="true" strokeweight=".95999pt" strokecolor="#9bba58"/>
            <v:line style="position:absolute" from="4505,10" to="4524,10" stroked="true" strokeweight=".95999pt" strokecolor="#9bba58"/>
            <v:line style="position:absolute" from="4524,10" to="8995,10" stroked="true" strokeweight=".95999pt" strokecolor="#9bba58"/>
            <v:shape style="position:absolute;left:15;top:24;width:8980;height:264" type="#_x0000_t202" filled="false" stroked="false">
              <v:textbox inset="0,0,0,0">
                <w:txbxContent>
                  <w:p>
                    <w:pPr>
                      <w:tabs>
                        <w:tab w:pos="6117" w:val="left" w:leader="none"/>
                      </w:tabs>
                      <w:spacing w:line="230" w:lineRule="exact" w:before="0"/>
                      <w:ind w:left="1695" w:right="0" w:firstLine="0"/>
                      <w:jc w:val="left"/>
                      <w:rPr>
                        <w:sz w:val="20"/>
                      </w:rPr>
                    </w:pPr>
                    <w:r>
                      <w:rPr>
                        <w:b/>
                        <w:color w:val="FFFFFF"/>
                        <w:sz w:val="20"/>
                      </w:rPr>
                      <w:t>Antiséptico</w:t>
                      <w:tab/>
                    </w:r>
                    <w:r>
                      <w:rPr>
                        <w:color w:val="FFFFFF"/>
                        <w:sz w:val="20"/>
                      </w:rPr>
                      <w:t>Desinfectante</w:t>
                    </w:r>
                  </w:p>
                </w:txbxContent>
              </v:textbox>
              <w10:wrap type="none"/>
            </v:shape>
          </v:group>
        </w:pict>
      </w:r>
      <w:r>
        <w:rPr>
          <w:sz w:val="20"/>
        </w:rPr>
      </w:r>
    </w:p>
    <w:p>
      <w:pPr>
        <w:tabs>
          <w:tab w:pos="4509" w:val="left" w:leader="none"/>
        </w:tabs>
        <w:spacing w:line="202" w:lineRule="exact" w:before="0"/>
        <w:ind w:left="67" w:right="0" w:firstLine="0"/>
        <w:jc w:val="center"/>
        <w:rPr>
          <w:sz w:val="20"/>
        </w:rPr>
      </w:pPr>
      <w:r>
        <w:rPr>
          <w:color w:val="76923B"/>
          <w:sz w:val="20"/>
        </w:rPr>
        <w:t>Amplio espectro</w:t>
      </w:r>
      <w:r>
        <w:rPr>
          <w:color w:val="76923B"/>
          <w:spacing w:val="-3"/>
          <w:sz w:val="20"/>
        </w:rPr>
        <w:t> </w:t>
      </w:r>
      <w:r>
        <w:rPr>
          <w:color w:val="76923B"/>
          <w:sz w:val="20"/>
        </w:rPr>
        <w:t>de</w:t>
      </w:r>
      <w:r>
        <w:rPr>
          <w:color w:val="76923B"/>
          <w:spacing w:val="-2"/>
          <w:sz w:val="20"/>
        </w:rPr>
        <w:t> </w:t>
      </w:r>
      <w:r>
        <w:rPr>
          <w:color w:val="76923B"/>
          <w:sz w:val="20"/>
        </w:rPr>
        <w:t>actividad</w:t>
        <w:tab/>
        <w:t>Germicida de amplio</w:t>
      </w:r>
      <w:r>
        <w:rPr>
          <w:color w:val="76923B"/>
          <w:spacing w:val="-4"/>
          <w:sz w:val="20"/>
        </w:rPr>
        <w:t> </w:t>
      </w:r>
      <w:r>
        <w:rPr>
          <w:color w:val="76923B"/>
          <w:sz w:val="20"/>
        </w:rPr>
        <w:t>espectro</w:t>
      </w:r>
    </w:p>
    <w:p>
      <w:pPr>
        <w:tabs>
          <w:tab w:pos="4505" w:val="left" w:leader="none"/>
        </w:tabs>
        <w:spacing w:before="34"/>
        <w:ind w:left="15" w:right="0" w:firstLine="0"/>
        <w:jc w:val="center"/>
        <w:rPr>
          <w:sz w:val="20"/>
        </w:rPr>
      </w:pPr>
      <w:r>
        <w:rPr/>
        <w:pict>
          <v:rect style="position:absolute;margin-left:81.624001pt;margin-top:1.719868pt;width:448.989021pt;height:13.200001pt;mso-position-horizontal-relative:page;mso-position-vertical-relative:paragraph;z-index:-131872" filled="true" fillcolor="#e6edd4" stroked="false">
            <v:fill type="solid"/>
            <w10:wrap type="none"/>
          </v:rect>
        </w:pict>
      </w:r>
      <w:r>
        <w:rPr>
          <w:color w:val="76923B"/>
          <w:sz w:val="20"/>
        </w:rPr>
        <w:t>Bajo costo</w:t>
        <w:tab/>
        <w:t>Bajo</w:t>
      </w:r>
      <w:r>
        <w:rPr>
          <w:color w:val="76923B"/>
          <w:spacing w:val="1"/>
          <w:sz w:val="20"/>
        </w:rPr>
        <w:t> </w:t>
      </w:r>
      <w:r>
        <w:rPr>
          <w:color w:val="76923B"/>
          <w:sz w:val="20"/>
        </w:rPr>
        <w:t>costo</w:t>
      </w:r>
    </w:p>
    <w:p>
      <w:pPr>
        <w:tabs>
          <w:tab w:pos="5545" w:val="left" w:leader="none"/>
          <w:tab w:pos="6280" w:val="left" w:leader="none"/>
        </w:tabs>
        <w:spacing w:line="276" w:lineRule="auto" w:before="34"/>
        <w:ind w:left="1997" w:right="1036" w:hanging="687"/>
        <w:jc w:val="left"/>
        <w:rPr>
          <w:sz w:val="20"/>
        </w:rPr>
      </w:pPr>
      <w:r>
        <w:rPr/>
        <w:pict>
          <v:rect style="position:absolute;margin-left:81.624001pt;margin-top:14.919837pt;width:448.989021pt;height:13.200001pt;mso-position-horizontal-relative:page;mso-position-vertical-relative:paragraph;z-index:-131848" filled="true" fillcolor="#e6edd4" stroked="false">
            <v:fill type="solid"/>
            <w10:wrap type="none"/>
          </v:rect>
        </w:pict>
      </w:r>
      <w:r>
        <w:rPr>
          <w:color w:val="76923B"/>
          <w:sz w:val="20"/>
        </w:rPr>
        <w:t>Inocuo para</w:t>
      </w:r>
      <w:r>
        <w:rPr>
          <w:color w:val="76923B"/>
          <w:spacing w:val="2"/>
          <w:sz w:val="20"/>
        </w:rPr>
        <w:t> </w:t>
      </w:r>
      <w:r>
        <w:rPr>
          <w:color w:val="76923B"/>
          <w:sz w:val="20"/>
        </w:rPr>
        <w:t>tejidos</w:t>
      </w:r>
      <w:r>
        <w:rPr>
          <w:color w:val="76923B"/>
          <w:spacing w:val="-7"/>
          <w:sz w:val="20"/>
        </w:rPr>
        <w:t> </w:t>
      </w:r>
      <w:r>
        <w:rPr>
          <w:color w:val="76923B"/>
          <w:sz w:val="20"/>
        </w:rPr>
        <w:t>vivos</w:t>
        <w:tab/>
        <w:t>No corrosivo, no</w:t>
      </w:r>
      <w:r>
        <w:rPr>
          <w:color w:val="76923B"/>
          <w:spacing w:val="-3"/>
          <w:sz w:val="20"/>
        </w:rPr>
        <w:t> </w:t>
      </w:r>
      <w:r>
        <w:rPr>
          <w:color w:val="76923B"/>
          <w:sz w:val="20"/>
        </w:rPr>
        <w:t>altera</w:t>
      </w:r>
      <w:r>
        <w:rPr>
          <w:color w:val="76923B"/>
          <w:spacing w:val="-2"/>
          <w:sz w:val="20"/>
        </w:rPr>
        <w:t> </w:t>
      </w:r>
      <w:r>
        <w:rPr>
          <w:color w:val="76923B"/>
          <w:sz w:val="20"/>
        </w:rPr>
        <w:t>objetos</w:t>
      </w:r>
      <w:r>
        <w:rPr>
          <w:color w:val="76923B"/>
          <w:w w:val="100"/>
          <w:sz w:val="20"/>
        </w:rPr>
        <w:t> </w:t>
      </w:r>
      <w:r>
        <w:rPr>
          <w:color w:val="76923B"/>
          <w:sz w:val="20"/>
        </w:rPr>
        <w:t>No tóxico</w:t>
        <w:tab/>
        <w:tab/>
        <w:t>Baja</w:t>
      </w:r>
      <w:r>
        <w:rPr>
          <w:color w:val="76923B"/>
          <w:spacing w:val="1"/>
          <w:sz w:val="20"/>
        </w:rPr>
        <w:t> </w:t>
      </w:r>
      <w:r>
        <w:rPr>
          <w:color w:val="76923B"/>
          <w:sz w:val="20"/>
        </w:rPr>
        <w:t>toxicidad</w:t>
      </w:r>
    </w:p>
    <w:p>
      <w:pPr>
        <w:tabs>
          <w:tab w:pos="6280" w:val="left" w:leader="none"/>
        </w:tabs>
        <w:spacing w:line="276" w:lineRule="auto" w:before="0"/>
        <w:ind w:left="1113" w:right="1768" w:hanging="423"/>
        <w:jc w:val="left"/>
        <w:rPr>
          <w:sz w:val="20"/>
        </w:rPr>
      </w:pPr>
      <w:r>
        <w:rPr/>
        <w:pict>
          <v:rect style="position:absolute;margin-left:81.624001pt;margin-top:13.219875pt;width:448.989021pt;height:13.200001pt;mso-position-horizontal-relative:page;mso-position-vertical-relative:paragraph;z-index:-131824" filled="true" fillcolor="#e6edd4" stroked="false">
            <v:fill type="solid"/>
            <w10:wrap type="none"/>
          </v:rect>
        </w:pict>
      </w:r>
      <w:r>
        <w:rPr>
          <w:color w:val="76923B"/>
          <w:sz w:val="20"/>
        </w:rPr>
        <w:t>Rapidez y eficacia en</w:t>
      </w:r>
      <w:r>
        <w:rPr>
          <w:color w:val="76923B"/>
          <w:spacing w:val="-3"/>
          <w:sz w:val="20"/>
        </w:rPr>
        <w:t> </w:t>
      </w:r>
      <w:r>
        <w:rPr>
          <w:color w:val="76923B"/>
          <w:sz w:val="20"/>
        </w:rPr>
        <w:t>materia</w:t>
      </w:r>
      <w:r>
        <w:rPr>
          <w:color w:val="76923B"/>
          <w:spacing w:val="-1"/>
          <w:sz w:val="20"/>
        </w:rPr>
        <w:t> </w:t>
      </w:r>
      <w:r>
        <w:rPr>
          <w:color w:val="76923B"/>
          <w:sz w:val="20"/>
        </w:rPr>
        <w:t>orgánica</w:t>
        <w:tab/>
        <w:t>Amplia</w:t>
      </w:r>
      <w:r>
        <w:rPr>
          <w:color w:val="76923B"/>
          <w:spacing w:val="1"/>
          <w:sz w:val="20"/>
        </w:rPr>
        <w:t> </w:t>
      </w:r>
      <w:r>
        <w:rPr>
          <w:color w:val="76923B"/>
          <w:sz w:val="20"/>
        </w:rPr>
        <w:t>acción</w:t>
      </w:r>
      <w:r>
        <w:rPr>
          <w:color w:val="76923B"/>
          <w:w w:val="100"/>
          <w:sz w:val="20"/>
        </w:rPr>
        <w:t> </w:t>
      </w:r>
      <w:r>
        <w:rPr>
          <w:color w:val="76923B"/>
          <w:sz w:val="20"/>
        </w:rPr>
        <w:t>Efecto acumulativo</w:t>
      </w:r>
      <w:r>
        <w:rPr>
          <w:color w:val="76923B"/>
          <w:spacing w:val="-7"/>
          <w:sz w:val="20"/>
        </w:rPr>
        <w:t> </w:t>
      </w:r>
      <w:r>
        <w:rPr>
          <w:color w:val="76923B"/>
          <w:sz w:val="20"/>
        </w:rPr>
        <w:t>y residual</w:t>
        <w:tab/>
      </w:r>
      <w:r>
        <w:rPr>
          <w:color w:val="76923B"/>
          <w:spacing w:val="-1"/>
          <w:sz w:val="20"/>
        </w:rPr>
        <w:t>Disponibilidad</w:t>
      </w:r>
    </w:p>
    <w:p>
      <w:pPr>
        <w:tabs>
          <w:tab w:pos="5896" w:val="left" w:leader="none"/>
          <w:tab w:pos="6040" w:val="left" w:leader="none"/>
        </w:tabs>
        <w:spacing w:line="276" w:lineRule="auto" w:before="0"/>
        <w:ind w:left="1190" w:right="1389" w:hanging="480"/>
        <w:jc w:val="left"/>
        <w:rPr>
          <w:sz w:val="20"/>
        </w:rPr>
      </w:pPr>
      <w:r>
        <w:rPr/>
        <w:pict>
          <v:rect style="position:absolute;margin-left:81.624001pt;margin-top:13.219852pt;width:448.989021pt;height:13.440001pt;mso-position-horizontal-relative:page;mso-position-vertical-relative:paragraph;z-index:-131800" filled="true" fillcolor="#e6edd4" stroked="false">
            <v:fill type="solid"/>
            <w10:wrap type="none"/>
          </v:rect>
        </w:pict>
      </w:r>
      <w:r>
        <w:rPr>
          <w:color w:val="76923B"/>
          <w:sz w:val="20"/>
        </w:rPr>
        <w:t>Baja capacidad de</w:t>
      </w:r>
      <w:r>
        <w:rPr>
          <w:color w:val="76923B"/>
          <w:spacing w:val="-4"/>
          <w:sz w:val="20"/>
        </w:rPr>
        <w:t> </w:t>
      </w:r>
      <w:r>
        <w:rPr>
          <w:color w:val="76923B"/>
          <w:sz w:val="20"/>
        </w:rPr>
        <w:t>generar</w:t>
      </w:r>
      <w:r>
        <w:rPr>
          <w:color w:val="76923B"/>
          <w:spacing w:val="-1"/>
          <w:sz w:val="20"/>
        </w:rPr>
        <w:t> </w:t>
      </w:r>
      <w:r>
        <w:rPr>
          <w:color w:val="76923B"/>
          <w:sz w:val="20"/>
        </w:rPr>
        <w:t>resistencia</w:t>
        <w:tab/>
        <w:t>No</w:t>
      </w:r>
      <w:r>
        <w:rPr>
          <w:color w:val="76923B"/>
          <w:spacing w:val="-4"/>
          <w:sz w:val="20"/>
        </w:rPr>
        <w:t> </w:t>
      </w:r>
      <w:r>
        <w:rPr>
          <w:color w:val="76923B"/>
          <w:sz w:val="20"/>
        </w:rPr>
        <w:t>generar</w:t>
      </w:r>
      <w:r>
        <w:rPr>
          <w:color w:val="76923B"/>
          <w:spacing w:val="-3"/>
          <w:sz w:val="20"/>
        </w:rPr>
        <w:t> </w:t>
      </w:r>
      <w:r>
        <w:rPr>
          <w:color w:val="76923B"/>
          <w:sz w:val="20"/>
        </w:rPr>
        <w:t>resistencia</w:t>
      </w:r>
      <w:r>
        <w:rPr>
          <w:color w:val="76923B"/>
          <w:w w:val="100"/>
          <w:sz w:val="20"/>
        </w:rPr>
        <w:t> </w:t>
      </w:r>
      <w:r>
        <w:rPr>
          <w:color w:val="76923B"/>
          <w:sz w:val="20"/>
        </w:rPr>
        <w:t>No irritante</w:t>
      </w:r>
      <w:r>
        <w:rPr>
          <w:color w:val="76923B"/>
          <w:spacing w:val="-5"/>
          <w:sz w:val="20"/>
        </w:rPr>
        <w:t> </w:t>
      </w:r>
      <w:r>
        <w:rPr>
          <w:color w:val="76923B"/>
          <w:sz w:val="20"/>
        </w:rPr>
        <w:t>ni sensibilizante</w:t>
        <w:tab/>
        <w:tab/>
        <w:t>No soluble en</w:t>
      </w:r>
      <w:r>
        <w:rPr>
          <w:color w:val="76923B"/>
          <w:spacing w:val="-3"/>
          <w:sz w:val="20"/>
        </w:rPr>
        <w:t> </w:t>
      </w:r>
      <w:r>
        <w:rPr>
          <w:color w:val="76923B"/>
          <w:sz w:val="20"/>
        </w:rPr>
        <w:t>agua</w:t>
      </w:r>
    </w:p>
    <w:p>
      <w:pPr>
        <w:tabs>
          <w:tab w:pos="5848" w:val="left" w:leader="none"/>
          <w:tab w:pos="5929" w:val="left" w:leader="none"/>
        </w:tabs>
        <w:spacing w:line="276" w:lineRule="auto" w:before="6"/>
        <w:ind w:left="1123" w:right="1331" w:firstLine="465"/>
        <w:jc w:val="left"/>
        <w:rPr>
          <w:sz w:val="20"/>
        </w:rPr>
      </w:pPr>
      <w:r>
        <w:rPr/>
        <w:pict>
          <v:rect style="position:absolute;margin-left:81.624001pt;margin-top:13.519871pt;width:448.989021pt;height:13.200001pt;mso-position-horizontal-relative:page;mso-position-vertical-relative:paragraph;z-index:-131776" filled="true" fillcolor="#e6edd4" stroked="false">
            <v:fill type="solid"/>
            <w10:wrap type="none"/>
          </v:rect>
        </w:pict>
      </w:r>
      <w:r>
        <w:rPr>
          <w:color w:val="76923B"/>
          <w:sz w:val="20"/>
        </w:rPr>
        <w:t>No teñir</w:t>
      </w:r>
      <w:r>
        <w:rPr>
          <w:color w:val="76923B"/>
          <w:spacing w:val="-1"/>
          <w:sz w:val="20"/>
        </w:rPr>
        <w:t> </w:t>
      </w:r>
      <w:r>
        <w:rPr>
          <w:color w:val="76923B"/>
          <w:sz w:val="20"/>
        </w:rPr>
        <w:t>los</w:t>
      </w:r>
      <w:r>
        <w:rPr>
          <w:color w:val="76923B"/>
          <w:spacing w:val="-2"/>
          <w:sz w:val="20"/>
        </w:rPr>
        <w:t> </w:t>
      </w:r>
      <w:r>
        <w:rPr>
          <w:color w:val="76923B"/>
          <w:sz w:val="20"/>
        </w:rPr>
        <w:t>tejidos</w:t>
        <w:tab/>
        <w:t>Estabilidad</w:t>
      </w:r>
      <w:r>
        <w:rPr>
          <w:color w:val="76923B"/>
          <w:spacing w:val="-1"/>
          <w:sz w:val="20"/>
        </w:rPr>
        <w:t> </w:t>
      </w:r>
      <w:r>
        <w:rPr>
          <w:color w:val="76923B"/>
          <w:sz w:val="20"/>
        </w:rPr>
        <w:t>conveniente</w:t>
      </w:r>
      <w:r>
        <w:rPr>
          <w:color w:val="76923B"/>
          <w:w w:val="100"/>
          <w:sz w:val="20"/>
        </w:rPr>
        <w:t> </w:t>
      </w:r>
      <w:r>
        <w:rPr>
          <w:color w:val="76923B"/>
          <w:sz w:val="20"/>
        </w:rPr>
        <w:t>No </w:t>
      </w:r>
      <w:r>
        <w:rPr>
          <w:color w:val="76923B"/>
          <w:spacing w:val="-3"/>
          <w:sz w:val="20"/>
        </w:rPr>
        <w:t>poseer</w:t>
      </w:r>
      <w:r>
        <w:rPr>
          <w:color w:val="76923B"/>
          <w:spacing w:val="4"/>
          <w:sz w:val="20"/>
        </w:rPr>
        <w:t> </w:t>
      </w:r>
      <w:r>
        <w:rPr>
          <w:color w:val="76923B"/>
          <w:sz w:val="20"/>
        </w:rPr>
        <w:t>olor</w:t>
      </w:r>
      <w:r>
        <w:rPr>
          <w:color w:val="76923B"/>
          <w:spacing w:val="3"/>
          <w:sz w:val="20"/>
        </w:rPr>
        <w:t> </w:t>
      </w:r>
      <w:r>
        <w:rPr>
          <w:color w:val="76923B"/>
          <w:sz w:val="20"/>
        </w:rPr>
        <w:t>desagradable</w:t>
        <w:tab/>
        <w:tab/>
        <w:t>Sin olor</w:t>
      </w:r>
      <w:r>
        <w:rPr>
          <w:color w:val="76923B"/>
          <w:spacing w:val="-6"/>
          <w:sz w:val="20"/>
        </w:rPr>
        <w:t> </w:t>
      </w:r>
      <w:r>
        <w:rPr>
          <w:color w:val="76923B"/>
          <w:sz w:val="20"/>
        </w:rPr>
        <w:t>desagradable</w:t>
      </w:r>
    </w:p>
    <w:p>
      <w:pPr>
        <w:spacing w:before="0"/>
        <w:ind w:left="311" w:right="489" w:firstLine="0"/>
        <w:jc w:val="left"/>
        <w:rPr>
          <w:sz w:val="20"/>
        </w:rPr>
      </w:pPr>
      <w:r>
        <w:rPr/>
        <w:pict>
          <v:group style="position:absolute;margin-left:80.164001pt;margin-top:13.199861pt;width:451pt;height:1pt;mso-position-horizontal-relative:page;mso-position-vertical-relative:paragraph;z-index:1120;mso-wrap-distance-left:0;mso-wrap-distance-right:0" coordorigin="1603,264" coordsize="9020,20">
            <v:line style="position:absolute" from="1613,274" to="6122,274" stroked="true" strokeweight=".96002pt" strokecolor="#9bba58"/>
            <v:line style="position:absolute" from="6108,274" to="6127,274" stroked="true" strokeweight=".96002pt" strokecolor="#9bba58"/>
            <v:line style="position:absolute" from="6127,274" to="10612,274" stroked="true" strokeweight=".96002pt" strokecolor="#9bba58"/>
            <w10:wrap type="topAndBottom"/>
          </v:group>
        </w:pict>
      </w:r>
      <w:r>
        <w:rPr>
          <w:color w:val="76923B"/>
          <w:sz w:val="20"/>
        </w:rPr>
        <w:t>Compatible químicamente con otras sustancias</w:t>
      </w:r>
    </w:p>
    <w:p>
      <w:pPr>
        <w:spacing w:before="0"/>
        <w:ind w:left="239" w:right="489" w:firstLine="0"/>
        <w:jc w:val="left"/>
        <w:rPr>
          <w:sz w:val="16"/>
        </w:rPr>
      </w:pPr>
      <w:r>
        <w:rPr>
          <w:sz w:val="16"/>
        </w:rPr>
        <w:t>Fuente: Lio PA, Kaye ET. Topical antibacterial agents. Infect Dis Clin N Am 2004; 18:717-33</w:t>
      </w:r>
    </w:p>
    <w:p>
      <w:pPr>
        <w:pStyle w:val="BodyText"/>
        <w:spacing w:before="2"/>
        <w:rPr>
          <w:sz w:val="21"/>
        </w:rPr>
      </w:pPr>
    </w:p>
    <w:p>
      <w:pPr>
        <w:pStyle w:val="BodyText"/>
        <w:ind w:left="306"/>
      </w:pPr>
      <w:r>
        <w:rPr/>
        <w:t>La clasificación de los antisépticos y desinfectantes se resume en el cuadro 3</w:t>
      </w:r>
      <w:r>
        <w:rPr>
          <w:position w:val="11"/>
          <w:sz w:val="16"/>
        </w:rPr>
        <w:t>64</w:t>
      </w:r>
      <w:r>
        <w:rPr/>
        <w:t>.</w:t>
      </w:r>
    </w:p>
    <w:p>
      <w:pPr>
        <w:pStyle w:val="BodyText"/>
        <w:rPr>
          <w:sz w:val="20"/>
        </w:rPr>
      </w:pPr>
    </w:p>
    <w:p>
      <w:pPr>
        <w:pStyle w:val="BodyText"/>
        <w:spacing w:before="1"/>
        <w:rPr>
          <w:sz w:val="13"/>
        </w:rPr>
      </w:pPr>
      <w:r>
        <w:rPr/>
        <w:pict>
          <v:line style="position:absolute;mso-position-horizontal-relative:page;mso-position-vertical-relative:paragraph;z-index:1144;mso-wrap-distance-left:0;mso-wrap-distance-right:0" from="79.463997pt,9.978005pt" to="528.693997pt,9.978005pt" stroked="true" strokeweight=".95999pt" strokecolor="#9bba58">
            <w10:wrap type="topAndBottom"/>
          </v:line>
        </w:pict>
      </w:r>
    </w:p>
    <w:p>
      <w:pPr>
        <w:spacing w:before="0" w:after="51"/>
        <w:ind w:left="67" w:right="125" w:firstLine="0"/>
        <w:jc w:val="center"/>
        <w:rPr>
          <w:b/>
          <w:sz w:val="20"/>
        </w:rPr>
      </w:pPr>
      <w:r>
        <w:rPr>
          <w:b/>
          <w:color w:val="76923B"/>
          <w:sz w:val="20"/>
        </w:rPr>
        <w:t>Cuadro 3: Clasificación de los antisépticos y desinfectantes según su grupo químico</w:t>
      </w:r>
    </w:p>
    <w:tbl>
      <w:tblPr>
        <w:tblW w:w="0" w:type="auto"/>
        <w:jc w:val="left"/>
        <w:tblInd w:w="1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45"/>
        <w:gridCol w:w="3313"/>
        <w:gridCol w:w="2922"/>
      </w:tblGrid>
      <w:tr>
        <w:trPr>
          <w:trHeight w:val="276" w:hRule="exact"/>
        </w:trPr>
        <w:tc>
          <w:tcPr>
            <w:tcW w:w="2745" w:type="dxa"/>
            <w:tcBorders>
              <w:top w:val="single" w:sz="8" w:space="0" w:color="9BBA58"/>
            </w:tcBorders>
            <w:shd w:val="clear" w:color="auto" w:fill="76923B"/>
          </w:tcPr>
          <w:p>
            <w:pPr>
              <w:pStyle w:val="TableParagraph"/>
              <w:spacing w:line="227" w:lineRule="exact"/>
              <w:ind w:left="782"/>
              <w:rPr>
                <w:b/>
                <w:sz w:val="20"/>
              </w:rPr>
            </w:pPr>
            <w:r>
              <w:rPr>
                <w:b/>
                <w:color w:val="FFFFFF"/>
                <w:sz w:val="20"/>
              </w:rPr>
              <w:t>Grupo químico</w:t>
            </w:r>
          </w:p>
        </w:tc>
        <w:tc>
          <w:tcPr>
            <w:tcW w:w="3313" w:type="dxa"/>
            <w:tcBorders>
              <w:top w:val="single" w:sz="8" w:space="0" w:color="9BBA58"/>
            </w:tcBorders>
            <w:shd w:val="clear" w:color="auto" w:fill="76923B"/>
          </w:tcPr>
          <w:p>
            <w:pPr>
              <w:pStyle w:val="TableParagraph"/>
              <w:spacing w:line="240" w:lineRule="auto" w:before="2"/>
              <w:ind w:left="350" w:right="172"/>
              <w:jc w:val="center"/>
              <w:rPr>
                <w:sz w:val="20"/>
              </w:rPr>
            </w:pPr>
            <w:r>
              <w:rPr>
                <w:color w:val="FFFFFF"/>
                <w:sz w:val="20"/>
              </w:rPr>
              <w:t>Clase</w:t>
            </w:r>
          </w:p>
        </w:tc>
        <w:tc>
          <w:tcPr>
            <w:tcW w:w="2922" w:type="dxa"/>
            <w:tcBorders>
              <w:top w:val="single" w:sz="8" w:space="0" w:color="9BBA58"/>
            </w:tcBorders>
            <w:shd w:val="clear" w:color="auto" w:fill="76923B"/>
          </w:tcPr>
          <w:p>
            <w:pPr>
              <w:pStyle w:val="TableParagraph"/>
              <w:spacing w:line="240" w:lineRule="auto" w:before="2"/>
              <w:ind w:left="177" w:right="245"/>
              <w:jc w:val="center"/>
              <w:rPr>
                <w:sz w:val="20"/>
              </w:rPr>
            </w:pPr>
            <w:r>
              <w:rPr>
                <w:color w:val="FFFFFF"/>
                <w:sz w:val="20"/>
              </w:rPr>
              <w:t>Usos</w:t>
            </w:r>
          </w:p>
        </w:tc>
      </w:tr>
      <w:tr>
        <w:trPr>
          <w:trHeight w:val="528" w:hRule="exact"/>
        </w:trPr>
        <w:tc>
          <w:tcPr>
            <w:tcW w:w="2745" w:type="dxa"/>
          </w:tcPr>
          <w:p>
            <w:pPr>
              <w:pStyle w:val="TableParagraph"/>
              <w:ind w:left="105"/>
              <w:rPr>
                <w:b/>
                <w:sz w:val="20"/>
              </w:rPr>
            </w:pPr>
            <w:r>
              <w:rPr>
                <w:b/>
                <w:color w:val="76923B"/>
                <w:sz w:val="20"/>
              </w:rPr>
              <w:t>Alcoholes</w:t>
            </w:r>
          </w:p>
        </w:tc>
        <w:tc>
          <w:tcPr>
            <w:tcW w:w="3313" w:type="dxa"/>
          </w:tcPr>
          <w:p>
            <w:pPr>
              <w:pStyle w:val="TableParagraph"/>
              <w:spacing w:line="230" w:lineRule="exact"/>
              <w:ind w:left="349" w:right="172"/>
              <w:jc w:val="center"/>
              <w:rPr>
                <w:sz w:val="20"/>
              </w:rPr>
            </w:pPr>
            <w:r>
              <w:rPr>
                <w:color w:val="76923B"/>
                <w:sz w:val="20"/>
              </w:rPr>
              <w:t>Etanol, isopropanol</w:t>
            </w:r>
          </w:p>
        </w:tc>
        <w:tc>
          <w:tcPr>
            <w:tcW w:w="2922" w:type="dxa"/>
          </w:tcPr>
          <w:p>
            <w:pPr>
              <w:pStyle w:val="TableParagraph"/>
              <w:spacing w:line="276" w:lineRule="auto"/>
              <w:ind w:left="823" w:right="383" w:hanging="495"/>
              <w:rPr>
                <w:sz w:val="20"/>
              </w:rPr>
            </w:pPr>
            <w:r>
              <w:rPr>
                <w:color w:val="76923B"/>
                <w:sz w:val="20"/>
              </w:rPr>
              <w:t>Antisepsis, desinfección, preservación.</w:t>
            </w:r>
          </w:p>
        </w:tc>
      </w:tr>
      <w:tr>
        <w:trPr>
          <w:trHeight w:val="528" w:hRule="exact"/>
        </w:trPr>
        <w:tc>
          <w:tcPr>
            <w:tcW w:w="2745" w:type="dxa"/>
            <w:shd w:val="clear" w:color="auto" w:fill="E6EDD4"/>
          </w:tcPr>
          <w:p>
            <w:pPr>
              <w:pStyle w:val="TableParagraph"/>
              <w:ind w:left="105"/>
              <w:rPr>
                <w:b/>
                <w:sz w:val="20"/>
              </w:rPr>
            </w:pPr>
            <w:r>
              <w:rPr>
                <w:b/>
                <w:color w:val="76923B"/>
                <w:sz w:val="20"/>
              </w:rPr>
              <w:t>Aldehídos</w:t>
            </w:r>
          </w:p>
        </w:tc>
        <w:tc>
          <w:tcPr>
            <w:tcW w:w="3313" w:type="dxa"/>
            <w:shd w:val="clear" w:color="auto" w:fill="E6EDD4"/>
          </w:tcPr>
          <w:p>
            <w:pPr>
              <w:pStyle w:val="TableParagraph"/>
              <w:spacing w:line="240" w:lineRule="auto"/>
              <w:ind w:left="354" w:right="168"/>
              <w:jc w:val="center"/>
              <w:rPr>
                <w:sz w:val="20"/>
              </w:rPr>
            </w:pPr>
            <w:r>
              <w:rPr>
                <w:color w:val="76923B"/>
                <w:sz w:val="20"/>
              </w:rPr>
              <w:t>Glutaraldehído, formaldehido</w:t>
            </w:r>
          </w:p>
        </w:tc>
        <w:tc>
          <w:tcPr>
            <w:tcW w:w="2922" w:type="dxa"/>
            <w:shd w:val="clear" w:color="auto" w:fill="E6EDD4"/>
          </w:tcPr>
          <w:p>
            <w:pPr>
              <w:pStyle w:val="TableParagraph"/>
              <w:spacing w:line="276" w:lineRule="auto"/>
              <w:ind w:left="852" w:right="245" w:hanging="663"/>
              <w:rPr>
                <w:sz w:val="20"/>
              </w:rPr>
            </w:pPr>
            <w:r>
              <w:rPr>
                <w:color w:val="76923B"/>
                <w:sz w:val="20"/>
              </w:rPr>
              <w:t>Desinfección, esterilización, preservación</w:t>
            </w:r>
          </w:p>
        </w:tc>
      </w:tr>
      <w:tr>
        <w:trPr>
          <w:trHeight w:val="264" w:hRule="exact"/>
        </w:trPr>
        <w:tc>
          <w:tcPr>
            <w:tcW w:w="2745" w:type="dxa"/>
          </w:tcPr>
          <w:p>
            <w:pPr>
              <w:pStyle w:val="TableParagraph"/>
              <w:ind w:left="105"/>
              <w:rPr>
                <w:b/>
                <w:sz w:val="20"/>
              </w:rPr>
            </w:pPr>
            <w:r>
              <w:rPr>
                <w:b/>
                <w:color w:val="76923B"/>
                <w:sz w:val="20"/>
              </w:rPr>
              <w:t>Anilidas</w:t>
            </w:r>
          </w:p>
        </w:tc>
        <w:tc>
          <w:tcPr>
            <w:tcW w:w="3313" w:type="dxa"/>
          </w:tcPr>
          <w:p>
            <w:pPr>
              <w:pStyle w:val="TableParagraph"/>
              <w:spacing w:line="230" w:lineRule="exact"/>
              <w:ind w:left="354" w:right="167"/>
              <w:jc w:val="center"/>
              <w:rPr>
                <w:sz w:val="20"/>
              </w:rPr>
            </w:pPr>
            <w:r>
              <w:rPr>
                <w:color w:val="76923B"/>
                <w:sz w:val="20"/>
              </w:rPr>
              <w:t>Triclocarbán</w:t>
            </w:r>
          </w:p>
        </w:tc>
        <w:tc>
          <w:tcPr>
            <w:tcW w:w="2922" w:type="dxa"/>
          </w:tcPr>
          <w:p>
            <w:pPr>
              <w:pStyle w:val="TableParagraph"/>
              <w:spacing w:line="230" w:lineRule="exact"/>
              <w:ind w:left="175" w:right="248"/>
              <w:jc w:val="center"/>
              <w:rPr>
                <w:sz w:val="20"/>
              </w:rPr>
            </w:pPr>
            <w:r>
              <w:rPr>
                <w:color w:val="76923B"/>
                <w:sz w:val="20"/>
              </w:rPr>
              <w:t>Antisepsis</w:t>
            </w:r>
          </w:p>
        </w:tc>
      </w:tr>
      <w:tr>
        <w:trPr>
          <w:trHeight w:val="528" w:hRule="exact"/>
        </w:trPr>
        <w:tc>
          <w:tcPr>
            <w:tcW w:w="2745" w:type="dxa"/>
            <w:shd w:val="clear" w:color="auto" w:fill="E6EDD4"/>
          </w:tcPr>
          <w:p>
            <w:pPr>
              <w:pStyle w:val="TableParagraph"/>
              <w:ind w:left="105"/>
              <w:rPr>
                <w:b/>
                <w:sz w:val="20"/>
              </w:rPr>
            </w:pPr>
            <w:r>
              <w:rPr>
                <w:b/>
                <w:color w:val="76923B"/>
                <w:sz w:val="20"/>
              </w:rPr>
              <w:t>Biguanidas</w:t>
            </w:r>
          </w:p>
        </w:tc>
        <w:tc>
          <w:tcPr>
            <w:tcW w:w="3313" w:type="dxa"/>
            <w:shd w:val="clear" w:color="auto" w:fill="E6EDD4"/>
          </w:tcPr>
          <w:p>
            <w:pPr>
              <w:pStyle w:val="TableParagraph"/>
              <w:spacing w:line="276" w:lineRule="auto"/>
              <w:ind w:left="726" w:right="514" w:hanging="15"/>
              <w:rPr>
                <w:sz w:val="20"/>
              </w:rPr>
            </w:pPr>
            <w:r>
              <w:rPr>
                <w:color w:val="76923B"/>
                <w:sz w:val="20"/>
              </w:rPr>
              <w:t>Clorhexidina, alexidina, biguanidas poliméricas</w:t>
            </w:r>
          </w:p>
        </w:tc>
        <w:tc>
          <w:tcPr>
            <w:tcW w:w="2922" w:type="dxa"/>
            <w:shd w:val="clear" w:color="auto" w:fill="E6EDD4"/>
          </w:tcPr>
          <w:p>
            <w:pPr>
              <w:pStyle w:val="TableParagraph"/>
              <w:spacing w:line="276" w:lineRule="auto"/>
              <w:ind w:left="842" w:right="370" w:hanging="534"/>
              <w:rPr>
                <w:sz w:val="20"/>
              </w:rPr>
            </w:pPr>
            <w:r>
              <w:rPr>
                <w:color w:val="76923B"/>
                <w:sz w:val="20"/>
              </w:rPr>
              <w:t>Antisepsis, preservación, desinfección.</w:t>
            </w:r>
          </w:p>
        </w:tc>
      </w:tr>
      <w:tr>
        <w:trPr>
          <w:trHeight w:val="259" w:hRule="exact"/>
        </w:trPr>
        <w:tc>
          <w:tcPr>
            <w:tcW w:w="2745" w:type="dxa"/>
          </w:tcPr>
          <w:p>
            <w:pPr>
              <w:pStyle w:val="TableParagraph"/>
              <w:ind w:left="105"/>
              <w:rPr>
                <w:b/>
                <w:sz w:val="20"/>
              </w:rPr>
            </w:pPr>
            <w:r>
              <w:rPr>
                <w:b/>
                <w:color w:val="76923B"/>
                <w:sz w:val="20"/>
              </w:rPr>
              <w:t>Bisfenoles</w:t>
            </w:r>
          </w:p>
        </w:tc>
        <w:tc>
          <w:tcPr>
            <w:tcW w:w="3313" w:type="dxa"/>
          </w:tcPr>
          <w:p>
            <w:pPr>
              <w:pStyle w:val="TableParagraph"/>
              <w:spacing w:line="230" w:lineRule="exact"/>
              <w:ind w:left="354" w:right="172"/>
              <w:jc w:val="center"/>
              <w:rPr>
                <w:sz w:val="20"/>
              </w:rPr>
            </w:pPr>
            <w:r>
              <w:rPr>
                <w:color w:val="76923B"/>
                <w:sz w:val="20"/>
              </w:rPr>
              <w:t>Triclosán, hexaclorofeno</w:t>
            </w:r>
          </w:p>
        </w:tc>
        <w:tc>
          <w:tcPr>
            <w:tcW w:w="2922" w:type="dxa"/>
          </w:tcPr>
          <w:p>
            <w:pPr>
              <w:pStyle w:val="TableParagraph"/>
              <w:spacing w:line="230" w:lineRule="exact"/>
              <w:ind w:left="172" w:right="248"/>
              <w:jc w:val="center"/>
              <w:rPr>
                <w:sz w:val="20"/>
              </w:rPr>
            </w:pPr>
            <w:r>
              <w:rPr>
                <w:color w:val="76923B"/>
                <w:sz w:val="20"/>
              </w:rPr>
              <w:t>Antisepsis, desodorante,</w:t>
            </w:r>
          </w:p>
        </w:tc>
      </w:tr>
      <w:tr>
        <w:trPr>
          <w:trHeight w:val="274" w:hRule="exact"/>
        </w:trPr>
        <w:tc>
          <w:tcPr>
            <w:tcW w:w="2745" w:type="dxa"/>
          </w:tcPr>
          <w:p>
            <w:pPr/>
          </w:p>
        </w:tc>
        <w:tc>
          <w:tcPr>
            <w:tcW w:w="3313" w:type="dxa"/>
          </w:tcPr>
          <w:p>
            <w:pPr/>
          </w:p>
        </w:tc>
        <w:tc>
          <w:tcPr>
            <w:tcW w:w="2922" w:type="dxa"/>
          </w:tcPr>
          <w:p>
            <w:pPr>
              <w:pStyle w:val="TableParagraph"/>
              <w:spacing w:line="240" w:lineRule="auto" w:before="9"/>
              <w:ind w:left="177" w:right="246"/>
              <w:jc w:val="center"/>
              <w:rPr>
                <w:sz w:val="20"/>
              </w:rPr>
            </w:pPr>
            <w:r>
              <w:rPr>
                <w:color w:val="76923B"/>
                <w:sz w:val="20"/>
              </w:rPr>
              <w:t>preservación.</w:t>
            </w:r>
          </w:p>
        </w:tc>
      </w:tr>
      <w:tr>
        <w:trPr>
          <w:trHeight w:val="264" w:hRule="exact"/>
        </w:trPr>
        <w:tc>
          <w:tcPr>
            <w:tcW w:w="2745" w:type="dxa"/>
            <w:shd w:val="clear" w:color="auto" w:fill="E6EDD4"/>
          </w:tcPr>
          <w:p>
            <w:pPr>
              <w:pStyle w:val="TableParagraph"/>
              <w:ind w:left="105"/>
              <w:rPr>
                <w:b/>
                <w:sz w:val="20"/>
              </w:rPr>
            </w:pPr>
            <w:r>
              <w:rPr>
                <w:b/>
                <w:color w:val="76923B"/>
                <w:sz w:val="20"/>
              </w:rPr>
              <w:t>Diamidinas</w:t>
            </w:r>
          </w:p>
        </w:tc>
        <w:tc>
          <w:tcPr>
            <w:tcW w:w="3313" w:type="dxa"/>
            <w:shd w:val="clear" w:color="auto" w:fill="E6EDD4"/>
          </w:tcPr>
          <w:p>
            <w:pPr>
              <w:pStyle w:val="TableParagraph"/>
              <w:spacing w:line="230" w:lineRule="exact"/>
              <w:ind w:left="354" w:right="172"/>
              <w:jc w:val="center"/>
              <w:rPr>
                <w:sz w:val="20"/>
              </w:rPr>
            </w:pPr>
            <w:r>
              <w:rPr>
                <w:color w:val="76923B"/>
                <w:sz w:val="20"/>
              </w:rPr>
              <w:t>Propamida, dibromopropamida</w:t>
            </w:r>
          </w:p>
        </w:tc>
        <w:tc>
          <w:tcPr>
            <w:tcW w:w="2922" w:type="dxa"/>
            <w:shd w:val="clear" w:color="auto" w:fill="E6EDD4"/>
          </w:tcPr>
          <w:p>
            <w:pPr>
              <w:pStyle w:val="TableParagraph"/>
              <w:spacing w:line="230" w:lineRule="exact"/>
              <w:ind w:left="177" w:right="244"/>
              <w:jc w:val="center"/>
              <w:rPr>
                <w:sz w:val="20"/>
              </w:rPr>
            </w:pPr>
            <w:r>
              <w:rPr>
                <w:color w:val="76923B"/>
                <w:sz w:val="20"/>
              </w:rPr>
              <w:t>Antisepsis, preservante.</w:t>
            </w:r>
          </w:p>
        </w:tc>
      </w:tr>
      <w:tr>
        <w:trPr>
          <w:trHeight w:val="264" w:hRule="exact"/>
        </w:trPr>
        <w:tc>
          <w:tcPr>
            <w:tcW w:w="2745" w:type="dxa"/>
          </w:tcPr>
          <w:p>
            <w:pPr>
              <w:pStyle w:val="TableParagraph"/>
              <w:ind w:left="105"/>
              <w:rPr>
                <w:b/>
                <w:sz w:val="20"/>
              </w:rPr>
            </w:pPr>
            <w:r>
              <w:rPr>
                <w:b/>
                <w:color w:val="76923B"/>
                <w:sz w:val="20"/>
              </w:rPr>
              <w:t>Fenoles-cresoles</w:t>
            </w:r>
          </w:p>
        </w:tc>
        <w:tc>
          <w:tcPr>
            <w:tcW w:w="3313" w:type="dxa"/>
          </w:tcPr>
          <w:p>
            <w:pPr>
              <w:pStyle w:val="TableParagraph"/>
              <w:spacing w:line="230" w:lineRule="exact"/>
              <w:ind w:left="349" w:right="172"/>
              <w:jc w:val="center"/>
              <w:rPr>
                <w:sz w:val="20"/>
              </w:rPr>
            </w:pPr>
            <w:r>
              <w:rPr>
                <w:color w:val="76923B"/>
                <w:sz w:val="20"/>
              </w:rPr>
              <w:t>Fenol, cresol</w:t>
            </w:r>
          </w:p>
        </w:tc>
        <w:tc>
          <w:tcPr>
            <w:tcW w:w="2922" w:type="dxa"/>
          </w:tcPr>
          <w:p>
            <w:pPr>
              <w:pStyle w:val="TableParagraph"/>
              <w:spacing w:line="230" w:lineRule="exact"/>
              <w:ind w:left="177" w:right="248"/>
              <w:jc w:val="center"/>
              <w:rPr>
                <w:sz w:val="20"/>
              </w:rPr>
            </w:pPr>
            <w:r>
              <w:rPr>
                <w:color w:val="76923B"/>
                <w:sz w:val="20"/>
              </w:rPr>
              <w:t>Desinfección, preservación.</w:t>
            </w:r>
          </w:p>
        </w:tc>
      </w:tr>
      <w:tr>
        <w:trPr>
          <w:trHeight w:val="264" w:hRule="exact"/>
        </w:trPr>
        <w:tc>
          <w:tcPr>
            <w:tcW w:w="2745" w:type="dxa"/>
            <w:shd w:val="clear" w:color="auto" w:fill="E6EDD4"/>
          </w:tcPr>
          <w:p>
            <w:pPr>
              <w:pStyle w:val="TableParagraph"/>
              <w:ind w:left="105"/>
              <w:rPr>
                <w:b/>
                <w:sz w:val="20"/>
              </w:rPr>
            </w:pPr>
            <w:r>
              <w:rPr>
                <w:b/>
                <w:color w:val="76923B"/>
                <w:sz w:val="20"/>
              </w:rPr>
              <w:t>Halofenoles</w:t>
            </w:r>
          </w:p>
        </w:tc>
        <w:tc>
          <w:tcPr>
            <w:tcW w:w="3313" w:type="dxa"/>
            <w:shd w:val="clear" w:color="auto" w:fill="E6EDD4"/>
          </w:tcPr>
          <w:p>
            <w:pPr>
              <w:pStyle w:val="TableParagraph"/>
              <w:spacing w:line="230" w:lineRule="exact"/>
              <w:ind w:left="354" w:right="171"/>
              <w:jc w:val="center"/>
              <w:rPr>
                <w:sz w:val="20"/>
              </w:rPr>
            </w:pPr>
            <w:r>
              <w:rPr>
                <w:color w:val="76923B"/>
                <w:sz w:val="20"/>
              </w:rPr>
              <w:t>Cloroxilenol.</w:t>
            </w:r>
          </w:p>
        </w:tc>
        <w:tc>
          <w:tcPr>
            <w:tcW w:w="2922" w:type="dxa"/>
            <w:shd w:val="clear" w:color="auto" w:fill="E6EDD4"/>
          </w:tcPr>
          <w:p>
            <w:pPr>
              <w:pStyle w:val="TableParagraph"/>
              <w:spacing w:line="230" w:lineRule="exact"/>
              <w:ind w:left="177" w:right="244"/>
              <w:jc w:val="center"/>
              <w:rPr>
                <w:sz w:val="20"/>
              </w:rPr>
            </w:pPr>
            <w:r>
              <w:rPr>
                <w:color w:val="76923B"/>
                <w:sz w:val="20"/>
              </w:rPr>
              <w:t>Antisepsis, preservación.</w:t>
            </w:r>
          </w:p>
        </w:tc>
      </w:tr>
      <w:tr>
        <w:trPr>
          <w:trHeight w:val="254" w:hRule="exact"/>
        </w:trPr>
        <w:tc>
          <w:tcPr>
            <w:tcW w:w="2745" w:type="dxa"/>
          </w:tcPr>
          <w:p>
            <w:pPr>
              <w:pStyle w:val="TableParagraph"/>
              <w:ind w:left="105"/>
              <w:rPr>
                <w:b/>
                <w:sz w:val="20"/>
              </w:rPr>
            </w:pPr>
            <w:r>
              <w:rPr>
                <w:b/>
                <w:color w:val="76923B"/>
                <w:sz w:val="20"/>
              </w:rPr>
              <w:t>Agentes liberadores de</w:t>
            </w:r>
          </w:p>
        </w:tc>
        <w:tc>
          <w:tcPr>
            <w:tcW w:w="3313" w:type="dxa"/>
          </w:tcPr>
          <w:p>
            <w:pPr>
              <w:pStyle w:val="TableParagraph"/>
              <w:spacing w:line="230" w:lineRule="exact"/>
              <w:ind w:left="353" w:right="172"/>
              <w:jc w:val="center"/>
              <w:rPr>
                <w:sz w:val="20"/>
              </w:rPr>
            </w:pPr>
            <w:r>
              <w:rPr>
                <w:color w:val="76923B"/>
                <w:sz w:val="20"/>
              </w:rPr>
              <w:t>Compuestos de cloro y de</w:t>
            </w:r>
          </w:p>
        </w:tc>
        <w:tc>
          <w:tcPr>
            <w:tcW w:w="2922" w:type="dxa"/>
          </w:tcPr>
          <w:p>
            <w:pPr>
              <w:pStyle w:val="TableParagraph"/>
              <w:spacing w:line="230" w:lineRule="exact"/>
              <w:ind w:left="177" w:right="248"/>
              <w:jc w:val="center"/>
              <w:rPr>
                <w:sz w:val="20"/>
              </w:rPr>
            </w:pPr>
            <w:r>
              <w:rPr>
                <w:color w:val="76923B"/>
                <w:sz w:val="20"/>
              </w:rPr>
              <w:t>Desinfección, antisepsia,</w:t>
            </w:r>
          </w:p>
        </w:tc>
      </w:tr>
      <w:tr>
        <w:trPr>
          <w:trHeight w:val="274" w:hRule="exact"/>
        </w:trPr>
        <w:tc>
          <w:tcPr>
            <w:tcW w:w="2745" w:type="dxa"/>
          </w:tcPr>
          <w:p>
            <w:pPr>
              <w:pStyle w:val="TableParagraph"/>
              <w:spacing w:line="240" w:lineRule="auto" w:before="4"/>
              <w:ind w:left="105"/>
              <w:rPr>
                <w:b/>
                <w:sz w:val="20"/>
              </w:rPr>
            </w:pPr>
            <w:r>
              <w:rPr>
                <w:b/>
                <w:color w:val="76923B"/>
                <w:sz w:val="20"/>
              </w:rPr>
              <w:t>alógenos</w:t>
            </w:r>
          </w:p>
        </w:tc>
        <w:tc>
          <w:tcPr>
            <w:tcW w:w="3313" w:type="dxa"/>
          </w:tcPr>
          <w:p>
            <w:pPr>
              <w:pStyle w:val="TableParagraph"/>
              <w:spacing w:line="240" w:lineRule="auto" w:before="9"/>
              <w:ind w:left="350" w:right="172"/>
              <w:jc w:val="center"/>
              <w:rPr>
                <w:sz w:val="20"/>
              </w:rPr>
            </w:pPr>
            <w:r>
              <w:rPr>
                <w:color w:val="76923B"/>
                <w:sz w:val="20"/>
              </w:rPr>
              <w:t>yodo</w:t>
            </w:r>
          </w:p>
        </w:tc>
        <w:tc>
          <w:tcPr>
            <w:tcW w:w="2922" w:type="dxa"/>
          </w:tcPr>
          <w:p>
            <w:pPr>
              <w:pStyle w:val="TableParagraph"/>
              <w:spacing w:line="240" w:lineRule="auto" w:before="9"/>
              <w:ind w:left="177" w:right="246"/>
              <w:jc w:val="center"/>
              <w:rPr>
                <w:sz w:val="20"/>
              </w:rPr>
            </w:pPr>
            <w:r>
              <w:rPr>
                <w:color w:val="76923B"/>
                <w:sz w:val="20"/>
              </w:rPr>
              <w:t>blanqueador.</w:t>
            </w:r>
          </w:p>
        </w:tc>
      </w:tr>
      <w:tr>
        <w:trPr>
          <w:trHeight w:val="528" w:hRule="exact"/>
        </w:trPr>
        <w:tc>
          <w:tcPr>
            <w:tcW w:w="2745" w:type="dxa"/>
            <w:shd w:val="clear" w:color="auto" w:fill="E6EDD4"/>
          </w:tcPr>
          <w:p>
            <w:pPr>
              <w:pStyle w:val="TableParagraph"/>
              <w:ind w:left="105"/>
              <w:rPr>
                <w:b/>
                <w:sz w:val="20"/>
              </w:rPr>
            </w:pPr>
            <w:r>
              <w:rPr>
                <w:b/>
                <w:color w:val="76923B"/>
                <w:sz w:val="20"/>
              </w:rPr>
              <w:t>Metales pesados</w:t>
            </w:r>
          </w:p>
        </w:tc>
        <w:tc>
          <w:tcPr>
            <w:tcW w:w="3313" w:type="dxa"/>
            <w:shd w:val="clear" w:color="auto" w:fill="E6EDD4"/>
          </w:tcPr>
          <w:p>
            <w:pPr>
              <w:pStyle w:val="TableParagraph"/>
              <w:spacing w:line="276" w:lineRule="auto"/>
              <w:ind w:left="1072" w:right="268" w:hanging="605"/>
              <w:rPr>
                <w:sz w:val="20"/>
              </w:rPr>
            </w:pPr>
            <w:r>
              <w:rPr>
                <w:color w:val="76923B"/>
                <w:sz w:val="20"/>
              </w:rPr>
              <w:t>Compuestos de plata, cobre, mercurio y zinc</w:t>
            </w:r>
          </w:p>
        </w:tc>
        <w:tc>
          <w:tcPr>
            <w:tcW w:w="2922" w:type="dxa"/>
            <w:shd w:val="clear" w:color="auto" w:fill="E6EDD4"/>
          </w:tcPr>
          <w:p>
            <w:pPr>
              <w:pStyle w:val="TableParagraph"/>
              <w:spacing w:line="276" w:lineRule="auto"/>
              <w:ind w:left="842" w:right="365" w:hanging="529"/>
              <w:rPr>
                <w:sz w:val="20"/>
              </w:rPr>
            </w:pPr>
            <w:r>
              <w:rPr>
                <w:color w:val="76923B"/>
                <w:sz w:val="20"/>
              </w:rPr>
              <w:t>Preservación, antisépsis, desinfección.</w:t>
            </w:r>
          </w:p>
        </w:tc>
      </w:tr>
      <w:tr>
        <w:trPr>
          <w:trHeight w:val="523" w:hRule="exact"/>
        </w:trPr>
        <w:tc>
          <w:tcPr>
            <w:tcW w:w="2745" w:type="dxa"/>
          </w:tcPr>
          <w:p>
            <w:pPr>
              <w:pStyle w:val="TableParagraph"/>
              <w:ind w:left="105"/>
              <w:rPr>
                <w:b/>
                <w:sz w:val="20"/>
              </w:rPr>
            </w:pPr>
            <w:r>
              <w:rPr>
                <w:b/>
                <w:color w:val="76923B"/>
                <w:sz w:val="20"/>
              </w:rPr>
              <w:t>Peroxigenos</w:t>
            </w:r>
          </w:p>
        </w:tc>
        <w:tc>
          <w:tcPr>
            <w:tcW w:w="3313" w:type="dxa"/>
          </w:tcPr>
          <w:p>
            <w:pPr>
              <w:pStyle w:val="TableParagraph"/>
              <w:spacing w:line="276" w:lineRule="auto"/>
              <w:ind w:left="443" w:right="248"/>
              <w:rPr>
                <w:sz w:val="20"/>
              </w:rPr>
            </w:pPr>
            <w:r>
              <w:rPr>
                <w:color w:val="76923B"/>
                <w:sz w:val="20"/>
              </w:rPr>
              <w:t>Peróxido de hidrógeno, ácido paracetico, permanganato de</w:t>
            </w:r>
          </w:p>
        </w:tc>
        <w:tc>
          <w:tcPr>
            <w:tcW w:w="2922" w:type="dxa"/>
          </w:tcPr>
          <w:p>
            <w:pPr>
              <w:pStyle w:val="TableParagraph"/>
              <w:spacing w:line="230" w:lineRule="exact"/>
              <w:ind w:left="177" w:right="245"/>
              <w:jc w:val="center"/>
              <w:rPr>
                <w:sz w:val="20"/>
              </w:rPr>
            </w:pPr>
            <w:r>
              <w:rPr>
                <w:color w:val="76923B"/>
                <w:sz w:val="20"/>
              </w:rPr>
              <w:t>Desinfección, esterilización</w:t>
            </w:r>
          </w:p>
        </w:tc>
      </w:tr>
      <w:tr>
        <w:trPr>
          <w:trHeight w:val="274" w:hRule="exact"/>
        </w:trPr>
        <w:tc>
          <w:tcPr>
            <w:tcW w:w="2745" w:type="dxa"/>
          </w:tcPr>
          <w:p>
            <w:pPr/>
          </w:p>
        </w:tc>
        <w:tc>
          <w:tcPr>
            <w:tcW w:w="3313" w:type="dxa"/>
          </w:tcPr>
          <w:p>
            <w:pPr>
              <w:pStyle w:val="TableParagraph"/>
              <w:spacing w:line="240" w:lineRule="auto" w:before="9"/>
              <w:ind w:left="354" w:right="172"/>
              <w:jc w:val="center"/>
              <w:rPr>
                <w:sz w:val="20"/>
              </w:rPr>
            </w:pPr>
            <w:r>
              <w:rPr>
                <w:color w:val="76923B"/>
                <w:sz w:val="20"/>
              </w:rPr>
              <w:t>potasio, ozono</w:t>
            </w:r>
          </w:p>
        </w:tc>
        <w:tc>
          <w:tcPr>
            <w:tcW w:w="2922" w:type="dxa"/>
          </w:tcPr>
          <w:p>
            <w:pPr/>
          </w:p>
        </w:tc>
      </w:tr>
      <w:tr>
        <w:trPr>
          <w:trHeight w:val="255" w:hRule="exact"/>
        </w:trPr>
        <w:tc>
          <w:tcPr>
            <w:tcW w:w="2745" w:type="dxa"/>
            <w:shd w:val="clear" w:color="auto" w:fill="E6EDD4"/>
          </w:tcPr>
          <w:p>
            <w:pPr>
              <w:pStyle w:val="TableParagraph"/>
              <w:ind w:left="105"/>
              <w:rPr>
                <w:b/>
                <w:sz w:val="20"/>
              </w:rPr>
            </w:pPr>
            <w:r>
              <w:rPr>
                <w:b/>
                <w:color w:val="76923B"/>
                <w:sz w:val="20"/>
              </w:rPr>
              <w:t>Compuestos de amonio</w:t>
            </w:r>
          </w:p>
        </w:tc>
        <w:tc>
          <w:tcPr>
            <w:tcW w:w="3313" w:type="dxa"/>
            <w:shd w:val="clear" w:color="auto" w:fill="E6EDD4"/>
          </w:tcPr>
          <w:p>
            <w:pPr>
              <w:pStyle w:val="TableParagraph"/>
              <w:spacing w:line="240" w:lineRule="auto"/>
              <w:ind w:left="351" w:right="172"/>
              <w:jc w:val="center"/>
              <w:rPr>
                <w:sz w:val="20"/>
              </w:rPr>
            </w:pPr>
            <w:r>
              <w:rPr>
                <w:color w:val="76923B"/>
                <w:sz w:val="20"/>
              </w:rPr>
              <w:t>Cloruro de benzalconio,</w:t>
            </w:r>
          </w:p>
        </w:tc>
        <w:tc>
          <w:tcPr>
            <w:tcW w:w="2922" w:type="dxa"/>
            <w:shd w:val="clear" w:color="auto" w:fill="E6EDD4"/>
          </w:tcPr>
          <w:p>
            <w:pPr>
              <w:pStyle w:val="TableParagraph"/>
              <w:spacing w:line="240" w:lineRule="auto"/>
              <w:ind w:left="177" w:right="248"/>
              <w:jc w:val="center"/>
              <w:rPr>
                <w:sz w:val="20"/>
              </w:rPr>
            </w:pPr>
            <w:r>
              <w:rPr>
                <w:color w:val="76923B"/>
                <w:sz w:val="20"/>
              </w:rPr>
              <w:t>Desinfección, preservación,</w:t>
            </w:r>
          </w:p>
        </w:tc>
      </w:tr>
      <w:tr>
        <w:trPr>
          <w:trHeight w:val="274" w:hRule="exact"/>
        </w:trPr>
        <w:tc>
          <w:tcPr>
            <w:tcW w:w="2745" w:type="dxa"/>
            <w:shd w:val="clear" w:color="auto" w:fill="E6EDD4"/>
          </w:tcPr>
          <w:p>
            <w:pPr>
              <w:pStyle w:val="TableParagraph"/>
              <w:spacing w:line="240" w:lineRule="auto" w:before="4"/>
              <w:ind w:left="105"/>
              <w:rPr>
                <w:b/>
                <w:sz w:val="20"/>
              </w:rPr>
            </w:pPr>
            <w:r>
              <w:rPr>
                <w:b/>
                <w:color w:val="76923B"/>
                <w:sz w:val="20"/>
              </w:rPr>
              <w:t>cuaternario</w:t>
            </w:r>
          </w:p>
        </w:tc>
        <w:tc>
          <w:tcPr>
            <w:tcW w:w="3313" w:type="dxa"/>
            <w:shd w:val="clear" w:color="auto" w:fill="E6EDD4"/>
          </w:tcPr>
          <w:p>
            <w:pPr>
              <w:pStyle w:val="TableParagraph"/>
              <w:spacing w:line="240" w:lineRule="auto" w:before="9"/>
              <w:ind w:left="354" w:right="167"/>
              <w:jc w:val="center"/>
              <w:rPr>
                <w:sz w:val="20"/>
              </w:rPr>
            </w:pPr>
            <w:r>
              <w:rPr>
                <w:color w:val="76923B"/>
                <w:sz w:val="20"/>
              </w:rPr>
              <w:t>citramida</w:t>
            </w:r>
          </w:p>
        </w:tc>
        <w:tc>
          <w:tcPr>
            <w:tcW w:w="2922" w:type="dxa"/>
            <w:shd w:val="clear" w:color="auto" w:fill="E6EDD4"/>
          </w:tcPr>
          <w:p>
            <w:pPr>
              <w:pStyle w:val="TableParagraph"/>
              <w:spacing w:line="240" w:lineRule="auto" w:before="9"/>
              <w:ind w:left="169" w:right="248"/>
              <w:jc w:val="center"/>
              <w:rPr>
                <w:sz w:val="20"/>
              </w:rPr>
            </w:pPr>
            <w:r>
              <w:rPr>
                <w:color w:val="76923B"/>
                <w:sz w:val="20"/>
              </w:rPr>
              <w:t>antisepsis, blanqueador</w:t>
            </w:r>
          </w:p>
        </w:tc>
      </w:tr>
      <w:tr>
        <w:trPr>
          <w:trHeight w:val="274" w:hRule="exact"/>
        </w:trPr>
        <w:tc>
          <w:tcPr>
            <w:tcW w:w="2745" w:type="dxa"/>
            <w:tcBorders>
              <w:bottom w:val="single" w:sz="8" w:space="0" w:color="9BBA58"/>
            </w:tcBorders>
          </w:tcPr>
          <w:p>
            <w:pPr>
              <w:pStyle w:val="TableParagraph"/>
              <w:ind w:left="105"/>
              <w:rPr>
                <w:b/>
                <w:sz w:val="20"/>
              </w:rPr>
            </w:pPr>
            <w:r>
              <w:rPr>
                <w:b/>
                <w:color w:val="76923B"/>
                <w:sz w:val="20"/>
              </w:rPr>
              <w:t>Colorantes</w:t>
            </w:r>
          </w:p>
        </w:tc>
        <w:tc>
          <w:tcPr>
            <w:tcW w:w="3313" w:type="dxa"/>
            <w:tcBorders>
              <w:bottom w:val="single" w:sz="8" w:space="0" w:color="9BBA58"/>
            </w:tcBorders>
          </w:tcPr>
          <w:p>
            <w:pPr>
              <w:pStyle w:val="TableParagraph"/>
              <w:spacing w:line="230" w:lineRule="exact"/>
              <w:ind w:left="354" w:right="170"/>
              <w:jc w:val="center"/>
              <w:rPr>
                <w:sz w:val="20"/>
              </w:rPr>
            </w:pPr>
            <w:r>
              <w:rPr>
                <w:color w:val="76923B"/>
                <w:sz w:val="20"/>
              </w:rPr>
              <w:t>Acridinas, trifenilmetanos</w:t>
            </w:r>
          </w:p>
        </w:tc>
        <w:tc>
          <w:tcPr>
            <w:tcW w:w="2922" w:type="dxa"/>
            <w:tcBorders>
              <w:bottom w:val="single" w:sz="8" w:space="0" w:color="9BBA58"/>
            </w:tcBorders>
          </w:tcPr>
          <w:p>
            <w:pPr>
              <w:pStyle w:val="TableParagraph"/>
              <w:spacing w:line="230" w:lineRule="exact"/>
              <w:ind w:left="175" w:right="248"/>
              <w:jc w:val="center"/>
              <w:rPr>
                <w:sz w:val="20"/>
              </w:rPr>
            </w:pPr>
            <w:r>
              <w:rPr>
                <w:color w:val="76923B"/>
                <w:sz w:val="20"/>
              </w:rPr>
              <w:t>Antisepsis</w:t>
            </w:r>
          </w:p>
        </w:tc>
      </w:tr>
    </w:tbl>
    <w:p>
      <w:pPr>
        <w:spacing w:line="173" w:lineRule="exact" w:before="0"/>
        <w:ind w:left="239" w:right="489" w:firstLine="0"/>
        <w:jc w:val="left"/>
        <w:rPr>
          <w:sz w:val="16"/>
        </w:rPr>
      </w:pPr>
      <w:r>
        <w:rPr>
          <w:sz w:val="16"/>
        </w:rPr>
        <w:t>Fuente: Lio PA, Kaye ET. Topical antibacterial agents. Infect Dis Clin N Am 2004; 18:717-33</w:t>
      </w:r>
    </w:p>
    <w:p>
      <w:pPr>
        <w:spacing w:after="0" w:line="173" w:lineRule="exact"/>
        <w:jc w:val="left"/>
        <w:rPr>
          <w:sz w:val="16"/>
        </w:rPr>
        <w:sectPr>
          <w:pgSz w:w="12240" w:h="15840"/>
          <w:pgMar w:header="731" w:footer="1012" w:top="1160" w:bottom="1200" w:left="1460" w:right="1480"/>
        </w:sectPr>
      </w:pPr>
    </w:p>
    <w:p>
      <w:pPr>
        <w:pStyle w:val="BodyText"/>
        <w:spacing w:before="11"/>
        <w:rPr>
          <w:sz w:val="16"/>
        </w:rPr>
      </w:pPr>
    </w:p>
    <w:p>
      <w:pPr>
        <w:pStyle w:val="BodyText"/>
        <w:spacing w:line="362" w:lineRule="auto" w:before="69"/>
        <w:ind w:left="219" w:right="218"/>
        <w:jc w:val="both"/>
      </w:pPr>
      <w:r>
        <w:rPr/>
        <w:t>Para efectos del presente trabajo de investigación, se hablará específicamente de la Clorhexidina, perteneciente al grupo de las biguanidas y de la plata coloidal, perteneciente al grupo de los metales pesados.</w:t>
      </w:r>
    </w:p>
    <w:p>
      <w:pPr>
        <w:pStyle w:val="BodyText"/>
        <w:spacing w:before="9"/>
        <w:rPr>
          <w:sz w:val="23"/>
        </w:rPr>
      </w:pPr>
    </w:p>
    <w:p>
      <w:pPr>
        <w:pStyle w:val="Heading2"/>
        <w:jc w:val="both"/>
      </w:pPr>
      <w:r>
        <w:rPr/>
        <w:t>3.3 Biguanidas</w:t>
      </w:r>
    </w:p>
    <w:p>
      <w:pPr>
        <w:pStyle w:val="BodyText"/>
        <w:spacing w:before="6"/>
        <w:rPr>
          <w:b/>
          <w:sz w:val="28"/>
        </w:rPr>
      </w:pPr>
    </w:p>
    <w:p>
      <w:pPr>
        <w:pStyle w:val="BodyText"/>
        <w:spacing w:line="360" w:lineRule="auto" w:before="1"/>
        <w:ind w:left="219" w:right="214"/>
        <w:jc w:val="both"/>
      </w:pPr>
      <w:r>
        <w:rPr/>
        <w:t>Las biguanidas son principios activos que poseen un amplio espectro de actividad antibacteriana, pero su acción </w:t>
      </w:r>
      <w:r>
        <w:rPr>
          <w:spacing w:val="-4"/>
        </w:rPr>
        <w:t>como </w:t>
      </w:r>
      <w:r>
        <w:rPr/>
        <w:t>fungicida y virucida es bastante limitada. Se incluyen en este grupo la clorhexidina, alexidina y las biguanidas poliméricas. Estos compuestos funcionan a un pH determinado, entre 5 y 7 para la</w:t>
      </w:r>
      <w:r>
        <w:rPr>
          <w:spacing w:val="22"/>
        </w:rPr>
        <w:t> </w:t>
      </w:r>
      <w:r>
        <w:rPr/>
        <w:t>clorhexidina</w:t>
      </w:r>
    </w:p>
    <w:p>
      <w:pPr>
        <w:pStyle w:val="BodyText"/>
        <w:spacing w:line="328" w:lineRule="auto" w:before="3"/>
        <w:ind w:left="219" w:right="229"/>
        <w:jc w:val="both"/>
      </w:pPr>
      <w:r>
        <w:rPr/>
        <w:t>y alexidina y entre 5 y 10 en el caso de las biguanidas poliméricas. Todos son incompatibles con los detergentes aniónicos y los compuestos inorgánicos</w:t>
      </w:r>
      <w:r>
        <w:rPr>
          <w:position w:val="11"/>
          <w:sz w:val="16"/>
        </w:rPr>
        <w:t>65</w:t>
      </w:r>
      <w:r>
        <w:rPr/>
        <w:t>.</w:t>
      </w:r>
    </w:p>
    <w:p>
      <w:pPr>
        <w:pStyle w:val="BodyText"/>
        <w:spacing w:before="3"/>
        <w:rPr>
          <w:sz w:val="26"/>
        </w:rPr>
      </w:pPr>
    </w:p>
    <w:p>
      <w:pPr>
        <w:pStyle w:val="Heading2"/>
        <w:jc w:val="both"/>
      </w:pPr>
      <w:r>
        <w:rPr/>
        <w:t>3.3.1 Clorhexidina</w:t>
      </w:r>
    </w:p>
    <w:p>
      <w:pPr>
        <w:pStyle w:val="BodyText"/>
        <w:rPr>
          <w:b/>
        </w:rPr>
      </w:pPr>
    </w:p>
    <w:p>
      <w:pPr>
        <w:pStyle w:val="BodyText"/>
        <w:spacing w:line="360" w:lineRule="auto" w:before="144"/>
        <w:ind w:left="219" w:right="213"/>
        <w:jc w:val="both"/>
      </w:pPr>
      <w:r>
        <w:rPr/>
        <w:t>Es el representante </w:t>
      </w:r>
      <w:r>
        <w:rPr>
          <w:spacing w:val="-3"/>
        </w:rPr>
        <w:t>más </w:t>
      </w:r>
      <w:r>
        <w:rPr/>
        <w:t>característico de las biguanidas, es, junto con el fluoruro, el agente preventivo </w:t>
      </w:r>
      <w:r>
        <w:rPr>
          <w:spacing w:val="-3"/>
        </w:rPr>
        <w:t>más </w:t>
      </w:r>
      <w:r>
        <w:rPr/>
        <w:t>investigado en odontología. Se desarrolló en Inglaterra en la década de 1940, donde surgió </w:t>
      </w:r>
      <w:r>
        <w:rPr>
          <w:spacing w:val="-4"/>
        </w:rPr>
        <w:t>como </w:t>
      </w:r>
      <w:r>
        <w:rPr/>
        <w:t>resultado de la búsqueda de un agente antiviral pero se encontró que este elemento no poseía esa capacidad y </w:t>
      </w:r>
      <w:r>
        <w:rPr>
          <w:spacing w:val="-3"/>
        </w:rPr>
        <w:t>se </w:t>
      </w:r>
      <w:r>
        <w:rPr/>
        <w:t>descubrió que es un excelente agente antimicrobiano, por lo que inicialmente fue comercializado como antiséptico para heridas en la piel y posteriormente se utilizó en urología, cirugía, ginecología, obstetricia, y como sustancia de uso pre quirúrgico para el personal médico y para el paciente. A inicios de 1970 comenzó  a utilizarse en odontología como enjuague bucal, agente antiplaca y para </w:t>
      </w:r>
      <w:r>
        <w:rPr>
          <w:spacing w:val="28"/>
        </w:rPr>
        <w:t> </w:t>
      </w:r>
      <w:r>
        <w:rPr/>
        <w:t>prevenir</w:t>
      </w:r>
    </w:p>
    <w:p>
      <w:pPr>
        <w:pStyle w:val="BodyText"/>
        <w:spacing w:line="279" w:lineRule="exact"/>
        <w:ind w:left="219"/>
        <w:jc w:val="both"/>
      </w:pPr>
      <w:r>
        <w:rPr/>
        <w:t>la gingivitis</w:t>
      </w:r>
      <w:r>
        <w:rPr>
          <w:position w:val="11"/>
          <w:sz w:val="16"/>
        </w:rPr>
        <w:t>66</w:t>
      </w:r>
      <w:r>
        <w:rPr/>
        <w:t>.</w:t>
      </w:r>
    </w:p>
    <w:p>
      <w:pPr>
        <w:pStyle w:val="BodyText"/>
        <w:spacing w:before="6"/>
        <w:rPr>
          <w:sz w:val="36"/>
        </w:rPr>
      </w:pPr>
    </w:p>
    <w:p>
      <w:pPr>
        <w:pStyle w:val="BodyText"/>
        <w:spacing w:line="360" w:lineRule="auto"/>
        <w:ind w:left="219" w:right="216"/>
        <w:jc w:val="both"/>
      </w:pPr>
      <w:r>
        <w:rPr/>
        <w:t>Constituye uno de los tres antisépticos quirúrgicos </w:t>
      </w:r>
      <w:r>
        <w:rPr>
          <w:spacing w:val="-3"/>
        </w:rPr>
        <w:t>más </w:t>
      </w:r>
      <w:r>
        <w:rPr/>
        <w:t>importantes y es el antiséptico bucal que </w:t>
      </w:r>
      <w:r>
        <w:rPr>
          <w:spacing w:val="-3"/>
        </w:rPr>
        <w:t>más </w:t>
      </w:r>
      <w:r>
        <w:rPr/>
        <w:t>se usa actualmente, debido en particular a su eficacia y amplio espectro de actividad, su sustantibilidad para la piel y baja irritación. La clorhexidina es insoluble en agua, pero el gluconato de clorhexidina es  </w:t>
      </w:r>
      <w:r>
        <w:rPr>
          <w:spacing w:val="-3"/>
        </w:rPr>
        <w:t>muy </w:t>
      </w:r>
      <w:r>
        <w:rPr/>
        <w:t>soluble en agua y alcohol, por lo que es en la práctica el producto </w:t>
      </w:r>
      <w:r>
        <w:rPr>
          <w:spacing w:val="-3"/>
        </w:rPr>
        <w:t>más </w:t>
      </w:r>
      <w:r>
        <w:rPr/>
        <w:t>utilizado.  Su estabilidad es buena a temperatura ambiente y a un pH comprendido entre 5 y 8,</w:t>
      </w:r>
      <w:r>
        <w:rPr>
          <w:spacing w:val="19"/>
        </w:rPr>
        <w:t> </w:t>
      </w:r>
      <w:r>
        <w:rPr/>
        <w:t>pero</w:t>
      </w:r>
      <w:r>
        <w:rPr>
          <w:spacing w:val="15"/>
        </w:rPr>
        <w:t> </w:t>
      </w:r>
      <w:r>
        <w:rPr>
          <w:spacing w:val="-3"/>
        </w:rPr>
        <w:t>muy</w:t>
      </w:r>
      <w:r>
        <w:rPr>
          <w:spacing w:val="19"/>
        </w:rPr>
        <w:t> </w:t>
      </w:r>
      <w:r>
        <w:rPr/>
        <w:t>inestable</w:t>
      </w:r>
      <w:r>
        <w:rPr>
          <w:spacing w:val="20"/>
        </w:rPr>
        <w:t> </w:t>
      </w:r>
      <w:r>
        <w:rPr/>
        <w:t>en</w:t>
      </w:r>
      <w:r>
        <w:rPr>
          <w:spacing w:val="20"/>
        </w:rPr>
        <w:t> </w:t>
      </w:r>
      <w:r>
        <w:rPr/>
        <w:t>solución.</w:t>
      </w:r>
      <w:r>
        <w:rPr>
          <w:spacing w:val="15"/>
        </w:rPr>
        <w:t> </w:t>
      </w:r>
      <w:r>
        <w:rPr/>
        <w:t>Necesita</w:t>
      </w:r>
      <w:r>
        <w:rPr>
          <w:spacing w:val="15"/>
        </w:rPr>
        <w:t> </w:t>
      </w:r>
      <w:r>
        <w:rPr/>
        <w:t>ser</w:t>
      </w:r>
      <w:r>
        <w:rPr>
          <w:spacing w:val="20"/>
        </w:rPr>
        <w:t> </w:t>
      </w:r>
      <w:r>
        <w:rPr/>
        <w:t>protegido</w:t>
      </w:r>
      <w:r>
        <w:rPr>
          <w:spacing w:val="15"/>
        </w:rPr>
        <w:t> </w:t>
      </w:r>
      <w:r>
        <w:rPr/>
        <w:t>de</w:t>
      </w:r>
      <w:r>
        <w:rPr>
          <w:spacing w:val="15"/>
        </w:rPr>
        <w:t> </w:t>
      </w:r>
      <w:r>
        <w:rPr/>
        <w:t>la</w:t>
      </w:r>
      <w:r>
        <w:rPr>
          <w:spacing w:val="15"/>
        </w:rPr>
        <w:t> </w:t>
      </w:r>
      <w:r>
        <w:rPr/>
        <w:t>luz</w:t>
      </w:r>
      <w:r>
        <w:rPr>
          <w:spacing w:val="19"/>
        </w:rPr>
        <w:t> </w:t>
      </w:r>
      <w:r>
        <w:rPr/>
        <w:t>y</w:t>
      </w:r>
      <w:r>
        <w:rPr>
          <w:spacing w:val="19"/>
        </w:rPr>
        <w:t> </w:t>
      </w:r>
      <w:r>
        <w:rPr/>
        <w:t>con</w:t>
      </w:r>
      <w:r>
        <w:rPr>
          <w:spacing w:val="20"/>
        </w:rPr>
        <w:t> </w:t>
      </w:r>
      <w:r>
        <w:rPr/>
        <w:t>el</w:t>
      </w:r>
      <w:r>
        <w:rPr>
          <w:spacing w:val="23"/>
        </w:rPr>
        <w:t> </w:t>
      </w:r>
      <w:r>
        <w:rPr/>
        <w:t>calor</w:t>
      </w:r>
    </w:p>
    <w:p>
      <w:pPr>
        <w:spacing w:after="0" w:line="360" w:lineRule="auto"/>
        <w:jc w:val="both"/>
        <w:sectPr>
          <w:pgSz w:w="12240" w:h="15840"/>
          <w:pgMar w:header="731" w:footer="1012" w:top="1160" w:bottom="1200" w:left="1480" w:right="1480"/>
        </w:sectPr>
      </w:pPr>
    </w:p>
    <w:p>
      <w:pPr>
        <w:pStyle w:val="BodyText"/>
        <w:spacing w:before="11"/>
        <w:rPr>
          <w:sz w:val="16"/>
        </w:rPr>
      </w:pPr>
    </w:p>
    <w:p>
      <w:pPr>
        <w:pStyle w:val="BodyText"/>
        <w:spacing w:line="333" w:lineRule="auto" w:before="69"/>
        <w:ind w:left="219" w:right="215"/>
        <w:jc w:val="both"/>
      </w:pPr>
      <w:r>
        <w:rPr/>
        <w:t>se descompone en cloroanilina, además, en presencia de materia orgánica se inactiva fácilmente</w:t>
      </w:r>
      <w:r>
        <w:rPr>
          <w:position w:val="11"/>
          <w:sz w:val="16"/>
        </w:rPr>
        <w:t>67,68</w:t>
      </w:r>
      <w:r>
        <w:rPr/>
        <w:t>.</w:t>
      </w:r>
    </w:p>
    <w:p>
      <w:pPr>
        <w:pStyle w:val="BodyText"/>
        <w:spacing w:before="9"/>
        <w:rPr>
          <w:sz w:val="25"/>
        </w:rPr>
      </w:pPr>
    </w:p>
    <w:p>
      <w:pPr>
        <w:pStyle w:val="BodyText"/>
        <w:spacing w:line="360" w:lineRule="auto"/>
        <w:ind w:left="219" w:right="214"/>
        <w:jc w:val="both"/>
      </w:pPr>
      <w:r>
        <w:rPr/>
        <w:t>El sitio de acción primario de la clorhexidina es la  membrana  citoplasmática, dando como resultado la modificación en la permeabilidad, debido a la interacción electrostática con los fosfolípidos ácidos. Se ha demostrado que la absorción por difusión pasiva a través de las membranas es extraordinariamente rápida tanto en las bacterias como en las levaduras, consiguiéndose un efecto máximo en 20 segundos. A bajas concentraciones produce una alteración de la permeabilidad osmótica de la membrana y una inhibición de las enzimas del espacio periplasmático. A concentraciones altas origina la precipitación de las proteínas   y</w:t>
      </w:r>
    </w:p>
    <w:p>
      <w:pPr>
        <w:pStyle w:val="BodyText"/>
        <w:spacing w:line="279" w:lineRule="exact"/>
        <w:ind w:left="219"/>
        <w:jc w:val="both"/>
      </w:pPr>
      <w:r>
        <w:rPr/>
        <w:t>ácidos nucleicos</w:t>
      </w:r>
      <w:r>
        <w:rPr>
          <w:position w:val="11"/>
          <w:sz w:val="16"/>
        </w:rPr>
        <w:t>65</w:t>
      </w:r>
      <w:r>
        <w:rPr/>
        <w:t>.</w:t>
      </w:r>
    </w:p>
    <w:p>
      <w:pPr>
        <w:pStyle w:val="BodyText"/>
        <w:spacing w:before="6"/>
        <w:rPr>
          <w:sz w:val="36"/>
        </w:rPr>
      </w:pPr>
    </w:p>
    <w:p>
      <w:pPr>
        <w:pStyle w:val="BodyText"/>
        <w:spacing w:line="360" w:lineRule="auto"/>
        <w:ind w:left="219" w:right="215"/>
        <w:jc w:val="both"/>
      </w:pPr>
      <w:r>
        <w:rPr/>
        <w:t>La clorhexidina posee amplio espectro de acción siendo bactericida sobre bacterias Grampositivas y Gramnegativas. Las micobacterias son altamente resistentes aunque puede tener una acción bacteriostática sobre ellas y tiene poco efecto sobre las esporas de bacterias en germinación, pero inhibe su crecimiento. Es activa  frente  a  levaduras y  mohos  y su  actividad  antiviral  es variable, </w:t>
      </w:r>
      <w:r>
        <w:rPr>
          <w:spacing w:val="26"/>
        </w:rPr>
        <w:t> </w:t>
      </w:r>
      <w:r>
        <w:rPr/>
        <w:t>pero</w:t>
      </w:r>
    </w:p>
    <w:p>
      <w:pPr>
        <w:pStyle w:val="BodyText"/>
        <w:spacing w:line="328" w:lineRule="auto" w:before="2"/>
        <w:ind w:left="219" w:right="215"/>
        <w:jc w:val="both"/>
      </w:pPr>
      <w:r>
        <w:rPr/>
        <w:t>incluye VIH, herpes simple, citomegalovirus e influenza. No actuando sobre virus sin cubierta como rotavirus y poliovirus</w:t>
      </w:r>
      <w:r>
        <w:rPr>
          <w:position w:val="11"/>
          <w:sz w:val="16"/>
        </w:rPr>
        <w:t>67</w:t>
      </w:r>
      <w:r>
        <w:rPr/>
        <w:t>.</w:t>
      </w:r>
    </w:p>
    <w:p>
      <w:pPr>
        <w:pStyle w:val="BodyText"/>
        <w:spacing w:before="8"/>
        <w:rPr>
          <w:sz w:val="26"/>
        </w:rPr>
      </w:pPr>
    </w:p>
    <w:p>
      <w:pPr>
        <w:pStyle w:val="BodyText"/>
        <w:spacing w:line="360" w:lineRule="auto"/>
        <w:ind w:left="219" w:right="216"/>
        <w:jc w:val="both"/>
      </w:pPr>
      <w:r>
        <w:rPr/>
        <w:t>Las ventajas que justifican el empleo de la clorhexidina son la acción germicida rápida y su duración prolongada, gracias a que ésta sustancia tiene gran adhesividad a la piel y buen índice terapéutico. Se usa a diferentes concentraciones: en antisepsia de la piel se emplea en solución acuosa al 4% con base detergente para el lavado corporal prequirúrgico del paciente y lavado de las manos  prequirúrgico,  en  solución  acuosa  al  5%  para  antisepsia  del     campo</w:t>
      </w:r>
    </w:p>
    <w:p>
      <w:pPr>
        <w:pStyle w:val="BodyText"/>
        <w:spacing w:line="328" w:lineRule="auto" w:before="2"/>
        <w:ind w:left="219" w:right="229"/>
        <w:jc w:val="both"/>
      </w:pPr>
      <w:r>
        <w:rPr/>
        <w:t>quirúrgico, sobre heridas a la concentración de 0,1% o 0,5% en solución acuosa. Además se puede emplear en ginecología y quemaduras</w:t>
      </w:r>
      <w:r>
        <w:rPr>
          <w:position w:val="11"/>
          <w:sz w:val="16"/>
        </w:rPr>
        <w:t>64</w:t>
      </w:r>
      <w:r>
        <w:rPr/>
        <w:t>.</w:t>
      </w:r>
    </w:p>
    <w:p>
      <w:pPr>
        <w:pStyle w:val="BodyText"/>
        <w:spacing w:before="8"/>
        <w:rPr>
          <w:sz w:val="26"/>
        </w:rPr>
      </w:pPr>
    </w:p>
    <w:p>
      <w:pPr>
        <w:pStyle w:val="BodyText"/>
        <w:spacing w:line="360" w:lineRule="auto"/>
        <w:ind w:left="219" w:right="215"/>
        <w:jc w:val="both"/>
      </w:pPr>
      <w:r>
        <w:rPr/>
        <w:t>La clorhexidina tiene los siguientes beneficios: Acción bactericida rápida, actividad residual  duradera  entre  seis  y  ocho  horas,  reducción  rápida  del  número    de</w:t>
      </w:r>
    </w:p>
    <w:p>
      <w:pPr>
        <w:spacing w:after="0" w:line="360" w:lineRule="auto"/>
        <w:jc w:val="both"/>
        <w:sectPr>
          <w:pgSz w:w="12240" w:h="15840"/>
          <w:pgMar w:header="731" w:footer="1012" w:top="1160" w:bottom="1200" w:left="1480" w:right="1480"/>
        </w:sectPr>
      </w:pPr>
    </w:p>
    <w:p>
      <w:pPr>
        <w:pStyle w:val="BodyText"/>
        <w:spacing w:before="11"/>
        <w:rPr>
          <w:sz w:val="16"/>
        </w:rPr>
      </w:pPr>
    </w:p>
    <w:p>
      <w:pPr>
        <w:pStyle w:val="BodyText"/>
        <w:spacing w:line="360" w:lineRule="auto" w:before="69"/>
        <w:ind w:left="219" w:right="214"/>
        <w:jc w:val="both"/>
      </w:pPr>
      <w:r>
        <w:rPr/>
        <w:t>bacterias de la piel, efecto antiséptico prolongado, amplio espectro de actividad, ayudando con ello a prevenir la contaminación cruzada. Provee un efecto residual con el cual se previene el crecimiento microbiano por 29 horas, es incompatible con jabones, yodo y fenoles y </w:t>
      </w:r>
      <w:r>
        <w:rPr>
          <w:spacing w:val="3"/>
        </w:rPr>
        <w:t>no </w:t>
      </w:r>
      <w:r>
        <w:rPr/>
        <w:t>debe mezclarse con otros antisépticos, ya que puede precipitarse. Se han descrito escasos efectos adversos, tales como dermatitis de contacto o de irritación de la piel y mucosas, fotosensibilidad, urticaria, reacciones anafilácticas, desórdenes del gusto, coloración de la lengua</w:t>
      </w:r>
      <w:r>
        <w:rPr>
          <w:spacing w:val="42"/>
        </w:rPr>
        <w:t> </w:t>
      </w:r>
      <w:r>
        <w:rPr/>
        <w:t>y</w:t>
      </w:r>
    </w:p>
    <w:p>
      <w:pPr>
        <w:pStyle w:val="BodyText"/>
        <w:spacing w:line="328" w:lineRule="auto" w:before="2"/>
        <w:ind w:left="219" w:right="215"/>
        <w:jc w:val="both"/>
      </w:pPr>
      <w:r>
        <w:rPr/>
        <w:t>los dientes, ototoxicidad, conjuntivitis y daño de la córnea. No se han descrito evidencias de carcinogénesis</w:t>
      </w:r>
      <w:r>
        <w:rPr>
          <w:position w:val="11"/>
          <w:sz w:val="16"/>
        </w:rPr>
        <w:t>65</w:t>
      </w:r>
      <w:r>
        <w:rPr/>
        <w:t>.</w:t>
      </w:r>
    </w:p>
    <w:p>
      <w:pPr>
        <w:pStyle w:val="BodyText"/>
        <w:rPr>
          <w:sz w:val="28"/>
        </w:rPr>
      </w:pPr>
    </w:p>
    <w:p>
      <w:pPr>
        <w:pStyle w:val="BodyText"/>
        <w:rPr>
          <w:sz w:val="28"/>
        </w:rPr>
      </w:pPr>
    </w:p>
    <w:p>
      <w:pPr>
        <w:pStyle w:val="BodyText"/>
        <w:spacing w:before="1"/>
        <w:rPr>
          <w:sz w:val="22"/>
        </w:rPr>
      </w:pPr>
    </w:p>
    <w:p>
      <w:pPr>
        <w:pStyle w:val="Heading2"/>
        <w:numPr>
          <w:ilvl w:val="1"/>
          <w:numId w:val="5"/>
        </w:numPr>
        <w:tabs>
          <w:tab w:pos="624" w:val="left" w:leader="none"/>
        </w:tabs>
        <w:spacing w:line="240" w:lineRule="auto" w:before="0" w:after="0"/>
        <w:ind w:left="623" w:right="0" w:hanging="404"/>
        <w:jc w:val="both"/>
      </w:pPr>
      <w:r>
        <w:rPr/>
        <w:t>Derivados de Metales</w:t>
      </w:r>
      <w:r>
        <w:rPr>
          <w:spacing w:val="-15"/>
        </w:rPr>
        <w:t> </w:t>
      </w:r>
      <w:r>
        <w:rPr/>
        <w:t>Pesados</w:t>
      </w:r>
    </w:p>
    <w:p>
      <w:pPr>
        <w:pStyle w:val="BodyText"/>
        <w:spacing w:before="7"/>
        <w:rPr>
          <w:b/>
          <w:sz w:val="28"/>
        </w:rPr>
      </w:pPr>
    </w:p>
    <w:p>
      <w:pPr>
        <w:pStyle w:val="BodyText"/>
        <w:spacing w:line="360" w:lineRule="auto"/>
        <w:ind w:left="219" w:right="213"/>
        <w:jc w:val="both"/>
      </w:pPr>
      <w:r>
        <w:rPr/>
        <w:t>Durante muchos años, los metales pesados (mercurio, plata, cobre y zinc) se han utilizado como bactericidas, si bien algunos sólo tienen efecto bacteriostático, hoy en día están siendo sustituidos por otros agentes químicos que tienen una acción más completa frente a los microorganismos y que presentan menos toxicidad. Los principales derivados son las sales de mercurio: timerosal y merbromin; las sales de plata: nitrato de plata, sulfadiazina de plata; los compuestos de cobre y los compuestos de zinc. El mecanismo de acción de estos compuestos consiste en precipitar las proteínas e inhibir los grupos sulfidrilos de las células de tejidos y bacterias. La materia orgánica y el suero disminuyen la efectividad de los antisépticos de este grupo.</w:t>
      </w:r>
    </w:p>
    <w:p>
      <w:pPr>
        <w:pStyle w:val="BodyText"/>
        <w:spacing w:before="5"/>
      </w:pPr>
    </w:p>
    <w:p>
      <w:pPr>
        <w:pStyle w:val="Heading2"/>
        <w:numPr>
          <w:ilvl w:val="2"/>
          <w:numId w:val="5"/>
        </w:numPr>
        <w:tabs>
          <w:tab w:pos="757" w:val="left" w:leader="none"/>
        </w:tabs>
        <w:spacing w:line="240" w:lineRule="auto" w:before="0" w:after="0"/>
        <w:ind w:left="756" w:right="0" w:hanging="537"/>
        <w:jc w:val="both"/>
      </w:pPr>
      <w:r>
        <w:rPr/>
        <w:t>Compuestos de</w:t>
      </w:r>
      <w:r>
        <w:rPr>
          <w:spacing w:val="-7"/>
        </w:rPr>
        <w:t> </w:t>
      </w:r>
      <w:r>
        <w:rPr/>
        <w:t>Plata</w:t>
      </w:r>
    </w:p>
    <w:p>
      <w:pPr>
        <w:pStyle w:val="BodyText"/>
        <w:rPr>
          <w:b/>
        </w:rPr>
      </w:pPr>
    </w:p>
    <w:p>
      <w:pPr>
        <w:pStyle w:val="BodyText"/>
        <w:spacing w:line="360" w:lineRule="auto" w:before="144"/>
        <w:ind w:left="219" w:right="215"/>
        <w:jc w:val="both"/>
      </w:pPr>
      <w:r>
        <w:rPr/>
        <w:t>Los compuestos de plata se han usado ampliamente desde hace mucho tiempo como agentes antimicrobianos, principalmente en el tratamiento de las quemaduras. La sulfadiazina de plata y el nitrato de plata son los </w:t>
      </w:r>
      <w:r>
        <w:rPr>
          <w:spacing w:val="-3"/>
        </w:rPr>
        <w:t>más</w:t>
      </w:r>
      <w:r>
        <w:rPr>
          <w:spacing w:val="60"/>
        </w:rPr>
        <w:t> </w:t>
      </w:r>
      <w:r>
        <w:rPr/>
        <w:t>ampliamente usados en medicina como antisépticos. El mecanismo de acción de la plata está estrechamente relacionado a </w:t>
      </w:r>
      <w:r>
        <w:rPr>
          <w:spacing w:val="6"/>
        </w:rPr>
        <w:t>la </w:t>
      </w:r>
      <w:r>
        <w:rPr/>
        <w:t>interacción de sus iones con grupos sulfidrilo</w:t>
      </w:r>
      <w:r>
        <w:rPr>
          <w:spacing w:val="26"/>
        </w:rPr>
        <w:t> </w:t>
      </w:r>
      <w:r>
        <w:rPr/>
        <w:t>(-SH),</w:t>
      </w:r>
      <w:r>
        <w:rPr>
          <w:spacing w:val="26"/>
        </w:rPr>
        <w:t> </w:t>
      </w:r>
      <w:r>
        <w:rPr/>
        <w:t>y</w:t>
      </w:r>
      <w:r>
        <w:rPr>
          <w:spacing w:val="21"/>
        </w:rPr>
        <w:t> </w:t>
      </w:r>
      <w:r>
        <w:rPr/>
        <w:t>esta</w:t>
      </w:r>
      <w:r>
        <w:rPr>
          <w:spacing w:val="22"/>
        </w:rPr>
        <w:t> </w:t>
      </w:r>
      <w:r>
        <w:rPr/>
        <w:t>actividad</w:t>
      </w:r>
      <w:r>
        <w:rPr>
          <w:spacing w:val="22"/>
        </w:rPr>
        <w:t> </w:t>
      </w:r>
      <w:r>
        <w:rPr/>
        <w:t>antimicrobiana</w:t>
      </w:r>
      <w:r>
        <w:rPr>
          <w:spacing w:val="26"/>
        </w:rPr>
        <w:t> </w:t>
      </w:r>
      <w:r>
        <w:rPr/>
        <w:t>va</w:t>
      </w:r>
      <w:r>
        <w:rPr>
          <w:spacing w:val="22"/>
        </w:rPr>
        <w:t> </w:t>
      </w:r>
      <w:r>
        <w:rPr/>
        <w:t>a</w:t>
      </w:r>
      <w:r>
        <w:rPr>
          <w:spacing w:val="26"/>
        </w:rPr>
        <w:t> </w:t>
      </w:r>
      <w:r>
        <w:rPr/>
        <w:t>depender</w:t>
      </w:r>
      <w:r>
        <w:rPr>
          <w:spacing w:val="27"/>
        </w:rPr>
        <w:t> </w:t>
      </w:r>
      <w:r>
        <w:rPr/>
        <w:t>de</w:t>
      </w:r>
      <w:r>
        <w:rPr>
          <w:spacing w:val="22"/>
        </w:rPr>
        <w:t> </w:t>
      </w:r>
      <w:r>
        <w:rPr/>
        <w:t>la</w:t>
      </w:r>
      <w:r>
        <w:rPr>
          <w:spacing w:val="22"/>
        </w:rPr>
        <w:t> </w:t>
      </w:r>
      <w:r>
        <w:rPr/>
        <w:t>acumulación</w:t>
      </w:r>
    </w:p>
    <w:p>
      <w:pPr>
        <w:spacing w:after="0" w:line="360" w:lineRule="auto"/>
        <w:jc w:val="both"/>
        <w:sectPr>
          <w:pgSz w:w="12240" w:h="15840"/>
          <w:pgMar w:header="731" w:footer="1012" w:top="1160" w:bottom="1200" w:left="1480" w:right="1480"/>
        </w:sectPr>
      </w:pPr>
    </w:p>
    <w:p>
      <w:pPr>
        <w:pStyle w:val="BodyText"/>
        <w:spacing w:before="11"/>
        <w:rPr>
          <w:sz w:val="16"/>
        </w:rPr>
      </w:pPr>
    </w:p>
    <w:p>
      <w:pPr>
        <w:pStyle w:val="BodyText"/>
        <w:spacing w:line="360" w:lineRule="auto" w:before="69"/>
        <w:ind w:left="219" w:right="213"/>
        <w:jc w:val="both"/>
      </w:pPr>
      <w:r>
        <w:rPr/>
        <w:t>intracelular de bajas concentraciones de iones plata, que interactúan con las enzimas, proteínas y ácidos nucleicos produciendo cambios estructurales en la pared celular bacteriana, membranas y ácidos nucleicos afectando su viabilidad. Los compuestos de plata tienen acción bactericida, principalmente sobre bacterias grampositivas  y  menor  frente  a  bacterias  gramnegativas.  Son  </w:t>
      </w:r>
      <w:r>
        <w:rPr>
          <w:spacing w:val="52"/>
        </w:rPr>
        <w:t> </w:t>
      </w:r>
      <w:r>
        <w:rPr/>
        <w:t>especialmente</w:t>
      </w:r>
    </w:p>
    <w:p>
      <w:pPr>
        <w:spacing w:line="328" w:lineRule="auto" w:before="7"/>
        <w:ind w:left="219" w:right="219" w:firstLine="0"/>
        <w:jc w:val="both"/>
        <w:rPr>
          <w:sz w:val="24"/>
        </w:rPr>
      </w:pPr>
      <w:r>
        <w:rPr>
          <w:sz w:val="24"/>
        </w:rPr>
        <w:t>activos frente a </w:t>
      </w:r>
      <w:r>
        <w:rPr>
          <w:i/>
          <w:sz w:val="24"/>
        </w:rPr>
        <w:t>Estafilococos y Pseudomonas</w:t>
      </w:r>
      <w:r>
        <w:rPr>
          <w:sz w:val="24"/>
        </w:rPr>
        <w:t>. Además, han mostrado buena actividad fungicida y virucida</w:t>
      </w:r>
      <w:r>
        <w:rPr>
          <w:position w:val="11"/>
          <w:sz w:val="16"/>
        </w:rPr>
        <w:t>60,70</w:t>
      </w:r>
      <w:r>
        <w:rPr>
          <w:sz w:val="24"/>
        </w:rPr>
        <w:t>.</w:t>
      </w:r>
    </w:p>
    <w:p>
      <w:pPr>
        <w:pStyle w:val="BodyText"/>
        <w:spacing w:before="3"/>
        <w:rPr>
          <w:sz w:val="26"/>
        </w:rPr>
      </w:pPr>
    </w:p>
    <w:p>
      <w:pPr>
        <w:pStyle w:val="BodyText"/>
        <w:spacing w:line="360" w:lineRule="auto"/>
        <w:ind w:left="219" w:right="213"/>
        <w:jc w:val="both"/>
      </w:pPr>
      <w:r>
        <w:rPr/>
        <w:t>Algunos estudios reportan que los compuestos de plata pueden actuar, además, promoviendo la curación de las heridas, reduciendo su inflamación y las fases de granulación. Los usos médicos de la plata son </w:t>
      </w:r>
      <w:r>
        <w:rPr>
          <w:spacing w:val="-3"/>
        </w:rPr>
        <w:t>muy </w:t>
      </w:r>
      <w:r>
        <w:rPr/>
        <w:t>variados y se pueden  presentar en una variedad de formas: sales solubles, soluciones coloidales, cremas de nitrato de plata, en forma de barras o lápices y en vendas para cubrir heridas. Las sales de nitrato de plata (AgNO3) son potentes germicidas a una concentración del 1%. En su acción local antiséptica, la Ag precipita las proteínas del protoplasma bacteriano. </w:t>
      </w:r>
      <w:r>
        <w:rPr>
          <w:spacing w:val="-2"/>
        </w:rPr>
        <w:t>Por </w:t>
      </w:r>
      <w:r>
        <w:rPr/>
        <w:t>su acción coagulante de las proteínas puede ser irritante, astringente o cáustico, según su concentración. La solución de AgNO3 al 1:1000 de uso oftálmico se utiliza para la prevención de la oftalmia del recién nacido, debida por lo general a </w:t>
      </w:r>
      <w:r>
        <w:rPr>
          <w:i/>
        </w:rPr>
        <w:t>Neisseria gonorrhoeae </w:t>
      </w:r>
      <w:r>
        <w:rPr/>
        <w:t>adquirida en el paso por el canal del parto. El Argirol es un compuesto de plata, usado </w:t>
      </w:r>
      <w:r>
        <w:rPr>
          <w:spacing w:val="-4"/>
        </w:rPr>
        <w:t>como </w:t>
      </w:r>
      <w:r>
        <w:rPr/>
        <w:t>antiséptico para los ojos, oídos, nariz y garganta. Hasta hace poco era común emplear el lápiz o barra de nitrato de plata para eliminar verrugas o granulomas exuberantes de heridas. En fisuras, ulceraciones mucosas, heridas tórpidas que no cicatrizan, puede usarse nitrato de plata al 10% y aún al 20% aplicado cada 3 a 7 días mediante  un  hisopo impregnado en la  solución.  En la  actualidad  </w:t>
      </w:r>
      <w:r>
        <w:rPr>
          <w:spacing w:val="-3"/>
        </w:rPr>
        <w:t>se  </w:t>
      </w:r>
      <w:r>
        <w:rPr/>
        <w:t>usan</w:t>
      </w:r>
      <w:r>
        <w:rPr>
          <w:spacing w:val="43"/>
        </w:rPr>
        <w:t> </w:t>
      </w:r>
      <w:r>
        <w:rPr/>
        <w:t>otras</w:t>
      </w:r>
    </w:p>
    <w:p>
      <w:pPr>
        <w:pStyle w:val="BodyText"/>
        <w:spacing w:line="284" w:lineRule="exact"/>
        <w:ind w:left="219"/>
        <w:jc w:val="both"/>
      </w:pPr>
      <w:r>
        <w:rPr/>
        <w:t>drogas no irritantes como los antibióticos tópicos, con igual o mejor eficacia</w:t>
      </w:r>
      <w:r>
        <w:rPr>
          <w:position w:val="11"/>
          <w:sz w:val="16"/>
        </w:rPr>
        <w:t>71</w:t>
      </w:r>
      <w:r>
        <w:rPr/>
        <w:t>.</w:t>
      </w:r>
    </w:p>
    <w:p>
      <w:pPr>
        <w:pStyle w:val="BodyText"/>
        <w:spacing w:before="1"/>
        <w:rPr>
          <w:sz w:val="36"/>
        </w:rPr>
      </w:pPr>
    </w:p>
    <w:p>
      <w:pPr>
        <w:pStyle w:val="BodyText"/>
        <w:spacing w:line="360" w:lineRule="auto"/>
        <w:ind w:left="219" w:right="214"/>
        <w:jc w:val="both"/>
      </w:pPr>
      <w:r>
        <w:rPr/>
        <w:t>Recientemente, las nanopartículas de plata se han utilizado como una herramienta molecular y un método para la entrega de fármacos. Numerosos estudios han reportado el uso de nanopartículas de plata como un agente antimicrobiano, esto incluye el informe de Kim Kuk et al., que documentaron el efecto antimicrobiano de nanopartículas de plata en levaduras, </w:t>
      </w:r>
      <w:r>
        <w:rPr>
          <w:i/>
        </w:rPr>
        <w:t>E. coli y S. aureus</w:t>
      </w:r>
      <w:r>
        <w:rPr/>
        <w:t>. Otros investigadores</w:t>
      </w:r>
    </w:p>
    <w:p>
      <w:pPr>
        <w:spacing w:after="0" w:line="360" w:lineRule="auto"/>
        <w:jc w:val="both"/>
        <w:sectPr>
          <w:pgSz w:w="12240" w:h="15840"/>
          <w:pgMar w:header="731" w:footer="1012" w:top="1160" w:bottom="1200" w:left="1480" w:right="1480"/>
        </w:sectPr>
      </w:pPr>
    </w:p>
    <w:p>
      <w:pPr>
        <w:pStyle w:val="BodyText"/>
        <w:spacing w:before="11"/>
        <w:rPr>
          <w:sz w:val="16"/>
        </w:rPr>
      </w:pPr>
    </w:p>
    <w:p>
      <w:pPr>
        <w:spacing w:line="333" w:lineRule="auto" w:before="69"/>
        <w:ind w:left="219" w:right="231" w:firstLine="0"/>
        <w:jc w:val="both"/>
        <w:rPr>
          <w:i/>
          <w:sz w:val="24"/>
        </w:rPr>
      </w:pPr>
      <w:r>
        <w:rPr>
          <w:sz w:val="24"/>
        </w:rPr>
        <w:t>mostraron un efecto similar en </w:t>
      </w:r>
      <w:r>
        <w:rPr>
          <w:i/>
          <w:sz w:val="24"/>
        </w:rPr>
        <w:t>Bacillus megaterium, Proteus vulgaris y Shigella </w:t>
      </w:r>
      <w:r>
        <w:rPr>
          <w:i/>
          <w:sz w:val="24"/>
        </w:rPr>
        <w:t>sonnei</w:t>
      </w:r>
      <w:r>
        <w:rPr>
          <w:i/>
          <w:position w:val="11"/>
          <w:sz w:val="16"/>
        </w:rPr>
        <w:t>71</w:t>
      </w:r>
      <w:r>
        <w:rPr>
          <w:i/>
          <w:sz w:val="24"/>
        </w:rPr>
        <w:t>.</w:t>
      </w:r>
    </w:p>
    <w:p>
      <w:pPr>
        <w:pStyle w:val="BodyText"/>
        <w:rPr>
          <w:i/>
          <w:sz w:val="37"/>
        </w:rPr>
      </w:pPr>
    </w:p>
    <w:p>
      <w:pPr>
        <w:pStyle w:val="Heading2"/>
        <w:numPr>
          <w:ilvl w:val="2"/>
          <w:numId w:val="5"/>
        </w:numPr>
        <w:tabs>
          <w:tab w:pos="824" w:val="left" w:leader="none"/>
        </w:tabs>
        <w:spacing w:line="240" w:lineRule="auto" w:before="0" w:after="0"/>
        <w:ind w:left="823" w:right="0" w:hanging="604"/>
        <w:jc w:val="both"/>
      </w:pPr>
      <w:r>
        <w:rPr/>
        <w:t>Plata</w:t>
      </w:r>
      <w:r>
        <w:rPr>
          <w:spacing w:val="-3"/>
        </w:rPr>
        <w:t> </w:t>
      </w:r>
      <w:r>
        <w:rPr/>
        <w:t>Coloidal</w:t>
      </w:r>
    </w:p>
    <w:p>
      <w:pPr>
        <w:pStyle w:val="BodyText"/>
        <w:spacing w:before="5"/>
        <w:rPr>
          <w:b/>
          <w:sz w:val="31"/>
        </w:rPr>
      </w:pPr>
    </w:p>
    <w:p>
      <w:pPr>
        <w:pStyle w:val="BodyText"/>
        <w:spacing w:line="360" w:lineRule="auto" w:before="1"/>
        <w:ind w:left="219" w:right="215"/>
        <w:jc w:val="both"/>
      </w:pPr>
      <w:r>
        <w:rPr/>
        <w:t>La plata coloidal es un coloide formado de pequeñas partículas de plata metálica cargadas eléctricamente y unidas a proteínas, cuyo uso es exclusivamente como biocida en México. La plata fue usada como un germicida efectivo desde el año 1900 cuando fue un importante apoyo en el tratamiento médico y la tecnología de hoy la ha hecho aún superior. El pH de la plata coloidal debe de ser de 6.5 y el rango de seguridad de su concentración debe de ser de 3 a 5 partes por millón. Mayor concentración no significa mayor efectividad. El término coloide se refiere a una sustancia que consiste en partículas ultra finas dentro del rango de 0.005 a</w:t>
      </w:r>
    </w:p>
    <w:p>
      <w:pPr>
        <w:pStyle w:val="BodyText"/>
        <w:spacing w:before="2"/>
        <w:ind w:left="219"/>
        <w:jc w:val="both"/>
      </w:pPr>
      <w:r>
        <w:rPr/>
        <w:t>0.015 micrones de diámetro.</w:t>
      </w:r>
    </w:p>
    <w:p>
      <w:pPr>
        <w:pStyle w:val="BodyText"/>
      </w:pPr>
    </w:p>
    <w:p>
      <w:pPr>
        <w:pStyle w:val="BodyText"/>
        <w:spacing w:before="2"/>
      </w:pPr>
    </w:p>
    <w:p>
      <w:pPr>
        <w:pStyle w:val="BodyText"/>
        <w:spacing w:line="355" w:lineRule="auto" w:before="1"/>
        <w:ind w:left="219" w:right="222"/>
        <w:jc w:val="both"/>
      </w:pPr>
      <w:r>
        <w:rPr/>
        <w:t>La presencia de plata coloidal cerca de un virus, un hongo, una bacteria o cualquier otro microbio patógeno unicelular, incapacita a su enzima del metabolismo del oxígeno por lo que en unos pocos minutos el microbio patógeno se sofoca y muere y luego es eliminado del cuerpo por los sistemas inmunológico y linfático. Contrario a los antibióticos farmacéuticos que destruyen las enzimas benéficas, la plata coloidal deja a estas enzimas celulares y tisulares intactas, </w:t>
      </w:r>
      <w:r>
        <w:rPr>
          <w:spacing w:val="-3"/>
        </w:rPr>
        <w:t>ya </w:t>
      </w:r>
      <w:r>
        <w:rPr/>
        <w:t>que son radicalmente diferentes de las enzimas de la vida primitiva unicelular, de esta manera, la plata coloidal es absolutamente segura para los humanos, las plantas, los reptiles y todos los seres vivientes</w:t>
      </w:r>
      <w:r>
        <w:rPr>
          <w:spacing w:val="-26"/>
        </w:rPr>
        <w:t> </w:t>
      </w:r>
      <w:r>
        <w:rPr/>
        <w:t>pluricelulares</w:t>
      </w:r>
      <w:r>
        <w:rPr>
          <w:position w:val="11"/>
          <w:sz w:val="16"/>
        </w:rPr>
        <w:t>72</w:t>
      </w:r>
      <w:r>
        <w:rPr/>
        <w:t>.</w:t>
      </w:r>
    </w:p>
    <w:p>
      <w:pPr>
        <w:pStyle w:val="BodyText"/>
        <w:rPr>
          <w:sz w:val="35"/>
        </w:rPr>
      </w:pPr>
    </w:p>
    <w:p>
      <w:pPr>
        <w:pStyle w:val="BodyText"/>
        <w:spacing w:line="350" w:lineRule="auto" w:before="1"/>
        <w:ind w:left="219" w:right="215"/>
        <w:jc w:val="both"/>
      </w:pPr>
      <w:r>
        <w:rPr/>
        <w:t>En 1914 fueron publicados algunos resultados respecto a la plata coloidal, donde Crooks</w:t>
      </w:r>
      <w:r>
        <w:rPr>
          <w:position w:val="11"/>
          <w:sz w:val="16"/>
        </w:rPr>
        <w:t>73 </w:t>
      </w:r>
      <w:r>
        <w:rPr/>
        <w:t>demostró que ésta es altamente germicida y al mismo tiempo no tóxica para los humanos, además se comprobó que es útil contra todas las especies de hongos, bacterias, protozoarios, parásitos y ciertos virus. Las soluciones de   plata</w:t>
      </w:r>
    </w:p>
    <w:p>
      <w:pPr>
        <w:spacing w:line="360" w:lineRule="auto" w:before="13"/>
        <w:ind w:left="219" w:right="214" w:firstLine="0"/>
        <w:jc w:val="both"/>
        <w:rPr>
          <w:sz w:val="24"/>
        </w:rPr>
      </w:pPr>
      <w:r>
        <w:rPr>
          <w:sz w:val="24"/>
        </w:rPr>
        <w:t>coloidal son efectivas contra los </w:t>
      </w:r>
      <w:r>
        <w:rPr>
          <w:i/>
          <w:sz w:val="24"/>
        </w:rPr>
        <w:t>Streptococcus pyogenes, Staphylococcus aureus, </w:t>
      </w:r>
      <w:r>
        <w:rPr>
          <w:i/>
          <w:sz w:val="24"/>
        </w:rPr>
        <w:t>Neisseria gonorrhea, Garnerella vaginalis, Salmonella typhi </w:t>
      </w:r>
      <w:r>
        <w:rPr>
          <w:sz w:val="24"/>
        </w:rPr>
        <w:t>y otros microbios patógenos  entéricos.  También  se  ha  encontrado  que  la  plata  coloidal  </w:t>
      </w:r>
      <w:r>
        <w:rPr>
          <w:spacing w:val="7"/>
          <w:sz w:val="24"/>
        </w:rPr>
        <w:t>es </w:t>
      </w:r>
      <w:r>
        <w:rPr>
          <w:spacing w:val="72"/>
          <w:sz w:val="24"/>
        </w:rPr>
        <w:t> </w:t>
      </w:r>
      <w:r>
        <w:rPr>
          <w:sz w:val="24"/>
        </w:rPr>
        <w:t>un</w:t>
      </w:r>
    </w:p>
    <w:p>
      <w:pPr>
        <w:spacing w:after="0" w:line="360" w:lineRule="auto"/>
        <w:jc w:val="both"/>
        <w:rPr>
          <w:sz w:val="24"/>
        </w:rPr>
        <w:sectPr>
          <w:pgSz w:w="12240" w:h="15840"/>
          <w:pgMar w:header="731" w:footer="1012" w:top="1160" w:bottom="1200" w:left="1480" w:right="1480"/>
        </w:sectPr>
      </w:pPr>
    </w:p>
    <w:p>
      <w:pPr>
        <w:pStyle w:val="BodyText"/>
        <w:spacing w:before="11"/>
        <w:rPr>
          <w:sz w:val="16"/>
        </w:rPr>
      </w:pPr>
    </w:p>
    <w:p>
      <w:pPr>
        <w:pStyle w:val="BodyText"/>
        <w:spacing w:line="350" w:lineRule="auto" w:before="69"/>
        <w:ind w:left="219" w:right="223"/>
        <w:jc w:val="both"/>
      </w:pPr>
      <w:r>
        <w:rPr/>
        <w:t>fungicida contra la </w:t>
      </w:r>
      <w:r>
        <w:rPr>
          <w:i/>
        </w:rPr>
        <w:t>C. albicans, C. globata y M. furfur</w:t>
      </w:r>
      <w:r>
        <w:rPr/>
        <w:t>. Las cepas resistentes a la plata coloidal no se desarrollan como lo hacen con los antibióticos. Además se ha descubierto que los iones de plata promueven el crecimiento óseo y matan a las bacterias circunvecinas</w:t>
      </w:r>
      <w:r>
        <w:rPr>
          <w:position w:val="11"/>
          <w:sz w:val="16"/>
        </w:rPr>
        <w:t>73,74</w:t>
      </w:r>
      <w:r>
        <w:rPr/>
        <w:t>.</w:t>
      </w:r>
    </w:p>
    <w:p>
      <w:pPr>
        <w:spacing w:after="0" w:line="350" w:lineRule="auto"/>
        <w:jc w:val="both"/>
        <w:sectPr>
          <w:pgSz w:w="12240" w:h="15840"/>
          <w:pgMar w:header="731" w:footer="1012" w:top="1160" w:bottom="1200" w:left="1480" w:right="1480"/>
        </w:sectPr>
      </w:pPr>
    </w:p>
    <w:p>
      <w:pPr>
        <w:pStyle w:val="BodyText"/>
        <w:spacing w:before="8"/>
        <w:rPr>
          <w:sz w:val="16"/>
        </w:rPr>
      </w:pPr>
    </w:p>
    <w:p>
      <w:pPr>
        <w:pStyle w:val="Heading1"/>
        <w:ind w:right="589" w:firstLine="0"/>
      </w:pPr>
      <w:r>
        <w:rPr/>
        <w:t>III  PLANTEAMIENTO DEL PROBLEMA</w:t>
      </w:r>
    </w:p>
    <w:p>
      <w:pPr>
        <w:pStyle w:val="BodyText"/>
        <w:rPr>
          <w:b/>
          <w:sz w:val="28"/>
        </w:rPr>
      </w:pPr>
    </w:p>
    <w:p>
      <w:pPr>
        <w:pStyle w:val="BodyText"/>
        <w:spacing w:before="10"/>
        <w:rPr>
          <w:b/>
          <w:sz w:val="22"/>
        </w:rPr>
      </w:pPr>
    </w:p>
    <w:p>
      <w:pPr>
        <w:pStyle w:val="BodyText"/>
        <w:spacing w:line="360" w:lineRule="auto"/>
        <w:ind w:left="219" w:right="215"/>
        <w:jc w:val="both"/>
      </w:pPr>
      <w:r>
        <w:rPr/>
        <w:t>El control de infecciones en la práctica odontológica es imprescindible para proporcionar un ambiente clínico seguro que elimine o reduzca el riesgo de contaminación, ya sea entre pacientes y/o entre el cirujano dentista y el paciente. El riesgo de infección y de contaminación se encuentra en todos los individuos tratados en el consultorio dental, por lo que sin excepción estos son considerados como potencialmente infecciosos. En la práctica clínica estomatológica diaria es primordial la utilización de agua para los diversos procedimientos dentales que involucran el uso de la pieza de mano de alta velocidad así como de la jeringa triple, varios estudios han reportado el alto potencial de dispersión de agentes infecciosos en aerosol y por salpicaduras durante el tratamiento dental.</w:t>
      </w:r>
    </w:p>
    <w:p>
      <w:pPr>
        <w:pStyle w:val="BodyText"/>
      </w:pPr>
    </w:p>
    <w:p>
      <w:pPr>
        <w:pStyle w:val="BodyText"/>
        <w:spacing w:line="360" w:lineRule="auto" w:before="144"/>
        <w:ind w:left="219" w:right="221"/>
        <w:jc w:val="both"/>
      </w:pPr>
      <w:r>
        <w:rPr/>
        <w:t>Al respecto, varias organizaciones, entre ellas la ADA y la OSAP,  preocupadas  por esta situación implementaron una serie de posturas y declaraciones en las que se invita a la comunidad odontológica a seguir las medidas pertinentes que mejoren la calidad del agua empleada durante el tratamiento dental y alientan a  los  fabricantes de equipos dentales  para que promuevan  acciones que  </w:t>
      </w:r>
      <w:r>
        <w:rPr>
          <w:spacing w:val="1"/>
        </w:rPr>
        <w:t> </w:t>
      </w:r>
      <w:r>
        <w:rPr/>
        <w:t>mejoren</w:t>
      </w:r>
    </w:p>
    <w:p>
      <w:pPr>
        <w:pStyle w:val="BodyText"/>
        <w:spacing w:line="279" w:lineRule="exact"/>
        <w:ind w:left="219"/>
        <w:jc w:val="both"/>
      </w:pPr>
      <w:r>
        <w:rPr/>
        <w:t>y</w:t>
      </w:r>
      <w:r>
        <w:rPr>
          <w:spacing w:val="60"/>
        </w:rPr>
        <w:t> </w:t>
      </w:r>
      <w:r>
        <w:rPr/>
        <w:t>mantengan</w:t>
      </w:r>
      <w:r>
        <w:rPr>
          <w:spacing w:val="56"/>
        </w:rPr>
        <w:t> </w:t>
      </w:r>
      <w:r>
        <w:rPr/>
        <w:t>la</w:t>
      </w:r>
      <w:r>
        <w:rPr>
          <w:spacing w:val="56"/>
        </w:rPr>
        <w:t> </w:t>
      </w:r>
      <w:r>
        <w:rPr/>
        <w:t>calidad</w:t>
      </w:r>
      <w:r>
        <w:rPr>
          <w:spacing w:val="56"/>
        </w:rPr>
        <w:t> </w:t>
      </w:r>
      <w:r>
        <w:rPr/>
        <w:t>de</w:t>
      </w:r>
      <w:r>
        <w:rPr>
          <w:spacing w:val="56"/>
        </w:rPr>
        <w:t> </w:t>
      </w:r>
      <w:r>
        <w:rPr/>
        <w:t>la</w:t>
      </w:r>
      <w:r>
        <w:rPr>
          <w:spacing w:val="62"/>
        </w:rPr>
        <w:t> </w:t>
      </w:r>
      <w:r>
        <w:rPr/>
        <w:t>misma</w:t>
      </w:r>
      <w:r>
        <w:rPr>
          <w:position w:val="11"/>
          <w:sz w:val="16"/>
        </w:rPr>
        <w:t>17,18,20</w:t>
      </w:r>
      <w:r>
        <w:rPr/>
        <w:t>.</w:t>
      </w:r>
      <w:r>
        <w:rPr>
          <w:spacing w:val="60"/>
        </w:rPr>
        <w:t> </w:t>
      </w:r>
      <w:r>
        <w:rPr/>
        <w:t>Por</w:t>
      </w:r>
      <w:r>
        <w:rPr>
          <w:spacing w:val="57"/>
        </w:rPr>
        <w:t> </w:t>
      </w:r>
      <w:r>
        <w:rPr/>
        <w:t>esta</w:t>
      </w:r>
      <w:r>
        <w:rPr>
          <w:spacing w:val="57"/>
        </w:rPr>
        <w:t> </w:t>
      </w:r>
      <w:r>
        <w:rPr/>
        <w:t>razón,</w:t>
      </w:r>
      <w:r>
        <w:rPr>
          <w:spacing w:val="56"/>
        </w:rPr>
        <w:t> </w:t>
      </w:r>
      <w:r>
        <w:rPr/>
        <w:t>se</w:t>
      </w:r>
      <w:r>
        <w:rPr>
          <w:spacing w:val="56"/>
        </w:rPr>
        <w:t> </w:t>
      </w:r>
      <w:r>
        <w:rPr/>
        <w:t>han</w:t>
      </w:r>
      <w:r>
        <w:rPr>
          <w:spacing w:val="56"/>
        </w:rPr>
        <w:t> </w:t>
      </w:r>
      <w:r>
        <w:rPr/>
        <w:t>efectuado</w:t>
      </w:r>
    </w:p>
    <w:p>
      <w:pPr>
        <w:pStyle w:val="BodyText"/>
        <w:spacing w:line="360" w:lineRule="auto" w:before="137"/>
        <w:ind w:left="219" w:right="216"/>
        <w:jc w:val="both"/>
      </w:pPr>
      <w:r>
        <w:rPr/>
        <w:t>nuevas formas de control bacteriológico como: reservorios independientes de agua, dispositivos de conteo automatizados, y tecnología de microfiltración. Sin embargo estos sistemas tienen inconvenientes y resultan caros y poco eficaces ya que se tiene establecido que una de las fuentes por la que los microorganismos contaminan las unidades dentales y el suministro de agua, son los fluidos orales aspirados por la pieza de mano, proceso conocido como retrosucción. Esta acción mecánica se ha tratado de minimizar mediante la colocación de válvulas antiretrosucción, pese a ello, hay evidencias de que estas son insuficientes para el control de la acumulación bacteriana adherida a las paredes de las tuberías de la unidad dental, por lo que este sistema llamado biopelícula puede promover el arrastre de los microorganismos localizados en la parte más externa de su capa</w:t>
      </w:r>
    </w:p>
    <w:p>
      <w:pPr>
        <w:spacing w:after="0" w:line="360" w:lineRule="auto"/>
        <w:jc w:val="both"/>
        <w:sectPr>
          <w:footerReference w:type="default" r:id="rId15"/>
          <w:pgSz w:w="12240" w:h="15840"/>
          <w:pgMar w:footer="1012" w:header="731" w:top="1160" w:bottom="1200" w:left="1480" w:right="1480"/>
        </w:sectPr>
      </w:pPr>
    </w:p>
    <w:p>
      <w:pPr>
        <w:pStyle w:val="BodyText"/>
        <w:spacing w:before="11"/>
        <w:rPr>
          <w:sz w:val="16"/>
        </w:rPr>
      </w:pPr>
    </w:p>
    <w:p>
      <w:pPr>
        <w:pStyle w:val="BodyText"/>
        <w:spacing w:line="333" w:lineRule="auto" w:before="69"/>
        <w:ind w:left="219" w:right="232"/>
        <w:jc w:val="both"/>
      </w:pPr>
      <w:r>
        <w:rPr/>
        <w:t>mucoide por el flujo de agua de la pieza de mano de alta velocidad y la jeringa triple y contaminar así el ambiente clínico</w:t>
      </w:r>
      <w:r>
        <w:rPr>
          <w:position w:val="11"/>
          <w:sz w:val="16"/>
        </w:rPr>
        <w:t>18</w:t>
      </w:r>
      <w:r>
        <w:rPr/>
        <w:t>.</w:t>
      </w:r>
    </w:p>
    <w:p>
      <w:pPr>
        <w:pStyle w:val="BodyText"/>
        <w:spacing w:before="5"/>
        <w:rPr>
          <w:sz w:val="37"/>
        </w:rPr>
      </w:pPr>
    </w:p>
    <w:p>
      <w:pPr>
        <w:pStyle w:val="BodyText"/>
        <w:spacing w:line="360" w:lineRule="auto"/>
        <w:ind w:left="219" w:right="213"/>
        <w:jc w:val="both"/>
      </w:pPr>
      <w:r>
        <w:rPr/>
        <w:t>Acerca de esta problemática, la NOM-013-SSA señala que: “Teóricamente existe la posibilidad de transmitir ciertas infecciones a través de la pieza de mano, por lo que es obligatoria su desinfección con soluciones de alto nivel biocida y su purga entre paciente y paciente. A partir del 1o. de enero del año 2000 será obligatoria la esterilización de la pieza de mano o utilizar piezas de mano desechables.”, así como “Se deben purgar las mangueras de la pieza de mano y jeringa triple, tres minutos al inicio y término del día y 30 segundos entre cada paciente”, sin embargo, la OSAP puntualiza que la efectividad de la purga mecánica sola para controlar la contaminación microbiana en el agua de la unidad dental no está bien sustentada  por  la  literatura  científica  y  que  aunque  la  purga  puede    </w:t>
      </w:r>
      <w:r>
        <w:rPr>
          <w:spacing w:val="18"/>
        </w:rPr>
        <w:t> </w:t>
      </w:r>
      <w:r>
        <w:rPr/>
        <w:t>reducir</w:t>
      </w:r>
    </w:p>
    <w:p>
      <w:pPr>
        <w:pStyle w:val="BodyText"/>
        <w:spacing w:line="328" w:lineRule="auto" w:before="8"/>
        <w:ind w:left="219" w:right="231"/>
        <w:jc w:val="both"/>
      </w:pPr>
      <w:r>
        <w:rPr/>
        <w:t>temporalmente el número de microorganismos suspendidos en las líneas de agua dental, no hay un efecto predecible sobre las biopelículas adherentes</w:t>
      </w:r>
      <w:r>
        <w:rPr>
          <w:position w:val="11"/>
          <w:sz w:val="16"/>
        </w:rPr>
        <w:t>19,20</w:t>
      </w:r>
      <w:r>
        <w:rPr/>
        <w:t>.</w:t>
      </w:r>
    </w:p>
    <w:p>
      <w:pPr>
        <w:pStyle w:val="BodyText"/>
        <w:spacing w:before="11"/>
        <w:rPr>
          <w:sz w:val="37"/>
        </w:rPr>
      </w:pPr>
    </w:p>
    <w:p>
      <w:pPr>
        <w:pStyle w:val="BodyText"/>
        <w:spacing w:line="360" w:lineRule="auto"/>
        <w:ind w:left="219" w:right="215"/>
        <w:jc w:val="both"/>
      </w:pPr>
      <w:r>
        <w:rPr/>
        <w:t>Con estos antecedentes, es preciso pensar en la adición de un antimicrobiano en el agua de la unidad dental que junto con el arrastre mecánico producido por la purga, en teoría proporcionaría una disminución del recuento total de bacterias existentes en este sistema. Al respecto, en el área odontológica se encuentra ampliamente estudiada la clorhexidina en el control de biopelícula dental, por lo que es una opción viable en el control de biopelícula de líneas de agua; por otro lado, se encuentra el uso </w:t>
      </w:r>
      <w:r>
        <w:rPr>
          <w:spacing w:val="-3"/>
        </w:rPr>
        <w:t>común </w:t>
      </w:r>
      <w:r>
        <w:rPr/>
        <w:t>de plata coloidal como desinfectante de agua sin riesgos para la salud de los seres humanos, y no utilizado en ésta área de la odontología, por lo que surge la pregunta de investigación: ¿Es  superior  la eficacia de la plata coloidal en comparación con el gluconato de clorhexidina en el control de biopelícula de líneas de agua de alta velocidad, de las unidades dentales de la facultad de odontología de la </w:t>
      </w:r>
      <w:r>
        <w:rPr>
          <w:spacing w:val="-3"/>
        </w:rPr>
        <w:t>UAEM;</w:t>
      </w:r>
      <w:r>
        <w:rPr>
          <w:spacing w:val="-17"/>
        </w:rPr>
        <w:t> </w:t>
      </w:r>
      <w:r>
        <w:rPr/>
        <w:t>2013?</w:t>
      </w:r>
    </w:p>
    <w:p>
      <w:pPr>
        <w:spacing w:after="0" w:line="360" w:lineRule="auto"/>
        <w:jc w:val="both"/>
        <w:sectPr>
          <w:footerReference w:type="default" r:id="rId16"/>
          <w:pgSz w:w="12240" w:h="15840"/>
          <w:pgMar w:footer="1012" w:header="731" w:top="1160" w:bottom="1200" w:left="1480" w:right="1480"/>
          <w:pgNumType w:start="41"/>
        </w:sectPr>
      </w:pPr>
    </w:p>
    <w:p>
      <w:pPr>
        <w:pStyle w:val="BodyText"/>
        <w:spacing w:before="8"/>
        <w:rPr>
          <w:sz w:val="16"/>
        </w:rPr>
      </w:pPr>
    </w:p>
    <w:p>
      <w:pPr>
        <w:pStyle w:val="Heading1"/>
        <w:ind w:left="585" w:right="589" w:firstLine="0"/>
      </w:pPr>
      <w:r>
        <w:rPr/>
        <w:t>IV</w:t>
      </w:r>
      <w:r>
        <w:rPr>
          <w:spacing w:val="67"/>
        </w:rPr>
        <w:t> </w:t>
      </w:r>
      <w:r>
        <w:rPr/>
        <w:t>JUSTIFICACIÓN</w:t>
      </w:r>
    </w:p>
    <w:p>
      <w:pPr>
        <w:pStyle w:val="BodyText"/>
        <w:rPr>
          <w:b/>
          <w:sz w:val="28"/>
        </w:rPr>
      </w:pPr>
    </w:p>
    <w:p>
      <w:pPr>
        <w:pStyle w:val="BodyText"/>
        <w:spacing w:line="360" w:lineRule="auto" w:before="248"/>
        <w:ind w:left="219" w:right="223"/>
        <w:jc w:val="both"/>
      </w:pPr>
      <w:r>
        <w:rPr/>
        <w:t>La práctica dental está asociada con un alto riesgo de infección para los pacientes y para los trabajadores involucrados en dicho proceso ya que están expuestos a una gran variedad de microorganismos que infectan y colonizan la cavidad oral y  el tracto respiratorio, las principales fuentes de infección son las líneas de agua  por la presencia de biopelículas, aerosoles microbianos y superficies de contacto clínicos. Las biopelículas proporcionan un refugio para la supervivencia y persistencia de patógenos oportunistas por lo que aumenta el riesgo de contaminación cruzada, a pesar de que la mayoría de estos microorganismos no son patógenos en individuos sanos, pueden ser de gran importancia en </w:t>
      </w:r>
      <w:r>
        <w:rPr>
          <w:spacing w:val="30"/>
        </w:rPr>
        <w:t> </w:t>
      </w:r>
      <w:r>
        <w:rPr/>
        <w:t>pacientes</w:t>
      </w:r>
    </w:p>
    <w:p>
      <w:pPr>
        <w:pStyle w:val="BodyText"/>
        <w:spacing w:line="328" w:lineRule="auto" w:before="2"/>
        <w:ind w:left="219" w:right="227"/>
        <w:jc w:val="both"/>
      </w:pPr>
      <w:r>
        <w:rPr/>
        <w:t>con enfermedades sistémicas y pueden ser causa de morbilidad en pacientes inmunodeprimidos</w:t>
      </w:r>
      <w:r>
        <w:rPr>
          <w:position w:val="11"/>
          <w:sz w:val="16"/>
        </w:rPr>
        <w:t>76</w:t>
      </w:r>
      <w:r>
        <w:rPr/>
        <w:t>.</w:t>
      </w:r>
    </w:p>
    <w:p>
      <w:pPr>
        <w:pStyle w:val="BodyText"/>
        <w:spacing w:before="4"/>
        <w:rPr>
          <w:sz w:val="35"/>
        </w:rPr>
      </w:pPr>
    </w:p>
    <w:p>
      <w:pPr>
        <w:pStyle w:val="BodyText"/>
        <w:spacing w:line="360" w:lineRule="auto"/>
        <w:ind w:left="219" w:right="216"/>
        <w:jc w:val="both"/>
      </w:pPr>
      <w:r>
        <w:rPr/>
        <w:t>En un estudio realizado por Martin y col.</w:t>
      </w:r>
      <w:r>
        <w:rPr>
          <w:position w:val="11"/>
          <w:sz w:val="16"/>
        </w:rPr>
        <w:t>75 </w:t>
      </w:r>
      <w:r>
        <w:rPr/>
        <w:t>se detectaron abscesos en la cavidad bucal de pacientes inmunocomprometidos debido a la presencia de </w:t>
      </w:r>
      <w:r>
        <w:rPr>
          <w:i/>
        </w:rPr>
        <w:t>Pseudomona </w:t>
      </w:r>
      <w:r>
        <w:rPr>
          <w:i/>
        </w:rPr>
        <w:t>aeruginosa </w:t>
      </w:r>
      <w:r>
        <w:rPr/>
        <w:t>en el sistema de agua de unidades dentales, además es importante resaltar la evidencia que indica la prevalencia de anticuerpos contra </w:t>
      </w:r>
      <w:r>
        <w:rPr>
          <w:i/>
        </w:rPr>
        <w:t>Legionella </w:t>
      </w:r>
      <w:r>
        <w:rPr>
          <w:i/>
        </w:rPr>
        <w:t>pneumophila en </w:t>
      </w:r>
      <w:r>
        <w:rPr/>
        <w:t>el 50% del personal que trabaja en clínicas dentales con respecto a un 5% en la población normal debido a la alta exposición al agua que genera   la</w:t>
      </w:r>
    </w:p>
    <w:p>
      <w:pPr>
        <w:pStyle w:val="BodyText"/>
        <w:spacing w:line="279" w:lineRule="exact"/>
        <w:ind w:left="219"/>
        <w:jc w:val="both"/>
      </w:pPr>
      <w:r>
        <w:rPr/>
        <w:t>práctica  dental  diaria.  De  igual  forma  Pankhurst  y  col.</w:t>
      </w:r>
      <w:r>
        <w:rPr>
          <w:position w:val="11"/>
          <w:sz w:val="16"/>
        </w:rPr>
        <w:t>54   </w:t>
      </w:r>
      <w:r>
        <w:rPr/>
        <w:t>determinaron  que  la</w:t>
      </w:r>
    </w:p>
    <w:p>
      <w:pPr>
        <w:pStyle w:val="BodyText"/>
        <w:spacing w:line="360" w:lineRule="auto" w:before="137"/>
        <w:ind w:left="219" w:right="233"/>
        <w:jc w:val="both"/>
      </w:pPr>
      <w:r>
        <w:rPr/>
        <w:t>prevalencia de asma en los dentistas está relacionada con exposición ocupacional a endotoxinas generadas por los aerosoles contaminados.</w:t>
      </w:r>
    </w:p>
    <w:p>
      <w:pPr>
        <w:pStyle w:val="BodyText"/>
      </w:pPr>
    </w:p>
    <w:p>
      <w:pPr>
        <w:pStyle w:val="BodyText"/>
        <w:spacing w:line="360" w:lineRule="auto" w:before="144"/>
        <w:ind w:left="219" w:right="218"/>
        <w:jc w:val="both"/>
      </w:pPr>
      <w:r>
        <w:rPr/>
        <w:t>Por ello, es deber del odontólogo y del personal relacionado con esta área de la salud tomar las medidas necesarias para proveer una práctica clínica segura para todos los involucrados, además debe saber que en la consulta odontológica diaria, particular o pública, los pacientes serán considerados como potencialmente infecciosos según la NOM 013 de la SSA que reporta que el riesgo de infección entre pacientes y entre paciente - odontólogo está ampliamente documentado y que una de las principales fuentes de contaminación en el área estomatológica  es</w:t>
      </w:r>
    </w:p>
    <w:p>
      <w:pPr>
        <w:spacing w:after="0" w:line="360" w:lineRule="auto"/>
        <w:jc w:val="both"/>
        <w:sectPr>
          <w:pgSz w:w="12240" w:h="15840"/>
          <w:pgMar w:header="731" w:footer="1012" w:top="1160" w:bottom="1200" w:left="1480" w:right="1480"/>
        </w:sectPr>
      </w:pPr>
    </w:p>
    <w:p>
      <w:pPr>
        <w:pStyle w:val="BodyText"/>
        <w:spacing w:before="11"/>
        <w:rPr>
          <w:sz w:val="16"/>
        </w:rPr>
      </w:pPr>
    </w:p>
    <w:p>
      <w:pPr>
        <w:pStyle w:val="BodyText"/>
        <w:spacing w:line="360" w:lineRule="auto" w:before="69"/>
        <w:ind w:left="219" w:right="218"/>
        <w:jc w:val="both"/>
      </w:pPr>
      <w:r>
        <w:rPr/>
        <w:t>el uso de la pieza de mano de alta velocidad, ya que su acción mecánica además de proveer agua en forma de spray con la evidente diseminación de microorganismos que ello conlleva, promueve el retorno de fluidos bucales al sistema de líneas de agua de la misma proporcionando así una contaminación continua de la biopelícula presente de manera normal en todos los sistemas acuáticos y aún </w:t>
      </w:r>
      <w:r>
        <w:rPr>
          <w:spacing w:val="-3"/>
        </w:rPr>
        <w:t>más </w:t>
      </w:r>
      <w:r>
        <w:rPr/>
        <w:t>en mangueras como las de las unidades dentales, de calibre pequeño y continuamente húmedas, además con el antecedente que describe a la purga de las líneas de agua </w:t>
      </w:r>
      <w:r>
        <w:rPr>
          <w:spacing w:val="-4"/>
        </w:rPr>
        <w:t>como </w:t>
      </w:r>
      <w:r>
        <w:rPr/>
        <w:t>poco eficaz para el control del problema ya descrito, así como el hecho del complicado uso de desinfectantes potentes </w:t>
      </w:r>
      <w:r>
        <w:rPr>
          <w:spacing w:val="-4"/>
        </w:rPr>
        <w:t>como</w:t>
      </w:r>
      <w:r>
        <w:rPr>
          <w:spacing w:val="58"/>
        </w:rPr>
        <w:t> </w:t>
      </w:r>
      <w:r>
        <w:rPr/>
        <w:t>el cloro que no puede ser usado diariamente en la atención de pacientes y que su uso continuo dañaría las unidades dentales, es necesario establecer un método efectivo para controlar y/o eliminar dicha biopelícula, esta acción es  evidentemente   primordial  para  proporcionar  una  práctica  odontológica</w:t>
      </w:r>
      <w:r>
        <w:rPr>
          <w:spacing w:val="8"/>
        </w:rPr>
        <w:t> </w:t>
      </w:r>
      <w:r>
        <w:rPr/>
        <w:t>segura,</w:t>
      </w:r>
    </w:p>
    <w:p>
      <w:pPr>
        <w:pStyle w:val="BodyText"/>
        <w:spacing w:line="328" w:lineRule="auto" w:before="8"/>
        <w:ind w:left="219" w:right="230"/>
        <w:jc w:val="both"/>
      </w:pPr>
      <w:r>
        <w:rPr/>
        <w:t>tanto para el paciente como para el odontólogo y el personal involucrado en la atención dental</w:t>
      </w:r>
      <w:r>
        <w:rPr>
          <w:position w:val="11"/>
          <w:sz w:val="16"/>
        </w:rPr>
        <w:t>19</w:t>
      </w:r>
      <w:r>
        <w:rPr/>
        <w:t>.</w:t>
      </w:r>
    </w:p>
    <w:p>
      <w:pPr>
        <w:pStyle w:val="BodyText"/>
        <w:spacing w:before="11"/>
        <w:rPr>
          <w:sz w:val="37"/>
        </w:rPr>
      </w:pPr>
    </w:p>
    <w:p>
      <w:pPr>
        <w:pStyle w:val="BodyText"/>
        <w:spacing w:line="360" w:lineRule="auto"/>
        <w:ind w:left="219" w:right="226"/>
        <w:jc w:val="both"/>
      </w:pPr>
      <w:r>
        <w:rPr/>
        <w:t>Por todo lo anterior, podemos concluir que el conocimiento de la eficacia de adicionar un antimicrobiano como la plata coloidal, de fácil acceso y de </w:t>
      </w:r>
      <w:r>
        <w:rPr>
          <w:spacing w:val="-3"/>
        </w:rPr>
        <w:t>muy </w:t>
      </w:r>
      <w:r>
        <w:rPr/>
        <w:t>bajo costo permitirá establecer medidas higiénicas pertinentes, fáciles y económicas   en el </w:t>
      </w:r>
      <w:r>
        <w:rPr>
          <w:spacing w:val="-3"/>
        </w:rPr>
        <w:t>manejo </w:t>
      </w:r>
      <w:r>
        <w:rPr/>
        <w:t>del agua que se usa en la pieza de mano de alta velocidad con lo  que se ayudara a proteger la salud del paciente, la del odontólogo y mejorar así la calidad del medio ambiente en el que se desenvuelve el personal de atención bucodental</w:t>
      </w:r>
      <w:r>
        <w:rPr>
          <w:spacing w:val="-6"/>
        </w:rPr>
        <w:t> </w:t>
      </w:r>
      <w:r>
        <w:rPr/>
        <w:t>.</w:t>
      </w:r>
    </w:p>
    <w:p>
      <w:pPr>
        <w:spacing w:after="0" w:line="360" w:lineRule="auto"/>
        <w:jc w:val="both"/>
        <w:sectPr>
          <w:pgSz w:w="12240" w:h="15840"/>
          <w:pgMar w:header="731" w:footer="1012" w:top="1160" w:bottom="1200" w:left="1480" w:right="1480"/>
        </w:sectPr>
      </w:pPr>
    </w:p>
    <w:p>
      <w:pPr>
        <w:pStyle w:val="BodyText"/>
        <w:spacing w:before="8"/>
        <w:rPr>
          <w:sz w:val="16"/>
        </w:rPr>
      </w:pPr>
    </w:p>
    <w:p>
      <w:pPr>
        <w:pStyle w:val="Heading1"/>
        <w:numPr>
          <w:ilvl w:val="0"/>
          <w:numId w:val="6"/>
        </w:numPr>
        <w:tabs>
          <w:tab w:pos="4009" w:val="left" w:leader="none"/>
        </w:tabs>
        <w:spacing w:line="240" w:lineRule="auto" w:before="63" w:after="0"/>
        <w:ind w:left="4008" w:right="5" w:hanging="341"/>
        <w:jc w:val="center"/>
      </w:pPr>
      <w:r>
        <w:rPr/>
        <w:t>OBJETIVOS</w:t>
      </w:r>
    </w:p>
    <w:p>
      <w:pPr>
        <w:pStyle w:val="BodyText"/>
        <w:rPr>
          <w:b/>
          <w:sz w:val="28"/>
        </w:rPr>
      </w:pPr>
    </w:p>
    <w:p>
      <w:pPr>
        <w:pStyle w:val="BodyText"/>
        <w:spacing w:before="8"/>
        <w:rPr>
          <w:b/>
          <w:sz w:val="28"/>
        </w:rPr>
      </w:pPr>
    </w:p>
    <w:p>
      <w:pPr>
        <w:pStyle w:val="Heading2"/>
        <w:jc w:val="both"/>
      </w:pPr>
      <w:r>
        <w:rPr/>
        <w:t>General</w:t>
      </w:r>
    </w:p>
    <w:p>
      <w:pPr>
        <w:pStyle w:val="BodyText"/>
        <w:spacing w:line="360" w:lineRule="auto" w:before="141"/>
        <w:ind w:left="219" w:right="223"/>
        <w:jc w:val="both"/>
      </w:pPr>
      <w:r>
        <w:rPr/>
        <w:t>Evaluar la eficacia antimicrobiana de la plata coloidal para el control de la formación de biopelícula de las líneas de agua de alta velocidad de las unidades dentales de la Facultad de Odontología en comparación con gluconato de clorhexidina.</w:t>
      </w:r>
    </w:p>
    <w:p>
      <w:pPr>
        <w:pStyle w:val="BodyText"/>
      </w:pPr>
    </w:p>
    <w:p>
      <w:pPr>
        <w:pStyle w:val="BodyText"/>
      </w:pPr>
    </w:p>
    <w:p>
      <w:pPr>
        <w:pStyle w:val="BodyText"/>
        <w:spacing w:before="7"/>
        <w:rPr>
          <w:sz w:val="23"/>
        </w:rPr>
      </w:pPr>
    </w:p>
    <w:p>
      <w:pPr>
        <w:pStyle w:val="Heading2"/>
        <w:jc w:val="both"/>
      </w:pPr>
      <w:r>
        <w:rPr/>
        <w:t>Específicos</w:t>
      </w:r>
    </w:p>
    <w:p>
      <w:pPr>
        <w:pStyle w:val="BodyText"/>
        <w:spacing w:line="360" w:lineRule="auto" w:before="146"/>
        <w:ind w:left="219" w:right="227"/>
        <w:jc w:val="both"/>
      </w:pPr>
      <w:r>
        <w:rPr/>
        <w:t>1.- Cuantificar la cantidad de UFC (Unidades formadoras de colonias) de la biopelícula tratada únicamente con purga y agua filtrada.</w:t>
      </w:r>
    </w:p>
    <w:p>
      <w:pPr>
        <w:pStyle w:val="BodyText"/>
        <w:spacing w:line="360" w:lineRule="auto" w:before="2"/>
        <w:ind w:left="219" w:right="215"/>
        <w:jc w:val="both"/>
      </w:pPr>
      <w:r>
        <w:rPr/>
        <w:t>2.- Cuantificar la cantidad de UFC (Unidades formadoras de colonias) de la biopelícula tratada con plata coloidal.</w:t>
      </w:r>
    </w:p>
    <w:p>
      <w:pPr>
        <w:pStyle w:val="BodyText"/>
        <w:spacing w:line="360" w:lineRule="auto" w:before="7"/>
        <w:ind w:left="219" w:right="215"/>
        <w:jc w:val="both"/>
      </w:pPr>
      <w:r>
        <w:rPr/>
        <w:t>3.- Cuantificar la cantidad de UFC (Unidades formadoras de colonias) de la biopelícula tratada con gluconato de clorhexidina</w:t>
      </w:r>
    </w:p>
    <w:p>
      <w:pPr>
        <w:pStyle w:val="BodyText"/>
        <w:spacing w:line="360" w:lineRule="auto" w:before="3"/>
        <w:ind w:left="219" w:right="232"/>
        <w:jc w:val="both"/>
      </w:pPr>
      <w:r>
        <w:rPr/>
        <w:t>4.- Comparar la cuantificación de UFC (Unidades formadoras de colonias) de la biopelícula entre los 3 grupos de tratamiento.</w:t>
      </w:r>
    </w:p>
    <w:p>
      <w:pPr>
        <w:pStyle w:val="BodyText"/>
        <w:spacing w:line="362" w:lineRule="auto" w:before="2"/>
        <w:ind w:left="219" w:right="228"/>
        <w:jc w:val="both"/>
      </w:pPr>
      <w:r>
        <w:rPr/>
        <w:t>5.- Demostrar la presencia de microorganismos patógenos en la biopelícula, que pongan en riesgo la salud de los pacientes y del odontólogo.</w:t>
      </w:r>
    </w:p>
    <w:p>
      <w:pPr>
        <w:pStyle w:val="BodyText"/>
        <w:ind w:left="219"/>
        <w:jc w:val="both"/>
      </w:pPr>
      <w:r>
        <w:rPr>
          <w:w w:val="100"/>
        </w:rPr>
        <w:t>.</w:t>
      </w:r>
    </w:p>
    <w:p>
      <w:pPr>
        <w:spacing w:after="0"/>
        <w:jc w:val="both"/>
        <w:sectPr>
          <w:pgSz w:w="12240" w:h="15840"/>
          <w:pgMar w:header="731" w:footer="1012" w:top="1160" w:bottom="1200" w:left="1480" w:right="1480"/>
        </w:sectPr>
      </w:pPr>
    </w:p>
    <w:p>
      <w:pPr>
        <w:pStyle w:val="BodyText"/>
        <w:spacing w:before="8"/>
        <w:rPr>
          <w:sz w:val="16"/>
        </w:rPr>
      </w:pPr>
    </w:p>
    <w:p>
      <w:pPr>
        <w:pStyle w:val="Heading1"/>
        <w:numPr>
          <w:ilvl w:val="0"/>
          <w:numId w:val="6"/>
        </w:numPr>
        <w:tabs>
          <w:tab w:pos="494" w:val="left" w:leader="none"/>
          <w:tab w:pos="4139" w:val="left" w:leader="none"/>
        </w:tabs>
        <w:spacing w:line="240" w:lineRule="auto" w:before="63" w:after="0"/>
        <w:ind w:left="4138" w:right="5" w:hanging="495"/>
        <w:jc w:val="center"/>
      </w:pPr>
      <w:r>
        <w:rPr/>
        <w:t>HIPÓTESIS</w:t>
      </w:r>
    </w:p>
    <w:p>
      <w:pPr>
        <w:pStyle w:val="BodyText"/>
        <w:rPr>
          <w:b/>
          <w:sz w:val="20"/>
        </w:rPr>
      </w:pPr>
    </w:p>
    <w:p>
      <w:pPr>
        <w:pStyle w:val="BodyText"/>
        <w:rPr>
          <w:b/>
          <w:sz w:val="20"/>
        </w:rPr>
      </w:pPr>
    </w:p>
    <w:p>
      <w:pPr>
        <w:pStyle w:val="Heading2"/>
        <w:spacing w:before="192"/>
        <w:jc w:val="both"/>
      </w:pPr>
      <w:r>
        <w:rPr/>
        <w:t>Hipótesis de trabajo</w:t>
      </w:r>
    </w:p>
    <w:p>
      <w:pPr>
        <w:pStyle w:val="BodyText"/>
        <w:rPr>
          <w:b/>
        </w:rPr>
      </w:pPr>
    </w:p>
    <w:p>
      <w:pPr>
        <w:pStyle w:val="BodyText"/>
        <w:spacing w:before="2"/>
        <w:rPr>
          <w:b/>
        </w:rPr>
      </w:pPr>
    </w:p>
    <w:p>
      <w:pPr>
        <w:pStyle w:val="BodyText"/>
        <w:spacing w:line="362" w:lineRule="auto"/>
        <w:ind w:left="219" w:right="217"/>
        <w:jc w:val="both"/>
      </w:pPr>
      <w:r>
        <w:rPr/>
        <w:t>La eficacia antimicrobiana de la plata coloidal en el control  de biopelícula de  líneas de agua de alta velocidad es superior comparada con el gluconato de clorhexidina.</w:t>
      </w:r>
    </w:p>
    <w:p>
      <w:pPr>
        <w:pStyle w:val="BodyText"/>
      </w:pPr>
    </w:p>
    <w:p>
      <w:pPr>
        <w:pStyle w:val="BodyText"/>
      </w:pPr>
    </w:p>
    <w:p>
      <w:pPr>
        <w:pStyle w:val="BodyText"/>
      </w:pPr>
    </w:p>
    <w:p>
      <w:pPr>
        <w:pStyle w:val="BodyText"/>
        <w:spacing w:before="8"/>
        <w:rPr>
          <w:sz w:val="35"/>
        </w:rPr>
      </w:pPr>
    </w:p>
    <w:p>
      <w:pPr>
        <w:pStyle w:val="Heading2"/>
        <w:jc w:val="both"/>
      </w:pPr>
      <w:r>
        <w:rPr/>
        <w:t>Hipótesis Nula</w:t>
      </w:r>
    </w:p>
    <w:p>
      <w:pPr>
        <w:pStyle w:val="BodyText"/>
        <w:rPr>
          <w:b/>
        </w:rPr>
      </w:pPr>
    </w:p>
    <w:p>
      <w:pPr>
        <w:pStyle w:val="BodyText"/>
        <w:spacing w:before="2"/>
        <w:rPr>
          <w:b/>
        </w:rPr>
      </w:pPr>
    </w:p>
    <w:p>
      <w:pPr>
        <w:pStyle w:val="BodyText"/>
        <w:spacing w:line="360" w:lineRule="auto"/>
        <w:ind w:left="219" w:right="229"/>
        <w:jc w:val="both"/>
      </w:pPr>
      <w:r>
        <w:rPr/>
        <w:t>La eficacia antimicrobiana de la plata coloidal en el control de biopelícula de  líneas de agua de alta velocidad no es superior a la del gluconato de</w:t>
      </w:r>
      <w:r>
        <w:rPr>
          <w:spacing w:val="-23"/>
        </w:rPr>
        <w:t> </w:t>
      </w:r>
      <w:r>
        <w:rPr/>
        <w:t>clorhexidina.</w:t>
      </w:r>
    </w:p>
    <w:p>
      <w:pPr>
        <w:spacing w:after="0" w:line="360" w:lineRule="auto"/>
        <w:jc w:val="both"/>
        <w:sectPr>
          <w:pgSz w:w="12240" w:h="15840"/>
          <w:pgMar w:header="731" w:footer="1012" w:top="1160" w:bottom="1200" w:left="1480" w:right="1480"/>
        </w:sectPr>
      </w:pPr>
    </w:p>
    <w:p>
      <w:pPr>
        <w:pStyle w:val="BodyText"/>
        <w:spacing w:before="8"/>
        <w:rPr>
          <w:sz w:val="16"/>
        </w:rPr>
      </w:pPr>
    </w:p>
    <w:p>
      <w:pPr>
        <w:pStyle w:val="Heading1"/>
        <w:numPr>
          <w:ilvl w:val="0"/>
          <w:numId w:val="6"/>
        </w:numPr>
        <w:tabs>
          <w:tab w:pos="3097" w:val="left" w:leader="none"/>
        </w:tabs>
        <w:spacing w:line="240" w:lineRule="auto" w:before="63" w:after="0"/>
        <w:ind w:left="3096" w:right="0" w:hanging="495"/>
        <w:jc w:val="left"/>
      </w:pPr>
      <w:r>
        <w:rPr/>
        <w:t>MÉTODOS Y</w:t>
      </w:r>
      <w:r>
        <w:rPr>
          <w:spacing w:val="-12"/>
        </w:rPr>
        <w:t> </w:t>
      </w:r>
      <w:r>
        <w:rPr/>
        <w:t>MATERIALES</w:t>
      </w:r>
    </w:p>
    <w:p>
      <w:pPr>
        <w:pStyle w:val="BodyText"/>
        <w:rPr>
          <w:b/>
          <w:sz w:val="28"/>
        </w:rPr>
      </w:pPr>
    </w:p>
    <w:p>
      <w:pPr>
        <w:pStyle w:val="BodyText"/>
        <w:spacing w:before="8"/>
        <w:rPr>
          <w:b/>
          <w:sz w:val="28"/>
        </w:rPr>
      </w:pPr>
    </w:p>
    <w:p>
      <w:pPr>
        <w:spacing w:before="0"/>
        <w:ind w:left="219" w:right="387" w:firstLine="0"/>
        <w:jc w:val="left"/>
        <w:rPr>
          <w:sz w:val="24"/>
        </w:rPr>
      </w:pPr>
      <w:r>
        <w:rPr>
          <w:b/>
          <w:sz w:val="24"/>
        </w:rPr>
        <w:t>Tipo de estudio</w:t>
      </w:r>
      <w:r>
        <w:rPr>
          <w:rFonts w:ascii="Times New Roman"/>
          <w:sz w:val="24"/>
        </w:rPr>
        <w:t>: </w:t>
      </w:r>
      <w:r>
        <w:rPr>
          <w:sz w:val="24"/>
        </w:rPr>
        <w:t>experimental, prospectivo, comparativo.</w:t>
      </w:r>
    </w:p>
    <w:p>
      <w:pPr>
        <w:pStyle w:val="BodyText"/>
        <w:tabs>
          <w:tab w:pos="1590" w:val="left" w:leader="none"/>
          <w:tab w:pos="1945" w:val="left" w:leader="none"/>
          <w:tab w:pos="3240" w:val="left" w:leader="none"/>
          <w:tab w:pos="4482" w:val="left" w:leader="none"/>
          <w:tab w:pos="5609" w:val="left" w:leader="none"/>
          <w:tab w:pos="6098" w:val="left" w:leader="none"/>
          <w:tab w:pos="6634" w:val="left" w:leader="none"/>
          <w:tab w:pos="7662" w:val="left" w:leader="none"/>
          <w:tab w:pos="8151" w:val="left" w:leader="none"/>
        </w:tabs>
        <w:spacing w:line="362" w:lineRule="auto" w:before="135"/>
        <w:ind w:left="219" w:right="222"/>
      </w:pPr>
      <w:r>
        <w:rPr>
          <w:b/>
        </w:rPr>
        <w:t>Población</w:t>
        <w:tab/>
        <w:t>y</w:t>
        <w:tab/>
        <w:t>universo</w:t>
      </w:r>
      <w:r>
        <w:rPr/>
        <w:t>:</w:t>
        <w:tab/>
        <w:t>Unidades</w:t>
        <w:tab/>
        <w:t>dentales</w:t>
        <w:tab/>
        <w:t>de</w:t>
        <w:tab/>
        <w:t>las</w:t>
        <w:tab/>
        <w:t>clínicas</w:t>
        <w:tab/>
        <w:t>de</w:t>
        <w:tab/>
      </w:r>
      <w:r>
        <w:rPr>
          <w:spacing w:val="-1"/>
        </w:rPr>
        <w:t>atención </w:t>
      </w:r>
      <w:r>
        <w:rPr/>
        <w:t>odontológica de la Facultad de Odontología de la</w:t>
      </w:r>
      <w:r>
        <w:rPr>
          <w:spacing w:val="-21"/>
        </w:rPr>
        <w:t> </w:t>
      </w:r>
      <w:r>
        <w:rPr/>
        <w:t>UAEM.</w:t>
      </w:r>
    </w:p>
    <w:p>
      <w:pPr>
        <w:spacing w:line="360" w:lineRule="auto" w:before="0"/>
        <w:ind w:left="219" w:right="664" w:firstLine="0"/>
        <w:jc w:val="left"/>
        <w:rPr>
          <w:sz w:val="24"/>
        </w:rPr>
      </w:pPr>
      <w:r>
        <w:rPr>
          <w:b/>
          <w:sz w:val="24"/>
        </w:rPr>
        <w:t>Muestra</w:t>
      </w:r>
      <w:r>
        <w:rPr>
          <w:sz w:val="24"/>
        </w:rPr>
        <w:t>: 35 unidades dentales de la Facultad de Odontología de la UAEM. </w:t>
      </w:r>
      <w:r>
        <w:rPr>
          <w:b/>
          <w:sz w:val="24"/>
        </w:rPr>
        <w:t>Estimación del tamaño de la muestra y tipo de muestreo</w:t>
      </w:r>
      <w:r>
        <w:rPr>
          <w:sz w:val="24"/>
        </w:rPr>
        <w:t>: por conveniencia </w:t>
      </w:r>
      <w:r>
        <w:rPr>
          <w:b/>
          <w:sz w:val="24"/>
        </w:rPr>
        <w:t>Criterios</w:t>
      </w:r>
      <w:r>
        <w:rPr>
          <w:sz w:val="24"/>
        </w:rPr>
        <w:t>:</w:t>
      </w:r>
    </w:p>
    <w:p>
      <w:pPr>
        <w:pStyle w:val="BodyText"/>
        <w:spacing w:before="7"/>
        <w:ind w:left="219" w:right="387"/>
      </w:pPr>
      <w:r>
        <w:rPr/>
        <w:t>Inclusión:</w:t>
      </w:r>
    </w:p>
    <w:p>
      <w:pPr>
        <w:pStyle w:val="ListParagraph"/>
        <w:numPr>
          <w:ilvl w:val="0"/>
          <w:numId w:val="7"/>
        </w:numPr>
        <w:tabs>
          <w:tab w:pos="940" w:val="left" w:leader="none"/>
          <w:tab w:pos="941" w:val="left" w:leader="none"/>
        </w:tabs>
        <w:spacing w:line="240" w:lineRule="auto" w:before="140" w:after="0"/>
        <w:ind w:left="940" w:right="0" w:hanging="360"/>
        <w:jc w:val="left"/>
        <w:rPr>
          <w:sz w:val="24"/>
        </w:rPr>
      </w:pPr>
      <w:r>
        <w:rPr>
          <w:sz w:val="24"/>
        </w:rPr>
        <w:t>Unidades dentales de la Clínica N° 2 de</w:t>
      </w:r>
      <w:r>
        <w:rPr>
          <w:spacing w:val="-16"/>
          <w:sz w:val="24"/>
        </w:rPr>
        <w:t> </w:t>
      </w:r>
      <w:r>
        <w:rPr>
          <w:sz w:val="24"/>
        </w:rPr>
        <w:t>Licenciatura</w:t>
      </w:r>
    </w:p>
    <w:p>
      <w:pPr>
        <w:pStyle w:val="ListParagraph"/>
        <w:numPr>
          <w:ilvl w:val="0"/>
          <w:numId w:val="7"/>
        </w:numPr>
        <w:tabs>
          <w:tab w:pos="940" w:val="left" w:leader="none"/>
          <w:tab w:pos="941" w:val="left" w:leader="none"/>
        </w:tabs>
        <w:spacing w:line="240" w:lineRule="auto" w:before="133" w:after="0"/>
        <w:ind w:left="940" w:right="0" w:hanging="360"/>
        <w:jc w:val="left"/>
        <w:rPr>
          <w:sz w:val="24"/>
        </w:rPr>
      </w:pPr>
      <w:r>
        <w:rPr>
          <w:sz w:val="24"/>
        </w:rPr>
        <w:t>Unidades dentales de posgrado en</w:t>
      </w:r>
      <w:r>
        <w:rPr>
          <w:spacing w:val="-19"/>
          <w:sz w:val="24"/>
        </w:rPr>
        <w:t> </w:t>
      </w:r>
      <w:r>
        <w:rPr>
          <w:sz w:val="24"/>
        </w:rPr>
        <w:t>Odontopediatría</w:t>
      </w:r>
    </w:p>
    <w:p>
      <w:pPr>
        <w:pStyle w:val="ListParagraph"/>
        <w:numPr>
          <w:ilvl w:val="0"/>
          <w:numId w:val="7"/>
        </w:numPr>
        <w:tabs>
          <w:tab w:pos="940" w:val="left" w:leader="none"/>
          <w:tab w:pos="941" w:val="left" w:leader="none"/>
        </w:tabs>
        <w:spacing w:line="240" w:lineRule="auto" w:before="138" w:after="0"/>
        <w:ind w:left="940" w:right="0" w:hanging="360"/>
        <w:jc w:val="left"/>
        <w:rPr>
          <w:sz w:val="24"/>
        </w:rPr>
      </w:pPr>
      <w:r>
        <w:rPr>
          <w:sz w:val="24"/>
        </w:rPr>
        <w:t>Unidades dentales de posgrado en</w:t>
      </w:r>
      <w:r>
        <w:rPr>
          <w:spacing w:val="-19"/>
          <w:sz w:val="24"/>
        </w:rPr>
        <w:t> </w:t>
      </w:r>
      <w:r>
        <w:rPr>
          <w:sz w:val="24"/>
        </w:rPr>
        <w:t>Endodoncia</w:t>
      </w:r>
    </w:p>
    <w:p>
      <w:pPr>
        <w:pStyle w:val="ListParagraph"/>
        <w:numPr>
          <w:ilvl w:val="0"/>
          <w:numId w:val="7"/>
        </w:numPr>
        <w:tabs>
          <w:tab w:pos="940" w:val="left" w:leader="none"/>
          <w:tab w:pos="941" w:val="left" w:leader="none"/>
        </w:tabs>
        <w:spacing w:line="240" w:lineRule="auto" w:before="133" w:after="0"/>
        <w:ind w:left="940" w:right="0" w:hanging="360"/>
        <w:jc w:val="left"/>
        <w:rPr>
          <w:sz w:val="24"/>
        </w:rPr>
      </w:pPr>
      <w:r>
        <w:rPr>
          <w:sz w:val="24"/>
        </w:rPr>
        <w:t>Unidades dentales con sistema cerrado de</w:t>
      </w:r>
      <w:r>
        <w:rPr>
          <w:spacing w:val="-19"/>
          <w:sz w:val="24"/>
        </w:rPr>
        <w:t> </w:t>
      </w:r>
      <w:r>
        <w:rPr>
          <w:sz w:val="24"/>
        </w:rPr>
        <w:t>agua</w:t>
      </w:r>
    </w:p>
    <w:p>
      <w:pPr>
        <w:pStyle w:val="ListParagraph"/>
        <w:numPr>
          <w:ilvl w:val="0"/>
          <w:numId w:val="7"/>
        </w:numPr>
        <w:tabs>
          <w:tab w:pos="940" w:val="left" w:leader="none"/>
          <w:tab w:pos="941" w:val="left" w:leader="none"/>
        </w:tabs>
        <w:spacing w:line="355" w:lineRule="auto" w:before="138" w:after="0"/>
        <w:ind w:left="940" w:right="223" w:hanging="360"/>
        <w:jc w:val="left"/>
        <w:rPr>
          <w:sz w:val="24"/>
        </w:rPr>
      </w:pPr>
      <w:r>
        <w:rPr>
          <w:sz w:val="24"/>
        </w:rPr>
        <w:t>Unidades dentales donde fuera primordial el uso de la pieza de alta velocidad.</w:t>
      </w:r>
    </w:p>
    <w:p>
      <w:pPr>
        <w:pStyle w:val="ListParagraph"/>
        <w:numPr>
          <w:ilvl w:val="0"/>
          <w:numId w:val="7"/>
        </w:numPr>
        <w:tabs>
          <w:tab w:pos="940" w:val="left" w:leader="none"/>
          <w:tab w:pos="941" w:val="left" w:leader="none"/>
        </w:tabs>
        <w:spacing w:line="350" w:lineRule="auto" w:before="6" w:after="0"/>
        <w:ind w:left="940" w:right="228" w:hanging="360"/>
        <w:jc w:val="left"/>
        <w:rPr>
          <w:sz w:val="24"/>
        </w:rPr>
      </w:pPr>
      <w:r>
        <w:rPr>
          <w:sz w:val="24"/>
        </w:rPr>
        <w:t>Unidades dentales colocadas recientemente para su uso, es decir un  tiempo menor  a seis meses de trabajo en</w:t>
      </w:r>
      <w:r>
        <w:rPr>
          <w:spacing w:val="-17"/>
          <w:sz w:val="24"/>
        </w:rPr>
        <w:t> </w:t>
      </w:r>
      <w:r>
        <w:rPr>
          <w:sz w:val="24"/>
        </w:rPr>
        <w:t>clínica.</w:t>
      </w:r>
    </w:p>
    <w:p>
      <w:pPr>
        <w:pStyle w:val="BodyText"/>
        <w:spacing w:before="18"/>
        <w:ind w:left="219" w:right="387"/>
      </w:pPr>
      <w:r>
        <w:rPr/>
        <w:t>Exclusión:</w:t>
      </w:r>
    </w:p>
    <w:p>
      <w:pPr>
        <w:pStyle w:val="ListParagraph"/>
        <w:numPr>
          <w:ilvl w:val="0"/>
          <w:numId w:val="7"/>
        </w:numPr>
        <w:tabs>
          <w:tab w:pos="940" w:val="left" w:leader="none"/>
          <w:tab w:pos="941" w:val="left" w:leader="none"/>
        </w:tabs>
        <w:spacing w:line="355" w:lineRule="auto" w:before="135" w:after="0"/>
        <w:ind w:left="940" w:right="219" w:hanging="360"/>
        <w:jc w:val="left"/>
        <w:rPr>
          <w:sz w:val="24"/>
        </w:rPr>
      </w:pPr>
      <w:r>
        <w:rPr>
          <w:sz w:val="24"/>
        </w:rPr>
        <w:t>Unidades dentales que no pertenecieran a clínicas de posgrado ni a la clínica N° 2 de</w:t>
      </w:r>
      <w:r>
        <w:rPr>
          <w:spacing w:val="-6"/>
          <w:sz w:val="24"/>
        </w:rPr>
        <w:t> </w:t>
      </w:r>
      <w:r>
        <w:rPr>
          <w:sz w:val="24"/>
        </w:rPr>
        <w:t>licenciatura.</w:t>
      </w:r>
    </w:p>
    <w:p>
      <w:pPr>
        <w:pStyle w:val="ListParagraph"/>
        <w:numPr>
          <w:ilvl w:val="0"/>
          <w:numId w:val="7"/>
        </w:numPr>
        <w:tabs>
          <w:tab w:pos="940" w:val="left" w:leader="none"/>
          <w:tab w:pos="941" w:val="left" w:leader="none"/>
        </w:tabs>
        <w:spacing w:line="240" w:lineRule="auto" w:before="7" w:after="0"/>
        <w:ind w:left="940" w:right="0" w:hanging="360"/>
        <w:jc w:val="left"/>
        <w:rPr>
          <w:sz w:val="24"/>
        </w:rPr>
      </w:pPr>
      <w:r>
        <w:rPr>
          <w:sz w:val="24"/>
        </w:rPr>
        <w:t>Unidades dentales con sistema abierto de</w:t>
      </w:r>
      <w:r>
        <w:rPr>
          <w:spacing w:val="-21"/>
          <w:sz w:val="24"/>
        </w:rPr>
        <w:t> </w:t>
      </w:r>
      <w:r>
        <w:rPr>
          <w:sz w:val="24"/>
        </w:rPr>
        <w:t>agua.</w:t>
      </w:r>
    </w:p>
    <w:p>
      <w:pPr>
        <w:pStyle w:val="ListParagraph"/>
        <w:numPr>
          <w:ilvl w:val="0"/>
          <w:numId w:val="7"/>
        </w:numPr>
        <w:tabs>
          <w:tab w:pos="940" w:val="left" w:leader="none"/>
          <w:tab w:pos="941" w:val="left" w:leader="none"/>
        </w:tabs>
        <w:spacing w:line="355" w:lineRule="auto" w:before="133" w:after="0"/>
        <w:ind w:left="940" w:right="224" w:hanging="360"/>
        <w:jc w:val="left"/>
        <w:rPr>
          <w:sz w:val="24"/>
        </w:rPr>
      </w:pPr>
      <w:r>
        <w:rPr>
          <w:sz w:val="24"/>
        </w:rPr>
        <w:t>Unidades dentales donde no fuera primordial el uso de la pieza de mano de alta</w:t>
      </w:r>
      <w:r>
        <w:rPr>
          <w:spacing w:val="-2"/>
          <w:sz w:val="24"/>
        </w:rPr>
        <w:t> </w:t>
      </w:r>
      <w:r>
        <w:rPr>
          <w:sz w:val="24"/>
        </w:rPr>
        <w:t>velocidad.</w:t>
      </w:r>
    </w:p>
    <w:p>
      <w:pPr>
        <w:pStyle w:val="ListParagraph"/>
        <w:numPr>
          <w:ilvl w:val="0"/>
          <w:numId w:val="7"/>
        </w:numPr>
        <w:tabs>
          <w:tab w:pos="940" w:val="left" w:leader="none"/>
          <w:tab w:pos="941" w:val="left" w:leader="none"/>
        </w:tabs>
        <w:spacing w:line="240" w:lineRule="auto" w:before="6" w:after="0"/>
        <w:ind w:left="940" w:right="0" w:hanging="360"/>
        <w:jc w:val="left"/>
        <w:rPr>
          <w:sz w:val="24"/>
        </w:rPr>
      </w:pPr>
      <w:r>
        <w:rPr>
          <w:sz w:val="24"/>
        </w:rPr>
        <w:t>Unidades dentales cuyo uso superara el tiempo establecido</w:t>
      </w:r>
      <w:r>
        <w:rPr>
          <w:spacing w:val="-27"/>
          <w:sz w:val="24"/>
        </w:rPr>
        <w:t> </w:t>
      </w:r>
      <w:r>
        <w:rPr>
          <w:sz w:val="24"/>
        </w:rPr>
        <w:t>anteriormente.</w:t>
      </w:r>
    </w:p>
    <w:p>
      <w:pPr>
        <w:pStyle w:val="ListParagraph"/>
        <w:numPr>
          <w:ilvl w:val="0"/>
          <w:numId w:val="7"/>
        </w:numPr>
        <w:tabs>
          <w:tab w:pos="940" w:val="left" w:leader="none"/>
          <w:tab w:pos="941" w:val="left" w:leader="none"/>
          <w:tab w:pos="7049" w:val="left" w:leader="none"/>
        </w:tabs>
        <w:spacing w:line="350" w:lineRule="auto" w:before="138" w:after="0"/>
        <w:ind w:left="940" w:right="220" w:hanging="360"/>
        <w:jc w:val="left"/>
        <w:rPr>
          <w:sz w:val="24"/>
        </w:rPr>
      </w:pPr>
      <w:r>
        <w:rPr>
          <w:sz w:val="24"/>
        </w:rPr>
        <w:t>Unidades  dentales  que  no  </w:t>
      </w:r>
      <w:r>
        <w:rPr>
          <w:spacing w:val="52"/>
          <w:sz w:val="24"/>
        </w:rPr>
        <w:t> </w:t>
      </w:r>
      <w:r>
        <w:rPr>
          <w:sz w:val="24"/>
        </w:rPr>
        <w:t>fueran </w:t>
      </w:r>
      <w:r>
        <w:rPr>
          <w:spacing w:val="37"/>
          <w:sz w:val="24"/>
        </w:rPr>
        <w:t> </w:t>
      </w:r>
      <w:r>
        <w:rPr>
          <w:sz w:val="24"/>
        </w:rPr>
        <w:t>frecuentemente</w:t>
        <w:tab/>
        <w:t>utilizadas </w:t>
      </w:r>
      <w:r>
        <w:rPr>
          <w:spacing w:val="34"/>
          <w:sz w:val="24"/>
        </w:rPr>
        <w:t> </w:t>
      </w:r>
      <w:r>
        <w:rPr>
          <w:sz w:val="24"/>
        </w:rPr>
        <w:t>para </w:t>
      </w:r>
      <w:r>
        <w:rPr>
          <w:spacing w:val="31"/>
          <w:sz w:val="24"/>
        </w:rPr>
        <w:t> </w:t>
      </w:r>
      <w:r>
        <w:rPr>
          <w:sz w:val="24"/>
        </w:rPr>
        <w:t>la</w:t>
      </w:r>
      <w:r>
        <w:rPr>
          <w:w w:val="99"/>
          <w:sz w:val="24"/>
        </w:rPr>
        <w:t> </w:t>
      </w:r>
      <w:r>
        <w:rPr>
          <w:sz w:val="24"/>
        </w:rPr>
        <w:t>atención diaria a</w:t>
      </w:r>
      <w:r>
        <w:rPr>
          <w:spacing w:val="-8"/>
          <w:sz w:val="24"/>
        </w:rPr>
        <w:t> </w:t>
      </w:r>
      <w:r>
        <w:rPr>
          <w:sz w:val="24"/>
        </w:rPr>
        <w:t>pacientes.</w:t>
      </w:r>
    </w:p>
    <w:p>
      <w:pPr>
        <w:pStyle w:val="BodyText"/>
        <w:spacing w:before="18"/>
        <w:ind w:left="219" w:right="387"/>
      </w:pPr>
      <w:r>
        <w:rPr/>
        <w:t>Eliminación</w:t>
      </w:r>
    </w:p>
    <w:p>
      <w:pPr>
        <w:pStyle w:val="ListParagraph"/>
        <w:numPr>
          <w:ilvl w:val="0"/>
          <w:numId w:val="7"/>
        </w:numPr>
        <w:tabs>
          <w:tab w:pos="940" w:val="left" w:leader="none"/>
          <w:tab w:pos="941" w:val="left" w:leader="none"/>
        </w:tabs>
        <w:spacing w:line="355" w:lineRule="auto" w:before="135" w:after="0"/>
        <w:ind w:left="940" w:right="214" w:hanging="360"/>
        <w:jc w:val="left"/>
        <w:rPr>
          <w:sz w:val="24"/>
        </w:rPr>
      </w:pPr>
      <w:r>
        <w:rPr>
          <w:sz w:val="24"/>
        </w:rPr>
        <w:t>Unidades dentales que presentaran fallas mecánicas que no permitieran su uso durante el</w:t>
      </w:r>
      <w:r>
        <w:rPr>
          <w:spacing w:val="-9"/>
          <w:sz w:val="24"/>
        </w:rPr>
        <w:t> </w:t>
      </w:r>
      <w:r>
        <w:rPr>
          <w:sz w:val="24"/>
        </w:rPr>
        <w:t>proceso.</w:t>
      </w:r>
    </w:p>
    <w:p>
      <w:pPr>
        <w:spacing w:after="0" w:line="355" w:lineRule="auto"/>
        <w:jc w:val="left"/>
        <w:rPr>
          <w:sz w:val="24"/>
        </w:rPr>
        <w:sectPr>
          <w:pgSz w:w="12240" w:h="15840"/>
          <w:pgMar w:header="731" w:footer="1012" w:top="1160" w:bottom="1200" w:left="1480" w:right="1480"/>
        </w:sectPr>
      </w:pPr>
    </w:p>
    <w:p>
      <w:pPr>
        <w:pStyle w:val="BodyText"/>
        <w:rPr>
          <w:sz w:val="18"/>
        </w:rPr>
      </w:pPr>
    </w:p>
    <w:p>
      <w:pPr>
        <w:pStyle w:val="ListParagraph"/>
        <w:numPr>
          <w:ilvl w:val="0"/>
          <w:numId w:val="7"/>
        </w:numPr>
        <w:tabs>
          <w:tab w:pos="980" w:val="left" w:leader="none"/>
          <w:tab w:pos="981" w:val="left" w:leader="none"/>
        </w:tabs>
        <w:spacing w:line="355" w:lineRule="auto" w:before="55" w:after="0"/>
        <w:ind w:left="980" w:right="686" w:hanging="360"/>
        <w:jc w:val="left"/>
        <w:rPr>
          <w:sz w:val="24"/>
        </w:rPr>
      </w:pPr>
      <w:r>
        <w:rPr>
          <w:sz w:val="24"/>
        </w:rPr>
        <w:t>Unidades dentales que dejaran de ser utilizadas definitivamente en la atención a pacientes  durante el</w:t>
      </w:r>
      <w:r>
        <w:rPr>
          <w:spacing w:val="-16"/>
          <w:sz w:val="24"/>
        </w:rPr>
        <w:t> </w:t>
      </w:r>
      <w:r>
        <w:rPr>
          <w:sz w:val="24"/>
        </w:rPr>
        <w:t>estudio</w:t>
      </w:r>
    </w:p>
    <w:p>
      <w:pPr>
        <w:pStyle w:val="Heading2"/>
        <w:spacing w:before="4"/>
        <w:ind w:left="259"/>
      </w:pPr>
      <w:r>
        <w:rPr/>
        <w:t>Variables</w:t>
      </w:r>
    </w:p>
    <w:p>
      <w:pPr>
        <w:pStyle w:val="BodyText"/>
        <w:spacing w:line="362" w:lineRule="auto" w:before="141"/>
        <w:ind w:left="259"/>
      </w:pPr>
      <w:r>
        <w:rPr/>
        <w:t>Dependientes: Unidades Formadoras de Colonias por mililitro (UFC/ml), tipo de microorganismos.</w:t>
      </w:r>
    </w:p>
    <w:p>
      <w:pPr>
        <w:pStyle w:val="BodyText"/>
        <w:ind w:left="259"/>
      </w:pPr>
      <w:r>
        <w:rPr/>
        <w:t>Independientes: Uso de agua filtrada, uso de clorhexidina, uso de plata coloidal.</w:t>
      </w:r>
    </w:p>
    <w:p>
      <w:pPr>
        <w:pStyle w:val="BodyText"/>
      </w:pPr>
    </w:p>
    <w:p>
      <w:pPr>
        <w:pStyle w:val="BodyText"/>
        <w:spacing w:before="4"/>
        <w:rPr>
          <w:sz w:val="23"/>
        </w:rPr>
      </w:pPr>
    </w:p>
    <w:p>
      <w:pPr>
        <w:pStyle w:val="Heading2"/>
        <w:ind w:left="259"/>
      </w:pPr>
      <w:r>
        <w:rPr/>
        <w:t>Operacionalización de Variables</w:t>
      </w:r>
    </w:p>
    <w:p>
      <w:pPr>
        <w:pStyle w:val="BodyText"/>
        <w:spacing w:before="1"/>
        <w:rPr>
          <w:b/>
          <w:sz w:val="13"/>
        </w:rPr>
      </w:pPr>
    </w:p>
    <w:tbl>
      <w:tblPr>
        <w:tblW w:w="0" w:type="auto"/>
        <w:jc w:val="left"/>
        <w:tblInd w:w="14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32"/>
        <w:gridCol w:w="1907"/>
        <w:gridCol w:w="725"/>
        <w:gridCol w:w="560"/>
        <w:gridCol w:w="422"/>
        <w:gridCol w:w="1395"/>
        <w:gridCol w:w="1205"/>
        <w:gridCol w:w="683"/>
        <w:gridCol w:w="647"/>
        <w:gridCol w:w="327"/>
      </w:tblGrid>
      <w:tr>
        <w:trPr>
          <w:trHeight w:val="639" w:hRule="exact"/>
        </w:trPr>
        <w:tc>
          <w:tcPr>
            <w:tcW w:w="1632" w:type="dxa"/>
            <w:tcBorders>
              <w:top w:val="single" w:sz="8" w:space="0" w:color="9BBA58"/>
              <w:bottom w:val="single" w:sz="8" w:space="0" w:color="9BBA58"/>
            </w:tcBorders>
            <w:shd w:val="clear" w:color="auto" w:fill="76923B"/>
          </w:tcPr>
          <w:p>
            <w:pPr>
              <w:pStyle w:val="TableParagraph"/>
              <w:spacing w:line="240" w:lineRule="auto" w:before="8"/>
              <w:rPr>
                <w:b/>
                <w:sz w:val="17"/>
              </w:rPr>
            </w:pPr>
          </w:p>
          <w:p>
            <w:pPr>
              <w:pStyle w:val="TableParagraph"/>
              <w:spacing w:line="360" w:lineRule="auto"/>
              <w:ind w:left="427" w:right="251" w:firstLine="120"/>
              <w:rPr>
                <w:b/>
                <w:sz w:val="12"/>
              </w:rPr>
            </w:pPr>
            <w:r>
              <w:rPr>
                <w:b/>
                <w:color w:val="FFFFFF"/>
                <w:sz w:val="12"/>
              </w:rPr>
              <w:t>VARIABLES DEPENDIENTES</w:t>
            </w:r>
          </w:p>
        </w:tc>
        <w:tc>
          <w:tcPr>
            <w:tcW w:w="1907" w:type="dxa"/>
            <w:tcBorders>
              <w:top w:val="single" w:sz="8" w:space="0" w:color="9BBA58"/>
              <w:bottom w:val="single" w:sz="8" w:space="0" w:color="9BBA58"/>
            </w:tcBorders>
            <w:shd w:val="clear" w:color="auto" w:fill="76923B"/>
          </w:tcPr>
          <w:p>
            <w:pPr>
              <w:pStyle w:val="TableParagraph"/>
              <w:spacing w:line="240" w:lineRule="auto" w:before="8"/>
              <w:rPr>
                <w:b/>
                <w:sz w:val="17"/>
              </w:rPr>
            </w:pPr>
          </w:p>
          <w:p>
            <w:pPr>
              <w:pStyle w:val="TableParagraph"/>
              <w:spacing w:line="360" w:lineRule="auto"/>
              <w:ind w:left="615" w:right="438" w:firstLine="72"/>
              <w:rPr>
                <w:b/>
                <w:sz w:val="12"/>
              </w:rPr>
            </w:pPr>
            <w:r>
              <w:rPr>
                <w:b/>
                <w:color w:val="FFFFFF"/>
                <w:sz w:val="12"/>
              </w:rPr>
              <w:t>DEFINICION CONCEPTUAL</w:t>
            </w:r>
          </w:p>
        </w:tc>
        <w:tc>
          <w:tcPr>
            <w:tcW w:w="1707" w:type="dxa"/>
            <w:gridSpan w:val="3"/>
            <w:tcBorders>
              <w:top w:val="single" w:sz="8" w:space="0" w:color="9BBA58"/>
              <w:bottom w:val="single" w:sz="8" w:space="0" w:color="9BBA58"/>
            </w:tcBorders>
            <w:shd w:val="clear" w:color="auto" w:fill="76923B"/>
          </w:tcPr>
          <w:p>
            <w:pPr>
              <w:pStyle w:val="TableParagraph"/>
              <w:spacing w:line="240" w:lineRule="auto" w:before="8"/>
              <w:rPr>
                <w:b/>
                <w:sz w:val="17"/>
              </w:rPr>
            </w:pPr>
          </w:p>
          <w:p>
            <w:pPr>
              <w:pStyle w:val="TableParagraph"/>
              <w:spacing w:line="360" w:lineRule="auto"/>
              <w:ind w:left="408" w:right="391" w:firstLine="96"/>
              <w:rPr>
                <w:b/>
                <w:sz w:val="12"/>
              </w:rPr>
            </w:pPr>
            <w:r>
              <w:rPr>
                <w:b/>
                <w:color w:val="FFFFFF"/>
                <w:sz w:val="12"/>
              </w:rPr>
              <w:t>DEFINICION OPERACIONAL</w:t>
            </w:r>
          </w:p>
        </w:tc>
        <w:tc>
          <w:tcPr>
            <w:tcW w:w="1395" w:type="dxa"/>
            <w:tcBorders>
              <w:top w:val="single" w:sz="8" w:space="0" w:color="9BBA58"/>
              <w:bottom w:val="single" w:sz="8" w:space="0" w:color="9BBA58"/>
            </w:tcBorders>
            <w:shd w:val="clear" w:color="auto" w:fill="76923B"/>
          </w:tcPr>
          <w:p>
            <w:pPr>
              <w:pStyle w:val="TableParagraph"/>
              <w:spacing w:line="240" w:lineRule="auto" w:before="8"/>
              <w:rPr>
                <w:b/>
                <w:sz w:val="17"/>
              </w:rPr>
            </w:pPr>
          </w:p>
          <w:p>
            <w:pPr>
              <w:pStyle w:val="TableParagraph"/>
              <w:spacing w:line="240" w:lineRule="auto"/>
              <w:ind w:left="142"/>
              <w:rPr>
                <w:b/>
                <w:sz w:val="12"/>
              </w:rPr>
            </w:pPr>
            <w:r>
              <w:rPr>
                <w:b/>
                <w:color w:val="FFFFFF"/>
                <w:sz w:val="12"/>
              </w:rPr>
              <w:t>TIPO DE VARIABLE</w:t>
            </w:r>
          </w:p>
        </w:tc>
        <w:tc>
          <w:tcPr>
            <w:tcW w:w="1205" w:type="dxa"/>
            <w:tcBorders>
              <w:top w:val="single" w:sz="8" w:space="0" w:color="9BBA58"/>
              <w:bottom w:val="single" w:sz="8" w:space="0" w:color="9BBA58"/>
            </w:tcBorders>
            <w:shd w:val="clear" w:color="auto" w:fill="76923B"/>
          </w:tcPr>
          <w:p>
            <w:pPr>
              <w:pStyle w:val="TableParagraph"/>
              <w:spacing w:line="240" w:lineRule="auto" w:before="8"/>
              <w:rPr>
                <w:b/>
                <w:sz w:val="17"/>
              </w:rPr>
            </w:pPr>
          </w:p>
          <w:p>
            <w:pPr>
              <w:pStyle w:val="TableParagraph"/>
              <w:spacing w:line="360" w:lineRule="auto"/>
              <w:ind w:left="361" w:hanging="48"/>
              <w:rPr>
                <w:b/>
                <w:sz w:val="12"/>
              </w:rPr>
            </w:pPr>
            <w:r>
              <w:rPr>
                <w:b/>
                <w:color w:val="FFFFFF"/>
                <w:sz w:val="12"/>
              </w:rPr>
              <w:t>ESCALA DE MEDICION</w:t>
            </w:r>
          </w:p>
        </w:tc>
        <w:tc>
          <w:tcPr>
            <w:tcW w:w="1658" w:type="dxa"/>
            <w:gridSpan w:val="3"/>
            <w:tcBorders>
              <w:top w:val="single" w:sz="8" w:space="0" w:color="9BBA58"/>
              <w:bottom w:val="single" w:sz="8" w:space="0" w:color="9BBA58"/>
            </w:tcBorders>
            <w:shd w:val="clear" w:color="auto" w:fill="76923B"/>
          </w:tcPr>
          <w:p>
            <w:pPr>
              <w:pStyle w:val="TableParagraph"/>
              <w:spacing w:line="240" w:lineRule="auto" w:before="8"/>
              <w:rPr>
                <w:b/>
                <w:sz w:val="17"/>
              </w:rPr>
            </w:pPr>
          </w:p>
          <w:p>
            <w:pPr>
              <w:pStyle w:val="TableParagraph"/>
              <w:spacing w:line="240" w:lineRule="auto"/>
              <w:ind w:left="221"/>
              <w:rPr>
                <w:b/>
                <w:sz w:val="12"/>
              </w:rPr>
            </w:pPr>
            <w:r>
              <w:rPr>
                <w:b/>
                <w:color w:val="FFFFFF"/>
                <w:sz w:val="12"/>
              </w:rPr>
              <w:t>UNIDAD DE MEDICION</w:t>
            </w:r>
          </w:p>
        </w:tc>
      </w:tr>
      <w:tr>
        <w:trPr>
          <w:trHeight w:val="186" w:hRule="exact"/>
        </w:trPr>
        <w:tc>
          <w:tcPr>
            <w:tcW w:w="1632" w:type="dxa"/>
            <w:tcBorders>
              <w:top w:val="single" w:sz="8" w:space="0" w:color="9BBA58"/>
            </w:tcBorders>
            <w:shd w:val="clear" w:color="auto" w:fill="E6EDD4"/>
          </w:tcPr>
          <w:p>
            <w:pPr/>
          </w:p>
        </w:tc>
        <w:tc>
          <w:tcPr>
            <w:tcW w:w="1907" w:type="dxa"/>
            <w:tcBorders>
              <w:top w:val="single" w:sz="8" w:space="0" w:color="9BBA58"/>
            </w:tcBorders>
            <w:shd w:val="clear" w:color="auto" w:fill="E6EDD4"/>
          </w:tcPr>
          <w:p>
            <w:pPr>
              <w:pStyle w:val="TableParagraph"/>
              <w:tabs>
                <w:tab w:pos="946" w:val="left" w:leader="none"/>
                <w:tab w:pos="1310" w:val="left" w:leader="none"/>
              </w:tabs>
              <w:spacing w:line="136" w:lineRule="exact"/>
              <w:ind w:left="270"/>
              <w:rPr>
                <w:b/>
                <w:sz w:val="12"/>
              </w:rPr>
            </w:pPr>
            <w:r>
              <w:rPr>
                <w:b/>
                <w:sz w:val="12"/>
              </w:rPr>
              <w:t>Numero</w:t>
              <w:tab/>
              <w:t>de</w:t>
              <w:tab/>
              <w:t>colonias</w:t>
            </w:r>
          </w:p>
        </w:tc>
        <w:tc>
          <w:tcPr>
            <w:tcW w:w="1707" w:type="dxa"/>
            <w:gridSpan w:val="3"/>
            <w:tcBorders>
              <w:top w:val="single" w:sz="8" w:space="0" w:color="9BBA58"/>
            </w:tcBorders>
            <w:shd w:val="clear" w:color="auto" w:fill="E6EDD4"/>
          </w:tcPr>
          <w:p>
            <w:pPr>
              <w:pStyle w:val="TableParagraph"/>
              <w:spacing w:line="136" w:lineRule="exact"/>
              <w:ind w:left="106"/>
              <w:rPr>
                <w:b/>
                <w:sz w:val="12"/>
              </w:rPr>
            </w:pPr>
            <w:r>
              <w:rPr>
                <w:b/>
                <w:sz w:val="12"/>
              </w:rPr>
              <w:t>Número de bacterias o</w:t>
            </w:r>
          </w:p>
        </w:tc>
        <w:tc>
          <w:tcPr>
            <w:tcW w:w="1395" w:type="dxa"/>
            <w:tcBorders>
              <w:top w:val="single" w:sz="8" w:space="0" w:color="9BBA58"/>
            </w:tcBorders>
            <w:shd w:val="clear" w:color="auto" w:fill="E6EDD4"/>
          </w:tcPr>
          <w:p>
            <w:pPr>
              <w:pStyle w:val="TableParagraph"/>
              <w:spacing w:line="136" w:lineRule="exact"/>
              <w:ind w:left="109"/>
              <w:rPr>
                <w:b/>
                <w:sz w:val="12"/>
              </w:rPr>
            </w:pPr>
            <w:r>
              <w:rPr>
                <w:b/>
                <w:sz w:val="12"/>
              </w:rPr>
              <w:t>Discreta</w:t>
            </w:r>
          </w:p>
        </w:tc>
        <w:tc>
          <w:tcPr>
            <w:tcW w:w="1205" w:type="dxa"/>
            <w:tcBorders>
              <w:top w:val="single" w:sz="8" w:space="0" w:color="9BBA58"/>
            </w:tcBorders>
            <w:shd w:val="clear" w:color="auto" w:fill="E6EDD4"/>
          </w:tcPr>
          <w:p>
            <w:pPr>
              <w:pStyle w:val="TableParagraph"/>
              <w:spacing w:line="136" w:lineRule="exact"/>
              <w:ind w:left="130"/>
              <w:rPr>
                <w:b/>
                <w:sz w:val="12"/>
              </w:rPr>
            </w:pPr>
            <w:r>
              <w:rPr>
                <w:b/>
                <w:sz w:val="12"/>
              </w:rPr>
              <w:t>De razón</w:t>
            </w:r>
          </w:p>
        </w:tc>
        <w:tc>
          <w:tcPr>
            <w:tcW w:w="683" w:type="dxa"/>
            <w:tcBorders>
              <w:top w:val="single" w:sz="8" w:space="0" w:color="9BBA58"/>
            </w:tcBorders>
            <w:shd w:val="clear" w:color="auto" w:fill="E6EDD4"/>
          </w:tcPr>
          <w:p>
            <w:pPr>
              <w:pStyle w:val="TableParagraph"/>
              <w:spacing w:line="136" w:lineRule="exact"/>
              <w:ind w:left="202"/>
              <w:rPr>
                <w:b/>
                <w:sz w:val="12"/>
              </w:rPr>
            </w:pPr>
            <w:r>
              <w:rPr>
                <w:b/>
                <w:sz w:val="12"/>
              </w:rPr>
              <w:t>Conteo</w:t>
            </w:r>
          </w:p>
        </w:tc>
        <w:tc>
          <w:tcPr>
            <w:tcW w:w="647" w:type="dxa"/>
            <w:tcBorders>
              <w:top w:val="single" w:sz="8" w:space="0" w:color="9BBA58"/>
            </w:tcBorders>
            <w:shd w:val="clear" w:color="auto" w:fill="E6EDD4"/>
          </w:tcPr>
          <w:p>
            <w:pPr>
              <w:pStyle w:val="TableParagraph"/>
              <w:spacing w:line="136" w:lineRule="exact"/>
              <w:ind w:left="71"/>
              <w:rPr>
                <w:b/>
                <w:sz w:val="12"/>
              </w:rPr>
            </w:pPr>
            <w:r>
              <w:rPr>
                <w:b/>
                <w:sz w:val="12"/>
              </w:rPr>
              <w:t>aeróbico</w:t>
            </w:r>
          </w:p>
        </w:tc>
        <w:tc>
          <w:tcPr>
            <w:tcW w:w="327" w:type="dxa"/>
            <w:tcBorders>
              <w:top w:val="single" w:sz="8" w:space="0" w:color="9BBA58"/>
            </w:tcBorders>
            <w:shd w:val="clear" w:color="auto" w:fill="E6EDD4"/>
          </w:tcPr>
          <w:p>
            <w:pPr>
              <w:pStyle w:val="TableParagraph"/>
              <w:spacing w:line="136" w:lineRule="exact"/>
              <w:ind w:left="71"/>
              <w:rPr>
                <w:b/>
                <w:sz w:val="12"/>
              </w:rPr>
            </w:pPr>
            <w:r>
              <w:rPr>
                <w:b/>
                <w:sz w:val="12"/>
              </w:rPr>
              <w:t>en</w:t>
            </w:r>
          </w:p>
        </w:tc>
      </w:tr>
      <w:tr>
        <w:trPr>
          <w:trHeight w:val="209" w:hRule="exact"/>
        </w:trPr>
        <w:tc>
          <w:tcPr>
            <w:tcW w:w="1632" w:type="dxa"/>
            <w:shd w:val="clear" w:color="auto" w:fill="E6EDD4"/>
          </w:tcPr>
          <w:p>
            <w:pPr/>
          </w:p>
        </w:tc>
        <w:tc>
          <w:tcPr>
            <w:tcW w:w="1907" w:type="dxa"/>
            <w:shd w:val="clear" w:color="auto" w:fill="E6EDD4"/>
          </w:tcPr>
          <w:p>
            <w:pPr>
              <w:pStyle w:val="TableParagraph"/>
              <w:tabs>
                <w:tab w:pos="1661" w:val="left" w:leader="none"/>
              </w:tabs>
              <w:spacing w:line="240" w:lineRule="auto" w:before="28"/>
              <w:ind w:left="270"/>
              <w:rPr>
                <w:b/>
                <w:sz w:val="12"/>
              </w:rPr>
            </w:pPr>
            <w:r>
              <w:rPr>
                <w:b/>
                <w:sz w:val="12"/>
              </w:rPr>
              <w:t>provenientes</w:t>
              <w:tab/>
              <w:t>de</w:t>
            </w:r>
          </w:p>
        </w:tc>
        <w:tc>
          <w:tcPr>
            <w:tcW w:w="1707" w:type="dxa"/>
            <w:gridSpan w:val="3"/>
            <w:shd w:val="clear" w:color="auto" w:fill="E6EDD4"/>
          </w:tcPr>
          <w:p>
            <w:pPr>
              <w:pStyle w:val="TableParagraph"/>
              <w:spacing w:line="240" w:lineRule="auto" w:before="28"/>
              <w:ind w:left="106"/>
              <w:rPr>
                <w:b/>
                <w:sz w:val="12"/>
              </w:rPr>
            </w:pPr>
            <w:r>
              <w:rPr>
                <w:b/>
                <w:sz w:val="12"/>
              </w:rPr>
              <w:t>Unidades  Formadoras de</w:t>
            </w:r>
          </w:p>
        </w:tc>
        <w:tc>
          <w:tcPr>
            <w:tcW w:w="1395" w:type="dxa"/>
            <w:shd w:val="clear" w:color="auto" w:fill="E6EDD4"/>
          </w:tcPr>
          <w:p>
            <w:pPr>
              <w:pStyle w:val="TableParagraph"/>
              <w:spacing w:line="240" w:lineRule="auto" w:before="28"/>
              <w:ind w:left="109"/>
              <w:rPr>
                <w:b/>
                <w:sz w:val="12"/>
              </w:rPr>
            </w:pPr>
            <w:r>
              <w:rPr>
                <w:b/>
                <w:sz w:val="12"/>
              </w:rPr>
              <w:t>Cuantitativa</w:t>
            </w:r>
          </w:p>
        </w:tc>
        <w:tc>
          <w:tcPr>
            <w:tcW w:w="1205" w:type="dxa"/>
            <w:shd w:val="clear" w:color="auto" w:fill="E6EDD4"/>
          </w:tcPr>
          <w:p>
            <w:pPr/>
          </w:p>
        </w:tc>
        <w:tc>
          <w:tcPr>
            <w:tcW w:w="1658" w:type="dxa"/>
            <w:gridSpan w:val="3"/>
            <w:shd w:val="clear" w:color="auto" w:fill="E6EDD4"/>
          </w:tcPr>
          <w:p>
            <w:pPr>
              <w:pStyle w:val="TableParagraph"/>
              <w:spacing w:line="240" w:lineRule="auto" w:before="28"/>
              <w:ind w:left="202"/>
              <w:rPr>
                <w:b/>
                <w:sz w:val="12"/>
              </w:rPr>
            </w:pPr>
            <w:r>
              <w:rPr>
                <w:b/>
                <w:sz w:val="12"/>
              </w:rPr>
              <w:t>placa  (CAP):  cómputo</w:t>
            </w:r>
          </w:p>
        </w:tc>
      </w:tr>
      <w:tr>
        <w:trPr>
          <w:trHeight w:val="209" w:hRule="exact"/>
        </w:trPr>
        <w:tc>
          <w:tcPr>
            <w:tcW w:w="1632" w:type="dxa"/>
            <w:shd w:val="clear" w:color="auto" w:fill="E6EDD4"/>
          </w:tcPr>
          <w:p>
            <w:pPr/>
          </w:p>
        </w:tc>
        <w:tc>
          <w:tcPr>
            <w:tcW w:w="1907" w:type="dxa"/>
            <w:shd w:val="clear" w:color="auto" w:fill="E6EDD4"/>
          </w:tcPr>
          <w:p>
            <w:pPr>
              <w:pStyle w:val="TableParagraph"/>
              <w:spacing w:line="240" w:lineRule="auto" w:before="30"/>
              <w:ind w:left="270"/>
              <w:rPr>
                <w:b/>
                <w:sz w:val="12"/>
              </w:rPr>
            </w:pPr>
            <w:r>
              <w:rPr>
                <w:b/>
                <w:sz w:val="12"/>
              </w:rPr>
              <w:t>biopelícula  que  se  forma</w:t>
            </w:r>
          </w:p>
        </w:tc>
        <w:tc>
          <w:tcPr>
            <w:tcW w:w="725" w:type="dxa"/>
            <w:shd w:val="clear" w:color="auto" w:fill="E6EDD4"/>
          </w:tcPr>
          <w:p>
            <w:pPr>
              <w:pStyle w:val="TableParagraph"/>
              <w:spacing w:line="240" w:lineRule="auto" w:before="30"/>
              <w:ind w:left="106"/>
              <w:rPr>
                <w:b/>
                <w:sz w:val="12"/>
              </w:rPr>
            </w:pPr>
            <w:r>
              <w:rPr>
                <w:b/>
                <w:sz w:val="12"/>
              </w:rPr>
              <w:t>Colonias</w:t>
            </w:r>
          </w:p>
        </w:tc>
        <w:tc>
          <w:tcPr>
            <w:tcW w:w="560" w:type="dxa"/>
            <w:shd w:val="clear" w:color="auto" w:fill="E6EDD4"/>
          </w:tcPr>
          <w:p>
            <w:pPr>
              <w:pStyle w:val="TableParagraph"/>
              <w:spacing w:line="240" w:lineRule="auto" w:before="30"/>
              <w:ind w:left="115"/>
              <w:rPr>
                <w:b/>
                <w:sz w:val="12"/>
              </w:rPr>
            </w:pPr>
            <w:r>
              <w:rPr>
                <w:b/>
                <w:sz w:val="12"/>
              </w:rPr>
              <w:t>(UFC)</w:t>
            </w:r>
          </w:p>
        </w:tc>
        <w:tc>
          <w:tcPr>
            <w:tcW w:w="422" w:type="dxa"/>
            <w:shd w:val="clear" w:color="auto" w:fill="E6EDD4"/>
          </w:tcPr>
          <w:p>
            <w:pPr>
              <w:pStyle w:val="TableParagraph"/>
              <w:spacing w:line="240" w:lineRule="auto" w:before="30"/>
              <w:ind w:left="116"/>
              <w:rPr>
                <w:b/>
                <w:sz w:val="12"/>
              </w:rPr>
            </w:pPr>
            <w:r>
              <w:rPr>
                <w:b/>
                <w:sz w:val="12"/>
              </w:rPr>
              <w:t>por</w:t>
            </w:r>
          </w:p>
        </w:tc>
        <w:tc>
          <w:tcPr>
            <w:tcW w:w="1395" w:type="dxa"/>
            <w:shd w:val="clear" w:color="auto" w:fill="E6EDD4"/>
          </w:tcPr>
          <w:p>
            <w:pPr>
              <w:pStyle w:val="TableParagraph"/>
              <w:spacing w:line="240" w:lineRule="auto" w:before="30"/>
              <w:ind w:left="109"/>
              <w:rPr>
                <w:b/>
                <w:sz w:val="12"/>
              </w:rPr>
            </w:pPr>
            <w:r>
              <w:rPr>
                <w:b/>
                <w:sz w:val="12"/>
              </w:rPr>
              <w:t>Dependiente</w:t>
            </w:r>
          </w:p>
        </w:tc>
        <w:tc>
          <w:tcPr>
            <w:tcW w:w="1205" w:type="dxa"/>
            <w:shd w:val="clear" w:color="auto" w:fill="E6EDD4"/>
          </w:tcPr>
          <w:p>
            <w:pPr/>
          </w:p>
        </w:tc>
        <w:tc>
          <w:tcPr>
            <w:tcW w:w="1658" w:type="dxa"/>
            <w:gridSpan w:val="3"/>
            <w:shd w:val="clear" w:color="auto" w:fill="E6EDD4"/>
          </w:tcPr>
          <w:p>
            <w:pPr>
              <w:pStyle w:val="TableParagraph"/>
              <w:spacing w:line="240" w:lineRule="auto" w:before="30"/>
              <w:ind w:left="202"/>
              <w:rPr>
                <w:b/>
                <w:sz w:val="12"/>
              </w:rPr>
            </w:pPr>
            <w:r>
              <w:rPr>
                <w:b/>
                <w:sz w:val="12"/>
              </w:rPr>
              <w:t>del   número   total   de</w:t>
            </w:r>
          </w:p>
        </w:tc>
      </w:tr>
      <w:tr>
        <w:trPr>
          <w:trHeight w:val="209" w:hRule="exact"/>
        </w:trPr>
        <w:tc>
          <w:tcPr>
            <w:tcW w:w="1632" w:type="dxa"/>
            <w:shd w:val="clear" w:color="auto" w:fill="E6EDD4"/>
          </w:tcPr>
          <w:p>
            <w:pPr>
              <w:pStyle w:val="TableParagraph"/>
              <w:spacing w:line="240" w:lineRule="auto" w:before="32"/>
              <w:ind w:left="105" w:right="251"/>
              <w:rPr>
                <w:sz w:val="12"/>
              </w:rPr>
            </w:pPr>
            <w:r>
              <w:rPr>
                <w:sz w:val="12"/>
              </w:rPr>
              <w:t>Cantidad de UFC/ml</w:t>
            </w:r>
          </w:p>
        </w:tc>
        <w:tc>
          <w:tcPr>
            <w:tcW w:w="1907" w:type="dxa"/>
            <w:shd w:val="clear" w:color="auto" w:fill="E6EDD4"/>
          </w:tcPr>
          <w:p>
            <w:pPr>
              <w:pStyle w:val="TableParagraph"/>
              <w:spacing w:line="240" w:lineRule="auto" w:before="28"/>
              <w:ind w:left="270"/>
              <w:rPr>
                <w:b/>
                <w:sz w:val="12"/>
              </w:rPr>
            </w:pPr>
            <w:r>
              <w:rPr>
                <w:b/>
                <w:sz w:val="12"/>
              </w:rPr>
              <w:t>en     el     lumen     de   las</w:t>
            </w:r>
          </w:p>
        </w:tc>
        <w:tc>
          <w:tcPr>
            <w:tcW w:w="1707" w:type="dxa"/>
            <w:gridSpan w:val="3"/>
            <w:shd w:val="clear" w:color="auto" w:fill="E6EDD4"/>
          </w:tcPr>
          <w:p>
            <w:pPr>
              <w:pStyle w:val="TableParagraph"/>
              <w:spacing w:line="240" w:lineRule="auto" w:before="28"/>
              <w:ind w:left="106"/>
              <w:rPr>
                <w:b/>
                <w:sz w:val="12"/>
              </w:rPr>
            </w:pPr>
            <w:r>
              <w:rPr>
                <w:b/>
                <w:sz w:val="12"/>
              </w:rPr>
              <w:t>unidad de medida; gramo</w:t>
            </w:r>
          </w:p>
        </w:tc>
        <w:tc>
          <w:tcPr>
            <w:tcW w:w="1395" w:type="dxa"/>
            <w:shd w:val="clear" w:color="auto" w:fill="E6EDD4"/>
          </w:tcPr>
          <w:p>
            <w:pPr/>
          </w:p>
        </w:tc>
        <w:tc>
          <w:tcPr>
            <w:tcW w:w="1205" w:type="dxa"/>
            <w:shd w:val="clear" w:color="auto" w:fill="E6EDD4"/>
          </w:tcPr>
          <w:p>
            <w:pPr/>
          </w:p>
        </w:tc>
        <w:tc>
          <w:tcPr>
            <w:tcW w:w="1658" w:type="dxa"/>
            <w:gridSpan w:val="3"/>
            <w:shd w:val="clear" w:color="auto" w:fill="E6EDD4"/>
          </w:tcPr>
          <w:p>
            <w:pPr>
              <w:pStyle w:val="TableParagraph"/>
              <w:spacing w:line="240" w:lineRule="auto" w:before="28"/>
              <w:ind w:left="202"/>
              <w:rPr>
                <w:b/>
                <w:sz w:val="12"/>
              </w:rPr>
            </w:pPr>
            <w:r>
              <w:rPr>
                <w:b/>
                <w:sz w:val="12"/>
              </w:rPr>
              <w:t>colonias desarrolladas</w:t>
            </w:r>
          </w:p>
        </w:tc>
      </w:tr>
      <w:tr>
        <w:trPr>
          <w:trHeight w:val="204" w:hRule="exact"/>
        </w:trPr>
        <w:tc>
          <w:tcPr>
            <w:tcW w:w="1632" w:type="dxa"/>
            <w:shd w:val="clear" w:color="auto" w:fill="E6EDD4"/>
          </w:tcPr>
          <w:p>
            <w:pPr/>
          </w:p>
        </w:tc>
        <w:tc>
          <w:tcPr>
            <w:tcW w:w="1907" w:type="dxa"/>
            <w:shd w:val="clear" w:color="auto" w:fill="E6EDD4"/>
          </w:tcPr>
          <w:p>
            <w:pPr>
              <w:pStyle w:val="TableParagraph"/>
              <w:spacing w:line="240" w:lineRule="auto" w:before="25"/>
              <w:ind w:left="270"/>
              <w:rPr>
                <w:b/>
                <w:sz w:val="12"/>
              </w:rPr>
            </w:pPr>
            <w:r>
              <w:rPr>
                <w:b/>
                <w:sz w:val="12"/>
              </w:rPr>
              <w:t>tuberías,  adherido  a  sus</w:t>
            </w:r>
          </w:p>
        </w:tc>
        <w:tc>
          <w:tcPr>
            <w:tcW w:w="1707" w:type="dxa"/>
            <w:gridSpan w:val="3"/>
            <w:shd w:val="clear" w:color="auto" w:fill="E6EDD4"/>
          </w:tcPr>
          <w:p>
            <w:pPr>
              <w:pStyle w:val="TableParagraph"/>
              <w:spacing w:line="240" w:lineRule="auto" w:before="25"/>
              <w:ind w:left="106"/>
              <w:rPr>
                <w:b/>
                <w:sz w:val="12"/>
              </w:rPr>
            </w:pPr>
            <w:r>
              <w:rPr>
                <w:b/>
                <w:sz w:val="12"/>
              </w:rPr>
              <w:t>(gr)    si    la    muestra  es</w:t>
            </w:r>
          </w:p>
        </w:tc>
        <w:tc>
          <w:tcPr>
            <w:tcW w:w="1395" w:type="dxa"/>
            <w:shd w:val="clear" w:color="auto" w:fill="E6EDD4"/>
          </w:tcPr>
          <w:p>
            <w:pPr/>
          </w:p>
        </w:tc>
        <w:tc>
          <w:tcPr>
            <w:tcW w:w="1205" w:type="dxa"/>
            <w:shd w:val="clear" w:color="auto" w:fill="E6EDD4"/>
          </w:tcPr>
          <w:p>
            <w:pPr/>
          </w:p>
        </w:tc>
        <w:tc>
          <w:tcPr>
            <w:tcW w:w="1658" w:type="dxa"/>
            <w:gridSpan w:val="3"/>
            <w:shd w:val="clear" w:color="auto" w:fill="E6EDD4"/>
          </w:tcPr>
          <w:p>
            <w:pPr>
              <w:pStyle w:val="TableParagraph"/>
              <w:spacing w:line="240" w:lineRule="auto" w:before="25"/>
              <w:ind w:left="202"/>
              <w:rPr>
                <w:b/>
                <w:sz w:val="12"/>
              </w:rPr>
            </w:pPr>
            <w:r>
              <w:rPr>
                <w:b/>
                <w:sz w:val="12"/>
              </w:rPr>
              <w:t>a  una  temperatura  de</w:t>
            </w:r>
          </w:p>
        </w:tc>
      </w:tr>
      <w:tr>
        <w:trPr>
          <w:trHeight w:val="206" w:hRule="exact"/>
        </w:trPr>
        <w:tc>
          <w:tcPr>
            <w:tcW w:w="1632" w:type="dxa"/>
            <w:shd w:val="clear" w:color="auto" w:fill="E6EDD4"/>
          </w:tcPr>
          <w:p>
            <w:pPr/>
          </w:p>
        </w:tc>
        <w:tc>
          <w:tcPr>
            <w:tcW w:w="1907" w:type="dxa"/>
            <w:shd w:val="clear" w:color="auto" w:fill="E6EDD4"/>
          </w:tcPr>
          <w:p>
            <w:pPr>
              <w:pStyle w:val="TableParagraph"/>
              <w:tabs>
                <w:tab w:pos="1022" w:val="left" w:leader="none"/>
              </w:tabs>
              <w:spacing w:line="240" w:lineRule="auto" w:before="28"/>
              <w:ind w:left="270"/>
              <w:rPr>
                <w:b/>
                <w:sz w:val="12"/>
              </w:rPr>
            </w:pPr>
            <w:r>
              <w:rPr>
                <w:b/>
                <w:sz w:val="12"/>
              </w:rPr>
              <w:t>paredes,</w:t>
              <w:tab/>
              <w:t>a    partir  </w:t>
            </w:r>
            <w:r>
              <w:rPr>
                <w:b/>
                <w:spacing w:val="21"/>
                <w:sz w:val="12"/>
              </w:rPr>
              <w:t> </w:t>
            </w:r>
            <w:r>
              <w:rPr>
                <w:b/>
                <w:sz w:val="12"/>
              </w:rPr>
              <w:t>de</w:t>
            </w:r>
          </w:p>
        </w:tc>
        <w:tc>
          <w:tcPr>
            <w:tcW w:w="1707" w:type="dxa"/>
            <w:gridSpan w:val="3"/>
            <w:shd w:val="clear" w:color="auto" w:fill="E6EDD4"/>
          </w:tcPr>
          <w:p>
            <w:pPr>
              <w:pStyle w:val="TableParagraph"/>
              <w:spacing w:line="240" w:lineRule="auto" w:before="28"/>
              <w:ind w:left="106"/>
              <w:rPr>
                <w:b/>
                <w:sz w:val="12"/>
              </w:rPr>
            </w:pPr>
            <w:r>
              <w:rPr>
                <w:b/>
                <w:sz w:val="12"/>
              </w:rPr>
              <w:t>sólida  o por  mililitro (ml)</w:t>
            </w:r>
          </w:p>
        </w:tc>
        <w:tc>
          <w:tcPr>
            <w:tcW w:w="1395" w:type="dxa"/>
            <w:shd w:val="clear" w:color="auto" w:fill="E6EDD4"/>
          </w:tcPr>
          <w:p>
            <w:pPr/>
          </w:p>
        </w:tc>
        <w:tc>
          <w:tcPr>
            <w:tcW w:w="1205" w:type="dxa"/>
            <w:shd w:val="clear" w:color="auto" w:fill="E6EDD4"/>
          </w:tcPr>
          <w:p>
            <w:pPr/>
          </w:p>
        </w:tc>
        <w:tc>
          <w:tcPr>
            <w:tcW w:w="1658" w:type="dxa"/>
            <w:gridSpan w:val="3"/>
            <w:shd w:val="clear" w:color="auto" w:fill="E6EDD4"/>
          </w:tcPr>
          <w:p>
            <w:pPr>
              <w:pStyle w:val="TableParagraph"/>
              <w:spacing w:line="240" w:lineRule="auto" w:before="28"/>
              <w:ind w:left="202"/>
              <w:rPr>
                <w:b/>
                <w:sz w:val="12"/>
              </w:rPr>
            </w:pPr>
            <w:r>
              <w:rPr>
                <w:b/>
                <w:sz w:val="12"/>
              </w:rPr>
              <w:t>incubación   de   35  +/-</w:t>
            </w:r>
          </w:p>
        </w:tc>
      </w:tr>
      <w:tr>
        <w:trPr>
          <w:trHeight w:val="207" w:hRule="exact"/>
        </w:trPr>
        <w:tc>
          <w:tcPr>
            <w:tcW w:w="1632" w:type="dxa"/>
            <w:shd w:val="clear" w:color="auto" w:fill="E6EDD4"/>
          </w:tcPr>
          <w:p>
            <w:pPr/>
          </w:p>
        </w:tc>
        <w:tc>
          <w:tcPr>
            <w:tcW w:w="1907" w:type="dxa"/>
            <w:shd w:val="clear" w:color="auto" w:fill="E6EDD4"/>
          </w:tcPr>
          <w:p>
            <w:pPr>
              <w:pStyle w:val="TableParagraph"/>
              <w:spacing w:line="240" w:lineRule="auto" w:before="28"/>
              <w:ind w:left="270" w:right="438"/>
              <w:rPr>
                <w:b/>
                <w:sz w:val="12"/>
              </w:rPr>
            </w:pPr>
            <w:r>
              <w:rPr>
                <w:b/>
                <w:sz w:val="12"/>
              </w:rPr>
              <w:t>microorganismos</w:t>
            </w:r>
          </w:p>
        </w:tc>
        <w:tc>
          <w:tcPr>
            <w:tcW w:w="1707" w:type="dxa"/>
            <w:gridSpan w:val="3"/>
            <w:shd w:val="clear" w:color="auto" w:fill="E6EDD4"/>
          </w:tcPr>
          <w:p>
            <w:pPr>
              <w:pStyle w:val="TableParagraph"/>
              <w:spacing w:line="240" w:lineRule="auto" w:before="28"/>
              <w:ind w:left="106" w:right="391"/>
              <w:rPr>
                <w:b/>
                <w:sz w:val="12"/>
              </w:rPr>
            </w:pPr>
            <w:r>
              <w:rPr>
                <w:b/>
                <w:sz w:val="12"/>
              </w:rPr>
              <w:t>si es líquida.</w:t>
            </w:r>
          </w:p>
        </w:tc>
        <w:tc>
          <w:tcPr>
            <w:tcW w:w="1395" w:type="dxa"/>
            <w:shd w:val="clear" w:color="auto" w:fill="E6EDD4"/>
          </w:tcPr>
          <w:p>
            <w:pPr/>
          </w:p>
        </w:tc>
        <w:tc>
          <w:tcPr>
            <w:tcW w:w="1205" w:type="dxa"/>
            <w:shd w:val="clear" w:color="auto" w:fill="E6EDD4"/>
          </w:tcPr>
          <w:p>
            <w:pPr/>
          </w:p>
        </w:tc>
        <w:tc>
          <w:tcPr>
            <w:tcW w:w="1658" w:type="dxa"/>
            <w:gridSpan w:val="3"/>
            <w:shd w:val="clear" w:color="auto" w:fill="E6EDD4"/>
          </w:tcPr>
          <w:p>
            <w:pPr>
              <w:pStyle w:val="TableParagraph"/>
              <w:spacing w:line="240" w:lineRule="auto" w:before="28"/>
              <w:ind w:left="202"/>
              <w:rPr>
                <w:b/>
                <w:sz w:val="12"/>
              </w:rPr>
            </w:pPr>
            <w:r>
              <w:rPr>
                <w:b/>
                <w:sz w:val="12"/>
              </w:rPr>
              <w:t>0.5 ºC en un período de</w:t>
            </w:r>
          </w:p>
        </w:tc>
      </w:tr>
      <w:tr>
        <w:trPr>
          <w:trHeight w:val="207" w:hRule="exact"/>
        </w:trPr>
        <w:tc>
          <w:tcPr>
            <w:tcW w:w="1632" w:type="dxa"/>
            <w:shd w:val="clear" w:color="auto" w:fill="E6EDD4"/>
          </w:tcPr>
          <w:p>
            <w:pPr/>
          </w:p>
        </w:tc>
        <w:tc>
          <w:tcPr>
            <w:tcW w:w="1907" w:type="dxa"/>
            <w:shd w:val="clear" w:color="auto" w:fill="E6EDD4"/>
          </w:tcPr>
          <w:p>
            <w:pPr>
              <w:pStyle w:val="TableParagraph"/>
              <w:spacing w:line="240" w:lineRule="auto" w:before="28"/>
              <w:ind w:left="270" w:right="438"/>
              <w:rPr>
                <w:b/>
                <w:sz w:val="12"/>
              </w:rPr>
            </w:pPr>
            <w:r>
              <w:rPr>
                <w:b/>
                <w:sz w:val="12"/>
              </w:rPr>
              <w:t>suspendidos en el</w:t>
            </w:r>
          </w:p>
        </w:tc>
        <w:tc>
          <w:tcPr>
            <w:tcW w:w="1707" w:type="dxa"/>
            <w:gridSpan w:val="3"/>
            <w:shd w:val="clear" w:color="auto" w:fill="E6EDD4"/>
          </w:tcPr>
          <w:p>
            <w:pPr/>
          </w:p>
        </w:tc>
        <w:tc>
          <w:tcPr>
            <w:tcW w:w="1395" w:type="dxa"/>
            <w:shd w:val="clear" w:color="auto" w:fill="E6EDD4"/>
          </w:tcPr>
          <w:p>
            <w:pPr/>
          </w:p>
        </w:tc>
        <w:tc>
          <w:tcPr>
            <w:tcW w:w="1205" w:type="dxa"/>
            <w:shd w:val="clear" w:color="auto" w:fill="E6EDD4"/>
          </w:tcPr>
          <w:p>
            <w:pPr/>
          </w:p>
        </w:tc>
        <w:tc>
          <w:tcPr>
            <w:tcW w:w="1658" w:type="dxa"/>
            <w:gridSpan w:val="3"/>
            <w:shd w:val="clear" w:color="auto" w:fill="E6EDD4"/>
          </w:tcPr>
          <w:p>
            <w:pPr>
              <w:pStyle w:val="TableParagraph"/>
              <w:spacing w:line="240" w:lineRule="auto" w:before="28"/>
              <w:ind w:left="202"/>
              <w:rPr>
                <w:b/>
                <w:sz w:val="12"/>
              </w:rPr>
            </w:pPr>
            <w:r>
              <w:rPr>
                <w:b/>
                <w:sz w:val="12"/>
              </w:rPr>
              <w:t>24 hrs</w:t>
            </w:r>
          </w:p>
        </w:tc>
      </w:tr>
      <w:tr>
        <w:trPr>
          <w:trHeight w:val="236" w:hRule="exact"/>
        </w:trPr>
        <w:tc>
          <w:tcPr>
            <w:tcW w:w="1632" w:type="dxa"/>
            <w:shd w:val="clear" w:color="auto" w:fill="E6EDD4"/>
          </w:tcPr>
          <w:p>
            <w:pPr/>
          </w:p>
        </w:tc>
        <w:tc>
          <w:tcPr>
            <w:tcW w:w="1907" w:type="dxa"/>
            <w:shd w:val="clear" w:color="auto" w:fill="E6EDD4"/>
          </w:tcPr>
          <w:p>
            <w:pPr>
              <w:pStyle w:val="TableParagraph"/>
              <w:spacing w:line="240" w:lineRule="auto" w:before="28"/>
              <w:ind w:left="270" w:right="438"/>
              <w:rPr>
                <w:b/>
                <w:sz w:val="12"/>
              </w:rPr>
            </w:pPr>
            <w:r>
              <w:rPr>
                <w:b/>
                <w:sz w:val="12"/>
              </w:rPr>
              <w:t>medio acuoso .</w:t>
            </w:r>
          </w:p>
        </w:tc>
        <w:tc>
          <w:tcPr>
            <w:tcW w:w="1707" w:type="dxa"/>
            <w:gridSpan w:val="3"/>
            <w:shd w:val="clear" w:color="auto" w:fill="E6EDD4"/>
          </w:tcPr>
          <w:p>
            <w:pPr/>
          </w:p>
        </w:tc>
        <w:tc>
          <w:tcPr>
            <w:tcW w:w="1395" w:type="dxa"/>
            <w:shd w:val="clear" w:color="auto" w:fill="E6EDD4"/>
          </w:tcPr>
          <w:p>
            <w:pPr/>
          </w:p>
        </w:tc>
        <w:tc>
          <w:tcPr>
            <w:tcW w:w="1205" w:type="dxa"/>
            <w:shd w:val="clear" w:color="auto" w:fill="E6EDD4"/>
          </w:tcPr>
          <w:p>
            <w:pPr/>
          </w:p>
        </w:tc>
        <w:tc>
          <w:tcPr>
            <w:tcW w:w="1658" w:type="dxa"/>
            <w:gridSpan w:val="3"/>
            <w:shd w:val="clear" w:color="auto" w:fill="E6EDD4"/>
          </w:tcPr>
          <w:p>
            <w:pPr/>
          </w:p>
        </w:tc>
      </w:tr>
    </w:tbl>
    <w:p>
      <w:pPr>
        <w:spacing w:after="0"/>
        <w:sectPr>
          <w:pgSz w:w="12240" w:h="15840"/>
          <w:pgMar w:header="731" w:footer="1012" w:top="1160" w:bottom="1200" w:left="1440" w:right="1020"/>
        </w:sectPr>
      </w:pPr>
    </w:p>
    <w:p>
      <w:pPr>
        <w:pStyle w:val="BodyText"/>
        <w:rPr>
          <w:b/>
          <w:sz w:val="12"/>
        </w:rPr>
      </w:pPr>
    </w:p>
    <w:p>
      <w:pPr>
        <w:pStyle w:val="BodyText"/>
        <w:rPr>
          <w:b/>
          <w:sz w:val="12"/>
        </w:rPr>
      </w:pPr>
    </w:p>
    <w:p>
      <w:pPr>
        <w:pStyle w:val="BodyText"/>
        <w:spacing w:before="8"/>
        <w:rPr>
          <w:b/>
          <w:sz w:val="11"/>
        </w:rPr>
      </w:pPr>
    </w:p>
    <w:p>
      <w:pPr>
        <w:spacing w:before="0"/>
        <w:ind w:left="259" w:right="-17" w:firstLine="0"/>
        <w:jc w:val="left"/>
        <w:rPr>
          <w:sz w:val="12"/>
        </w:rPr>
      </w:pPr>
      <w:r>
        <w:rPr>
          <w:sz w:val="12"/>
        </w:rPr>
        <w:t>Tipo de microorganismos</w:t>
      </w:r>
    </w:p>
    <w:p>
      <w:pPr>
        <w:spacing w:line="126" w:lineRule="exact" w:before="0"/>
        <w:ind w:left="259" w:right="0" w:firstLine="0"/>
        <w:jc w:val="both"/>
        <w:rPr>
          <w:b/>
          <w:sz w:val="12"/>
        </w:rPr>
      </w:pPr>
      <w:r>
        <w:rPr/>
        <w:br w:type="column"/>
      </w:r>
      <w:r>
        <w:rPr>
          <w:b/>
          <w:sz w:val="12"/>
        </w:rPr>
        <w:t>Clase       de      organismo</w:t>
      </w:r>
    </w:p>
    <w:p>
      <w:pPr>
        <w:spacing w:line="360" w:lineRule="auto" w:before="73"/>
        <w:ind w:left="259" w:right="1" w:firstLine="0"/>
        <w:jc w:val="both"/>
        <w:rPr>
          <w:b/>
          <w:sz w:val="12"/>
        </w:rPr>
      </w:pPr>
      <w:r>
        <w:rPr>
          <w:b/>
          <w:sz w:val="12"/>
        </w:rPr>
        <w:t>unicelular de tamaño microscópico presente en biopelícula.</w:t>
      </w:r>
    </w:p>
    <w:p>
      <w:pPr>
        <w:spacing w:line="126" w:lineRule="exact" w:before="0"/>
        <w:ind w:left="179" w:right="0" w:firstLine="0"/>
        <w:jc w:val="left"/>
        <w:rPr>
          <w:b/>
          <w:sz w:val="12"/>
        </w:rPr>
      </w:pPr>
      <w:r>
        <w:rPr/>
        <w:br w:type="column"/>
      </w:r>
      <w:r>
        <w:rPr>
          <w:b/>
          <w:sz w:val="12"/>
        </w:rPr>
        <w:t>Género    y    especie    de</w:t>
      </w:r>
    </w:p>
    <w:p>
      <w:pPr>
        <w:spacing w:line="360" w:lineRule="auto" w:before="73"/>
        <w:ind w:left="179" w:right="0" w:firstLine="0"/>
        <w:jc w:val="left"/>
        <w:rPr>
          <w:b/>
          <w:sz w:val="12"/>
        </w:rPr>
      </w:pPr>
      <w:r>
        <w:rPr>
          <w:b/>
          <w:sz w:val="12"/>
        </w:rPr>
        <w:t>bacterias y levaduras presentes en biopelícula.</w:t>
      </w:r>
    </w:p>
    <w:p>
      <w:pPr>
        <w:spacing w:line="126" w:lineRule="exact" w:before="0"/>
        <w:ind w:left="178" w:right="-14" w:firstLine="0"/>
        <w:jc w:val="left"/>
        <w:rPr>
          <w:b/>
          <w:sz w:val="12"/>
        </w:rPr>
      </w:pPr>
      <w:r>
        <w:rPr/>
        <w:br w:type="column"/>
      </w:r>
      <w:r>
        <w:rPr>
          <w:b/>
          <w:sz w:val="12"/>
        </w:rPr>
        <w:t>Cualitativa</w:t>
      </w:r>
    </w:p>
    <w:p>
      <w:pPr>
        <w:spacing w:before="73"/>
        <w:ind w:left="178" w:right="-14" w:firstLine="0"/>
        <w:jc w:val="left"/>
        <w:rPr>
          <w:b/>
          <w:sz w:val="12"/>
        </w:rPr>
      </w:pPr>
      <w:r>
        <w:rPr>
          <w:b/>
          <w:spacing w:val="-1"/>
          <w:sz w:val="12"/>
        </w:rPr>
        <w:t>Dependiente</w:t>
      </w:r>
    </w:p>
    <w:p>
      <w:pPr>
        <w:tabs>
          <w:tab w:pos="1536" w:val="left" w:leader="none"/>
        </w:tabs>
        <w:spacing w:line="126" w:lineRule="exact" w:before="0"/>
        <w:ind w:left="1536" w:right="0" w:hanging="1278"/>
        <w:jc w:val="left"/>
        <w:rPr>
          <w:b/>
          <w:sz w:val="12"/>
        </w:rPr>
      </w:pPr>
      <w:r>
        <w:rPr/>
        <w:br w:type="column"/>
      </w:r>
      <w:r>
        <w:rPr>
          <w:b/>
          <w:sz w:val="12"/>
        </w:rPr>
        <w:t>Nominal</w:t>
        <w:tab/>
        <w:t>Forma,  tamaño y</w:t>
      </w:r>
      <w:r>
        <w:rPr>
          <w:b/>
          <w:spacing w:val="10"/>
          <w:sz w:val="12"/>
        </w:rPr>
        <w:t> </w:t>
      </w:r>
      <w:r>
        <w:rPr>
          <w:b/>
          <w:sz w:val="12"/>
        </w:rPr>
        <w:t>color</w:t>
      </w:r>
    </w:p>
    <w:p>
      <w:pPr>
        <w:tabs>
          <w:tab w:pos="2482" w:val="left" w:leader="none"/>
        </w:tabs>
        <w:spacing w:line="360" w:lineRule="auto" w:before="73"/>
        <w:ind w:left="1536" w:right="237" w:firstLine="0"/>
        <w:jc w:val="both"/>
        <w:rPr>
          <w:b/>
          <w:sz w:val="12"/>
        </w:rPr>
      </w:pPr>
      <w:r>
        <w:rPr>
          <w:b/>
          <w:sz w:val="12"/>
        </w:rPr>
        <w:t>de las colonias en agar nutritivo.</w:t>
        <w:tab/>
      </w:r>
      <w:r>
        <w:rPr>
          <w:b/>
          <w:spacing w:val="-2"/>
          <w:sz w:val="12"/>
        </w:rPr>
        <w:t>Forma, </w:t>
      </w:r>
      <w:r>
        <w:rPr>
          <w:b/>
          <w:sz w:val="12"/>
        </w:rPr>
        <w:t>tamaño y Gram al microscopio.</w:t>
      </w:r>
    </w:p>
    <w:p>
      <w:pPr>
        <w:spacing w:after="0" w:line="360" w:lineRule="auto"/>
        <w:jc w:val="both"/>
        <w:rPr>
          <w:sz w:val="12"/>
        </w:rPr>
        <w:sectPr>
          <w:type w:val="continuous"/>
          <w:pgSz w:w="12240" w:h="15840"/>
          <w:pgMar w:top="480" w:bottom="280" w:left="1440" w:right="1020"/>
          <w:cols w:num="5" w:equalWidth="0">
            <w:col w:w="1610" w:space="186"/>
            <w:col w:w="1783" w:space="40"/>
            <w:col w:w="1671" w:space="40"/>
            <w:col w:w="894" w:space="442"/>
            <w:col w:w="3114"/>
          </w:cols>
        </w:sectPr>
      </w:pPr>
    </w:p>
    <w:p>
      <w:pPr>
        <w:pStyle w:val="BodyText"/>
        <w:ind w:left="115"/>
        <w:rPr>
          <w:sz w:val="20"/>
        </w:rPr>
      </w:pPr>
      <w:r>
        <w:rPr>
          <w:sz w:val="20"/>
        </w:rPr>
        <w:pict>
          <v:group style="width:477.1pt;height:34.85pt;mso-position-horizontal-relative:char;mso-position-vertical-relative:line" coordorigin="0,0" coordsize="9542,697">
            <v:rect style="position:absolute;left:38;top:0;width:106;height:620" filled="true" fillcolor="#76923b" stroked="false">
              <v:fill type="solid"/>
            </v:rect>
            <v:rect style="position:absolute;left:1724;top:0;width:110;height:620" filled="true" fillcolor="#76923b" stroked="false">
              <v:fill type="solid"/>
            </v:rect>
            <v:line style="position:absolute" from="38,658" to="1835,658" stroked="true" strokeweight="3.84pt" strokecolor="#76923b"/>
            <v:rect style="position:absolute;left:144;top:0;width:1580;height:207" filled="true" fillcolor="#76923b" stroked="false">
              <v:fill type="solid"/>
            </v:rect>
            <v:rect style="position:absolute;left:144;top:207;width:1580;height:206" filled="true" fillcolor="#76923b" stroked="false">
              <v:fill type="solid"/>
            </v:rect>
            <v:rect style="position:absolute;left:144;top:413;width:1580;height:206" filled="true" fillcolor="#76923b" stroked="false">
              <v:fill type="solid"/>
            </v:rect>
            <v:rect style="position:absolute;left:1835;top:0;width:106;height:620" filled="true" fillcolor="#76923b" stroked="false">
              <v:fill type="solid"/>
            </v:rect>
            <v:rect style="position:absolute;left:3467;top:0;width:110;height:620" filled="true" fillcolor="#76923b" stroked="false">
              <v:fill type="solid"/>
            </v:rect>
            <v:line style="position:absolute" from="1835,658" to="3578,658" stroked="true" strokeweight="3.84pt" strokecolor="#76923b"/>
            <v:rect style="position:absolute;left:1940;top:0;width:1527;height:207" filled="true" fillcolor="#76923b" stroked="false">
              <v:fill type="solid"/>
            </v:rect>
            <v:rect style="position:absolute;left:1940;top:207;width:1527;height:206" filled="true" fillcolor="#76923b" stroked="false">
              <v:fill type="solid"/>
            </v:rect>
            <v:rect style="position:absolute;left:1940;top:413;width:1527;height:206" filled="true" fillcolor="#76923b" stroked="false">
              <v:fill type="solid"/>
            </v:rect>
            <v:rect style="position:absolute;left:3578;top:0;width:106;height:620" filled="true" fillcolor="#76923b" stroked="false">
              <v:fill type="solid"/>
            </v:rect>
            <v:rect style="position:absolute;left:5176;top:0;width:111;height:620" filled="true" fillcolor="#76923b" stroked="false">
              <v:fill type="solid"/>
            </v:rect>
            <v:line style="position:absolute" from="3578,658" to="5287,658" stroked="true" strokeweight="3.84pt" strokecolor="#76923b"/>
            <v:rect style="position:absolute;left:3683;top:0;width:1493;height:207" filled="true" fillcolor="#76923b" stroked="false">
              <v:fill type="solid"/>
            </v:rect>
            <v:rect style="position:absolute;left:3683;top:207;width:1493;height:206" filled="true" fillcolor="#76923b" stroked="false">
              <v:fill type="solid"/>
            </v:rect>
            <v:rect style="position:absolute;left:3683;top:413;width:1493;height:206" filled="true" fillcolor="#76923b" stroked="false">
              <v:fill type="solid"/>
            </v:rect>
            <v:rect style="position:absolute;left:5287;top:0;width:106;height:413" filled="true" fillcolor="#76923b" stroked="false">
              <v:fill type="solid"/>
            </v:rect>
            <v:rect style="position:absolute;left:6593;top:0;width:110;height:413" filled="true" fillcolor="#76923b" stroked="false">
              <v:fill type="solid"/>
            </v:rect>
            <v:rect style="position:absolute;left:5287;top:413;width:1416;height:283" filled="true" fillcolor="#76923b" stroked="false">
              <v:fill type="solid"/>
            </v:rect>
            <v:rect style="position:absolute;left:5393;top:0;width:1200;height:207" filled="true" fillcolor="#76923b" stroked="false">
              <v:fill type="solid"/>
            </v:rect>
            <v:rect style="position:absolute;left:5393;top:207;width:1200;height:206" filled="true" fillcolor="#76923b" stroked="false">
              <v:fill type="solid"/>
            </v:rect>
            <v:rect style="position:absolute;left:6704;top:0;width:106;height:620" filled="true" fillcolor="#76923b" stroked="false">
              <v:fill type="solid"/>
            </v:rect>
            <v:rect style="position:absolute;left:7871;top:0;width:110;height:620" filled="true" fillcolor="#76923b" stroked="false">
              <v:fill type="solid"/>
            </v:rect>
            <v:line style="position:absolute" from="6704,658" to="7981,658" stroked="true" strokeweight="3.84pt" strokecolor="#76923b"/>
            <v:rect style="position:absolute;left:6809;top:0;width:1061;height:207" filled="true" fillcolor="#76923b" stroked="false">
              <v:fill type="solid"/>
            </v:rect>
            <v:rect style="position:absolute;left:6809;top:207;width:1061;height:206" filled="true" fillcolor="#76923b" stroked="false">
              <v:fill type="solid"/>
            </v:rect>
            <v:rect style="position:absolute;left:6809;top:413;width:1061;height:206" filled="true" fillcolor="#76923b" stroked="false">
              <v:fill type="solid"/>
            </v:rect>
            <v:rect style="position:absolute;left:7981;top:0;width:106;height:413" filled="true" fillcolor="#76923b" stroked="false">
              <v:fill type="solid"/>
            </v:rect>
            <v:rect style="position:absolute;left:9431;top:0;width:110;height:413" filled="true" fillcolor="#76923b" stroked="false">
              <v:fill type="solid"/>
            </v:rect>
            <v:rect style="position:absolute;left:7981;top:413;width:1560;height:283" filled="true" fillcolor="#76923b" stroked="false">
              <v:fill type="solid"/>
            </v:rect>
            <v:rect style="position:absolute;left:8087;top:0;width:1344;height:207" filled="true" fillcolor="#76923b" stroked="false">
              <v:fill type="solid"/>
            </v:rect>
            <v:rect style="position:absolute;left:8087;top:207;width:1344;height:206" filled="true" fillcolor="#76923b" stroked="false">
              <v:fill type="solid"/>
            </v:rect>
            <v:shape style="position:absolute;left:409;top:225;width:1049;height:327" type="#_x0000_t202" filled="false" stroked="false">
              <v:textbox inset="0,0,0,0">
                <w:txbxContent>
                  <w:p>
                    <w:pPr>
                      <w:spacing w:line="123" w:lineRule="exact" w:before="0"/>
                      <w:ind w:left="0" w:right="5" w:firstLine="0"/>
                      <w:jc w:val="center"/>
                      <w:rPr>
                        <w:sz w:val="12"/>
                      </w:rPr>
                    </w:pPr>
                    <w:r>
                      <w:rPr>
                        <w:color w:val="FFFFFF"/>
                        <w:sz w:val="12"/>
                      </w:rPr>
                      <w:t>VARIABLES</w:t>
                    </w:r>
                  </w:p>
                  <w:p>
                    <w:pPr>
                      <w:spacing w:line="135" w:lineRule="exact" w:before="68"/>
                      <w:ind w:left="0" w:right="0" w:firstLine="0"/>
                      <w:jc w:val="center"/>
                      <w:rPr>
                        <w:sz w:val="12"/>
                      </w:rPr>
                    </w:pPr>
                    <w:r>
                      <w:rPr>
                        <w:color w:val="FFFFFF"/>
                        <w:spacing w:val="-1"/>
                        <w:sz w:val="12"/>
                      </w:rPr>
                      <w:t>INDEPENDIENTES</w:t>
                    </w:r>
                  </w:p>
                </w:txbxContent>
              </v:textbox>
              <w10:wrap type="none"/>
            </v:shape>
            <v:shape style="position:absolute;left:2286;top:220;width:832;height:327" type="#_x0000_t202" filled="false" stroked="false">
              <v:textbox inset="0,0,0,0">
                <w:txbxContent>
                  <w:p>
                    <w:pPr>
                      <w:spacing w:line="123" w:lineRule="exact" w:before="0"/>
                      <w:ind w:left="0" w:right="-12" w:firstLine="72"/>
                      <w:jc w:val="left"/>
                      <w:rPr>
                        <w:b/>
                        <w:sz w:val="12"/>
                      </w:rPr>
                    </w:pPr>
                    <w:r>
                      <w:rPr>
                        <w:b/>
                        <w:color w:val="FFFFFF"/>
                        <w:sz w:val="12"/>
                      </w:rPr>
                      <w:t>DEFINICION</w:t>
                    </w:r>
                  </w:p>
                  <w:p>
                    <w:pPr>
                      <w:spacing w:line="135" w:lineRule="exact" w:before="68"/>
                      <w:ind w:left="0" w:right="-12" w:firstLine="0"/>
                      <w:jc w:val="left"/>
                      <w:rPr>
                        <w:b/>
                        <w:sz w:val="12"/>
                      </w:rPr>
                    </w:pPr>
                    <w:r>
                      <w:rPr>
                        <w:b/>
                        <w:color w:val="FFFFFF"/>
                        <w:spacing w:val="-1"/>
                        <w:sz w:val="12"/>
                      </w:rPr>
                      <w:t>CONCEPTUAL</w:t>
                    </w:r>
                  </w:p>
                </w:txbxContent>
              </v:textbox>
              <w10:wrap type="none"/>
            </v:shape>
            <v:shape style="position:absolute;left:3986;top:220;width:885;height:327" type="#_x0000_t202" filled="false" stroked="false">
              <v:textbox inset="0,0,0,0">
                <w:txbxContent>
                  <w:p>
                    <w:pPr>
                      <w:spacing w:line="123" w:lineRule="exact" w:before="0"/>
                      <w:ind w:left="0" w:right="-11" w:firstLine="96"/>
                      <w:jc w:val="left"/>
                      <w:rPr>
                        <w:b/>
                        <w:sz w:val="12"/>
                      </w:rPr>
                    </w:pPr>
                    <w:r>
                      <w:rPr>
                        <w:b/>
                        <w:color w:val="FFFFFF"/>
                        <w:sz w:val="12"/>
                      </w:rPr>
                      <w:t>DEFINICION</w:t>
                    </w:r>
                  </w:p>
                  <w:p>
                    <w:pPr>
                      <w:spacing w:line="135" w:lineRule="exact" w:before="68"/>
                      <w:ind w:left="0" w:right="-11" w:firstLine="0"/>
                      <w:jc w:val="left"/>
                      <w:rPr>
                        <w:b/>
                        <w:sz w:val="12"/>
                      </w:rPr>
                    </w:pPr>
                    <w:r>
                      <w:rPr>
                        <w:b/>
                        <w:color w:val="FFFFFF"/>
                        <w:spacing w:val="-1"/>
                        <w:sz w:val="12"/>
                      </w:rPr>
                      <w:t>OPERACIONAL</w:t>
                    </w:r>
                  </w:p>
                </w:txbxContent>
              </v:textbox>
              <w10:wrap type="none"/>
            </v:shape>
            <v:shape style="position:absolute;left:5426;top:220;width:1122;height:120" type="#_x0000_t202" filled="false" stroked="false">
              <v:textbox inset="0,0,0,0">
                <w:txbxContent>
                  <w:p>
                    <w:pPr>
                      <w:spacing w:line="120" w:lineRule="exact" w:before="0"/>
                      <w:ind w:left="0" w:right="-12" w:firstLine="0"/>
                      <w:jc w:val="left"/>
                      <w:rPr>
                        <w:b/>
                        <w:sz w:val="12"/>
                      </w:rPr>
                    </w:pPr>
                    <w:r>
                      <w:rPr>
                        <w:b/>
                        <w:color w:val="FFFFFF"/>
                        <w:sz w:val="12"/>
                      </w:rPr>
                      <w:t>TIPO DE</w:t>
                    </w:r>
                    <w:r>
                      <w:rPr>
                        <w:b/>
                        <w:color w:val="FFFFFF"/>
                        <w:spacing w:val="-13"/>
                        <w:sz w:val="12"/>
                      </w:rPr>
                      <w:t> </w:t>
                    </w:r>
                    <w:r>
                      <w:rPr>
                        <w:b/>
                        <w:color w:val="FFFFFF"/>
                        <w:sz w:val="12"/>
                      </w:rPr>
                      <w:t>VARIABLE</w:t>
                    </w:r>
                  </w:p>
                </w:txbxContent>
              </v:textbox>
              <w10:wrap type="none"/>
            </v:shape>
            <v:shape style="position:absolute;left:6992;top:220;width:690;height:327" type="#_x0000_t202" filled="false" stroked="false">
              <v:textbox inset="0,0,0,0">
                <w:txbxContent>
                  <w:p>
                    <w:pPr>
                      <w:spacing w:line="123" w:lineRule="exact" w:before="0"/>
                      <w:ind w:left="47" w:right="-16" w:hanging="48"/>
                      <w:jc w:val="left"/>
                      <w:rPr>
                        <w:b/>
                        <w:sz w:val="12"/>
                      </w:rPr>
                    </w:pPr>
                    <w:r>
                      <w:rPr>
                        <w:b/>
                        <w:color w:val="FFFFFF"/>
                        <w:sz w:val="12"/>
                      </w:rPr>
                      <w:t>ESCALA</w:t>
                    </w:r>
                    <w:r>
                      <w:rPr>
                        <w:b/>
                        <w:color w:val="FFFFFF"/>
                        <w:spacing w:val="-7"/>
                        <w:sz w:val="12"/>
                      </w:rPr>
                      <w:t> </w:t>
                    </w:r>
                    <w:r>
                      <w:rPr>
                        <w:b/>
                        <w:color w:val="FFFFFF"/>
                        <w:sz w:val="12"/>
                      </w:rPr>
                      <w:t>DE</w:t>
                    </w:r>
                  </w:p>
                  <w:p>
                    <w:pPr>
                      <w:spacing w:line="135" w:lineRule="exact" w:before="68"/>
                      <w:ind w:left="47" w:right="-16" w:firstLine="0"/>
                      <w:jc w:val="left"/>
                      <w:rPr>
                        <w:b/>
                        <w:sz w:val="12"/>
                      </w:rPr>
                    </w:pPr>
                    <w:r>
                      <w:rPr>
                        <w:b/>
                        <w:color w:val="FFFFFF"/>
                        <w:sz w:val="12"/>
                      </w:rPr>
                      <w:t>MEDICIÓN</w:t>
                    </w:r>
                  </w:p>
                </w:txbxContent>
              </v:textbox>
              <w10:wrap type="none"/>
            </v:shape>
            <v:shape style="position:absolute;left:8106;top:220;width:1296;height:120" type="#_x0000_t202" filled="false" stroked="false">
              <v:textbox inset="0,0,0,0">
                <w:txbxContent>
                  <w:p>
                    <w:pPr>
                      <w:spacing w:line="120" w:lineRule="exact" w:before="0"/>
                      <w:ind w:left="0" w:right="-16" w:firstLine="0"/>
                      <w:jc w:val="left"/>
                      <w:rPr>
                        <w:b/>
                        <w:sz w:val="12"/>
                      </w:rPr>
                    </w:pPr>
                    <w:r>
                      <w:rPr>
                        <w:b/>
                        <w:color w:val="FFFFFF"/>
                        <w:sz w:val="12"/>
                      </w:rPr>
                      <w:t>UNIDAD DE</w:t>
                    </w:r>
                    <w:r>
                      <w:rPr>
                        <w:b/>
                        <w:color w:val="FFFFFF"/>
                        <w:spacing w:val="-9"/>
                        <w:sz w:val="12"/>
                      </w:rPr>
                      <w:t> </w:t>
                    </w:r>
                    <w:r>
                      <w:rPr>
                        <w:b/>
                        <w:color w:val="FFFFFF"/>
                        <w:sz w:val="12"/>
                      </w:rPr>
                      <w:t>MEDICION</w:t>
                    </w:r>
                  </w:p>
                </w:txbxContent>
              </v:textbox>
              <w10:wrap type="none"/>
            </v:shape>
          </v:group>
        </w:pict>
      </w:r>
      <w:r>
        <w:rPr>
          <w:sz w:val="20"/>
        </w:rPr>
      </w:r>
    </w:p>
    <w:p>
      <w:pPr>
        <w:spacing w:after="0"/>
        <w:rPr>
          <w:sz w:val="20"/>
        </w:rPr>
        <w:sectPr>
          <w:type w:val="continuous"/>
          <w:pgSz w:w="12240" w:h="15840"/>
          <w:pgMar w:top="480" w:bottom="280" w:left="1440" w:right="1020"/>
        </w:sectPr>
      </w:pPr>
    </w:p>
    <w:p>
      <w:pPr>
        <w:pStyle w:val="BodyText"/>
        <w:rPr>
          <w:b/>
          <w:sz w:val="12"/>
        </w:rPr>
      </w:pPr>
    </w:p>
    <w:p>
      <w:pPr>
        <w:pStyle w:val="BodyText"/>
        <w:rPr>
          <w:b/>
          <w:sz w:val="12"/>
        </w:rPr>
      </w:pPr>
    </w:p>
    <w:p>
      <w:pPr>
        <w:pStyle w:val="BodyText"/>
        <w:rPr>
          <w:b/>
          <w:sz w:val="12"/>
        </w:rPr>
      </w:pPr>
    </w:p>
    <w:p>
      <w:pPr>
        <w:pStyle w:val="BodyText"/>
        <w:spacing w:before="5"/>
        <w:rPr>
          <w:b/>
          <w:sz w:val="16"/>
        </w:rPr>
      </w:pPr>
    </w:p>
    <w:p>
      <w:pPr>
        <w:spacing w:before="0"/>
        <w:ind w:left="711" w:right="-18" w:firstLine="0"/>
        <w:jc w:val="left"/>
        <w:rPr>
          <w:sz w:val="12"/>
        </w:rPr>
      </w:pPr>
      <w:r>
        <w:rPr>
          <w:sz w:val="12"/>
        </w:rPr>
        <w:t>Agua filtrada</w:t>
      </w:r>
    </w:p>
    <w:p>
      <w:pPr>
        <w:spacing w:line="113" w:lineRule="exact" w:before="0"/>
        <w:ind w:left="629" w:right="0" w:firstLine="0"/>
        <w:jc w:val="both"/>
        <w:rPr>
          <w:b/>
          <w:sz w:val="12"/>
        </w:rPr>
      </w:pPr>
      <w:r>
        <w:rPr/>
        <w:br w:type="column"/>
      </w:r>
      <w:r>
        <w:rPr>
          <w:b/>
          <w:sz w:val="12"/>
        </w:rPr>
        <w:t>Agua  potable  que  se  ha</w:t>
      </w:r>
    </w:p>
    <w:p>
      <w:pPr>
        <w:spacing w:line="360" w:lineRule="auto" w:before="73"/>
        <w:ind w:left="629" w:right="0" w:firstLine="0"/>
        <w:jc w:val="both"/>
        <w:rPr>
          <w:b/>
          <w:sz w:val="12"/>
        </w:rPr>
      </w:pPr>
      <w:r>
        <w:rPr>
          <w:b/>
          <w:sz w:val="12"/>
        </w:rPr>
        <w:t>sometido a procesos de filtración para  poder lograr altos estándares de calidad para su consumo.</w:t>
      </w:r>
    </w:p>
    <w:p>
      <w:pPr>
        <w:tabs>
          <w:tab w:pos="1167" w:val="left" w:leader="none"/>
        </w:tabs>
        <w:spacing w:line="113" w:lineRule="exact" w:before="0"/>
        <w:ind w:left="178" w:right="0" w:firstLine="0"/>
        <w:jc w:val="both"/>
        <w:rPr>
          <w:b/>
          <w:sz w:val="12"/>
        </w:rPr>
      </w:pPr>
      <w:r>
        <w:rPr/>
        <w:br w:type="column"/>
      </w:r>
      <w:r>
        <w:rPr>
          <w:b/>
          <w:sz w:val="12"/>
        </w:rPr>
        <w:t>Agua</w:t>
        <w:tab/>
        <w:t>obtenida</w:t>
      </w:r>
    </w:p>
    <w:p>
      <w:pPr>
        <w:spacing w:line="360" w:lineRule="auto" w:before="73"/>
        <w:ind w:left="178" w:right="0" w:firstLine="0"/>
        <w:jc w:val="both"/>
        <w:rPr>
          <w:b/>
          <w:sz w:val="12"/>
        </w:rPr>
      </w:pPr>
      <w:r>
        <w:rPr>
          <w:b/>
          <w:sz w:val="12"/>
        </w:rPr>
        <w:t>directamente de  los filtros de la facultad de odontología de la UAEM.</w:t>
      </w:r>
    </w:p>
    <w:p>
      <w:pPr>
        <w:spacing w:line="113" w:lineRule="exact" w:before="0"/>
        <w:ind w:left="178" w:right="-10" w:firstLine="0"/>
        <w:jc w:val="left"/>
        <w:rPr>
          <w:b/>
          <w:sz w:val="12"/>
        </w:rPr>
      </w:pPr>
      <w:r>
        <w:rPr/>
        <w:br w:type="column"/>
      </w:r>
      <w:r>
        <w:rPr>
          <w:b/>
          <w:sz w:val="12"/>
        </w:rPr>
        <w:t>Continua</w:t>
      </w:r>
    </w:p>
    <w:p>
      <w:pPr>
        <w:spacing w:line="360" w:lineRule="auto" w:before="73"/>
        <w:ind w:left="178" w:right="-10" w:firstLine="0"/>
        <w:jc w:val="left"/>
        <w:rPr>
          <w:b/>
          <w:sz w:val="12"/>
        </w:rPr>
      </w:pPr>
      <w:r>
        <w:rPr>
          <w:b/>
          <w:sz w:val="12"/>
        </w:rPr>
        <w:t>Cuantitativa </w:t>
      </w:r>
      <w:r>
        <w:rPr>
          <w:b/>
          <w:spacing w:val="-1"/>
          <w:sz w:val="12"/>
        </w:rPr>
        <w:t>Independiente</w:t>
      </w:r>
    </w:p>
    <w:p>
      <w:pPr>
        <w:tabs>
          <w:tab w:pos="1843" w:val="left" w:leader="none"/>
        </w:tabs>
        <w:spacing w:line="113" w:lineRule="exact" w:before="0"/>
        <w:ind w:left="566" w:right="0" w:firstLine="0"/>
        <w:jc w:val="left"/>
        <w:rPr>
          <w:b/>
          <w:sz w:val="12"/>
        </w:rPr>
      </w:pPr>
      <w:r>
        <w:rPr/>
        <w:br w:type="column"/>
      </w:r>
      <w:r>
        <w:rPr>
          <w:b/>
          <w:sz w:val="12"/>
        </w:rPr>
        <w:t>De razón</w:t>
        <w:tab/>
        <w:t>Ml</w:t>
      </w:r>
    </w:p>
    <w:p>
      <w:pPr>
        <w:spacing w:after="0" w:line="113" w:lineRule="exact"/>
        <w:jc w:val="left"/>
        <w:rPr>
          <w:sz w:val="12"/>
        </w:rPr>
        <w:sectPr>
          <w:type w:val="continuous"/>
          <w:pgSz w:w="12240" w:h="15840"/>
          <w:pgMar w:top="480" w:bottom="280" w:left="1440" w:right="1020"/>
          <w:cols w:num="5" w:equalWidth="0">
            <w:col w:w="1387" w:space="40"/>
            <w:col w:w="2154" w:space="40"/>
            <w:col w:w="1670" w:space="40"/>
            <w:col w:w="989" w:space="40"/>
            <w:col w:w="3420"/>
          </w:cols>
        </w:sectPr>
      </w:pPr>
    </w:p>
    <w:p>
      <w:pPr>
        <w:pStyle w:val="BodyText"/>
        <w:spacing w:before="10"/>
        <w:rPr>
          <w:b/>
          <w:sz w:val="9"/>
        </w:rPr>
      </w:pPr>
    </w:p>
    <w:tbl>
      <w:tblPr>
        <w:tblW w:w="0" w:type="auto"/>
        <w:jc w:val="left"/>
        <w:tblInd w:w="15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36"/>
        <w:gridCol w:w="922"/>
        <w:gridCol w:w="716"/>
        <w:gridCol w:w="1294"/>
        <w:gridCol w:w="1197"/>
        <w:gridCol w:w="1839"/>
      </w:tblGrid>
      <w:tr>
        <w:trPr>
          <w:trHeight w:val="1670" w:hRule="exact"/>
        </w:trPr>
        <w:tc>
          <w:tcPr>
            <w:tcW w:w="9503" w:type="dxa"/>
            <w:gridSpan w:val="6"/>
            <w:shd w:val="clear" w:color="auto" w:fill="E6EDD4"/>
          </w:tcPr>
          <w:p>
            <w:pPr>
              <w:pStyle w:val="TableParagraph"/>
              <w:tabs>
                <w:tab w:pos="3644" w:val="left" w:leader="none"/>
                <w:tab w:pos="4992" w:val="left" w:leader="none"/>
                <w:tab w:pos="5354" w:val="left" w:leader="none"/>
                <w:tab w:pos="6770" w:val="left" w:leader="none"/>
                <w:tab w:pos="8048" w:val="left" w:leader="none"/>
              </w:tabs>
              <w:spacing w:line="367" w:lineRule="auto"/>
              <w:ind w:left="1901" w:right="1318"/>
              <w:rPr>
                <w:b/>
                <w:sz w:val="12"/>
              </w:rPr>
            </w:pPr>
            <w:r>
              <w:rPr>
                <w:b/>
                <w:sz w:val="12"/>
              </w:rPr>
              <w:t>Agente</w:t>
            </w:r>
            <w:r>
              <w:rPr>
                <w:b/>
                <w:spacing w:val="21"/>
                <w:sz w:val="12"/>
              </w:rPr>
              <w:t> </w:t>
            </w:r>
            <w:r>
              <w:rPr>
                <w:b/>
                <w:sz w:val="12"/>
              </w:rPr>
              <w:t>antimicrobiano</w:t>
            </w:r>
            <w:r>
              <w:rPr>
                <w:b/>
                <w:spacing w:val="20"/>
                <w:sz w:val="12"/>
              </w:rPr>
              <w:t> </w:t>
            </w:r>
            <w:r>
              <w:rPr>
                <w:b/>
                <w:sz w:val="12"/>
              </w:rPr>
              <w:t>de</w:t>
              <w:tab/>
              <w:t>Concentración</w:t>
              <w:tab/>
              <w:t>de</w:t>
              <w:tab/>
              <w:t>Continua</w:t>
              <w:tab/>
              <w:t>De razón</w:t>
              <w:tab/>
            </w:r>
            <w:r>
              <w:rPr>
                <w:b/>
                <w:spacing w:val="-3"/>
                <w:sz w:val="12"/>
              </w:rPr>
              <w:t>ml </w:t>
            </w:r>
            <w:r>
              <w:rPr>
                <w:b/>
                <w:sz w:val="12"/>
              </w:rPr>
              <w:t>amplio</w:t>
            </w:r>
            <w:r>
              <w:rPr>
                <w:b/>
                <w:spacing w:val="-5"/>
                <w:sz w:val="12"/>
              </w:rPr>
              <w:t> </w:t>
            </w:r>
            <w:r>
              <w:rPr>
                <w:b/>
                <w:sz w:val="12"/>
              </w:rPr>
              <w:t>espectro,</w:t>
            </w:r>
            <w:r>
              <w:rPr>
                <w:b/>
                <w:spacing w:val="-3"/>
                <w:sz w:val="12"/>
              </w:rPr>
              <w:t> </w:t>
            </w:r>
            <w:r>
              <w:rPr>
                <w:b/>
                <w:sz w:val="12"/>
              </w:rPr>
              <w:t>baja</w:t>
              <w:tab/>
              <w:t>Clorhexidina </w:t>
            </w:r>
            <w:r>
              <w:rPr>
                <w:b/>
                <w:spacing w:val="7"/>
                <w:sz w:val="12"/>
              </w:rPr>
              <w:t> </w:t>
            </w:r>
            <w:r>
              <w:rPr>
                <w:b/>
                <w:sz w:val="12"/>
              </w:rPr>
              <w:t>para </w:t>
            </w:r>
            <w:r>
              <w:rPr>
                <w:b/>
                <w:spacing w:val="7"/>
                <w:sz w:val="12"/>
              </w:rPr>
              <w:t> </w:t>
            </w:r>
            <w:r>
              <w:rPr>
                <w:b/>
                <w:sz w:val="12"/>
              </w:rPr>
              <w:t>efecto</w:t>
              <w:tab/>
              <w:t>Cuantitativa</w:t>
            </w:r>
          </w:p>
          <w:p>
            <w:pPr>
              <w:pStyle w:val="TableParagraph"/>
              <w:tabs>
                <w:tab w:pos="3644" w:val="left" w:leader="none"/>
                <w:tab w:pos="3678" w:val="left" w:leader="none"/>
                <w:tab w:pos="5354" w:val="left" w:leader="none"/>
              </w:tabs>
              <w:spacing w:line="360" w:lineRule="auto"/>
              <w:ind w:left="1901" w:right="3336"/>
              <w:rPr>
                <w:b/>
                <w:sz w:val="12"/>
              </w:rPr>
            </w:pPr>
            <w:r>
              <w:rPr>
                <w:b/>
                <w:sz w:val="12"/>
              </w:rPr>
              <w:t>toxicidad  y </w:t>
            </w:r>
            <w:r>
              <w:rPr>
                <w:b/>
                <w:spacing w:val="2"/>
                <w:sz w:val="12"/>
              </w:rPr>
              <w:t> </w:t>
            </w:r>
            <w:r>
              <w:rPr>
                <w:b/>
                <w:sz w:val="12"/>
              </w:rPr>
              <w:t>gran</w:t>
            </w:r>
            <w:r>
              <w:rPr>
                <w:b/>
                <w:spacing w:val="33"/>
                <w:sz w:val="12"/>
              </w:rPr>
              <w:t> </w:t>
            </w:r>
            <w:r>
              <w:rPr>
                <w:b/>
                <w:sz w:val="12"/>
              </w:rPr>
              <w:t>afinidad</w:t>
              <w:tab/>
              <w:t>bacteriostático</w:t>
            </w:r>
            <w:r>
              <w:rPr>
                <w:b/>
                <w:spacing w:val="-1"/>
                <w:sz w:val="12"/>
              </w:rPr>
              <w:t> </w:t>
            </w:r>
            <w:r>
              <w:rPr>
                <w:b/>
                <w:sz w:val="12"/>
              </w:rPr>
              <w:t>:</w:t>
              <w:tab/>
            </w:r>
            <w:r>
              <w:rPr>
                <w:b/>
                <w:spacing w:val="-1"/>
                <w:sz w:val="12"/>
              </w:rPr>
              <w:t>Independiente </w:t>
            </w:r>
            <w:r>
              <w:rPr>
                <w:b/>
                <w:sz w:val="12"/>
              </w:rPr>
              <w:t>de   adhesión  a   la </w:t>
            </w:r>
            <w:r>
              <w:rPr>
                <w:b/>
                <w:spacing w:val="1"/>
                <w:sz w:val="12"/>
              </w:rPr>
              <w:t> </w:t>
            </w:r>
            <w:r>
              <w:rPr>
                <w:b/>
                <w:sz w:val="12"/>
              </w:rPr>
              <w:t>piel </w:t>
            </w:r>
            <w:r>
              <w:rPr>
                <w:b/>
                <w:spacing w:val="13"/>
                <w:sz w:val="12"/>
              </w:rPr>
              <w:t> </w:t>
            </w:r>
            <w:r>
              <w:rPr>
                <w:b/>
                <w:sz w:val="12"/>
              </w:rPr>
              <w:t>y</w:t>
              <w:tab/>
              <w:tab/>
              <w:t>Clorhexidina    al  </w:t>
            </w:r>
            <w:r>
              <w:rPr>
                <w:b/>
                <w:spacing w:val="11"/>
                <w:sz w:val="12"/>
              </w:rPr>
              <w:t> </w:t>
            </w:r>
            <w:r>
              <w:rPr>
                <w:b/>
                <w:sz w:val="12"/>
              </w:rPr>
              <w:t>0.12%.</w:t>
            </w:r>
          </w:p>
          <w:p>
            <w:pPr>
              <w:pStyle w:val="TableParagraph"/>
              <w:tabs>
                <w:tab w:pos="3644" w:val="left" w:leader="none"/>
              </w:tabs>
              <w:spacing w:line="240" w:lineRule="auto" w:before="1"/>
              <w:ind w:left="1901" w:right="1318"/>
              <w:rPr>
                <w:b/>
                <w:sz w:val="12"/>
              </w:rPr>
            </w:pPr>
            <w:r>
              <w:rPr>
                <w:b/>
                <w:sz w:val="12"/>
              </w:rPr>
              <w:t>mucosas.   </w:t>
            </w:r>
            <w:r>
              <w:rPr>
                <w:b/>
                <w:spacing w:val="12"/>
                <w:sz w:val="12"/>
              </w:rPr>
              <w:t> </w:t>
            </w:r>
            <w:r>
              <w:rPr>
                <w:b/>
                <w:sz w:val="12"/>
              </w:rPr>
              <w:t>Pertenece   </w:t>
            </w:r>
            <w:r>
              <w:rPr>
                <w:b/>
                <w:spacing w:val="12"/>
                <w:sz w:val="12"/>
              </w:rPr>
              <w:t> </w:t>
            </w:r>
            <w:r>
              <w:rPr>
                <w:b/>
                <w:sz w:val="12"/>
              </w:rPr>
              <w:t>al</w:t>
              <w:tab/>
              <w:t>(cantidad  de  </w:t>
            </w:r>
            <w:r>
              <w:rPr>
                <w:b/>
                <w:spacing w:val="-3"/>
                <w:sz w:val="12"/>
              </w:rPr>
              <w:t>ml</w:t>
            </w:r>
            <w:r>
              <w:rPr>
                <w:b/>
                <w:spacing w:val="-11"/>
                <w:sz w:val="12"/>
              </w:rPr>
              <w:t> </w:t>
            </w:r>
            <w:r>
              <w:rPr>
                <w:b/>
                <w:sz w:val="12"/>
              </w:rPr>
              <w:t>referidos</w:t>
            </w:r>
          </w:p>
          <w:p>
            <w:pPr>
              <w:pStyle w:val="TableParagraph"/>
              <w:tabs>
                <w:tab w:pos="1901" w:val="left" w:leader="none"/>
                <w:tab w:pos="3644" w:val="left" w:leader="none"/>
              </w:tabs>
              <w:spacing w:line="240" w:lineRule="auto" w:before="73"/>
              <w:ind w:left="187" w:right="1318"/>
              <w:rPr>
                <w:b/>
                <w:sz w:val="12"/>
              </w:rPr>
            </w:pPr>
            <w:r>
              <w:rPr>
                <w:sz w:val="12"/>
              </w:rPr>
              <w:t>Gluconato</w:t>
            </w:r>
            <w:r>
              <w:rPr>
                <w:spacing w:val="-2"/>
                <w:sz w:val="12"/>
              </w:rPr>
              <w:t> </w:t>
            </w:r>
            <w:r>
              <w:rPr>
                <w:sz w:val="12"/>
              </w:rPr>
              <w:t>de</w:t>
            </w:r>
            <w:r>
              <w:rPr>
                <w:spacing w:val="-2"/>
                <w:sz w:val="12"/>
              </w:rPr>
              <w:t> </w:t>
            </w:r>
            <w:r>
              <w:rPr>
                <w:sz w:val="12"/>
              </w:rPr>
              <w:t>Clorhexidina</w:t>
              <w:tab/>
            </w:r>
            <w:r>
              <w:rPr>
                <w:b/>
                <w:sz w:val="12"/>
              </w:rPr>
              <w:t>grupo de</w:t>
            </w:r>
            <w:r>
              <w:rPr>
                <w:b/>
                <w:spacing w:val="21"/>
                <w:sz w:val="12"/>
              </w:rPr>
              <w:t> </w:t>
            </w:r>
            <w:r>
              <w:rPr>
                <w:b/>
                <w:sz w:val="12"/>
              </w:rPr>
              <w:t>las</w:t>
            </w:r>
            <w:r>
              <w:rPr>
                <w:b/>
                <w:spacing w:val="16"/>
                <w:sz w:val="12"/>
              </w:rPr>
              <w:t> </w:t>
            </w:r>
            <w:r>
              <w:rPr>
                <w:b/>
                <w:sz w:val="12"/>
              </w:rPr>
              <w:t>bisguanidas,</w:t>
              <w:tab/>
              <w:t>a 100 </w:t>
            </w:r>
            <w:r>
              <w:rPr>
                <w:b/>
                <w:spacing w:val="-3"/>
                <w:sz w:val="12"/>
              </w:rPr>
              <w:t>ml </w:t>
            </w:r>
            <w:r>
              <w:rPr>
                <w:b/>
                <w:sz w:val="12"/>
              </w:rPr>
              <w:t>de</w:t>
            </w:r>
            <w:r>
              <w:rPr>
                <w:b/>
                <w:spacing w:val="-3"/>
                <w:sz w:val="12"/>
              </w:rPr>
              <w:t> </w:t>
            </w:r>
            <w:r>
              <w:rPr>
                <w:b/>
                <w:sz w:val="12"/>
              </w:rPr>
              <w:t>solución)</w:t>
            </w:r>
          </w:p>
          <w:p>
            <w:pPr>
              <w:pStyle w:val="TableParagraph"/>
              <w:tabs>
                <w:tab w:pos="3072" w:val="left" w:leader="none"/>
              </w:tabs>
              <w:spacing w:line="240" w:lineRule="auto" w:before="64"/>
              <w:ind w:left="1901" w:right="1318"/>
              <w:rPr>
                <w:b/>
                <w:sz w:val="12"/>
              </w:rPr>
            </w:pPr>
            <w:r>
              <w:rPr>
                <w:b/>
                <w:sz w:val="12"/>
              </w:rPr>
              <w:t>posee</w:t>
              <w:tab/>
              <w:t>efecto</w:t>
            </w:r>
          </w:p>
          <w:p>
            <w:pPr>
              <w:pStyle w:val="TableParagraph"/>
              <w:tabs>
                <w:tab w:pos="3359" w:val="left" w:leader="none"/>
              </w:tabs>
              <w:spacing w:line="240" w:lineRule="auto" w:before="68"/>
              <w:ind w:left="1901" w:right="1318"/>
              <w:rPr>
                <w:b/>
                <w:sz w:val="12"/>
              </w:rPr>
            </w:pPr>
            <w:r>
              <w:rPr>
                <w:b/>
                <w:sz w:val="12"/>
              </w:rPr>
              <w:t>bacteriostático</w:t>
              <w:tab/>
              <w:t>y</w:t>
            </w:r>
          </w:p>
        </w:tc>
      </w:tr>
      <w:tr>
        <w:trPr>
          <w:trHeight w:val="166" w:hRule="exact"/>
        </w:trPr>
        <w:tc>
          <w:tcPr>
            <w:tcW w:w="3536" w:type="dxa"/>
            <w:shd w:val="clear" w:color="auto" w:fill="E6EDD4"/>
          </w:tcPr>
          <w:p>
            <w:pPr>
              <w:pStyle w:val="TableParagraph"/>
              <w:spacing w:line="123" w:lineRule="exact"/>
              <w:ind w:left="1901"/>
              <w:rPr>
                <w:b/>
                <w:sz w:val="12"/>
              </w:rPr>
            </w:pPr>
            <w:r>
              <w:rPr>
                <w:b/>
                <w:sz w:val="12"/>
              </w:rPr>
              <w:t>bactericida  de  acuerdo  a</w:t>
            </w:r>
          </w:p>
        </w:tc>
        <w:tc>
          <w:tcPr>
            <w:tcW w:w="922" w:type="dxa"/>
            <w:shd w:val="clear" w:color="auto" w:fill="E6EDD4"/>
          </w:tcPr>
          <w:p>
            <w:pPr/>
          </w:p>
        </w:tc>
        <w:tc>
          <w:tcPr>
            <w:tcW w:w="716" w:type="dxa"/>
            <w:shd w:val="clear" w:color="auto" w:fill="E6EDD4"/>
          </w:tcPr>
          <w:p>
            <w:pPr/>
          </w:p>
        </w:tc>
        <w:tc>
          <w:tcPr>
            <w:tcW w:w="1294" w:type="dxa"/>
            <w:shd w:val="clear" w:color="auto" w:fill="E6EDD4"/>
          </w:tcPr>
          <w:p>
            <w:pPr/>
          </w:p>
        </w:tc>
        <w:tc>
          <w:tcPr>
            <w:tcW w:w="1197" w:type="dxa"/>
            <w:shd w:val="clear" w:color="auto" w:fill="E6EDD4"/>
          </w:tcPr>
          <w:p>
            <w:pPr/>
          </w:p>
        </w:tc>
        <w:tc>
          <w:tcPr>
            <w:tcW w:w="1839" w:type="dxa"/>
            <w:shd w:val="clear" w:color="auto" w:fill="E6EDD4"/>
          </w:tcPr>
          <w:p>
            <w:pPr/>
          </w:p>
        </w:tc>
      </w:tr>
      <w:tr>
        <w:trPr>
          <w:trHeight w:val="239" w:hRule="exact"/>
        </w:trPr>
        <w:tc>
          <w:tcPr>
            <w:tcW w:w="3536" w:type="dxa"/>
            <w:shd w:val="clear" w:color="auto" w:fill="E6EDD4"/>
          </w:tcPr>
          <w:p>
            <w:pPr>
              <w:pStyle w:val="TableParagraph"/>
              <w:spacing w:line="240" w:lineRule="auto" w:before="30"/>
              <w:ind w:left="1901"/>
              <w:rPr>
                <w:b/>
                <w:sz w:val="12"/>
              </w:rPr>
            </w:pPr>
            <w:r>
              <w:rPr>
                <w:b/>
                <w:sz w:val="12"/>
              </w:rPr>
              <w:t>su concentración.</w:t>
            </w:r>
          </w:p>
        </w:tc>
        <w:tc>
          <w:tcPr>
            <w:tcW w:w="922" w:type="dxa"/>
            <w:shd w:val="clear" w:color="auto" w:fill="E6EDD4"/>
          </w:tcPr>
          <w:p>
            <w:pPr/>
          </w:p>
        </w:tc>
        <w:tc>
          <w:tcPr>
            <w:tcW w:w="716" w:type="dxa"/>
            <w:shd w:val="clear" w:color="auto" w:fill="E6EDD4"/>
          </w:tcPr>
          <w:p>
            <w:pPr/>
          </w:p>
        </w:tc>
        <w:tc>
          <w:tcPr>
            <w:tcW w:w="1294" w:type="dxa"/>
            <w:shd w:val="clear" w:color="auto" w:fill="E6EDD4"/>
          </w:tcPr>
          <w:p>
            <w:pPr/>
          </w:p>
        </w:tc>
        <w:tc>
          <w:tcPr>
            <w:tcW w:w="1197" w:type="dxa"/>
            <w:shd w:val="clear" w:color="auto" w:fill="E6EDD4"/>
          </w:tcPr>
          <w:p>
            <w:pPr/>
          </w:p>
        </w:tc>
        <w:tc>
          <w:tcPr>
            <w:tcW w:w="1839" w:type="dxa"/>
            <w:shd w:val="clear" w:color="auto" w:fill="E6EDD4"/>
          </w:tcPr>
          <w:p>
            <w:pPr/>
          </w:p>
        </w:tc>
      </w:tr>
      <w:tr>
        <w:trPr>
          <w:trHeight w:val="176" w:hRule="exact"/>
        </w:trPr>
        <w:tc>
          <w:tcPr>
            <w:tcW w:w="3536" w:type="dxa"/>
          </w:tcPr>
          <w:p>
            <w:pPr>
              <w:pStyle w:val="TableParagraph"/>
              <w:tabs>
                <w:tab w:pos="2573" w:val="left" w:leader="none"/>
                <w:tab w:pos="3283" w:val="left" w:leader="none"/>
              </w:tabs>
              <w:spacing w:line="136" w:lineRule="exact"/>
              <w:ind w:left="1901"/>
              <w:rPr>
                <w:b/>
                <w:sz w:val="12"/>
              </w:rPr>
            </w:pPr>
            <w:r>
              <w:rPr>
                <w:b/>
                <w:sz w:val="12"/>
              </w:rPr>
              <w:t>Coloide</w:t>
              <w:tab/>
              <w:t>formado</w:t>
              <w:tab/>
              <w:t>de</w:t>
            </w:r>
          </w:p>
        </w:tc>
        <w:tc>
          <w:tcPr>
            <w:tcW w:w="922" w:type="dxa"/>
          </w:tcPr>
          <w:p>
            <w:pPr>
              <w:pStyle w:val="TableParagraph"/>
              <w:spacing w:line="136" w:lineRule="exact"/>
              <w:ind w:left="109"/>
              <w:rPr>
                <w:b/>
                <w:sz w:val="12"/>
              </w:rPr>
            </w:pPr>
            <w:r>
              <w:rPr>
                <w:b/>
                <w:sz w:val="12"/>
              </w:rPr>
              <w:t>plata coloidal</w:t>
            </w:r>
          </w:p>
        </w:tc>
        <w:tc>
          <w:tcPr>
            <w:tcW w:w="716" w:type="dxa"/>
          </w:tcPr>
          <w:p>
            <w:pPr>
              <w:pStyle w:val="TableParagraph"/>
              <w:spacing w:line="136" w:lineRule="exact"/>
              <w:ind w:left="50"/>
              <w:rPr>
                <w:b/>
                <w:sz w:val="12"/>
              </w:rPr>
            </w:pPr>
            <w:r>
              <w:rPr>
                <w:b/>
                <w:sz w:val="12"/>
              </w:rPr>
              <w:t>al 0.38%</w:t>
            </w:r>
          </w:p>
        </w:tc>
        <w:tc>
          <w:tcPr>
            <w:tcW w:w="1294" w:type="dxa"/>
          </w:tcPr>
          <w:p>
            <w:pPr>
              <w:pStyle w:val="TableParagraph"/>
              <w:spacing w:line="136" w:lineRule="exact"/>
              <w:ind w:left="180"/>
              <w:rPr>
                <w:b/>
                <w:sz w:val="12"/>
              </w:rPr>
            </w:pPr>
            <w:r>
              <w:rPr>
                <w:b/>
                <w:sz w:val="12"/>
              </w:rPr>
              <w:t>Continua</w:t>
            </w:r>
          </w:p>
        </w:tc>
        <w:tc>
          <w:tcPr>
            <w:tcW w:w="1197" w:type="dxa"/>
          </w:tcPr>
          <w:p>
            <w:pPr>
              <w:pStyle w:val="TableParagraph"/>
              <w:spacing w:line="136" w:lineRule="exact"/>
              <w:ind w:left="303"/>
              <w:rPr>
                <w:b/>
                <w:sz w:val="12"/>
              </w:rPr>
            </w:pPr>
            <w:r>
              <w:rPr>
                <w:b/>
                <w:sz w:val="12"/>
              </w:rPr>
              <w:t>De razón</w:t>
            </w:r>
          </w:p>
        </w:tc>
        <w:tc>
          <w:tcPr>
            <w:tcW w:w="1839" w:type="dxa"/>
          </w:tcPr>
          <w:p>
            <w:pPr>
              <w:pStyle w:val="TableParagraph"/>
              <w:spacing w:line="136" w:lineRule="exact"/>
              <w:ind w:left="383"/>
              <w:rPr>
                <w:b/>
                <w:sz w:val="12"/>
              </w:rPr>
            </w:pPr>
            <w:r>
              <w:rPr>
                <w:b/>
                <w:sz w:val="12"/>
              </w:rPr>
              <w:t>Ml</w:t>
            </w:r>
          </w:p>
        </w:tc>
      </w:tr>
      <w:tr>
        <w:trPr>
          <w:trHeight w:val="206" w:hRule="exact"/>
        </w:trPr>
        <w:tc>
          <w:tcPr>
            <w:tcW w:w="3536" w:type="dxa"/>
          </w:tcPr>
          <w:p>
            <w:pPr>
              <w:pStyle w:val="TableParagraph"/>
              <w:spacing w:line="240" w:lineRule="auto" w:before="28"/>
              <w:ind w:left="1901"/>
              <w:rPr>
                <w:b/>
                <w:sz w:val="12"/>
              </w:rPr>
            </w:pPr>
            <w:r>
              <w:rPr>
                <w:b/>
                <w:sz w:val="12"/>
              </w:rPr>
              <w:t>pequeñas    partículas   de</w:t>
            </w:r>
          </w:p>
        </w:tc>
        <w:tc>
          <w:tcPr>
            <w:tcW w:w="922" w:type="dxa"/>
          </w:tcPr>
          <w:p>
            <w:pPr/>
          </w:p>
        </w:tc>
        <w:tc>
          <w:tcPr>
            <w:tcW w:w="716" w:type="dxa"/>
          </w:tcPr>
          <w:p>
            <w:pPr/>
          </w:p>
        </w:tc>
        <w:tc>
          <w:tcPr>
            <w:tcW w:w="1294" w:type="dxa"/>
          </w:tcPr>
          <w:p>
            <w:pPr>
              <w:pStyle w:val="TableParagraph"/>
              <w:spacing w:line="240" w:lineRule="auto" w:before="28"/>
              <w:ind w:left="180"/>
              <w:rPr>
                <w:b/>
                <w:sz w:val="12"/>
              </w:rPr>
            </w:pPr>
            <w:r>
              <w:rPr>
                <w:b/>
                <w:sz w:val="12"/>
              </w:rPr>
              <w:t>Cuantitativa</w:t>
            </w:r>
          </w:p>
        </w:tc>
        <w:tc>
          <w:tcPr>
            <w:tcW w:w="1197" w:type="dxa"/>
          </w:tcPr>
          <w:p>
            <w:pPr/>
          </w:p>
        </w:tc>
        <w:tc>
          <w:tcPr>
            <w:tcW w:w="1839" w:type="dxa"/>
          </w:tcPr>
          <w:p>
            <w:pPr/>
          </w:p>
        </w:tc>
      </w:tr>
      <w:tr>
        <w:trPr>
          <w:trHeight w:val="207" w:hRule="exact"/>
        </w:trPr>
        <w:tc>
          <w:tcPr>
            <w:tcW w:w="3536" w:type="dxa"/>
          </w:tcPr>
          <w:p>
            <w:pPr>
              <w:pStyle w:val="TableParagraph"/>
              <w:spacing w:line="240" w:lineRule="auto" w:before="28"/>
              <w:ind w:left="1901"/>
              <w:rPr>
                <w:b/>
                <w:sz w:val="12"/>
              </w:rPr>
            </w:pPr>
            <w:r>
              <w:rPr>
                <w:b/>
                <w:sz w:val="12"/>
              </w:rPr>
              <w:t>plata   metálica   cargadas</w:t>
            </w:r>
          </w:p>
        </w:tc>
        <w:tc>
          <w:tcPr>
            <w:tcW w:w="922" w:type="dxa"/>
          </w:tcPr>
          <w:p>
            <w:pPr/>
          </w:p>
        </w:tc>
        <w:tc>
          <w:tcPr>
            <w:tcW w:w="716" w:type="dxa"/>
          </w:tcPr>
          <w:p>
            <w:pPr/>
          </w:p>
        </w:tc>
        <w:tc>
          <w:tcPr>
            <w:tcW w:w="1294" w:type="dxa"/>
          </w:tcPr>
          <w:p>
            <w:pPr>
              <w:pStyle w:val="TableParagraph"/>
              <w:spacing w:line="240" w:lineRule="auto" w:before="28"/>
              <w:ind w:left="180"/>
              <w:rPr>
                <w:b/>
                <w:sz w:val="12"/>
              </w:rPr>
            </w:pPr>
            <w:r>
              <w:rPr>
                <w:b/>
                <w:sz w:val="12"/>
              </w:rPr>
              <w:t>Independiente</w:t>
            </w:r>
          </w:p>
        </w:tc>
        <w:tc>
          <w:tcPr>
            <w:tcW w:w="1197" w:type="dxa"/>
          </w:tcPr>
          <w:p>
            <w:pPr/>
          </w:p>
        </w:tc>
        <w:tc>
          <w:tcPr>
            <w:tcW w:w="1839" w:type="dxa"/>
          </w:tcPr>
          <w:p>
            <w:pPr/>
          </w:p>
        </w:tc>
      </w:tr>
      <w:tr>
        <w:trPr>
          <w:trHeight w:val="207" w:hRule="exact"/>
        </w:trPr>
        <w:tc>
          <w:tcPr>
            <w:tcW w:w="3536" w:type="dxa"/>
          </w:tcPr>
          <w:p>
            <w:pPr>
              <w:pStyle w:val="TableParagraph"/>
              <w:spacing w:line="240" w:lineRule="auto" w:before="28"/>
              <w:ind w:left="1901"/>
              <w:rPr>
                <w:b/>
                <w:sz w:val="12"/>
              </w:rPr>
            </w:pPr>
            <w:r>
              <w:rPr>
                <w:b/>
                <w:sz w:val="12"/>
              </w:rPr>
              <w:t>eléctricamente   en  forma</w:t>
            </w:r>
          </w:p>
        </w:tc>
        <w:tc>
          <w:tcPr>
            <w:tcW w:w="922" w:type="dxa"/>
          </w:tcPr>
          <w:p>
            <w:pPr/>
          </w:p>
        </w:tc>
        <w:tc>
          <w:tcPr>
            <w:tcW w:w="716" w:type="dxa"/>
          </w:tcPr>
          <w:p>
            <w:pPr/>
          </w:p>
        </w:tc>
        <w:tc>
          <w:tcPr>
            <w:tcW w:w="1294" w:type="dxa"/>
          </w:tcPr>
          <w:p>
            <w:pPr/>
          </w:p>
        </w:tc>
        <w:tc>
          <w:tcPr>
            <w:tcW w:w="1197" w:type="dxa"/>
          </w:tcPr>
          <w:p>
            <w:pPr/>
          </w:p>
        </w:tc>
        <w:tc>
          <w:tcPr>
            <w:tcW w:w="1839" w:type="dxa"/>
          </w:tcPr>
          <w:p>
            <w:pPr/>
          </w:p>
        </w:tc>
      </w:tr>
      <w:tr>
        <w:trPr>
          <w:trHeight w:val="428" w:hRule="exact"/>
        </w:trPr>
        <w:tc>
          <w:tcPr>
            <w:tcW w:w="3536" w:type="dxa"/>
          </w:tcPr>
          <w:p>
            <w:pPr>
              <w:pStyle w:val="TableParagraph"/>
              <w:tabs>
                <w:tab w:pos="1901" w:val="left" w:leader="none"/>
                <w:tab w:pos="2846" w:val="left" w:leader="none"/>
              </w:tabs>
              <w:spacing w:line="350" w:lineRule="auto" w:before="32"/>
              <w:ind w:left="1901" w:right="107" w:hanging="1364"/>
              <w:rPr>
                <w:b/>
                <w:sz w:val="12"/>
              </w:rPr>
            </w:pPr>
            <w:r>
              <w:rPr>
                <w:sz w:val="12"/>
              </w:rPr>
              <w:t>Plata</w:t>
            </w:r>
            <w:r>
              <w:rPr>
                <w:spacing w:val="-3"/>
                <w:sz w:val="12"/>
              </w:rPr>
              <w:t> </w:t>
            </w:r>
            <w:r>
              <w:rPr>
                <w:sz w:val="12"/>
              </w:rPr>
              <w:t>coloidal</w:t>
              <w:tab/>
            </w:r>
            <w:r>
              <w:rPr>
                <w:b/>
                <w:sz w:val="12"/>
              </w:rPr>
              <w:t>de   átomos   y  </w:t>
            </w:r>
            <w:r>
              <w:rPr>
                <w:b/>
                <w:spacing w:val="21"/>
                <w:sz w:val="12"/>
              </w:rPr>
              <w:t> </w:t>
            </w:r>
            <w:r>
              <w:rPr>
                <w:b/>
                <w:sz w:val="12"/>
              </w:rPr>
              <w:t>unidas  </w:t>
            </w:r>
            <w:r>
              <w:rPr>
                <w:b/>
                <w:spacing w:val="7"/>
                <w:sz w:val="12"/>
              </w:rPr>
              <w:t> </w:t>
            </w:r>
            <w:r>
              <w:rPr>
                <w:b/>
                <w:sz w:val="12"/>
              </w:rPr>
              <w:t>a</w:t>
            </w:r>
            <w:r>
              <w:rPr>
                <w:b/>
                <w:w w:val="99"/>
                <w:sz w:val="12"/>
              </w:rPr>
              <w:t> </w:t>
            </w:r>
            <w:r>
              <w:rPr>
                <w:b/>
                <w:sz w:val="12"/>
              </w:rPr>
              <w:t>proteínas</w:t>
              <w:tab/>
            </w:r>
            <w:r>
              <w:rPr>
                <w:b/>
                <w:spacing w:val="-1"/>
                <w:sz w:val="12"/>
              </w:rPr>
              <w:t>(grenetina</w:t>
            </w:r>
          </w:p>
        </w:tc>
        <w:tc>
          <w:tcPr>
            <w:tcW w:w="922" w:type="dxa"/>
          </w:tcPr>
          <w:p>
            <w:pPr/>
          </w:p>
        </w:tc>
        <w:tc>
          <w:tcPr>
            <w:tcW w:w="716" w:type="dxa"/>
          </w:tcPr>
          <w:p>
            <w:pPr/>
          </w:p>
        </w:tc>
        <w:tc>
          <w:tcPr>
            <w:tcW w:w="1294" w:type="dxa"/>
          </w:tcPr>
          <w:p>
            <w:pPr/>
          </w:p>
        </w:tc>
        <w:tc>
          <w:tcPr>
            <w:tcW w:w="1197" w:type="dxa"/>
          </w:tcPr>
          <w:p>
            <w:pPr/>
          </w:p>
        </w:tc>
        <w:tc>
          <w:tcPr>
            <w:tcW w:w="1839" w:type="dxa"/>
          </w:tcPr>
          <w:p>
            <w:pPr/>
          </w:p>
        </w:tc>
      </w:tr>
    </w:tbl>
    <w:p>
      <w:pPr>
        <w:spacing w:line="367" w:lineRule="auto" w:before="12"/>
        <w:ind w:left="2055" w:right="6218" w:firstLine="0"/>
        <w:jc w:val="left"/>
        <w:rPr>
          <w:b/>
          <w:sz w:val="12"/>
        </w:rPr>
      </w:pPr>
      <w:r>
        <w:rPr>
          <w:b/>
          <w:sz w:val="12"/>
        </w:rPr>
        <w:t>albúmina), se usa como un potente</w:t>
      </w:r>
      <w:r>
        <w:rPr>
          <w:b/>
          <w:spacing w:val="-14"/>
          <w:sz w:val="12"/>
        </w:rPr>
        <w:t> </w:t>
      </w:r>
      <w:r>
        <w:rPr>
          <w:b/>
          <w:sz w:val="12"/>
        </w:rPr>
        <w:t>germicida.</w:t>
      </w:r>
    </w:p>
    <w:p>
      <w:pPr>
        <w:pStyle w:val="BodyText"/>
        <w:spacing w:line="20" w:lineRule="exact"/>
        <w:ind w:left="124"/>
        <w:rPr>
          <w:sz w:val="2"/>
        </w:rPr>
      </w:pPr>
      <w:r>
        <w:rPr>
          <w:sz w:val="2"/>
        </w:rPr>
        <w:pict>
          <v:group style="width:476.9pt;height:1pt;mso-position-horizontal-relative:char;mso-position-vertical-relative:line" coordorigin="0,0" coordsize="9538,20">
            <v:line style="position:absolute" from="10,10" to="1821,10" stroked="true" strokeweight=".96002pt" strokecolor="#9bba58"/>
            <v:line style="position:absolute" from="1806,10" to="1825,10" stroked="true" strokeweight=".96002pt" strokecolor="#9bba58"/>
            <v:line style="position:absolute" from="1825,10" to="3568,10" stroked="true" strokeweight=".96002pt" strokecolor="#9bba58"/>
            <v:line style="position:absolute" from="3554,10" to="3573,10" stroked="true" strokeweight=".96002pt" strokecolor="#9bba58"/>
            <v:line style="position:absolute" from="3573,10" to="5273,10" stroked="true" strokeweight=".96002pt" strokecolor="#9bba58"/>
            <v:line style="position:absolute" from="5258,10" to="5278,10" stroked="true" strokeweight=".96002pt" strokecolor="#9bba58"/>
            <v:line style="position:absolute" from="5278,10" to="6694,10" stroked="true" strokeweight=".96002pt" strokecolor="#9bba58"/>
            <v:line style="position:absolute" from="6680,10" to="6699,10" stroked="true" strokeweight=".96002pt" strokecolor="#9bba58"/>
            <v:line style="position:absolute" from="6699,10" to="7967,10" stroked="true" strokeweight=".96002pt" strokecolor="#9bba58"/>
            <v:line style="position:absolute" from="7953,10" to="7972,10" stroked="true" strokeweight=".96002pt" strokecolor="#9bba58"/>
            <v:line style="position:absolute" from="7972,10" to="9527,10" stroked="true" strokeweight=".96002pt" strokecolor="#9bba58"/>
          </v:group>
        </w:pict>
      </w:r>
      <w:r>
        <w:rPr>
          <w:sz w:val="2"/>
        </w:rPr>
      </w:r>
    </w:p>
    <w:p>
      <w:pPr>
        <w:spacing w:after="0" w:line="20" w:lineRule="exact"/>
        <w:rPr>
          <w:sz w:val="2"/>
        </w:rPr>
        <w:sectPr>
          <w:type w:val="continuous"/>
          <w:pgSz w:w="12240" w:h="15840"/>
          <w:pgMar w:top="480" w:bottom="280" w:left="1440" w:right="1020"/>
        </w:sectPr>
      </w:pPr>
    </w:p>
    <w:p>
      <w:pPr>
        <w:pStyle w:val="BodyText"/>
        <w:spacing w:before="6"/>
        <w:rPr>
          <w:b/>
          <w:sz w:val="16"/>
        </w:rPr>
      </w:pPr>
    </w:p>
    <w:p>
      <w:pPr>
        <w:pStyle w:val="Heading2"/>
        <w:spacing w:before="69"/>
        <w:ind w:right="387"/>
      </w:pPr>
      <w:r>
        <w:rPr/>
        <w:t>Material</w:t>
      </w:r>
    </w:p>
    <w:p>
      <w:pPr>
        <w:pStyle w:val="BodyText"/>
        <w:rPr>
          <w:b/>
        </w:rPr>
      </w:pPr>
    </w:p>
    <w:p>
      <w:pPr>
        <w:pStyle w:val="BodyText"/>
        <w:rPr>
          <w:b/>
        </w:rPr>
      </w:pPr>
    </w:p>
    <w:p>
      <w:pPr>
        <w:pStyle w:val="BodyText"/>
        <w:spacing w:before="4"/>
        <w:rPr>
          <w:b/>
          <w:sz w:val="21"/>
        </w:rPr>
      </w:pPr>
    </w:p>
    <w:p>
      <w:pPr>
        <w:pStyle w:val="ListParagraph"/>
        <w:numPr>
          <w:ilvl w:val="0"/>
          <w:numId w:val="7"/>
        </w:numPr>
        <w:tabs>
          <w:tab w:pos="940" w:val="left" w:leader="none"/>
          <w:tab w:pos="941" w:val="left" w:leader="none"/>
        </w:tabs>
        <w:spacing w:line="350" w:lineRule="auto" w:before="0" w:after="0"/>
        <w:ind w:left="940" w:right="228" w:hanging="360"/>
        <w:jc w:val="left"/>
        <w:rPr>
          <w:sz w:val="24"/>
        </w:rPr>
      </w:pPr>
      <w:r>
        <w:rPr>
          <w:sz w:val="24"/>
        </w:rPr>
        <w:t>35 Unidades dentales con sistema cerrado de agua de la facultad de odontología de la</w:t>
      </w:r>
      <w:r>
        <w:rPr>
          <w:spacing w:val="-17"/>
          <w:sz w:val="24"/>
        </w:rPr>
        <w:t> </w:t>
      </w:r>
      <w:r>
        <w:rPr>
          <w:sz w:val="24"/>
        </w:rPr>
        <w:t>UAEM.</w:t>
      </w:r>
    </w:p>
    <w:p>
      <w:pPr>
        <w:pStyle w:val="ListParagraph"/>
        <w:numPr>
          <w:ilvl w:val="0"/>
          <w:numId w:val="7"/>
        </w:numPr>
        <w:tabs>
          <w:tab w:pos="940" w:val="left" w:leader="none"/>
          <w:tab w:pos="941" w:val="left" w:leader="none"/>
        </w:tabs>
        <w:spacing w:line="240" w:lineRule="auto" w:before="16" w:after="0"/>
        <w:ind w:left="940" w:right="0" w:hanging="360"/>
        <w:jc w:val="left"/>
        <w:rPr>
          <w:sz w:val="24"/>
        </w:rPr>
      </w:pPr>
      <w:r>
        <w:rPr>
          <w:sz w:val="24"/>
        </w:rPr>
        <w:t>105 botellas de plástico para unidades</w:t>
      </w:r>
      <w:r>
        <w:rPr>
          <w:spacing w:val="-24"/>
          <w:sz w:val="24"/>
        </w:rPr>
        <w:t> </w:t>
      </w:r>
      <w:r>
        <w:rPr>
          <w:sz w:val="24"/>
        </w:rPr>
        <w:t>dentales.</w:t>
      </w:r>
    </w:p>
    <w:p>
      <w:pPr>
        <w:pStyle w:val="ListParagraph"/>
        <w:numPr>
          <w:ilvl w:val="0"/>
          <w:numId w:val="7"/>
        </w:numPr>
        <w:tabs>
          <w:tab w:pos="940" w:val="left" w:leader="none"/>
          <w:tab w:pos="941" w:val="left" w:leader="none"/>
        </w:tabs>
        <w:spacing w:line="355" w:lineRule="auto" w:before="133" w:after="0"/>
        <w:ind w:left="940" w:right="228" w:hanging="360"/>
        <w:jc w:val="left"/>
        <w:rPr>
          <w:sz w:val="24"/>
        </w:rPr>
      </w:pPr>
      <w:r>
        <w:rPr>
          <w:sz w:val="24"/>
        </w:rPr>
        <w:t>168 Metros de manguera para pieza de alta velocidad de plástico suave, doble entrada, marca</w:t>
      </w:r>
      <w:r>
        <w:rPr>
          <w:spacing w:val="-16"/>
          <w:sz w:val="24"/>
        </w:rPr>
        <w:t> </w:t>
      </w:r>
      <w:r>
        <w:rPr>
          <w:sz w:val="24"/>
        </w:rPr>
        <w:t>nacional.</w:t>
      </w:r>
    </w:p>
    <w:p>
      <w:pPr>
        <w:pStyle w:val="ListParagraph"/>
        <w:numPr>
          <w:ilvl w:val="0"/>
          <w:numId w:val="7"/>
        </w:numPr>
        <w:tabs>
          <w:tab w:pos="940" w:val="left" w:leader="none"/>
          <w:tab w:pos="941" w:val="left" w:leader="none"/>
        </w:tabs>
        <w:spacing w:line="240" w:lineRule="auto" w:before="6" w:after="0"/>
        <w:ind w:left="940" w:right="0" w:hanging="360"/>
        <w:jc w:val="left"/>
        <w:rPr>
          <w:sz w:val="24"/>
        </w:rPr>
      </w:pPr>
      <w:r>
        <w:rPr>
          <w:sz w:val="24"/>
        </w:rPr>
        <w:t>10 galones de 5 litros de Gluconato de Clorhexidina al</w:t>
      </w:r>
      <w:r>
        <w:rPr>
          <w:spacing w:val="-27"/>
          <w:sz w:val="24"/>
        </w:rPr>
        <w:t> </w:t>
      </w:r>
      <w:r>
        <w:rPr>
          <w:sz w:val="24"/>
        </w:rPr>
        <w:t>0.12%.</w:t>
      </w:r>
    </w:p>
    <w:p>
      <w:pPr>
        <w:pStyle w:val="ListParagraph"/>
        <w:numPr>
          <w:ilvl w:val="0"/>
          <w:numId w:val="7"/>
        </w:numPr>
        <w:tabs>
          <w:tab w:pos="940" w:val="left" w:leader="none"/>
          <w:tab w:pos="941" w:val="left" w:leader="none"/>
        </w:tabs>
        <w:spacing w:line="240" w:lineRule="auto" w:before="138" w:after="0"/>
        <w:ind w:left="940" w:right="0" w:hanging="360"/>
        <w:jc w:val="left"/>
        <w:rPr>
          <w:sz w:val="24"/>
        </w:rPr>
      </w:pPr>
      <w:r>
        <w:rPr>
          <w:sz w:val="24"/>
        </w:rPr>
        <w:t>8 botes de 20ml de Plata coloidal al 0.38% Marca</w:t>
      </w:r>
      <w:r>
        <w:rPr>
          <w:spacing w:val="-22"/>
          <w:sz w:val="24"/>
        </w:rPr>
        <w:t> </w:t>
      </w:r>
      <w:r>
        <w:rPr>
          <w:sz w:val="24"/>
        </w:rPr>
        <w:t>comercial.</w:t>
      </w:r>
    </w:p>
    <w:p>
      <w:pPr>
        <w:pStyle w:val="ListParagraph"/>
        <w:numPr>
          <w:ilvl w:val="0"/>
          <w:numId w:val="7"/>
        </w:numPr>
        <w:tabs>
          <w:tab w:pos="940" w:val="left" w:leader="none"/>
          <w:tab w:pos="941" w:val="left" w:leader="none"/>
        </w:tabs>
        <w:spacing w:line="240" w:lineRule="auto" w:before="133" w:after="0"/>
        <w:ind w:left="940" w:right="0" w:hanging="360"/>
        <w:jc w:val="left"/>
        <w:rPr>
          <w:sz w:val="24"/>
        </w:rPr>
      </w:pPr>
      <w:r>
        <w:rPr>
          <w:sz w:val="24"/>
        </w:rPr>
        <w:t>9 recipientes de plástico con llave para</w:t>
      </w:r>
      <w:r>
        <w:rPr>
          <w:spacing w:val="-21"/>
          <w:sz w:val="24"/>
        </w:rPr>
        <w:t> </w:t>
      </w:r>
      <w:r>
        <w:rPr>
          <w:sz w:val="24"/>
        </w:rPr>
        <w:t>agua.</w:t>
      </w:r>
    </w:p>
    <w:p>
      <w:pPr>
        <w:pStyle w:val="ListParagraph"/>
        <w:numPr>
          <w:ilvl w:val="0"/>
          <w:numId w:val="7"/>
        </w:numPr>
        <w:tabs>
          <w:tab w:pos="940" w:val="left" w:leader="none"/>
          <w:tab w:pos="941" w:val="left" w:leader="none"/>
        </w:tabs>
        <w:spacing w:line="240" w:lineRule="auto" w:before="138" w:after="0"/>
        <w:ind w:left="940" w:right="0" w:hanging="360"/>
        <w:jc w:val="left"/>
        <w:rPr>
          <w:sz w:val="24"/>
        </w:rPr>
      </w:pPr>
      <w:r>
        <w:rPr>
          <w:sz w:val="24"/>
        </w:rPr>
        <w:t>3 Cronómetros de precisión  marca Taylor</w:t>
      </w:r>
      <w:r>
        <w:rPr>
          <w:spacing w:val="-27"/>
          <w:sz w:val="24"/>
        </w:rPr>
        <w:t> </w:t>
      </w:r>
      <w:r>
        <w:rPr>
          <w:sz w:val="24"/>
        </w:rPr>
        <w:t>5816M.</w:t>
      </w:r>
    </w:p>
    <w:p>
      <w:pPr>
        <w:pStyle w:val="ListParagraph"/>
        <w:numPr>
          <w:ilvl w:val="0"/>
          <w:numId w:val="7"/>
        </w:numPr>
        <w:tabs>
          <w:tab w:pos="940" w:val="left" w:leader="none"/>
          <w:tab w:pos="941" w:val="left" w:leader="none"/>
        </w:tabs>
        <w:spacing w:line="240" w:lineRule="auto" w:before="138" w:after="0"/>
        <w:ind w:left="940" w:right="0" w:hanging="360"/>
        <w:jc w:val="left"/>
        <w:rPr>
          <w:sz w:val="24"/>
        </w:rPr>
      </w:pPr>
      <w:r>
        <w:rPr>
          <w:sz w:val="24"/>
        </w:rPr>
        <w:t>33 paquetes de placas de agar BCYE para</w:t>
      </w:r>
      <w:r>
        <w:rPr>
          <w:spacing w:val="-15"/>
          <w:sz w:val="24"/>
        </w:rPr>
        <w:t> </w:t>
      </w:r>
      <w:r>
        <w:rPr>
          <w:sz w:val="24"/>
        </w:rPr>
        <w:t>Legionella.</w:t>
      </w:r>
    </w:p>
    <w:p>
      <w:pPr>
        <w:pStyle w:val="ListParagraph"/>
        <w:numPr>
          <w:ilvl w:val="0"/>
          <w:numId w:val="7"/>
        </w:numPr>
        <w:tabs>
          <w:tab w:pos="940" w:val="left" w:leader="none"/>
          <w:tab w:pos="941" w:val="left" w:leader="none"/>
        </w:tabs>
        <w:spacing w:line="240" w:lineRule="auto" w:before="133" w:after="0"/>
        <w:ind w:left="940" w:right="0" w:hanging="360"/>
        <w:jc w:val="left"/>
        <w:rPr>
          <w:sz w:val="24"/>
        </w:rPr>
      </w:pPr>
      <w:r>
        <w:rPr>
          <w:sz w:val="24"/>
        </w:rPr>
        <w:t>1 paquetes de 500grs de agar</w:t>
      </w:r>
      <w:r>
        <w:rPr>
          <w:spacing w:val="-17"/>
          <w:sz w:val="24"/>
        </w:rPr>
        <w:t> </w:t>
      </w:r>
      <w:r>
        <w:rPr>
          <w:sz w:val="24"/>
        </w:rPr>
        <w:t>nutritivo</w:t>
      </w:r>
    </w:p>
    <w:p>
      <w:pPr>
        <w:pStyle w:val="ListParagraph"/>
        <w:numPr>
          <w:ilvl w:val="0"/>
          <w:numId w:val="7"/>
        </w:numPr>
        <w:tabs>
          <w:tab w:pos="940" w:val="left" w:leader="none"/>
          <w:tab w:pos="941" w:val="left" w:leader="none"/>
        </w:tabs>
        <w:spacing w:line="240" w:lineRule="auto" w:before="138" w:after="0"/>
        <w:ind w:left="940" w:right="0" w:hanging="360"/>
        <w:jc w:val="left"/>
        <w:rPr>
          <w:sz w:val="24"/>
        </w:rPr>
      </w:pPr>
      <w:r>
        <w:rPr>
          <w:sz w:val="24"/>
        </w:rPr>
        <w:t>1 paquetes de 500grs de Caldo</w:t>
      </w:r>
      <w:r>
        <w:rPr>
          <w:spacing w:val="-16"/>
          <w:sz w:val="24"/>
        </w:rPr>
        <w:t> </w:t>
      </w:r>
      <w:r>
        <w:rPr>
          <w:sz w:val="24"/>
        </w:rPr>
        <w:t>nutritivo</w:t>
      </w:r>
    </w:p>
    <w:p>
      <w:pPr>
        <w:pStyle w:val="ListParagraph"/>
        <w:numPr>
          <w:ilvl w:val="0"/>
          <w:numId w:val="7"/>
        </w:numPr>
        <w:tabs>
          <w:tab w:pos="940" w:val="left" w:leader="none"/>
          <w:tab w:pos="941" w:val="left" w:leader="none"/>
        </w:tabs>
        <w:spacing w:line="240" w:lineRule="auto" w:before="133" w:after="0"/>
        <w:ind w:left="940" w:right="0" w:hanging="360"/>
        <w:jc w:val="left"/>
        <w:rPr>
          <w:sz w:val="24"/>
        </w:rPr>
      </w:pPr>
      <w:r>
        <w:rPr>
          <w:sz w:val="24"/>
        </w:rPr>
        <w:t>5 paquetes de 150 cajas petri desechables sin división de</w:t>
      </w:r>
      <w:r>
        <w:rPr>
          <w:spacing w:val="-34"/>
          <w:sz w:val="24"/>
        </w:rPr>
        <w:t> </w:t>
      </w:r>
      <w:r>
        <w:rPr>
          <w:sz w:val="24"/>
        </w:rPr>
        <w:t>100x15mm</w:t>
      </w:r>
    </w:p>
    <w:p>
      <w:pPr>
        <w:pStyle w:val="ListParagraph"/>
        <w:numPr>
          <w:ilvl w:val="0"/>
          <w:numId w:val="7"/>
        </w:numPr>
        <w:tabs>
          <w:tab w:pos="940" w:val="left" w:leader="none"/>
          <w:tab w:pos="941" w:val="left" w:leader="none"/>
        </w:tabs>
        <w:spacing w:line="240" w:lineRule="auto" w:before="138" w:after="0"/>
        <w:ind w:left="940" w:right="0" w:hanging="360"/>
        <w:jc w:val="left"/>
        <w:rPr>
          <w:sz w:val="24"/>
        </w:rPr>
      </w:pPr>
      <w:r>
        <w:rPr>
          <w:sz w:val="24"/>
        </w:rPr>
        <w:t>31 paquetes de 10  tubos de</w:t>
      </w:r>
      <w:r>
        <w:rPr>
          <w:spacing w:val="-12"/>
          <w:sz w:val="24"/>
        </w:rPr>
        <w:t> </w:t>
      </w:r>
      <w:r>
        <w:rPr>
          <w:sz w:val="24"/>
        </w:rPr>
        <w:t>ensayo</w:t>
      </w:r>
    </w:p>
    <w:p>
      <w:pPr>
        <w:pStyle w:val="ListParagraph"/>
        <w:numPr>
          <w:ilvl w:val="0"/>
          <w:numId w:val="7"/>
        </w:numPr>
        <w:tabs>
          <w:tab w:pos="940" w:val="left" w:leader="none"/>
          <w:tab w:pos="941" w:val="left" w:leader="none"/>
        </w:tabs>
        <w:spacing w:line="240" w:lineRule="auto" w:before="138" w:after="0"/>
        <w:ind w:left="940" w:right="0" w:hanging="360"/>
        <w:jc w:val="left"/>
        <w:rPr>
          <w:sz w:val="24"/>
        </w:rPr>
      </w:pPr>
      <w:r>
        <w:rPr>
          <w:sz w:val="24"/>
        </w:rPr>
        <w:t>7 paquetes de 100 aplicadores de madera con algodón</w:t>
      </w:r>
      <w:r>
        <w:rPr>
          <w:spacing w:val="-33"/>
          <w:sz w:val="24"/>
        </w:rPr>
        <w:t> </w:t>
      </w:r>
      <w:r>
        <w:rPr>
          <w:sz w:val="24"/>
        </w:rPr>
        <w:t>estéril</w:t>
      </w:r>
    </w:p>
    <w:p>
      <w:pPr>
        <w:pStyle w:val="ListParagraph"/>
        <w:numPr>
          <w:ilvl w:val="0"/>
          <w:numId w:val="7"/>
        </w:numPr>
        <w:tabs>
          <w:tab w:pos="940" w:val="left" w:leader="none"/>
          <w:tab w:pos="941" w:val="left" w:leader="none"/>
        </w:tabs>
        <w:spacing w:line="240" w:lineRule="auto" w:before="133" w:after="0"/>
        <w:ind w:left="940" w:right="0" w:hanging="360"/>
        <w:jc w:val="left"/>
        <w:rPr>
          <w:sz w:val="24"/>
        </w:rPr>
      </w:pPr>
      <w:r>
        <w:rPr>
          <w:sz w:val="24"/>
        </w:rPr>
        <w:t>11 paquetes de 10 Bolsas recolectoras de orina para</w:t>
      </w:r>
      <w:r>
        <w:rPr>
          <w:spacing w:val="-23"/>
          <w:sz w:val="24"/>
        </w:rPr>
        <w:t> </w:t>
      </w:r>
      <w:r>
        <w:rPr>
          <w:sz w:val="24"/>
        </w:rPr>
        <w:t>niño.</w:t>
      </w:r>
    </w:p>
    <w:p>
      <w:pPr>
        <w:pStyle w:val="ListParagraph"/>
        <w:numPr>
          <w:ilvl w:val="0"/>
          <w:numId w:val="7"/>
        </w:numPr>
        <w:tabs>
          <w:tab w:pos="940" w:val="left" w:leader="none"/>
          <w:tab w:pos="941" w:val="left" w:leader="none"/>
        </w:tabs>
        <w:spacing w:line="240" w:lineRule="auto" w:before="138" w:after="0"/>
        <w:ind w:left="940" w:right="0" w:hanging="360"/>
        <w:jc w:val="left"/>
        <w:rPr>
          <w:sz w:val="24"/>
        </w:rPr>
      </w:pPr>
      <w:r>
        <w:rPr>
          <w:sz w:val="24"/>
        </w:rPr>
        <w:t>35 Tijeras para cirugía</w:t>
      </w:r>
      <w:r>
        <w:rPr>
          <w:spacing w:val="-16"/>
          <w:sz w:val="24"/>
        </w:rPr>
        <w:t> </w:t>
      </w:r>
      <w:r>
        <w:rPr>
          <w:sz w:val="24"/>
        </w:rPr>
        <w:t>estériles</w:t>
      </w:r>
    </w:p>
    <w:p>
      <w:pPr>
        <w:pStyle w:val="ListParagraph"/>
        <w:numPr>
          <w:ilvl w:val="0"/>
          <w:numId w:val="7"/>
        </w:numPr>
        <w:tabs>
          <w:tab w:pos="940" w:val="left" w:leader="none"/>
          <w:tab w:pos="941" w:val="left" w:leader="none"/>
        </w:tabs>
        <w:spacing w:line="240" w:lineRule="auto" w:before="138" w:after="0"/>
        <w:ind w:left="940" w:right="0" w:hanging="360"/>
        <w:jc w:val="left"/>
        <w:rPr>
          <w:sz w:val="24"/>
        </w:rPr>
      </w:pPr>
      <w:r>
        <w:rPr>
          <w:sz w:val="24"/>
        </w:rPr>
        <w:t>1 Kit para tinción de</w:t>
      </w:r>
      <w:r>
        <w:rPr>
          <w:spacing w:val="-9"/>
          <w:sz w:val="24"/>
        </w:rPr>
        <w:t> </w:t>
      </w:r>
      <w:r>
        <w:rPr>
          <w:sz w:val="24"/>
        </w:rPr>
        <w:t>Gram</w:t>
      </w:r>
    </w:p>
    <w:p>
      <w:pPr>
        <w:pStyle w:val="ListParagraph"/>
        <w:numPr>
          <w:ilvl w:val="0"/>
          <w:numId w:val="7"/>
        </w:numPr>
        <w:tabs>
          <w:tab w:pos="940" w:val="left" w:leader="none"/>
          <w:tab w:pos="941" w:val="left" w:leader="none"/>
        </w:tabs>
        <w:spacing w:line="240" w:lineRule="auto" w:before="133" w:after="0"/>
        <w:ind w:left="940" w:right="0" w:hanging="360"/>
        <w:jc w:val="left"/>
        <w:rPr>
          <w:sz w:val="24"/>
        </w:rPr>
      </w:pPr>
      <w:r>
        <w:rPr>
          <w:sz w:val="24"/>
        </w:rPr>
        <w:t>2 cajas de</w:t>
      </w:r>
      <w:r>
        <w:rPr>
          <w:spacing w:val="-7"/>
          <w:sz w:val="24"/>
        </w:rPr>
        <w:t> </w:t>
      </w:r>
      <w:r>
        <w:rPr>
          <w:sz w:val="24"/>
        </w:rPr>
        <w:t>Porta-objetos</w:t>
      </w:r>
    </w:p>
    <w:p>
      <w:pPr>
        <w:pStyle w:val="ListParagraph"/>
        <w:numPr>
          <w:ilvl w:val="0"/>
          <w:numId w:val="7"/>
        </w:numPr>
        <w:tabs>
          <w:tab w:pos="940" w:val="left" w:leader="none"/>
          <w:tab w:pos="941" w:val="left" w:leader="none"/>
        </w:tabs>
        <w:spacing w:line="240" w:lineRule="auto" w:before="138" w:after="0"/>
        <w:ind w:left="940" w:right="0" w:hanging="360"/>
        <w:jc w:val="left"/>
        <w:rPr>
          <w:sz w:val="24"/>
        </w:rPr>
      </w:pPr>
      <w:r>
        <w:rPr>
          <w:sz w:val="24"/>
        </w:rPr>
        <w:t>Plasma para prueba de</w:t>
      </w:r>
      <w:r>
        <w:rPr>
          <w:spacing w:val="-11"/>
          <w:sz w:val="24"/>
        </w:rPr>
        <w:t> </w:t>
      </w:r>
      <w:r>
        <w:rPr>
          <w:sz w:val="24"/>
        </w:rPr>
        <w:t>coagulasa</w:t>
      </w:r>
    </w:p>
    <w:p>
      <w:pPr>
        <w:pStyle w:val="ListParagraph"/>
        <w:numPr>
          <w:ilvl w:val="0"/>
          <w:numId w:val="7"/>
        </w:numPr>
        <w:tabs>
          <w:tab w:pos="940" w:val="left" w:leader="none"/>
          <w:tab w:pos="941" w:val="left" w:leader="none"/>
        </w:tabs>
        <w:spacing w:line="240" w:lineRule="auto" w:before="133" w:after="0"/>
        <w:ind w:left="940" w:right="0" w:hanging="360"/>
        <w:jc w:val="left"/>
        <w:rPr>
          <w:sz w:val="24"/>
        </w:rPr>
      </w:pPr>
      <w:r>
        <w:rPr>
          <w:sz w:val="24"/>
        </w:rPr>
        <w:t>Peróxido de hidrogeno al</w:t>
      </w:r>
      <w:r>
        <w:rPr>
          <w:spacing w:val="-13"/>
          <w:sz w:val="24"/>
        </w:rPr>
        <w:t> </w:t>
      </w:r>
      <w:r>
        <w:rPr>
          <w:sz w:val="24"/>
        </w:rPr>
        <w:t>30%</w:t>
      </w:r>
    </w:p>
    <w:p>
      <w:pPr>
        <w:pStyle w:val="ListParagraph"/>
        <w:numPr>
          <w:ilvl w:val="0"/>
          <w:numId w:val="7"/>
        </w:numPr>
        <w:tabs>
          <w:tab w:pos="940" w:val="left" w:leader="none"/>
          <w:tab w:pos="941" w:val="left" w:leader="none"/>
        </w:tabs>
        <w:spacing w:line="240" w:lineRule="auto" w:before="138" w:after="0"/>
        <w:ind w:left="940" w:right="0" w:hanging="360"/>
        <w:jc w:val="left"/>
        <w:rPr>
          <w:sz w:val="24"/>
        </w:rPr>
      </w:pPr>
      <w:r>
        <w:rPr>
          <w:sz w:val="24"/>
        </w:rPr>
        <w:t>Agua</w:t>
      </w:r>
      <w:r>
        <w:rPr>
          <w:spacing w:val="-4"/>
          <w:sz w:val="24"/>
        </w:rPr>
        <w:t> </w:t>
      </w:r>
      <w:r>
        <w:rPr>
          <w:sz w:val="24"/>
        </w:rPr>
        <w:t>destilada.</w:t>
      </w:r>
    </w:p>
    <w:p>
      <w:pPr>
        <w:spacing w:after="0" w:line="240" w:lineRule="auto"/>
        <w:jc w:val="left"/>
        <w:rPr>
          <w:sz w:val="24"/>
        </w:rPr>
        <w:sectPr>
          <w:pgSz w:w="12240" w:h="15840"/>
          <w:pgMar w:header="731" w:footer="1012" w:top="1160" w:bottom="1200" w:left="1480" w:right="1480"/>
        </w:sectPr>
      </w:pPr>
    </w:p>
    <w:p>
      <w:pPr>
        <w:pStyle w:val="BodyText"/>
        <w:spacing w:before="6"/>
        <w:rPr>
          <w:sz w:val="16"/>
        </w:rPr>
      </w:pPr>
    </w:p>
    <w:p>
      <w:pPr>
        <w:pStyle w:val="Heading2"/>
        <w:spacing w:before="69"/>
        <w:jc w:val="both"/>
      </w:pPr>
      <w:r>
        <w:rPr/>
        <w:t>Metodología</w:t>
      </w:r>
    </w:p>
    <w:p>
      <w:pPr>
        <w:pStyle w:val="BodyText"/>
        <w:spacing w:before="11"/>
        <w:rPr>
          <w:b/>
          <w:sz w:val="31"/>
        </w:rPr>
      </w:pPr>
    </w:p>
    <w:p>
      <w:pPr>
        <w:pStyle w:val="BodyText"/>
        <w:spacing w:line="360" w:lineRule="auto"/>
        <w:ind w:left="219" w:right="216"/>
        <w:jc w:val="both"/>
      </w:pPr>
      <w:r>
        <w:rPr/>
        <w:t>Fueron seleccionadas tres clínicas de la Facultad de Odontología de  la Universidad Autónoma del Estado de México, correspondientes a la práctica  clínica de endodoncia, odontopediatría y operatoria dental. Todas ellas con unidades dentales de reciente adquisición </w:t>
      </w:r>
      <w:r>
        <w:rPr>
          <w:spacing w:val="-2"/>
        </w:rPr>
        <w:t>(menor </w:t>
      </w:r>
      <w:r>
        <w:rPr/>
        <w:t>a seis meses), que utilizan de manera diaria la pieza de mano de alta velocidad y que no fueron sometidas a ningún tratamiento de desinfección antes del estudio. </w:t>
      </w:r>
      <w:r>
        <w:rPr>
          <w:spacing w:val="-3"/>
        </w:rPr>
        <w:t>De </w:t>
      </w:r>
      <w:r>
        <w:rPr/>
        <w:t>dichas clínicas fue tomada una muestra aleatoria de 35 unidades dentales (Adec, Oregon) destinadas a la atención diaria de pacientes por los alumnos de la</w:t>
      </w:r>
      <w:r>
        <w:rPr>
          <w:spacing w:val="-28"/>
        </w:rPr>
        <w:t> </w:t>
      </w:r>
      <w:r>
        <w:rPr/>
        <w:t>institución.</w:t>
      </w:r>
    </w:p>
    <w:p>
      <w:pPr>
        <w:pStyle w:val="BodyText"/>
        <w:rPr>
          <w:sz w:val="20"/>
        </w:rPr>
      </w:pPr>
    </w:p>
    <w:p>
      <w:pPr>
        <w:pStyle w:val="BodyText"/>
        <w:spacing w:before="7"/>
        <w:rPr>
          <w:sz w:val="14"/>
        </w:rPr>
      </w:pPr>
      <w:r>
        <w:rPr/>
        <w:pict>
          <v:group style="position:absolute;margin-left:101.915001pt;margin-top:10.359882pt;width:200.55pt;height:221.15pt;mso-position-horizontal-relative:page;mso-position-vertical-relative:paragraph;z-index:1480;mso-wrap-distance-left:0;mso-wrap-distance-right:0" coordorigin="2038,207" coordsize="4011,4423">
            <v:shape style="position:absolute;left:2053;top:222;width:3981;height:4393" type="#_x0000_t75" stroked="false">
              <v:imagedata r:id="rId17" o:title=""/>
            </v:shape>
            <v:rect style="position:absolute;left:2046;top:215;width:3996;height:4408" filled="false" stroked="true" strokeweight=".75pt" strokecolor="#00af50"/>
            <w10:wrap type="topAndBottom"/>
          </v:group>
        </w:pict>
      </w:r>
      <w:r>
        <w:rPr/>
        <w:pict>
          <v:group style="position:absolute;margin-left:351.084991pt;margin-top:10.359882pt;width:158.950pt;height:221.1pt;mso-position-horizontal-relative:page;mso-position-vertical-relative:paragraph;z-index:1504;mso-wrap-distance-left:0;mso-wrap-distance-right:0" coordorigin="7022,207" coordsize="3179,4422">
            <v:shape style="position:absolute;left:7037;top:222;width:3149;height:4392" type="#_x0000_t75" stroked="false">
              <v:imagedata r:id="rId18" o:title=""/>
            </v:shape>
            <v:rect style="position:absolute;left:7029;top:215;width:3164;height:4407" filled="false" stroked="true" strokeweight=".75pt" strokecolor="#00af50"/>
            <w10:wrap type="topAndBottom"/>
          </v:group>
        </w:pict>
      </w:r>
    </w:p>
    <w:p>
      <w:pPr>
        <w:spacing w:before="115"/>
        <w:ind w:left="219" w:right="0" w:firstLine="0"/>
        <w:jc w:val="both"/>
        <w:rPr>
          <w:sz w:val="14"/>
        </w:rPr>
      </w:pPr>
      <w:r>
        <w:rPr>
          <w:sz w:val="14"/>
        </w:rPr>
        <w:t>Fuente: directa</w:t>
      </w:r>
    </w:p>
    <w:p>
      <w:pPr>
        <w:pStyle w:val="BodyText"/>
        <w:rPr>
          <w:sz w:val="14"/>
        </w:rPr>
      </w:pPr>
    </w:p>
    <w:p>
      <w:pPr>
        <w:pStyle w:val="BodyText"/>
        <w:rPr>
          <w:sz w:val="14"/>
        </w:rPr>
      </w:pPr>
    </w:p>
    <w:p>
      <w:pPr>
        <w:pStyle w:val="BodyText"/>
        <w:spacing w:before="6"/>
        <w:rPr>
          <w:sz w:val="14"/>
        </w:rPr>
      </w:pPr>
    </w:p>
    <w:p>
      <w:pPr>
        <w:pStyle w:val="BodyText"/>
        <w:spacing w:line="360" w:lineRule="auto"/>
        <w:ind w:left="219" w:right="215"/>
        <w:jc w:val="both"/>
      </w:pPr>
      <w:r>
        <w:rPr/>
        <w:t>Se realizó un estudio de tipo experimental, de diseño cruzado, por lo que cada unidad dental recibió los tres tratamientos a estudiar, cada uno con una duración de cuatro semanas. Para evitar el efecto de acarreo, al finalizar y comenzar una nueva intervención se colocaron botellas de abastecimiento de agua y mangueras nuevas. Y para controlar el efecto de posición se aleatorizó la secuencia de tratamientos y se cegó a los alumnos asignados a cada una de las unidades dentales.</w:t>
      </w:r>
    </w:p>
    <w:p>
      <w:pPr>
        <w:spacing w:after="0" w:line="360" w:lineRule="auto"/>
        <w:jc w:val="both"/>
        <w:sectPr>
          <w:pgSz w:w="12240" w:h="15840"/>
          <w:pgMar w:header="731" w:footer="1012" w:top="1160" w:bottom="1200" w:left="1480" w:right="1480"/>
        </w:sectPr>
      </w:pPr>
    </w:p>
    <w:p>
      <w:pPr>
        <w:pStyle w:val="BodyText"/>
        <w:rPr>
          <w:sz w:val="20"/>
        </w:rPr>
      </w:pPr>
    </w:p>
    <w:p>
      <w:pPr>
        <w:pStyle w:val="BodyText"/>
        <w:spacing w:before="6"/>
        <w:rPr>
          <w:sz w:val="19"/>
        </w:rPr>
      </w:pPr>
    </w:p>
    <w:p>
      <w:pPr>
        <w:pStyle w:val="BodyText"/>
        <w:ind w:left="100"/>
        <w:rPr>
          <w:sz w:val="20"/>
        </w:rPr>
      </w:pPr>
      <w:r>
        <w:rPr>
          <w:sz w:val="20"/>
        </w:rPr>
        <w:pict>
          <v:group style="width:472.8pt;height:259.5pt;mso-position-horizontal-relative:char;mso-position-vertical-relative:line" coordorigin="0,0" coordsize="9456,5190">
            <v:shape style="position:absolute;left:261;top:644;width:940;height:1254" type="#_x0000_t75" stroked="false">
              <v:imagedata r:id="rId20" o:title=""/>
            </v:shape>
            <v:shape style="position:absolute;left:0;top:0;width:4555;height:5102" type="#_x0000_t75" stroked="false">
              <v:imagedata r:id="rId21" o:title=""/>
            </v:shape>
            <v:shape style="position:absolute;left:4560;top:77;width:4896;height:509" type="#_x0000_t75" stroked="false">
              <v:imagedata r:id="rId22" o:title=""/>
            </v:shape>
            <v:shape style="position:absolute;left:5017;top:472;width:3530;height:4718" type="#_x0000_t75" stroked="false">
              <v:imagedata r:id="rId23" o:title=""/>
            </v:shape>
            <v:shape style="position:absolute;left:5184;top:567;width:3226;height:4296" type="#_x0000_t75" stroked="false">
              <v:imagedata r:id="rId24" o:title=""/>
            </v:shape>
            <v:shape style="position:absolute;left:7019;top:2281;width:1869;height:2810" type="#_x0000_t75" stroked="false">
              <v:imagedata r:id="rId25" o:title=""/>
            </v:shape>
            <v:rect style="position:absolute;left:7019;top:2281;width:1869;height:2810" filled="false" stroked="true" strokeweight=".75pt" strokecolor="#9bba58"/>
            <v:shape style="position:absolute;left:149;top:94;width:1438;height:240" type="#_x0000_t202" filled="false" stroked="false">
              <v:textbox inset="0,0,0,0">
                <w:txbxContent>
                  <w:p>
                    <w:pPr>
                      <w:spacing w:line="240" w:lineRule="exact" w:before="0"/>
                      <w:ind w:left="0" w:right="-13" w:firstLine="0"/>
                      <w:jc w:val="left"/>
                      <w:rPr>
                        <w:b/>
                        <w:sz w:val="24"/>
                      </w:rPr>
                    </w:pPr>
                    <w:r>
                      <w:rPr>
                        <w:b/>
                        <w:sz w:val="24"/>
                      </w:rPr>
                      <w:t>Primera</w:t>
                    </w:r>
                    <w:r>
                      <w:rPr>
                        <w:b/>
                        <w:spacing w:val="-10"/>
                        <w:sz w:val="24"/>
                      </w:rPr>
                      <w:t> </w:t>
                    </w:r>
                    <w:r>
                      <w:rPr>
                        <w:b/>
                        <w:sz w:val="24"/>
                      </w:rPr>
                      <w:t>fase</w:t>
                    </w:r>
                  </w:p>
                </w:txbxContent>
              </v:textbox>
              <w10:wrap type="none"/>
            </v:shape>
            <v:shape style="position:absolute;left:149;top:719;width:4252;height:1071" type="#_x0000_t202" filled="false" stroked="false">
              <v:textbox inset="0,0,0,0">
                <w:txbxContent>
                  <w:p>
                    <w:pPr>
                      <w:tabs>
                        <w:tab w:pos="527" w:val="left" w:leader="none"/>
                        <w:tab w:pos="1073" w:val="left" w:leader="none"/>
                        <w:tab w:pos="2138" w:val="left" w:leader="none"/>
                        <w:tab w:pos="2637" w:val="left" w:leader="none"/>
                      </w:tabs>
                      <w:spacing w:line="245" w:lineRule="exact" w:before="0"/>
                      <w:ind w:left="0" w:right="0" w:firstLine="0"/>
                      <w:jc w:val="left"/>
                      <w:rPr>
                        <w:sz w:val="24"/>
                      </w:rPr>
                    </w:pPr>
                    <w:r>
                      <w:rPr>
                        <w:sz w:val="24"/>
                      </w:rPr>
                      <w:t>En</w:t>
                      <w:tab/>
                      <w:t>las</w:t>
                      <w:tab/>
                      <w:t>botellas</w:t>
                      <w:tab/>
                      <w:t>de</w:t>
                      <w:tab/>
                    </w:r>
                    <w:r>
                      <w:rPr>
                        <w:spacing w:val="-1"/>
                        <w:sz w:val="24"/>
                      </w:rPr>
                      <w:t>abastecimiento</w:t>
                    </w:r>
                  </w:p>
                  <w:p>
                    <w:pPr>
                      <w:spacing w:line="410" w:lineRule="atLeast" w:before="7"/>
                      <w:ind w:left="0" w:right="-8" w:firstLine="0"/>
                      <w:jc w:val="left"/>
                      <w:rPr>
                        <w:sz w:val="24"/>
                      </w:rPr>
                    </w:pPr>
                    <w:r>
                      <w:rPr>
                        <w:sz w:val="24"/>
                      </w:rPr>
                      <w:t>independiente de agua de las unidades dentales  se  colocó  diariamente </w:t>
                    </w:r>
                    <w:r>
                      <w:rPr>
                        <w:spacing w:val="64"/>
                        <w:sz w:val="24"/>
                      </w:rPr>
                      <w:t> </w:t>
                    </w:r>
                    <w:r>
                      <w:rPr>
                        <w:sz w:val="24"/>
                      </w:rPr>
                      <w:t>agua</w:t>
                    </w:r>
                  </w:p>
                </w:txbxContent>
              </v:textbox>
              <w10:wrap type="none"/>
            </v:shape>
            <v:shape style="position:absolute;left:149;top:1963;width:791;height:240" type="#_x0000_t202" filled="false" stroked="false">
              <v:textbox inset="0,0,0,0">
                <w:txbxContent>
                  <w:p>
                    <w:pPr>
                      <w:spacing w:line="240" w:lineRule="exact" w:before="0"/>
                      <w:ind w:left="0" w:right="-17" w:firstLine="0"/>
                      <w:jc w:val="left"/>
                      <w:rPr>
                        <w:sz w:val="24"/>
                      </w:rPr>
                    </w:pPr>
                    <w:r>
                      <w:rPr>
                        <w:sz w:val="24"/>
                      </w:rPr>
                      <w:t>filtrada,</w:t>
                    </w:r>
                  </w:p>
                </w:txbxContent>
              </v:textbox>
              <w10:wrap type="none"/>
            </v:shape>
            <v:shape style="position:absolute;left:1483;top:1963;width:1255;height:240" type="#_x0000_t202" filled="false" stroked="false">
              <v:textbox inset="0,0,0,0">
                <w:txbxContent>
                  <w:p>
                    <w:pPr>
                      <w:spacing w:line="240" w:lineRule="exact" w:before="0"/>
                      <w:ind w:left="0" w:right="-20" w:firstLine="0"/>
                      <w:jc w:val="left"/>
                      <w:rPr>
                        <w:sz w:val="24"/>
                      </w:rPr>
                    </w:pPr>
                    <w:r>
                      <w:rPr>
                        <w:sz w:val="24"/>
                      </w:rPr>
                      <w:t>proveniente</w:t>
                    </w:r>
                  </w:p>
                </w:txbxContent>
              </v:textbox>
              <w10:wrap type="none"/>
            </v:shape>
            <v:shape style="position:absolute;left:3282;top:1963;width:268;height:240" type="#_x0000_t202" filled="false" stroked="false">
              <v:textbox inset="0,0,0,0">
                <w:txbxContent>
                  <w:p>
                    <w:pPr>
                      <w:spacing w:line="240" w:lineRule="exact" w:before="0"/>
                      <w:ind w:left="0" w:right="-19" w:firstLine="0"/>
                      <w:jc w:val="left"/>
                      <w:rPr>
                        <w:sz w:val="24"/>
                      </w:rPr>
                    </w:pPr>
                    <w:r>
                      <w:rPr>
                        <w:sz w:val="24"/>
                      </w:rPr>
                      <w:t>de</w:t>
                    </w:r>
                  </w:p>
                </w:txbxContent>
              </v:textbox>
              <w10:wrap type="none"/>
            </v:shape>
            <v:shape style="position:absolute;left:4093;top:1963;width:312;height:240" type="#_x0000_t202" filled="false" stroked="false">
              <v:textbox inset="0,0,0,0">
                <w:txbxContent>
                  <w:p>
                    <w:pPr>
                      <w:spacing w:line="240" w:lineRule="exact" w:before="0"/>
                      <w:ind w:left="0" w:right="-15" w:firstLine="0"/>
                      <w:jc w:val="left"/>
                      <w:rPr>
                        <w:sz w:val="24"/>
                      </w:rPr>
                    </w:pPr>
                    <w:r>
                      <w:rPr>
                        <w:sz w:val="24"/>
                      </w:rPr>
                      <w:t>los</w:t>
                    </w:r>
                  </w:p>
                </w:txbxContent>
              </v:textbox>
              <w10:wrap type="none"/>
            </v:shape>
            <v:shape style="position:absolute;left:149;top:2375;width:4254;height:1071" type="#_x0000_t202" filled="false" stroked="false">
              <v:textbox inset="0,0,0,0">
                <w:txbxContent>
                  <w:p>
                    <w:pPr>
                      <w:spacing w:line="245" w:lineRule="exact" w:before="0"/>
                      <w:ind w:left="0" w:right="0" w:firstLine="0"/>
                      <w:jc w:val="left"/>
                      <w:rPr>
                        <w:sz w:val="24"/>
                      </w:rPr>
                    </w:pPr>
                    <w:r>
                      <w:rPr>
                        <w:sz w:val="24"/>
                      </w:rPr>
                      <w:t>purificadores de la facultad y se  realizó</w:t>
                    </w:r>
                  </w:p>
                  <w:p>
                    <w:pPr>
                      <w:spacing w:line="410" w:lineRule="atLeast" w:before="7"/>
                      <w:ind w:left="0" w:right="0" w:firstLine="0"/>
                      <w:jc w:val="left"/>
                      <w:rPr>
                        <w:sz w:val="24"/>
                      </w:rPr>
                    </w:pPr>
                    <w:r>
                      <w:rPr>
                        <w:sz w:val="24"/>
                      </w:rPr>
                      <w:t>la purga de las líneas de agua 3 minutos cronometrados antes del  inicio</w:t>
                    </w:r>
                  </w:p>
                </w:txbxContent>
              </v:textbox>
              <w10:wrap type="none"/>
            </v:shape>
            <v:shape style="position:absolute;left:149;top:3619;width:268;height:240" type="#_x0000_t202" filled="false" stroked="false">
              <v:textbox inset="0,0,0,0">
                <w:txbxContent>
                  <w:p>
                    <w:pPr>
                      <w:spacing w:line="240" w:lineRule="exact" w:before="0"/>
                      <w:ind w:left="0" w:right="-19" w:firstLine="0"/>
                      <w:jc w:val="left"/>
                      <w:rPr>
                        <w:sz w:val="24"/>
                      </w:rPr>
                    </w:pPr>
                    <w:r>
                      <w:rPr>
                        <w:sz w:val="24"/>
                      </w:rPr>
                      <w:t>de</w:t>
                    </w:r>
                  </w:p>
                </w:txbxContent>
              </v:textbox>
              <w10:wrap type="none"/>
            </v:shape>
            <v:shape style="position:absolute;left:754;top:3619;width:3650;height:240" type="#_x0000_t202" filled="false" stroked="false">
              <v:textbox inset="0,0,0,0">
                <w:txbxContent>
                  <w:p>
                    <w:pPr>
                      <w:tabs>
                        <w:tab w:pos="642" w:val="left" w:leader="none"/>
                        <w:tab w:pos="2182" w:val="left" w:leader="none"/>
                        <w:tab w:pos="3381" w:val="left" w:leader="none"/>
                      </w:tabs>
                      <w:spacing w:line="240" w:lineRule="exact" w:before="0"/>
                      <w:ind w:left="0" w:right="0" w:firstLine="0"/>
                      <w:jc w:val="left"/>
                      <w:rPr>
                        <w:sz w:val="24"/>
                      </w:rPr>
                    </w:pPr>
                    <w:r>
                      <w:rPr>
                        <w:sz w:val="24"/>
                      </w:rPr>
                      <w:t>las</w:t>
                      <w:tab/>
                      <w:t>actividades</w:t>
                      <w:tab/>
                      <w:t>clínicas,</w:t>
                      <w:tab/>
                      <w:t>30</w:t>
                    </w:r>
                  </w:p>
                </w:txbxContent>
              </v:textbox>
              <w10:wrap type="none"/>
            </v:shape>
            <v:shape style="position:absolute;left:149;top:4032;width:4252;height:653" type="#_x0000_t202" filled="false" stroked="false">
              <v:textbox inset="0,0,0,0">
                <w:txbxContent>
                  <w:p>
                    <w:pPr>
                      <w:spacing w:line="245" w:lineRule="exact" w:before="0"/>
                      <w:ind w:left="0" w:right="0" w:firstLine="0"/>
                      <w:jc w:val="left"/>
                      <w:rPr>
                        <w:sz w:val="24"/>
                      </w:rPr>
                    </w:pPr>
                    <w:r>
                      <w:rPr>
                        <w:sz w:val="24"/>
                      </w:rPr>
                      <w:t>segundos   entre   cada   paciente   y  3</w:t>
                    </w:r>
                  </w:p>
                  <w:p>
                    <w:pPr>
                      <w:spacing w:line="271" w:lineRule="exact" w:before="137"/>
                      <w:ind w:left="0" w:right="0" w:firstLine="0"/>
                      <w:jc w:val="left"/>
                      <w:rPr>
                        <w:sz w:val="24"/>
                      </w:rPr>
                    </w:pPr>
                    <w:r>
                      <w:rPr>
                        <w:sz w:val="24"/>
                      </w:rPr>
                      <w:t>minutos al final de las mismas.</w:t>
                    </w:r>
                  </w:p>
                </w:txbxContent>
              </v:textbox>
              <w10:wrap type="none"/>
            </v:shape>
          </v:group>
        </w:pict>
      </w:r>
      <w:r>
        <w:rPr>
          <w:sz w:val="20"/>
        </w:rPr>
      </w:r>
    </w:p>
    <w:p>
      <w:pPr>
        <w:spacing w:before="143"/>
        <w:ind w:left="0" w:right="457" w:firstLine="0"/>
        <w:jc w:val="right"/>
        <w:rPr>
          <w:sz w:val="16"/>
        </w:rPr>
      </w:pPr>
      <w:r>
        <w:rPr>
          <w:sz w:val="16"/>
        </w:rPr>
        <w:t>Fuente: directa</w:t>
      </w:r>
    </w:p>
    <w:p>
      <w:pPr>
        <w:pStyle w:val="BodyText"/>
        <w:rPr>
          <w:sz w:val="20"/>
        </w:rPr>
      </w:pPr>
    </w:p>
    <w:p>
      <w:pPr>
        <w:pStyle w:val="BodyText"/>
        <w:rPr>
          <w:sz w:val="20"/>
        </w:rPr>
      </w:pPr>
    </w:p>
    <w:p>
      <w:pPr>
        <w:pStyle w:val="BodyText"/>
        <w:rPr>
          <w:sz w:val="20"/>
        </w:rPr>
      </w:pPr>
    </w:p>
    <w:p>
      <w:pPr>
        <w:pStyle w:val="BodyText"/>
        <w:spacing w:before="9"/>
        <w:rPr>
          <w:sz w:val="17"/>
        </w:rPr>
      </w:pPr>
      <w:r>
        <w:rPr/>
        <w:pict>
          <v:group style="position:absolute;margin-left:85.800003pt;margin-top:12.192628pt;width:200.75pt;height:256.6pt;mso-position-horizontal-relative:page;mso-position-vertical-relative:paragraph;z-index:1792;mso-wrap-distance-left:0;mso-wrap-distance-right:0" coordorigin="1716,244" coordsize="4015,5132">
            <v:shape style="position:absolute;left:1731;top:259;width:3655;height:4689" type="#_x0000_t75" stroked="false">
              <v:imagedata r:id="rId26" o:title=""/>
            </v:shape>
            <v:rect style="position:absolute;left:1724;top:251;width:3670;height:4704" filled="false" stroked="true" strokeweight=".75pt" strokecolor="#00af50"/>
            <v:shape style="position:absolute;left:3730;top:2261;width:1993;height:3107" type="#_x0000_t75" stroked="false">
              <v:imagedata r:id="rId27" o:title=""/>
            </v:shape>
            <v:rect style="position:absolute;left:3730;top:2261;width:1993;height:3107" filled="false" stroked="true" strokeweight=".75pt" strokecolor="#00af50"/>
            <w10:wrap type="topAndBottom"/>
          </v:group>
        </w:pict>
      </w:r>
      <w:r>
        <w:rPr/>
        <w:pict>
          <v:group style="position:absolute;margin-left:300pt;margin-top:17.687628pt;width:217.45pt;height:232.35pt;mso-position-horizontal-relative:page;mso-position-vertical-relative:paragraph;z-index:2152;mso-wrap-distance-left:0;mso-wrap-distance-right:0" coordorigin="6000,354" coordsize="4349,4647">
            <v:shape style="position:absolute;left:6000;top:354;width:4349;height:4646" type="#_x0000_t75" stroked="false">
              <v:imagedata r:id="rId28" o:title=""/>
            </v:shape>
            <v:shape style="position:absolute;left:6146;top:378;width:1563;height:240" type="#_x0000_t202" filled="false" stroked="false">
              <v:textbox inset="0,0,0,0">
                <w:txbxContent>
                  <w:p>
                    <w:pPr>
                      <w:spacing w:line="240" w:lineRule="exact" w:before="0"/>
                      <w:ind w:left="0" w:right="-18" w:firstLine="0"/>
                      <w:jc w:val="left"/>
                      <w:rPr>
                        <w:b/>
                        <w:sz w:val="24"/>
                      </w:rPr>
                    </w:pPr>
                    <w:r>
                      <w:rPr>
                        <w:b/>
                        <w:sz w:val="24"/>
                      </w:rPr>
                      <w:t>Segunda fase</w:t>
                    </w:r>
                  </w:p>
                </w:txbxContent>
              </v:textbox>
              <w10:wrap type="none"/>
            </v:shape>
            <v:shape style="position:absolute;left:6146;top:796;width:212;height:240" type="#_x0000_t202" filled="false" stroked="false">
              <v:textbox inset="0,0,0,0">
                <w:txbxContent>
                  <w:p>
                    <w:pPr>
                      <w:spacing w:line="240" w:lineRule="exact" w:before="0"/>
                      <w:ind w:left="0" w:right="-20" w:firstLine="0"/>
                      <w:jc w:val="left"/>
                      <w:rPr>
                        <w:sz w:val="24"/>
                      </w:rPr>
                    </w:pPr>
                    <w:r>
                      <w:rPr>
                        <w:spacing w:val="-1"/>
                        <w:sz w:val="24"/>
                      </w:rPr>
                      <w:t>El</w:t>
                    </w:r>
                  </w:p>
                </w:txbxContent>
              </v:textbox>
              <w10:wrap type="none"/>
            </v:shape>
            <v:shape style="position:absolute;left:6660;top:796;width:920;height:240" type="#_x0000_t202" filled="false" stroked="false">
              <v:textbox inset="0,0,0,0">
                <w:txbxContent>
                  <w:p>
                    <w:pPr>
                      <w:spacing w:line="240" w:lineRule="exact" w:before="0"/>
                      <w:ind w:left="0" w:right="-14" w:firstLine="0"/>
                      <w:jc w:val="left"/>
                      <w:rPr>
                        <w:sz w:val="24"/>
                      </w:rPr>
                    </w:pPr>
                    <w:r>
                      <w:rPr>
                        <w:spacing w:val="-1"/>
                        <w:sz w:val="24"/>
                      </w:rPr>
                      <w:t>segundo</w:t>
                    </w:r>
                  </w:p>
                </w:txbxContent>
              </v:textbox>
              <w10:wrap type="none"/>
            </v:shape>
            <v:shape style="position:absolute;left:7877;top:796;width:1361;height:240" type="#_x0000_t202" filled="false" stroked="false">
              <v:textbox inset="0,0,0,0">
                <w:txbxContent>
                  <w:p>
                    <w:pPr>
                      <w:tabs>
                        <w:tab w:pos="1097" w:val="left" w:leader="none"/>
                      </w:tabs>
                      <w:spacing w:line="240" w:lineRule="exact" w:before="0"/>
                      <w:ind w:left="0" w:right="0" w:firstLine="0"/>
                      <w:jc w:val="left"/>
                      <w:rPr>
                        <w:sz w:val="24"/>
                      </w:rPr>
                    </w:pPr>
                    <w:r>
                      <w:rPr>
                        <w:sz w:val="24"/>
                      </w:rPr>
                      <w:t>periodo</w:t>
                      <w:tab/>
                    </w:r>
                    <w:r>
                      <w:rPr>
                        <w:spacing w:val="-2"/>
                        <w:sz w:val="24"/>
                      </w:rPr>
                      <w:t>de</w:t>
                    </w:r>
                  </w:p>
                </w:txbxContent>
              </v:textbox>
              <w10:wrap type="none"/>
            </v:shape>
            <v:shape style="position:absolute;left:9536;top:796;width:666;height:240" type="#_x0000_t202" filled="false" stroked="false">
              <v:textbox inset="0,0,0,0">
                <w:txbxContent>
                  <w:p>
                    <w:pPr>
                      <w:spacing w:line="240" w:lineRule="exact" w:before="0"/>
                      <w:ind w:left="0" w:right="-16" w:firstLine="0"/>
                      <w:jc w:val="left"/>
                      <w:rPr>
                        <w:sz w:val="24"/>
                      </w:rPr>
                    </w:pPr>
                    <w:r>
                      <w:rPr>
                        <w:spacing w:val="-1"/>
                        <w:sz w:val="24"/>
                      </w:rPr>
                      <w:t>cuatro</w:t>
                    </w:r>
                  </w:p>
                </w:txbxContent>
              </v:textbox>
              <w10:wrap type="none"/>
            </v:shape>
            <v:shape style="position:absolute;left:6146;top:1208;width:4056;height:240" type="#_x0000_t202" filled="false" stroked="false">
              <v:textbox inset="0,0,0,0">
                <w:txbxContent>
                  <w:p>
                    <w:pPr>
                      <w:tabs>
                        <w:tab w:pos="1179" w:val="left" w:leader="none"/>
                        <w:tab w:pos="2330" w:val="left" w:leader="none"/>
                        <w:tab w:pos="2809" w:val="left" w:leader="none"/>
                        <w:tab w:pos="3787" w:val="left" w:leader="none"/>
                      </w:tabs>
                      <w:spacing w:line="240" w:lineRule="exact" w:before="0"/>
                      <w:ind w:left="0" w:right="0" w:firstLine="0"/>
                      <w:jc w:val="left"/>
                      <w:rPr>
                        <w:sz w:val="24"/>
                      </w:rPr>
                    </w:pPr>
                    <w:r>
                      <w:rPr>
                        <w:sz w:val="24"/>
                      </w:rPr>
                      <w:t>semanas</w:t>
                      <w:tab/>
                      <w:t>consistió</w:t>
                      <w:tab/>
                      <w:t>en</w:t>
                      <w:tab/>
                      <w:t>colocar</w:t>
                      <w:tab/>
                      <w:t>de</w:t>
                    </w:r>
                  </w:p>
                </w:txbxContent>
              </v:textbox>
              <w10:wrap type="none"/>
            </v:shape>
            <v:shape style="position:absolute;left:6146;top:1626;width:1870;height:241" type="#_x0000_t202" filled="false" stroked="false">
              <v:textbox inset="0,0,0,0">
                <w:txbxContent>
                  <w:p>
                    <w:pPr>
                      <w:tabs>
                        <w:tab w:pos="1275" w:val="left" w:leader="none"/>
                      </w:tabs>
                      <w:spacing w:line="240" w:lineRule="exact" w:before="0"/>
                      <w:ind w:left="0" w:right="0" w:firstLine="0"/>
                      <w:jc w:val="left"/>
                      <w:rPr>
                        <w:sz w:val="24"/>
                      </w:rPr>
                    </w:pPr>
                    <w:r>
                      <w:rPr>
                        <w:sz w:val="24"/>
                      </w:rPr>
                      <w:t>manera</w:t>
                      <w:tab/>
                      <w:t>diaria</w:t>
                    </w:r>
                  </w:p>
                </w:txbxContent>
              </v:textbox>
              <w10:wrap type="none"/>
            </v:shape>
            <v:shape style="position:absolute;left:8482;top:1626;width:1721;height:241" type="#_x0000_t202" filled="false" stroked="false">
              <v:textbox inset="0,0,0,0">
                <w:txbxContent>
                  <w:p>
                    <w:pPr>
                      <w:tabs>
                        <w:tab w:pos="1002" w:val="left" w:leader="none"/>
                      </w:tabs>
                      <w:spacing w:line="240" w:lineRule="exact" w:before="0"/>
                      <w:ind w:left="0" w:right="0" w:firstLine="0"/>
                      <w:jc w:val="left"/>
                      <w:rPr>
                        <w:sz w:val="24"/>
                      </w:rPr>
                    </w:pPr>
                    <w:r>
                      <w:rPr>
                        <w:sz w:val="24"/>
                      </w:rPr>
                      <w:t>agua</w:t>
                      <w:tab/>
                    </w:r>
                    <w:r>
                      <w:rPr>
                        <w:spacing w:val="-1"/>
                        <w:sz w:val="24"/>
                      </w:rPr>
                      <w:t>filtrada</w:t>
                    </w:r>
                  </w:p>
                </w:txbxContent>
              </v:textbox>
              <w10:wrap type="none"/>
            </v:shape>
            <v:shape style="position:absolute;left:6146;top:2039;width:4055;height:240" type="#_x0000_t202" filled="false" stroked="false">
              <v:textbox inset="0,0,0,0">
                <w:txbxContent>
                  <w:p>
                    <w:pPr>
                      <w:spacing w:line="240" w:lineRule="exact" w:before="0"/>
                      <w:ind w:left="0" w:right="0" w:firstLine="0"/>
                      <w:jc w:val="left"/>
                      <w:rPr>
                        <w:sz w:val="24"/>
                      </w:rPr>
                    </w:pPr>
                    <w:r>
                      <w:rPr>
                        <w:sz w:val="24"/>
                      </w:rPr>
                      <w:t>adicionada  con  una   gota  de   plata</w:t>
                    </w:r>
                  </w:p>
                </w:txbxContent>
              </v:textbox>
              <w10:wrap type="none"/>
            </v:shape>
            <v:shape style="position:absolute;left:6146;top:2452;width:816;height:240" type="#_x0000_t202" filled="false" stroked="false">
              <v:textbox inset="0,0,0,0">
                <w:txbxContent>
                  <w:p>
                    <w:pPr>
                      <w:spacing w:line="240" w:lineRule="exact" w:before="0"/>
                      <w:ind w:left="0" w:right="-18" w:firstLine="0"/>
                      <w:jc w:val="left"/>
                      <w:rPr>
                        <w:sz w:val="24"/>
                      </w:rPr>
                    </w:pPr>
                    <w:r>
                      <w:rPr>
                        <w:sz w:val="24"/>
                      </w:rPr>
                      <w:t>coloidal</w:t>
                    </w:r>
                  </w:p>
                </w:txbxContent>
              </v:textbox>
              <w10:wrap type="none"/>
            </v:shape>
            <v:shape style="position:absolute;left:7383;top:2452;width:183;height:240" type="#_x0000_t202" filled="false" stroked="false">
              <v:textbox inset="0,0,0,0">
                <w:txbxContent>
                  <w:p>
                    <w:pPr>
                      <w:spacing w:line="240" w:lineRule="exact" w:before="0"/>
                      <w:ind w:left="0" w:right="-20" w:firstLine="0"/>
                      <w:jc w:val="left"/>
                      <w:rPr>
                        <w:sz w:val="24"/>
                      </w:rPr>
                    </w:pPr>
                    <w:r>
                      <w:rPr>
                        <w:spacing w:val="-2"/>
                        <w:sz w:val="24"/>
                      </w:rPr>
                      <w:t>al</w:t>
                    </w:r>
                  </w:p>
                </w:txbxContent>
              </v:textbox>
              <w10:wrap type="none"/>
            </v:shape>
            <v:shape style="position:absolute;left:7988;top:2452;width:679;height:240" type="#_x0000_t202" filled="false" stroked="false">
              <v:textbox inset="0,0,0,0">
                <w:txbxContent>
                  <w:p>
                    <w:pPr>
                      <w:spacing w:line="240" w:lineRule="exact" w:before="0"/>
                      <w:ind w:left="0" w:right="-17" w:firstLine="0"/>
                      <w:jc w:val="left"/>
                      <w:rPr>
                        <w:sz w:val="24"/>
                      </w:rPr>
                    </w:pPr>
                    <w:r>
                      <w:rPr>
                        <w:spacing w:val="-1"/>
                        <w:sz w:val="24"/>
                      </w:rPr>
                      <w:t>0.38%</w:t>
                    </w:r>
                  </w:p>
                </w:txbxContent>
              </v:textbox>
              <w10:wrap type="none"/>
            </v:shape>
            <v:shape style="position:absolute;left:9081;top:2452;width:1122;height:240" type="#_x0000_t202" filled="false" stroked="false">
              <v:textbox inset="0,0,0,0">
                <w:txbxContent>
                  <w:p>
                    <w:pPr>
                      <w:spacing w:line="240" w:lineRule="exact" w:before="0"/>
                      <w:ind w:left="0" w:right="-19" w:firstLine="0"/>
                      <w:jc w:val="left"/>
                      <w:rPr>
                        <w:sz w:val="24"/>
                      </w:rPr>
                    </w:pPr>
                    <w:r>
                      <w:rPr>
                        <w:sz w:val="24"/>
                      </w:rPr>
                      <w:t>(Microdyn,</w:t>
                    </w:r>
                  </w:p>
                </w:txbxContent>
              </v:textbox>
              <w10:wrap type="none"/>
            </v:shape>
            <v:shape style="position:absolute;left:6146;top:2865;width:4056;height:1484" type="#_x0000_t202" filled="false" stroked="false">
              <v:textbox inset="0,0,0,0">
                <w:txbxContent>
                  <w:p>
                    <w:pPr>
                      <w:spacing w:line="245" w:lineRule="exact" w:before="0"/>
                      <w:ind w:left="0" w:right="0" w:firstLine="0"/>
                      <w:jc w:val="left"/>
                      <w:rPr>
                        <w:sz w:val="24"/>
                      </w:rPr>
                    </w:pPr>
                    <w:r>
                      <w:rPr>
                        <w:sz w:val="24"/>
                      </w:rPr>
                      <w:t>Tavistock Holding AG) como lo marca</w:t>
                    </w:r>
                  </w:p>
                  <w:p>
                    <w:pPr>
                      <w:spacing w:before="137"/>
                      <w:ind w:left="0" w:right="-10" w:firstLine="0"/>
                      <w:jc w:val="left"/>
                      <w:rPr>
                        <w:sz w:val="24"/>
                      </w:rPr>
                    </w:pPr>
                    <w:r>
                      <w:rPr>
                        <w:sz w:val="24"/>
                      </w:rPr>
                      <w:t>el fabricante y se realizó la purga  </w:t>
                    </w:r>
                    <w:r>
                      <w:rPr>
                        <w:spacing w:val="57"/>
                        <w:sz w:val="24"/>
                      </w:rPr>
                      <w:t> </w:t>
                    </w:r>
                    <w:r>
                      <w:rPr>
                        <w:sz w:val="24"/>
                      </w:rPr>
                      <w:t>de</w:t>
                    </w:r>
                  </w:p>
                  <w:p>
                    <w:pPr>
                      <w:tabs>
                        <w:tab w:pos="517" w:val="left" w:leader="none"/>
                        <w:tab w:pos="1922" w:val="left" w:leader="none"/>
                        <w:tab w:pos="2387" w:val="left" w:leader="none"/>
                        <w:tab w:pos="2784" w:val="left" w:leader="none"/>
                        <w:tab w:pos="3801" w:val="left" w:leader="none"/>
                      </w:tabs>
                      <w:spacing w:line="410" w:lineRule="atLeast" w:before="8"/>
                      <w:ind w:left="0" w:right="1" w:firstLine="0"/>
                      <w:jc w:val="left"/>
                      <w:rPr>
                        <w:sz w:val="24"/>
                      </w:rPr>
                    </w:pPr>
                    <w:r>
                      <w:rPr>
                        <w:sz w:val="24"/>
                      </w:rPr>
                      <w:t>las</w:t>
                      <w:tab/>
                      <w:t>mangueras</w:t>
                      <w:tab/>
                      <w:t>de</w:t>
                      <w:tab/>
                      <w:t>la</w:t>
                      <w:tab/>
                      <w:t>manera</w:t>
                      <w:tab/>
                      <w:t>ya</w:t>
                    </w:r>
                    <w:r>
                      <w:rPr>
                        <w:w w:val="99"/>
                        <w:sz w:val="24"/>
                      </w:rPr>
                      <w:t> </w:t>
                    </w:r>
                    <w:r>
                      <w:rPr>
                        <w:sz w:val="24"/>
                      </w:rPr>
                      <w:t>descrita en la primera</w:t>
                    </w:r>
                    <w:r>
                      <w:rPr>
                        <w:spacing w:val="-9"/>
                        <w:sz w:val="24"/>
                      </w:rPr>
                      <w:t> </w:t>
                    </w:r>
                    <w:r>
                      <w:rPr>
                        <w:sz w:val="24"/>
                      </w:rPr>
                      <w:t>fase.</w:t>
                    </w:r>
                  </w:p>
                </w:txbxContent>
              </v:textbox>
              <w10:wrap type="none"/>
            </v:shape>
            <w10:wrap type="topAndBottom"/>
          </v:group>
        </w:pict>
      </w:r>
    </w:p>
    <w:p>
      <w:pPr>
        <w:spacing w:before="122"/>
        <w:ind w:left="359" w:right="0" w:firstLine="0"/>
        <w:jc w:val="left"/>
        <w:rPr>
          <w:sz w:val="16"/>
        </w:rPr>
      </w:pPr>
      <w:r>
        <w:rPr>
          <w:sz w:val="16"/>
        </w:rPr>
        <w:t>Fuente: directa</w:t>
      </w:r>
    </w:p>
    <w:p>
      <w:pPr>
        <w:spacing w:after="0"/>
        <w:jc w:val="left"/>
        <w:rPr>
          <w:sz w:val="16"/>
        </w:rPr>
        <w:sectPr>
          <w:footerReference w:type="default" r:id="rId19"/>
          <w:pgSz w:w="12240" w:h="15840"/>
          <w:pgMar w:footer="1012" w:header="731" w:top="1160" w:bottom="1200" w:left="1340" w:right="1240"/>
        </w:sectPr>
      </w:pPr>
    </w:p>
    <w:p>
      <w:pPr>
        <w:pStyle w:val="BodyText"/>
        <w:rPr>
          <w:sz w:val="20"/>
        </w:rPr>
      </w:pPr>
    </w:p>
    <w:p>
      <w:pPr>
        <w:pStyle w:val="BodyText"/>
        <w:spacing w:before="5"/>
        <w:rPr>
          <w:sz w:val="10"/>
        </w:rPr>
      </w:pPr>
    </w:p>
    <w:p>
      <w:pPr>
        <w:tabs>
          <w:tab w:pos="4788" w:val="left" w:leader="none"/>
        </w:tabs>
        <w:spacing w:line="240" w:lineRule="auto"/>
        <w:ind w:left="257" w:right="0" w:firstLine="0"/>
        <w:rPr>
          <w:sz w:val="20"/>
        </w:rPr>
      </w:pPr>
      <w:r>
        <w:rPr>
          <w:position w:val="17"/>
          <w:sz w:val="20"/>
        </w:rPr>
        <w:pict>
          <v:group style="width:206.4pt;height:232.6pt;mso-position-horizontal-relative:char;mso-position-vertical-relative:line" coordorigin="0,0" coordsize="4128,4652">
            <v:shape style="position:absolute;left:0;top:0;width:4128;height:4651" type="#_x0000_t75" stroked="false">
              <v:imagedata r:id="rId30" o:title=""/>
            </v:shape>
            <v:shape style="position:absolute;left:0;top:0;width:4128;height:4652" type="#_x0000_t202" filled="false" stroked="false">
              <v:textbox inset="0,0,0,0">
                <w:txbxContent>
                  <w:p>
                    <w:pPr>
                      <w:spacing w:line="267" w:lineRule="exact" w:before="0"/>
                      <w:ind w:left="144" w:right="0" w:firstLine="0"/>
                      <w:jc w:val="both"/>
                      <w:rPr>
                        <w:b/>
                        <w:sz w:val="24"/>
                      </w:rPr>
                    </w:pPr>
                    <w:r>
                      <w:rPr>
                        <w:b/>
                        <w:sz w:val="24"/>
                      </w:rPr>
                      <w:t>Tercera fase</w:t>
                    </w:r>
                  </w:p>
                  <w:p>
                    <w:pPr>
                      <w:spacing w:line="360" w:lineRule="auto" w:before="147"/>
                      <w:ind w:left="144" w:right="134" w:firstLine="0"/>
                      <w:jc w:val="both"/>
                      <w:rPr>
                        <w:sz w:val="24"/>
                      </w:rPr>
                    </w:pPr>
                    <w:r>
                      <w:rPr>
                        <w:sz w:val="24"/>
                      </w:rPr>
                      <w:t>Para llevar a cabo el tercer periodo de cuatro semanas, fue  colocada en las botellas de abastecimiento una mezcla de 250ml de agua filtrada y 250ml de gluconato de clorhexidina (Paroex, Gum), al 0.12% aunado a la purga diaria de las mangueras de la forma ya descrita.</w:t>
                    </w:r>
                  </w:p>
                </w:txbxContent>
              </v:textbox>
              <w10:wrap type="none"/>
            </v:shape>
          </v:group>
        </w:pict>
      </w:r>
      <w:r>
        <w:rPr>
          <w:position w:val="17"/>
          <w:sz w:val="20"/>
        </w:rPr>
      </w:r>
      <w:r>
        <w:rPr>
          <w:position w:val="17"/>
          <w:sz w:val="20"/>
        </w:rPr>
        <w:tab/>
      </w:r>
      <w:r>
        <w:rPr>
          <w:sz w:val="20"/>
        </w:rPr>
        <w:pict>
          <v:group style="width:202.35pt;height:265.650pt;mso-position-horizontal-relative:char;mso-position-vertical-relative:line" coordorigin="0,0" coordsize="4047,5313">
            <v:shape style="position:absolute;left:0;top:0;width:3518;height:5160" type="#_x0000_t75" stroked="false">
              <v:imagedata r:id="rId31" o:title=""/>
            </v:shape>
            <v:shape style="position:absolute;left:163;top:19;width:3350;height:4896" type="#_x0000_t75" stroked="false">
              <v:imagedata r:id="rId32" o:title=""/>
            </v:shape>
            <v:shape style="position:absolute;left:2279;top:2703;width:1760;height:2602" type="#_x0000_t75" stroked="false">
              <v:imagedata r:id="rId33" o:title=""/>
            </v:shape>
            <v:rect style="position:absolute;left:2279;top:2703;width:1760;height:2602" filled="false" stroked="true" strokeweight=".75pt" strokecolor="#00af50"/>
          </v:group>
        </w:pict>
      </w:r>
      <w:r>
        <w:rPr>
          <w:sz w:val="20"/>
        </w:rPr>
      </w:r>
    </w:p>
    <w:p>
      <w:pPr>
        <w:pStyle w:val="BodyText"/>
        <w:rPr>
          <w:sz w:val="13"/>
        </w:rPr>
      </w:pPr>
    </w:p>
    <w:p>
      <w:pPr>
        <w:spacing w:after="0"/>
        <w:rPr>
          <w:sz w:val="13"/>
        </w:rPr>
        <w:sectPr>
          <w:footerReference w:type="default" r:id="rId29"/>
          <w:pgSz w:w="12240" w:h="15840"/>
          <w:pgMar w:footer="1012" w:header="731" w:top="1160" w:bottom="1200" w:left="1480" w:right="1480"/>
          <w:pgNumType w:start="51"/>
        </w:sectPr>
      </w:pPr>
    </w:p>
    <w:p>
      <w:pPr>
        <w:pStyle w:val="BodyText"/>
        <w:spacing w:before="4"/>
        <w:rPr>
          <w:sz w:val="30"/>
        </w:rPr>
      </w:pPr>
    </w:p>
    <w:p>
      <w:pPr>
        <w:pStyle w:val="Heading2"/>
        <w:spacing w:before="1"/>
        <w:ind w:right="-18"/>
      </w:pPr>
      <w:r>
        <w:rPr/>
        <w:t>Recolección de las muestras</w:t>
      </w:r>
    </w:p>
    <w:p>
      <w:pPr>
        <w:spacing w:before="79"/>
        <w:ind w:left="219" w:right="0" w:firstLine="0"/>
        <w:jc w:val="left"/>
        <w:rPr>
          <w:sz w:val="16"/>
        </w:rPr>
      </w:pPr>
      <w:r>
        <w:rPr/>
        <w:br w:type="column"/>
      </w:r>
      <w:r>
        <w:rPr>
          <w:sz w:val="16"/>
        </w:rPr>
        <w:t>Fuente: directa</w:t>
      </w:r>
    </w:p>
    <w:p>
      <w:pPr>
        <w:spacing w:after="0"/>
        <w:jc w:val="left"/>
        <w:rPr>
          <w:sz w:val="16"/>
        </w:rPr>
        <w:sectPr>
          <w:type w:val="continuous"/>
          <w:pgSz w:w="12240" w:h="15840"/>
          <w:pgMar w:top="480" w:bottom="280" w:left="1480" w:right="1480"/>
          <w:cols w:num="2" w:equalWidth="0">
            <w:col w:w="3516" w:space="4258"/>
            <w:col w:w="1506"/>
          </w:cols>
        </w:sectPr>
      </w:pPr>
    </w:p>
    <w:p>
      <w:pPr>
        <w:pStyle w:val="BodyText"/>
        <w:spacing w:before="5"/>
        <w:rPr>
          <w:sz w:val="25"/>
        </w:rPr>
      </w:pPr>
    </w:p>
    <w:p>
      <w:pPr>
        <w:pStyle w:val="BodyText"/>
        <w:spacing w:line="360" w:lineRule="auto" w:before="70"/>
        <w:ind w:left="219" w:right="214"/>
        <w:jc w:val="both"/>
      </w:pPr>
      <w:r>
        <w:rPr/>
        <w:t>Al finalizar cada tratamiento, las mangueras de alta velocidad fueron retiradas de las unidades dentales, se aseptizaron de manera externa con toallas húmedas Sanitex plus, se seccionaron con tijeras para cirugía estériles en tres porciones: un fragmento anterior unido a la pieza de alta velocidad, uno de la parte media de la manguera y uno posterior correspondiente a la unión con la unidad dental, todos ellos de una pulgada de longitud. Posteriormente fueron llevados, en bolsas estériles individuales y etiquetadas, al laboratorio.</w:t>
      </w:r>
    </w:p>
    <w:p>
      <w:pPr>
        <w:pStyle w:val="BodyText"/>
        <w:rPr>
          <w:sz w:val="20"/>
        </w:rPr>
      </w:pPr>
    </w:p>
    <w:p>
      <w:pPr>
        <w:pStyle w:val="BodyText"/>
        <w:spacing w:before="4"/>
        <w:rPr>
          <w:sz w:val="14"/>
        </w:rPr>
      </w:pPr>
      <w:r>
        <w:rPr/>
        <w:pict>
          <v:group style="position:absolute;margin-left:95.802002pt;margin-top:11.739877pt;width:135.5pt;height:101.95pt;mso-position-horizontal-relative:page;mso-position-vertical-relative:paragraph;z-index:2248;mso-wrap-distance-left:0;mso-wrap-distance-right:0" coordorigin="1916,235" coordsize="2710,2039">
            <v:shape style="position:absolute;left:1931;top:250;width:2680;height:2009" type="#_x0000_t75" stroked="false">
              <v:imagedata r:id="rId34" o:title=""/>
            </v:shape>
            <v:rect style="position:absolute;left:1924;top:242;width:2695;height:2024" filled="false" stroked="true" strokeweight=".75pt" strokecolor="#00af50"/>
            <w10:wrap type="topAndBottom"/>
          </v:group>
        </w:pict>
      </w:r>
      <w:r>
        <w:rPr/>
        <w:pict>
          <v:group style="position:absolute;margin-left:238.964996pt;margin-top:10.239877pt;width:138.35pt;height:104.1pt;mso-position-horizontal-relative:page;mso-position-vertical-relative:paragraph;z-index:2272;mso-wrap-distance-left:0;mso-wrap-distance-right:0" coordorigin="4779,205" coordsize="2767,2082">
            <v:shape style="position:absolute;left:4794;top:220;width:2737;height:2052" type="#_x0000_t75" stroked="false">
              <v:imagedata r:id="rId35" o:title=""/>
            </v:shape>
            <v:rect style="position:absolute;left:4787;top:212;width:2752;height:2067" filled="false" stroked="true" strokeweight=".75pt" strokecolor="#00af50"/>
            <w10:wrap type="topAndBottom"/>
          </v:group>
        </w:pict>
      </w:r>
      <w:r>
        <w:rPr/>
        <w:pict>
          <v:group style="position:absolute;margin-left:385.13501pt;margin-top:10.239877pt;width:131.25pt;height:103.5pt;mso-position-horizontal-relative:page;mso-position-vertical-relative:paragraph;z-index:2296;mso-wrap-distance-left:0;mso-wrap-distance-right:0" coordorigin="7703,205" coordsize="2625,2070">
            <v:shape style="position:absolute;left:7718;top:220;width:2594;height:2040" type="#_x0000_t75" stroked="false">
              <v:imagedata r:id="rId36" o:title=""/>
            </v:shape>
            <v:rect style="position:absolute;left:7710;top:212;width:2609;height:2055" filled="false" stroked="true" strokeweight=".75pt" strokecolor="#00af50"/>
            <w10:wrap type="topAndBottom"/>
          </v:group>
        </w:pict>
      </w:r>
    </w:p>
    <w:p>
      <w:pPr>
        <w:spacing w:before="115"/>
        <w:ind w:left="219" w:right="0" w:firstLine="0"/>
        <w:jc w:val="both"/>
        <w:rPr>
          <w:sz w:val="16"/>
        </w:rPr>
      </w:pPr>
      <w:r>
        <w:rPr>
          <w:sz w:val="16"/>
        </w:rPr>
        <w:t>Fuente: directa</w:t>
      </w:r>
    </w:p>
    <w:p>
      <w:pPr>
        <w:spacing w:after="0"/>
        <w:jc w:val="both"/>
        <w:rPr>
          <w:sz w:val="16"/>
        </w:rPr>
        <w:sectPr>
          <w:type w:val="continuous"/>
          <w:pgSz w:w="12240" w:h="15840"/>
          <w:pgMar w:top="480" w:bottom="280" w:left="1480" w:right="1480"/>
        </w:sectPr>
      </w:pPr>
    </w:p>
    <w:p>
      <w:pPr>
        <w:pStyle w:val="BodyText"/>
        <w:spacing w:before="6"/>
        <w:rPr>
          <w:sz w:val="16"/>
        </w:rPr>
      </w:pPr>
    </w:p>
    <w:p>
      <w:pPr>
        <w:pStyle w:val="Heading2"/>
        <w:spacing w:before="69"/>
        <w:ind w:left="259"/>
        <w:jc w:val="both"/>
      </w:pPr>
      <w:r>
        <w:rPr/>
        <w:t>Análisis microbiológico</w:t>
      </w:r>
    </w:p>
    <w:p>
      <w:pPr>
        <w:pStyle w:val="BodyText"/>
        <w:ind w:left="100"/>
        <w:rPr>
          <w:sz w:val="20"/>
        </w:rPr>
      </w:pPr>
      <w:r>
        <w:rPr>
          <w:sz w:val="20"/>
        </w:rPr>
        <w:pict>
          <v:group style="width:450pt;height:192pt;mso-position-horizontal-relative:char;mso-position-vertical-relative:line" coordorigin="0,0" coordsize="9000,3840">
            <v:shape style="position:absolute;left:0;top:221;width:4622;height:3163" type="#_x0000_t75" stroked="false">
              <v:imagedata r:id="rId37" o:title=""/>
            </v:shape>
            <v:shape style="position:absolute;left:4627;top:0;width:4373;height:3840" type="#_x0000_t75" stroked="false">
              <v:imagedata r:id="rId38" o:title=""/>
            </v:shape>
            <v:shape style="position:absolute;left:5602;top:19;width:2429;height:1838" type="#_x0000_t75" stroked="false">
              <v:imagedata r:id="rId39" o:title=""/>
            </v:shape>
            <v:shape style="position:absolute;left:5016;top:1877;width:3600;height:1603" type="#_x0000_t75" stroked="false">
              <v:imagedata r:id="rId40" o:title=""/>
            </v:shape>
            <v:shape style="position:absolute;left:0;top:0;width:9000;height:3840" type="#_x0000_t202" filled="false" stroked="false">
              <v:textbox inset="0,0,0,0">
                <w:txbxContent>
                  <w:p>
                    <w:pPr>
                      <w:spacing w:line="240" w:lineRule="auto" w:before="9"/>
                      <w:rPr>
                        <w:b/>
                        <w:sz w:val="18"/>
                      </w:rPr>
                    </w:pPr>
                  </w:p>
                  <w:p>
                    <w:pPr>
                      <w:spacing w:line="360" w:lineRule="auto" w:before="1"/>
                      <w:ind w:left="144" w:right="4517" w:firstLine="0"/>
                      <w:jc w:val="both"/>
                      <w:rPr>
                        <w:sz w:val="24"/>
                      </w:rPr>
                    </w:pPr>
                    <w:r>
                      <w:rPr>
                        <w:sz w:val="24"/>
                      </w:rPr>
                      <w:t>En un medio aséptico los segmentos ya referidos fueron incididos de manera longitudinal con bisturí estéril n°11 para lograr acceder al lumen del conducto, una vez abierta la manguera se tomó una muestra de biopelícula mediante frote con hisopo estéril.</w:t>
                    </w:r>
                  </w:p>
                </w:txbxContent>
              </v:textbox>
              <w10:wrap type="none"/>
            </v:shape>
          </v:group>
        </w:pict>
      </w:r>
      <w:r>
        <w:rPr>
          <w:sz w:val="20"/>
        </w:rPr>
      </w:r>
    </w:p>
    <w:p>
      <w:pPr>
        <w:spacing w:before="59"/>
        <w:ind w:left="0" w:right="222" w:firstLine="0"/>
        <w:jc w:val="right"/>
        <w:rPr>
          <w:sz w:val="16"/>
        </w:rPr>
      </w:pPr>
      <w:r>
        <w:rPr>
          <w:sz w:val="16"/>
        </w:rPr>
        <w:t>Fuente: directa</w:t>
      </w:r>
    </w:p>
    <w:p>
      <w:pPr>
        <w:pStyle w:val="BodyText"/>
        <w:spacing w:before="6"/>
        <w:rPr>
          <w:sz w:val="17"/>
        </w:rPr>
      </w:pPr>
    </w:p>
    <w:p>
      <w:pPr>
        <w:pStyle w:val="BodyText"/>
        <w:spacing w:line="360" w:lineRule="auto"/>
        <w:ind w:left="259" w:right="214"/>
        <w:jc w:val="both"/>
      </w:pPr>
      <w:r>
        <w:rPr/>
        <w:t>Los hisopos fueron inmediatamente inoculados en tubos de ensayo debidamente etiquetados, que contenían caldo nutritivo y se llevaron a incubar por 24hrs a  37°C. Posterior a ello, se sembró 1ml del caldo cultivado, en placas de agar nutritivo para el conteo general de UFC/ml, dichas placas </w:t>
      </w:r>
      <w:r>
        <w:rPr>
          <w:spacing w:val="-3"/>
        </w:rPr>
        <w:t>se </w:t>
      </w:r>
      <w:r>
        <w:rPr/>
        <w:t>llevaron a incubar a una temperatura de 37ºC por un período de 24hrs, una vez transcurrido el periodo de incubación se contabilizaron las UFC/ml resultantes y se identificaron colonias típicas.</w:t>
      </w:r>
    </w:p>
    <w:p>
      <w:pPr>
        <w:pStyle w:val="BodyText"/>
        <w:spacing w:before="1"/>
        <w:rPr>
          <w:sz w:val="16"/>
        </w:rPr>
      </w:pPr>
      <w:r>
        <w:rPr/>
        <w:pict>
          <v:group style="position:absolute;margin-left:85.800003pt;margin-top:11.198906pt;width:109.95pt;height:130.1pt;mso-position-horizontal-relative:page;mso-position-vertical-relative:paragraph;z-index:2368;mso-wrap-distance-left:0;mso-wrap-distance-right:0" coordorigin="1716,224" coordsize="2199,2602">
            <v:shape style="position:absolute;left:1731;top:239;width:2169;height:2572" type="#_x0000_t75" stroked="false">
              <v:imagedata r:id="rId41" o:title=""/>
            </v:shape>
            <v:rect style="position:absolute;left:1724;top:231;width:2184;height:2587" filled="false" stroked="true" strokeweight=".75pt" strokecolor="#00af50"/>
            <w10:wrap type="topAndBottom"/>
          </v:group>
        </w:pict>
      </w:r>
      <w:r>
        <w:rPr/>
        <w:pict>
          <v:group style="position:absolute;margin-left:200.134995pt;margin-top:11.198906pt;width:310.350pt;height:130.1pt;mso-position-horizontal-relative:page;mso-position-vertical-relative:paragraph;z-index:2392;mso-wrap-distance-left:0;mso-wrap-distance-right:0" coordorigin="4003,224" coordsize="6207,2602">
            <v:shape style="position:absolute;left:4018;top:239;width:3021;height:2572" type="#_x0000_t75" stroked="false">
              <v:imagedata r:id="rId42" o:title=""/>
            </v:shape>
            <v:rect style="position:absolute;left:4010;top:231;width:3036;height:2587" filled="false" stroked="true" strokeweight=".75pt" strokecolor="#00af50"/>
            <v:shape style="position:absolute;left:7108;top:239;width:3087;height:2568" type="#_x0000_t75" stroked="false">
              <v:imagedata r:id="rId43" o:title=""/>
            </v:shape>
            <v:rect style="position:absolute;left:7100;top:232;width:3102;height:2583" filled="false" stroked="true" strokeweight=".75pt" strokecolor="#00af50"/>
            <w10:wrap type="topAndBottom"/>
          </v:group>
        </w:pict>
      </w:r>
    </w:p>
    <w:p>
      <w:pPr>
        <w:spacing w:before="0"/>
        <w:ind w:left="259" w:right="0" w:firstLine="0"/>
        <w:jc w:val="both"/>
        <w:rPr>
          <w:sz w:val="16"/>
        </w:rPr>
      </w:pPr>
      <w:r>
        <w:rPr>
          <w:sz w:val="16"/>
        </w:rPr>
        <w:t>Fuente: directa</w:t>
      </w:r>
    </w:p>
    <w:p>
      <w:pPr>
        <w:pStyle w:val="BodyText"/>
        <w:rPr>
          <w:sz w:val="16"/>
        </w:rPr>
      </w:pPr>
    </w:p>
    <w:p>
      <w:pPr>
        <w:pStyle w:val="BodyText"/>
        <w:rPr>
          <w:sz w:val="16"/>
        </w:rPr>
      </w:pPr>
    </w:p>
    <w:p>
      <w:pPr>
        <w:pStyle w:val="BodyText"/>
        <w:spacing w:line="360" w:lineRule="auto" w:before="131"/>
        <w:ind w:left="259" w:right="216"/>
        <w:jc w:val="both"/>
      </w:pPr>
      <w:r>
        <w:rPr/>
        <w:t>Para la identificación microscópica, a las colonias típicas se les realizó tinción de Gram y pruebas bioquímicas de catalasa, coagulasa e indol. Para la prueba de catalasa se utilizó peróxido de hidrogeno al 3% y se observó la formación de burbujas, la aparición rápida y sostenida de ellas constituyó una reacción positiva. La prueba de coagulasa consistió en aplicar plasma buscando aglutinación en la</w:t>
      </w:r>
    </w:p>
    <w:p>
      <w:pPr>
        <w:spacing w:after="0" w:line="360" w:lineRule="auto"/>
        <w:jc w:val="both"/>
        <w:sectPr>
          <w:pgSz w:w="12240" w:h="15840"/>
          <w:pgMar w:header="731" w:footer="1012" w:top="1160" w:bottom="1200" w:left="1440" w:right="1480"/>
        </w:sectPr>
      </w:pPr>
    </w:p>
    <w:p>
      <w:pPr>
        <w:pStyle w:val="BodyText"/>
        <w:spacing w:before="11"/>
        <w:rPr>
          <w:sz w:val="16"/>
        </w:rPr>
      </w:pPr>
    </w:p>
    <w:p>
      <w:pPr>
        <w:pStyle w:val="BodyText"/>
        <w:spacing w:line="360" w:lineRule="auto" w:before="69"/>
        <w:ind w:left="219" w:right="222"/>
        <w:jc w:val="both"/>
      </w:pPr>
      <w:r>
        <w:rPr/>
        <w:t>suspensión de prueba, se consideró una reacción positiva si dentro de los 10 a 15 segundos posteriores a la mezcla se observaba dicho efecto. En cuanto a la prueba de indol, se colocó mediante asa estéril en papel filtro una muestra de la colonia sospechosa de </w:t>
      </w:r>
      <w:r>
        <w:rPr>
          <w:i/>
        </w:rPr>
        <w:t>Escherichia coli </w:t>
      </w:r>
      <w:r>
        <w:rPr/>
        <w:t>a la cual se le agregó reactivo de Kovacs por 1 minuto, la aparición de un anillo de color fucsia alrededor de la muestra se consideró una reacción positiva para dicho microorganismo.</w:t>
      </w:r>
    </w:p>
    <w:p>
      <w:pPr>
        <w:pStyle w:val="BodyText"/>
      </w:pPr>
    </w:p>
    <w:p>
      <w:pPr>
        <w:pStyle w:val="BodyText"/>
        <w:spacing w:line="360" w:lineRule="auto" w:before="140"/>
        <w:ind w:left="219" w:right="213"/>
        <w:jc w:val="both"/>
      </w:pPr>
      <w:r>
        <w:rPr/>
        <w:drawing>
          <wp:anchor distT="0" distB="0" distL="0" distR="0" allowOverlap="1" layoutInCell="1" locked="0" behindDoc="0" simplePos="0" relativeHeight="2464">
            <wp:simplePos x="0" y="0"/>
            <wp:positionH relativeFrom="page">
              <wp:posOffset>1437894</wp:posOffset>
            </wp:positionH>
            <wp:positionV relativeFrom="paragraph">
              <wp:posOffset>2144342</wp:posOffset>
            </wp:positionV>
            <wp:extent cx="1774123" cy="1481518"/>
            <wp:effectExtent l="0" t="0" r="0" b="0"/>
            <wp:wrapNone/>
            <wp:docPr id="1" name="image28.jpeg" descr=""/>
            <wp:cNvGraphicFramePr>
              <a:graphicFrameLocks noChangeAspect="1"/>
            </wp:cNvGraphicFramePr>
            <a:graphic>
              <a:graphicData uri="http://schemas.openxmlformats.org/drawingml/2006/picture">
                <pic:pic>
                  <pic:nvPicPr>
                    <pic:cNvPr id="2" name="image28.jpeg"/>
                    <pic:cNvPicPr/>
                  </pic:nvPicPr>
                  <pic:blipFill>
                    <a:blip r:embed="rId44" cstate="print"/>
                    <a:stretch>
                      <a:fillRect/>
                    </a:stretch>
                  </pic:blipFill>
                  <pic:spPr>
                    <a:xfrm>
                      <a:off x="0" y="0"/>
                      <a:ext cx="1774123" cy="1481518"/>
                    </a:xfrm>
                    <a:prstGeom prst="rect">
                      <a:avLst/>
                    </a:prstGeom>
                  </pic:spPr>
                </pic:pic>
              </a:graphicData>
            </a:graphic>
          </wp:anchor>
        </w:drawing>
      </w:r>
      <w:r>
        <w:rPr/>
        <w:drawing>
          <wp:anchor distT="0" distB="0" distL="0" distR="0" allowOverlap="1" layoutInCell="1" locked="0" behindDoc="0" simplePos="0" relativeHeight="2488">
            <wp:simplePos x="0" y="0"/>
            <wp:positionH relativeFrom="page">
              <wp:posOffset>4847844</wp:posOffset>
            </wp:positionH>
            <wp:positionV relativeFrom="paragraph">
              <wp:posOffset>2125292</wp:posOffset>
            </wp:positionV>
            <wp:extent cx="1523837" cy="1485900"/>
            <wp:effectExtent l="0" t="0" r="0" b="0"/>
            <wp:wrapNone/>
            <wp:docPr id="3" name="image29.jpeg" descr=""/>
            <wp:cNvGraphicFramePr>
              <a:graphicFrameLocks noChangeAspect="1"/>
            </wp:cNvGraphicFramePr>
            <a:graphic>
              <a:graphicData uri="http://schemas.openxmlformats.org/drawingml/2006/picture">
                <pic:pic>
                  <pic:nvPicPr>
                    <pic:cNvPr id="4" name="image29.jpeg"/>
                    <pic:cNvPicPr/>
                  </pic:nvPicPr>
                  <pic:blipFill>
                    <a:blip r:embed="rId45" cstate="print"/>
                    <a:stretch>
                      <a:fillRect/>
                    </a:stretch>
                  </pic:blipFill>
                  <pic:spPr>
                    <a:xfrm>
                      <a:off x="0" y="0"/>
                      <a:ext cx="1523837" cy="1485900"/>
                    </a:xfrm>
                    <a:prstGeom prst="rect">
                      <a:avLst/>
                    </a:prstGeom>
                  </pic:spPr>
                </pic:pic>
              </a:graphicData>
            </a:graphic>
          </wp:anchor>
        </w:drawing>
      </w:r>
      <w:r>
        <w:rPr/>
        <w:t>Para la detección específica de </w:t>
      </w:r>
      <w:r>
        <w:rPr>
          <w:i/>
        </w:rPr>
        <w:t>Legionella pneumophila, </w:t>
      </w:r>
      <w:r>
        <w:rPr/>
        <w:t>se tomó una muestra de las colonias aisladas y </w:t>
      </w:r>
      <w:r>
        <w:rPr>
          <w:spacing w:val="-3"/>
        </w:rPr>
        <w:t>se </w:t>
      </w:r>
      <w:r>
        <w:rPr/>
        <w:t>sembró en un medio selectivo: Agar BCYEα. Dichas cajas fueron incubadas a 37°C por un periodo de 3 a 10 días con revisión diaria. Posterior a ello, los cultivos obtenidos </w:t>
      </w:r>
      <w:r>
        <w:rPr>
          <w:spacing w:val="-3"/>
        </w:rPr>
        <w:t>se </w:t>
      </w:r>
      <w:r>
        <w:rPr/>
        <w:t>sembraron en agar sangre para corroborar la presencia de </w:t>
      </w:r>
      <w:r>
        <w:rPr>
          <w:i/>
        </w:rPr>
        <w:t>Legionella pneumophila </w:t>
      </w:r>
      <w:r>
        <w:rPr/>
        <w:t>(Brock, et al., 2003). Las colonias sospechosas de levaduras se cultivaron en Agar dextrosa Sabouraud  para determinar la presencia de </w:t>
      </w:r>
      <w:r>
        <w:rPr>
          <w:i/>
        </w:rPr>
        <w:t>Candida</w:t>
      </w:r>
      <w:r>
        <w:rPr>
          <w:i/>
          <w:spacing w:val="-14"/>
        </w:rPr>
        <w:t> </w:t>
      </w:r>
      <w:r>
        <w:rPr>
          <w:i/>
        </w:rPr>
        <w:t>albicans</w:t>
      </w:r>
      <w:r>
        <w:rPr/>
        <w:t>.</w:t>
      </w:r>
    </w:p>
    <w:p>
      <w:pPr>
        <w:pStyle w:val="BodyText"/>
        <w:spacing w:before="2"/>
        <w:rPr>
          <w:sz w:val="28"/>
        </w:rPr>
      </w:pPr>
    </w:p>
    <w:tbl>
      <w:tblPr>
        <w:tblW w:w="0" w:type="auto"/>
        <w:jc w:val="left"/>
        <w:tblInd w:w="769" w:type="dxa"/>
        <w:tblBorders>
          <w:top w:val="single" w:sz="6" w:space="0" w:color="00AF50"/>
          <w:left w:val="single" w:sz="6" w:space="0" w:color="00AF50"/>
          <w:bottom w:val="single" w:sz="6" w:space="0" w:color="00AF50"/>
          <w:right w:val="single" w:sz="6" w:space="0" w:color="00AF50"/>
          <w:insideH w:val="single" w:sz="6" w:space="0" w:color="00AF50"/>
          <w:insideV w:val="single" w:sz="6" w:space="0" w:color="00AF50"/>
        </w:tblBorders>
        <w:tblLayout w:type="fixed"/>
        <w:tblCellMar>
          <w:top w:w="0" w:type="dxa"/>
          <w:left w:w="0" w:type="dxa"/>
          <w:bottom w:w="0" w:type="dxa"/>
          <w:right w:w="0" w:type="dxa"/>
        </w:tblCellMar>
        <w:tblLook w:val="01E0"/>
      </w:tblPr>
      <w:tblGrid>
        <w:gridCol w:w="2823"/>
        <w:gridCol w:w="2523"/>
        <w:gridCol w:w="2449"/>
      </w:tblGrid>
      <w:tr>
        <w:trPr>
          <w:trHeight w:val="2338" w:hRule="exact"/>
        </w:trPr>
        <w:tc>
          <w:tcPr>
            <w:tcW w:w="2823" w:type="dxa"/>
            <w:tcBorders>
              <w:right w:val="double" w:sz="9" w:space="0" w:color="00AF50"/>
            </w:tcBorders>
          </w:tcPr>
          <w:p>
            <w:pPr>
              <w:pStyle w:val="TableParagraph"/>
              <w:spacing w:line="240" w:lineRule="auto"/>
              <w:rPr>
                <w:sz w:val="20"/>
              </w:rPr>
            </w:pPr>
          </w:p>
          <w:p>
            <w:pPr>
              <w:pStyle w:val="TableParagraph"/>
              <w:spacing w:line="240" w:lineRule="auto"/>
              <w:rPr>
                <w:sz w:val="20"/>
              </w:rPr>
            </w:pPr>
          </w:p>
          <w:p>
            <w:pPr>
              <w:pStyle w:val="TableParagraph"/>
              <w:spacing w:line="240" w:lineRule="auto"/>
              <w:rPr>
                <w:sz w:val="20"/>
              </w:rPr>
            </w:pPr>
          </w:p>
          <w:p>
            <w:pPr>
              <w:pStyle w:val="TableParagraph"/>
              <w:spacing w:line="240" w:lineRule="auto"/>
              <w:rPr>
                <w:sz w:val="20"/>
              </w:rPr>
            </w:pPr>
          </w:p>
          <w:p>
            <w:pPr>
              <w:pStyle w:val="TableParagraph"/>
              <w:spacing w:line="240" w:lineRule="auto"/>
              <w:rPr>
                <w:sz w:val="20"/>
              </w:rPr>
            </w:pPr>
          </w:p>
          <w:p>
            <w:pPr>
              <w:pStyle w:val="TableParagraph"/>
              <w:spacing w:line="240" w:lineRule="auto"/>
              <w:rPr>
                <w:sz w:val="20"/>
              </w:rPr>
            </w:pPr>
          </w:p>
          <w:p>
            <w:pPr>
              <w:pStyle w:val="TableParagraph"/>
              <w:spacing w:line="240" w:lineRule="auto"/>
              <w:rPr>
                <w:sz w:val="20"/>
              </w:rPr>
            </w:pPr>
          </w:p>
          <w:p>
            <w:pPr>
              <w:pStyle w:val="TableParagraph"/>
              <w:spacing w:line="240" w:lineRule="auto"/>
              <w:rPr>
                <w:sz w:val="20"/>
              </w:rPr>
            </w:pPr>
          </w:p>
          <w:p>
            <w:pPr>
              <w:pStyle w:val="TableParagraph"/>
              <w:spacing w:line="240" w:lineRule="auto"/>
              <w:rPr>
                <w:sz w:val="20"/>
              </w:rPr>
            </w:pPr>
          </w:p>
          <w:p>
            <w:pPr>
              <w:pStyle w:val="TableParagraph"/>
              <w:spacing w:line="240" w:lineRule="auto"/>
              <w:rPr>
                <w:sz w:val="22"/>
              </w:rPr>
            </w:pPr>
          </w:p>
        </w:tc>
        <w:tc>
          <w:tcPr>
            <w:tcW w:w="2523" w:type="dxa"/>
            <w:tcBorders>
              <w:left w:val="double" w:sz="9" w:space="0" w:color="00AF50"/>
            </w:tcBorders>
          </w:tcPr>
          <w:p>
            <w:pPr>
              <w:pStyle w:val="TableParagraph"/>
              <w:spacing w:line="240" w:lineRule="auto"/>
              <w:ind w:left="-1" w:right="-3"/>
              <w:rPr>
                <w:sz w:val="20"/>
              </w:rPr>
            </w:pPr>
            <w:r>
              <w:rPr>
                <w:sz w:val="20"/>
              </w:rPr>
              <w:drawing>
                <wp:inline distT="0" distB="0" distL="0" distR="0">
                  <wp:extent cx="1551463" cy="1466850"/>
                  <wp:effectExtent l="0" t="0" r="0" b="0"/>
                  <wp:docPr id="5" name="image30.jpeg" descr=""/>
                  <wp:cNvGraphicFramePr>
                    <a:graphicFrameLocks noChangeAspect="1"/>
                  </wp:cNvGraphicFramePr>
                  <a:graphic>
                    <a:graphicData uri="http://schemas.openxmlformats.org/drawingml/2006/picture">
                      <pic:pic>
                        <pic:nvPicPr>
                          <pic:cNvPr id="6" name="image30.jpeg"/>
                          <pic:cNvPicPr/>
                        </pic:nvPicPr>
                        <pic:blipFill>
                          <a:blip r:embed="rId46" cstate="print"/>
                          <a:stretch>
                            <a:fillRect/>
                          </a:stretch>
                        </pic:blipFill>
                        <pic:spPr>
                          <a:xfrm>
                            <a:off x="0" y="0"/>
                            <a:ext cx="1551463" cy="1466850"/>
                          </a:xfrm>
                          <a:prstGeom prst="rect">
                            <a:avLst/>
                          </a:prstGeom>
                        </pic:spPr>
                      </pic:pic>
                    </a:graphicData>
                  </a:graphic>
                </wp:inline>
              </w:drawing>
            </w:r>
            <w:r>
              <w:rPr>
                <w:sz w:val="20"/>
              </w:rPr>
            </w:r>
          </w:p>
        </w:tc>
        <w:tc>
          <w:tcPr>
            <w:tcW w:w="2449" w:type="dxa"/>
          </w:tcPr>
          <w:p>
            <w:pPr/>
          </w:p>
        </w:tc>
      </w:tr>
    </w:tbl>
    <w:p>
      <w:pPr>
        <w:pStyle w:val="BodyText"/>
        <w:spacing w:before="5"/>
        <w:rPr>
          <w:sz w:val="13"/>
        </w:rPr>
      </w:pPr>
    </w:p>
    <w:tbl>
      <w:tblPr>
        <w:tblW w:w="0" w:type="auto"/>
        <w:jc w:val="left"/>
        <w:tblInd w:w="769" w:type="dxa"/>
        <w:tblBorders>
          <w:top w:val="double" w:sz="9" w:space="0" w:color="000000"/>
          <w:left w:val="double" w:sz="9" w:space="0" w:color="000000"/>
          <w:bottom w:val="double" w:sz="9" w:space="0" w:color="000000"/>
          <w:right w:val="double" w:sz="9" w:space="0" w:color="000000"/>
          <w:insideH w:val="double" w:sz="9" w:space="0" w:color="000000"/>
          <w:insideV w:val="double" w:sz="9" w:space="0" w:color="000000"/>
        </w:tblBorders>
        <w:tblLayout w:type="fixed"/>
        <w:tblCellMar>
          <w:top w:w="0" w:type="dxa"/>
          <w:left w:w="0" w:type="dxa"/>
          <w:bottom w:w="0" w:type="dxa"/>
          <w:right w:w="0" w:type="dxa"/>
        </w:tblCellMar>
        <w:tblLook w:val="01E0"/>
      </w:tblPr>
      <w:tblGrid>
        <w:gridCol w:w="2770"/>
        <w:gridCol w:w="2573"/>
        <w:gridCol w:w="2574"/>
      </w:tblGrid>
      <w:tr>
        <w:trPr>
          <w:trHeight w:val="2269" w:hRule="exact"/>
        </w:trPr>
        <w:tc>
          <w:tcPr>
            <w:tcW w:w="2770" w:type="dxa"/>
            <w:tcBorders>
              <w:top w:val="single" w:sz="6" w:space="0" w:color="00AF50"/>
              <w:left w:val="single" w:sz="6" w:space="0" w:color="00AF50"/>
              <w:bottom w:val="single" w:sz="6" w:space="0" w:color="00AF50"/>
              <w:right w:val="double" w:sz="7" w:space="0" w:color="00AF50"/>
            </w:tcBorders>
          </w:tcPr>
          <w:p>
            <w:pPr>
              <w:pStyle w:val="TableParagraph"/>
              <w:spacing w:line="240" w:lineRule="auto"/>
              <w:ind w:left="-1" w:right="-32"/>
              <w:rPr>
                <w:sz w:val="20"/>
              </w:rPr>
            </w:pPr>
            <w:r>
              <w:rPr>
                <w:sz w:val="20"/>
              </w:rPr>
              <w:drawing>
                <wp:inline distT="0" distB="0" distL="0" distR="0">
                  <wp:extent cx="1731212" cy="1428750"/>
                  <wp:effectExtent l="0" t="0" r="0" b="0"/>
                  <wp:docPr id="7" name="image31.jpeg" descr=""/>
                  <wp:cNvGraphicFramePr>
                    <a:graphicFrameLocks noChangeAspect="1"/>
                  </wp:cNvGraphicFramePr>
                  <a:graphic>
                    <a:graphicData uri="http://schemas.openxmlformats.org/drawingml/2006/picture">
                      <pic:pic>
                        <pic:nvPicPr>
                          <pic:cNvPr id="8" name="image31.jpeg"/>
                          <pic:cNvPicPr/>
                        </pic:nvPicPr>
                        <pic:blipFill>
                          <a:blip r:embed="rId47" cstate="print"/>
                          <a:stretch>
                            <a:fillRect/>
                          </a:stretch>
                        </pic:blipFill>
                        <pic:spPr>
                          <a:xfrm>
                            <a:off x="0" y="0"/>
                            <a:ext cx="1731212" cy="1428750"/>
                          </a:xfrm>
                          <a:prstGeom prst="rect">
                            <a:avLst/>
                          </a:prstGeom>
                        </pic:spPr>
                      </pic:pic>
                    </a:graphicData>
                  </a:graphic>
                </wp:inline>
              </w:drawing>
            </w:r>
            <w:r>
              <w:rPr>
                <w:sz w:val="20"/>
              </w:rPr>
            </w:r>
          </w:p>
        </w:tc>
        <w:tc>
          <w:tcPr>
            <w:tcW w:w="2573" w:type="dxa"/>
            <w:tcBorders>
              <w:top w:val="single" w:sz="6" w:space="0" w:color="00AF50"/>
              <w:left w:val="double" w:sz="7" w:space="0" w:color="00AF50"/>
              <w:bottom w:val="single" w:sz="6" w:space="0" w:color="00AF50"/>
            </w:tcBorders>
          </w:tcPr>
          <w:p>
            <w:pPr>
              <w:pStyle w:val="TableParagraph"/>
              <w:spacing w:line="240" w:lineRule="auto"/>
              <w:ind w:left="-1" w:right="-39"/>
              <w:rPr>
                <w:sz w:val="20"/>
              </w:rPr>
            </w:pPr>
            <w:r>
              <w:rPr>
                <w:sz w:val="20"/>
              </w:rPr>
              <w:drawing>
                <wp:inline distT="0" distB="0" distL="0" distR="0">
                  <wp:extent cx="1593918" cy="1428750"/>
                  <wp:effectExtent l="0" t="0" r="0" b="0"/>
                  <wp:docPr id="9" name="image32.jpeg" descr=""/>
                  <wp:cNvGraphicFramePr>
                    <a:graphicFrameLocks noChangeAspect="1"/>
                  </wp:cNvGraphicFramePr>
                  <a:graphic>
                    <a:graphicData uri="http://schemas.openxmlformats.org/drawingml/2006/picture">
                      <pic:pic>
                        <pic:nvPicPr>
                          <pic:cNvPr id="10" name="image32.jpeg"/>
                          <pic:cNvPicPr/>
                        </pic:nvPicPr>
                        <pic:blipFill>
                          <a:blip r:embed="rId48" cstate="print"/>
                          <a:stretch>
                            <a:fillRect/>
                          </a:stretch>
                        </pic:blipFill>
                        <pic:spPr>
                          <a:xfrm>
                            <a:off x="0" y="0"/>
                            <a:ext cx="1593918" cy="1428750"/>
                          </a:xfrm>
                          <a:prstGeom prst="rect">
                            <a:avLst/>
                          </a:prstGeom>
                        </pic:spPr>
                      </pic:pic>
                    </a:graphicData>
                  </a:graphic>
                </wp:inline>
              </w:drawing>
            </w:r>
            <w:r>
              <w:rPr>
                <w:sz w:val="20"/>
              </w:rPr>
            </w:r>
          </w:p>
        </w:tc>
        <w:tc>
          <w:tcPr>
            <w:tcW w:w="2574" w:type="dxa"/>
            <w:tcBorders>
              <w:top w:val="single" w:sz="6" w:space="0" w:color="000000"/>
              <w:bottom w:val="single" w:sz="6" w:space="0" w:color="000000"/>
              <w:right w:val="single" w:sz="6" w:space="0" w:color="000000"/>
            </w:tcBorders>
          </w:tcPr>
          <w:p>
            <w:pPr>
              <w:pStyle w:val="TableParagraph"/>
              <w:spacing w:line="240" w:lineRule="auto" w:before="7"/>
              <w:rPr>
                <w:sz w:val="2"/>
              </w:rPr>
            </w:pPr>
          </w:p>
          <w:p>
            <w:pPr>
              <w:pStyle w:val="TableParagraph"/>
              <w:spacing w:line="240" w:lineRule="auto"/>
              <w:ind w:left="-1" w:right="-32"/>
              <w:rPr>
                <w:sz w:val="20"/>
              </w:rPr>
            </w:pPr>
            <w:r>
              <w:rPr>
                <w:sz w:val="20"/>
              </w:rPr>
              <w:drawing>
                <wp:inline distT="0" distB="0" distL="0" distR="0">
                  <wp:extent cx="1602766" cy="1409700"/>
                  <wp:effectExtent l="0" t="0" r="0" b="0"/>
                  <wp:docPr id="11" name="image33.png" descr=""/>
                  <wp:cNvGraphicFramePr>
                    <a:graphicFrameLocks noChangeAspect="1"/>
                  </wp:cNvGraphicFramePr>
                  <a:graphic>
                    <a:graphicData uri="http://schemas.openxmlformats.org/drawingml/2006/picture">
                      <pic:pic>
                        <pic:nvPicPr>
                          <pic:cNvPr id="12" name="image33.png"/>
                          <pic:cNvPicPr/>
                        </pic:nvPicPr>
                        <pic:blipFill>
                          <a:blip r:embed="rId49" cstate="print"/>
                          <a:stretch>
                            <a:fillRect/>
                          </a:stretch>
                        </pic:blipFill>
                        <pic:spPr>
                          <a:xfrm>
                            <a:off x="0" y="0"/>
                            <a:ext cx="1602766" cy="1409700"/>
                          </a:xfrm>
                          <a:prstGeom prst="rect">
                            <a:avLst/>
                          </a:prstGeom>
                        </pic:spPr>
                      </pic:pic>
                    </a:graphicData>
                  </a:graphic>
                </wp:inline>
              </w:drawing>
            </w:r>
            <w:r>
              <w:rPr>
                <w:sz w:val="20"/>
              </w:rPr>
            </w:r>
          </w:p>
        </w:tc>
      </w:tr>
    </w:tbl>
    <w:p>
      <w:pPr>
        <w:pStyle w:val="BodyText"/>
        <w:spacing w:before="8"/>
        <w:rPr>
          <w:sz w:val="28"/>
        </w:rPr>
      </w:pPr>
      <w:r>
        <w:rPr/>
        <w:pict>
          <v:group style="position:absolute;margin-left:429.600006pt;margin-top:18.495001pt;width:80.4pt;height:13.45pt;mso-position-horizontal-relative:page;mso-position-vertical-relative:paragraph;z-index:2440;mso-wrap-distance-left:0;mso-wrap-distance-right:0" coordorigin="8592,370" coordsize="1608,269">
            <v:shape style="position:absolute;left:8592;top:370;width:1608;height:269" type="#_x0000_t75" stroked="false">
              <v:imagedata r:id="rId50" o:title=""/>
            </v:shape>
            <v:shape style="position:absolute;left:8592;top:370;width:1608;height:269" type="#_x0000_t202" filled="false" stroked="false">
              <v:textbox inset="0,0,0,0">
                <w:txbxContent>
                  <w:p>
                    <w:pPr>
                      <w:spacing w:line="182" w:lineRule="exact" w:before="0"/>
                      <w:ind w:left="147" w:right="0" w:firstLine="0"/>
                      <w:jc w:val="left"/>
                      <w:rPr>
                        <w:sz w:val="16"/>
                      </w:rPr>
                    </w:pPr>
                    <w:r>
                      <w:rPr>
                        <w:sz w:val="16"/>
                      </w:rPr>
                      <w:t>Fuente: directa</w:t>
                    </w:r>
                  </w:p>
                </w:txbxContent>
              </v:textbox>
              <w10:wrap type="none"/>
            </v:shape>
            <w10:wrap type="topAndBottom"/>
          </v:group>
        </w:pict>
      </w:r>
    </w:p>
    <w:p>
      <w:pPr>
        <w:spacing w:after="0"/>
        <w:rPr>
          <w:sz w:val="28"/>
        </w:rPr>
        <w:sectPr>
          <w:pgSz w:w="12240" w:h="15840"/>
          <w:pgMar w:header="731" w:footer="1012" w:top="1160" w:bottom="1200" w:left="1480" w:right="1480"/>
        </w:sectPr>
      </w:pPr>
    </w:p>
    <w:p>
      <w:pPr>
        <w:pStyle w:val="BodyText"/>
        <w:spacing w:before="6"/>
        <w:rPr>
          <w:sz w:val="16"/>
        </w:rPr>
      </w:pPr>
    </w:p>
    <w:p>
      <w:pPr>
        <w:pStyle w:val="Heading2"/>
        <w:spacing w:before="69"/>
        <w:jc w:val="both"/>
      </w:pPr>
      <w:r>
        <w:rPr/>
        <w:t>Análisis estadístico</w:t>
      </w:r>
    </w:p>
    <w:p>
      <w:pPr>
        <w:pStyle w:val="BodyText"/>
        <w:rPr>
          <w:b/>
        </w:rPr>
      </w:pPr>
    </w:p>
    <w:p>
      <w:pPr>
        <w:pStyle w:val="BodyText"/>
        <w:spacing w:line="360" w:lineRule="auto" w:before="188"/>
        <w:ind w:left="219" w:right="217"/>
        <w:jc w:val="both"/>
      </w:pPr>
      <w:r>
        <w:rPr/>
        <w:t>El análisis estadístico de los datos recabados fue hecho a través del paquete estadístico SPSS versión 21. Se obtuvieron medidas de estadística descriptiva: valores mínimos, máximos, media y desviación estándar de las UFC/ml. Se compararon las medias obtenidas de los tratamientos con clorhexidina y con plata coloidal en relación con las medias obtenidas con el tratamiento basal correspondiente al uso exclusivo de agua filtrada mediante el test de Bonferroni, así como el análisis de la varianza (ANOVA) de las UFC/ml en relación con las  tres clínicas seleccionadas (endodoncia, odontopediatría y operatoria dental). También fue determinada la frecuencia de los microorganismos encontrados después de la aplicación de cada uno de los</w:t>
      </w:r>
      <w:r>
        <w:rPr>
          <w:spacing w:val="-20"/>
        </w:rPr>
        <w:t> </w:t>
      </w:r>
      <w:r>
        <w:rPr/>
        <w:t>tratamientos.</w:t>
      </w:r>
    </w:p>
    <w:p>
      <w:pPr>
        <w:spacing w:after="0" w:line="360" w:lineRule="auto"/>
        <w:jc w:val="both"/>
        <w:sectPr>
          <w:pgSz w:w="12240" w:h="15840"/>
          <w:pgMar w:header="731" w:footer="1012" w:top="1160" w:bottom="1200" w:left="1480" w:right="1480"/>
        </w:sectPr>
      </w:pPr>
    </w:p>
    <w:p>
      <w:pPr>
        <w:pStyle w:val="BodyText"/>
        <w:spacing w:before="1"/>
        <w:rPr>
          <w:sz w:val="16"/>
        </w:rPr>
      </w:pPr>
    </w:p>
    <w:p>
      <w:pPr>
        <w:pStyle w:val="Heading2"/>
        <w:numPr>
          <w:ilvl w:val="0"/>
          <w:numId w:val="6"/>
        </w:numPr>
        <w:tabs>
          <w:tab w:pos="4090" w:val="left" w:leader="none"/>
        </w:tabs>
        <w:spacing w:line="240" w:lineRule="auto" w:before="70" w:after="0"/>
        <w:ind w:left="4090" w:right="0" w:hanging="557"/>
        <w:jc w:val="center"/>
      </w:pPr>
      <w:r>
        <w:rPr/>
        <w:t>RESULTADOS</w:t>
      </w:r>
    </w:p>
    <w:p>
      <w:pPr>
        <w:pStyle w:val="BodyText"/>
        <w:spacing w:before="4"/>
        <w:rPr>
          <w:b/>
          <w:sz w:val="29"/>
        </w:rPr>
      </w:pPr>
    </w:p>
    <w:p>
      <w:pPr>
        <w:pStyle w:val="ListParagraph"/>
        <w:numPr>
          <w:ilvl w:val="0"/>
          <w:numId w:val="8"/>
        </w:numPr>
        <w:tabs>
          <w:tab w:pos="941" w:val="left" w:leader="none"/>
        </w:tabs>
        <w:spacing w:line="240" w:lineRule="auto" w:before="1" w:after="0"/>
        <w:ind w:left="940" w:right="0" w:hanging="360"/>
        <w:jc w:val="left"/>
        <w:rPr>
          <w:b/>
          <w:sz w:val="24"/>
        </w:rPr>
      </w:pPr>
      <w:r>
        <w:rPr>
          <w:b/>
          <w:sz w:val="24"/>
        </w:rPr>
        <w:t>Artículo</w:t>
      </w:r>
      <w:r>
        <w:rPr>
          <w:b/>
          <w:spacing w:val="-3"/>
          <w:sz w:val="24"/>
        </w:rPr>
        <w:t> </w:t>
      </w:r>
      <w:r>
        <w:rPr>
          <w:b/>
          <w:sz w:val="24"/>
        </w:rPr>
        <w:t>1</w:t>
      </w:r>
    </w:p>
    <w:p>
      <w:pPr>
        <w:pStyle w:val="BodyText"/>
        <w:spacing w:before="7"/>
        <w:rPr>
          <w:b/>
          <w:sz w:val="30"/>
        </w:rPr>
      </w:pPr>
    </w:p>
    <w:p>
      <w:pPr>
        <w:spacing w:before="1"/>
        <w:ind w:left="219" w:right="387" w:firstLine="0"/>
        <w:jc w:val="left"/>
        <w:rPr>
          <w:sz w:val="43"/>
        </w:rPr>
      </w:pPr>
      <w:r>
        <w:rPr>
          <w:color w:val="6A6B6E"/>
          <w:sz w:val="43"/>
        </w:rPr>
        <w:t>Oral Health and Preventive Dentistry</w:t>
      </w:r>
    </w:p>
    <w:p>
      <w:pPr>
        <w:pStyle w:val="BodyText"/>
        <w:tabs>
          <w:tab w:pos="9089" w:val="left" w:leader="none"/>
        </w:tabs>
        <w:spacing w:before="168"/>
        <w:ind w:left="219"/>
      </w:pPr>
      <w:r>
        <w:rPr>
          <w:color w:val="212121"/>
          <w:shd w:fill="EDEDDD" w:color="auto" w:val="clear"/>
        </w:rPr>
        <w:t>Decision:</w:t>
      </w:r>
      <w:r>
        <w:rPr>
          <w:color w:val="212121"/>
          <w:spacing w:val="-7"/>
          <w:shd w:fill="EDEDDD" w:color="auto" w:val="clear"/>
        </w:rPr>
        <w:t> </w:t>
      </w:r>
      <w:r>
        <w:rPr>
          <w:color w:val="212121"/>
          <w:shd w:fill="EDEDDD" w:color="auto" w:val="clear"/>
        </w:rPr>
        <w:t>DECISION</w:t>
        <w:tab/>
      </w:r>
    </w:p>
    <w:p>
      <w:pPr>
        <w:spacing w:before="52"/>
        <w:ind w:left="219" w:right="387" w:firstLine="0"/>
        <w:jc w:val="left"/>
        <w:rPr>
          <w:rFonts w:ascii="Lucida Sans Unicode"/>
          <w:sz w:val="20"/>
        </w:rPr>
      </w:pPr>
      <w:r>
        <w:rPr>
          <w:rFonts w:ascii="Lucida Sans Unicode"/>
          <w:color w:val="212121"/>
          <w:sz w:val="20"/>
        </w:rPr>
        <w:t>Sent: 2014-06-24</w:t>
      </w:r>
    </w:p>
    <w:p>
      <w:pPr>
        <w:spacing w:before="0"/>
        <w:ind w:left="219" w:right="387" w:firstLine="0"/>
        <w:jc w:val="left"/>
        <w:rPr>
          <w:rFonts w:ascii="Lucida Sans Unicode"/>
          <w:sz w:val="20"/>
        </w:rPr>
      </w:pPr>
      <w:r>
        <w:rPr>
          <w:rFonts w:ascii="Lucida Sans Unicode"/>
          <w:color w:val="212121"/>
          <w:sz w:val="20"/>
        </w:rPr>
        <w:t>From:</w:t>
      </w:r>
    </w:p>
    <w:p>
      <w:pPr>
        <w:spacing w:before="0"/>
        <w:ind w:left="219" w:right="6603" w:firstLine="0"/>
        <w:jc w:val="left"/>
        <w:rPr>
          <w:rFonts w:ascii="Lucida Sans Unicode"/>
          <w:sz w:val="20"/>
        </w:rPr>
      </w:pPr>
      <w:r>
        <w:rPr>
          <w:rFonts w:ascii="Lucida Sans Unicode"/>
          <w:color w:val="212121"/>
          <w:sz w:val="20"/>
        </w:rPr>
        <w:t>To: </w:t>
      </w:r>
      <w:hyperlink r:id="rId51">
        <w:r>
          <w:rPr>
            <w:rFonts w:ascii="Lucida Sans Unicode"/>
            <w:color w:val="212121"/>
            <w:sz w:val="20"/>
          </w:rPr>
          <w:t>glml20@hotmail.com</w:t>
        </w:r>
      </w:hyperlink>
      <w:r>
        <w:rPr>
          <w:rFonts w:ascii="Lucida Sans Unicode"/>
          <w:color w:val="212121"/>
          <w:sz w:val="20"/>
        </w:rPr>
        <w:t> </w:t>
      </w:r>
      <w:r>
        <w:rPr>
          <w:rFonts w:ascii="Lucida Sans Unicode"/>
          <w:color w:val="669933"/>
          <w:sz w:val="20"/>
        </w:rPr>
        <w:t>Letter to authors:</w:t>
      </w:r>
    </w:p>
    <w:p>
      <w:pPr>
        <w:spacing w:line="480" w:lineRule="auto" w:before="0"/>
        <w:ind w:left="219" w:right="5996" w:firstLine="0"/>
        <w:jc w:val="left"/>
        <w:rPr>
          <w:rFonts w:ascii="Lucida Sans Unicode"/>
          <w:sz w:val="20"/>
        </w:rPr>
      </w:pPr>
      <w:r>
        <w:rPr>
          <w:rFonts w:ascii="Lucida Sans Unicode"/>
          <w:color w:val="212121"/>
          <w:sz w:val="20"/>
        </w:rPr>
        <w:t>Dear Dr Manzanares-Leal DECISION: Accept after revision</w:t>
      </w:r>
    </w:p>
    <w:p>
      <w:pPr>
        <w:spacing w:before="0"/>
        <w:ind w:left="219" w:right="622" w:firstLine="0"/>
        <w:jc w:val="left"/>
        <w:rPr>
          <w:rFonts w:ascii="Lucida Sans Unicode"/>
          <w:sz w:val="20"/>
        </w:rPr>
      </w:pPr>
      <w:r>
        <w:rPr>
          <w:rFonts w:ascii="Lucida Sans Unicode"/>
          <w:color w:val="212121"/>
          <w:sz w:val="20"/>
        </w:rPr>
        <w:t>You have recently submitted a manuscript to Oral Health and Preventive Dentistry. The paper has now been reviewed by an external reviewer and the editorial board.</w:t>
      </w:r>
    </w:p>
    <w:p>
      <w:pPr>
        <w:pStyle w:val="BodyText"/>
        <w:rPr>
          <w:rFonts w:ascii="Lucida Sans Unicode"/>
          <w:sz w:val="20"/>
        </w:rPr>
      </w:pPr>
    </w:p>
    <w:p>
      <w:pPr>
        <w:spacing w:before="0"/>
        <w:ind w:left="219" w:right="407" w:firstLine="0"/>
        <w:jc w:val="left"/>
        <w:rPr>
          <w:rFonts w:ascii="Lucida Sans Unicode"/>
          <w:sz w:val="20"/>
        </w:rPr>
      </w:pPr>
      <w:r>
        <w:rPr>
          <w:rFonts w:ascii="Lucida Sans Unicode"/>
          <w:color w:val="212121"/>
          <w:sz w:val="20"/>
        </w:rPr>
        <w:t>Your manuscript was found to be pertinent and of interest. However, the reviewers have raised criticisms, detailed in the attached reviewers' report. We kindly ask you to address the reviewers' criticisms point by point. You should also justify if you specifically did not follow the recommendations of the reviewers. Please use 'track changes' in your resubmitted manuscript file to indicate the corrections.</w:t>
      </w:r>
    </w:p>
    <w:p>
      <w:pPr>
        <w:pStyle w:val="BodyText"/>
        <w:spacing w:before="15"/>
        <w:rPr>
          <w:rFonts w:ascii="Lucida Sans Unicode"/>
          <w:sz w:val="19"/>
        </w:rPr>
      </w:pPr>
    </w:p>
    <w:p>
      <w:pPr>
        <w:spacing w:before="0"/>
        <w:ind w:left="219" w:right="1201" w:firstLine="0"/>
        <w:jc w:val="left"/>
        <w:rPr>
          <w:rFonts w:ascii="Lucida Sans Unicode"/>
          <w:sz w:val="20"/>
        </w:rPr>
      </w:pPr>
      <w:r>
        <w:rPr>
          <w:rFonts w:ascii="Lucida Sans Unicode"/>
          <w:color w:val="212121"/>
          <w:sz w:val="20"/>
        </w:rPr>
        <w:t>Thank you, again, for submitting this highly interesting paper to Oral Health and Preventive Dentistry.</w:t>
      </w:r>
    </w:p>
    <w:p>
      <w:pPr>
        <w:pStyle w:val="BodyText"/>
        <w:rPr>
          <w:rFonts w:ascii="Lucida Sans Unicode"/>
          <w:sz w:val="20"/>
        </w:rPr>
      </w:pPr>
    </w:p>
    <w:p>
      <w:pPr>
        <w:pStyle w:val="BodyText"/>
        <w:spacing w:before="10"/>
        <w:rPr>
          <w:rFonts w:ascii="Lucida Sans Unicode"/>
          <w:sz w:val="29"/>
        </w:rPr>
      </w:pPr>
    </w:p>
    <w:p>
      <w:pPr>
        <w:spacing w:before="0"/>
        <w:ind w:left="219" w:right="7506" w:firstLine="0"/>
        <w:jc w:val="left"/>
        <w:rPr>
          <w:rFonts w:ascii="Lucida Sans Unicode"/>
          <w:sz w:val="20"/>
        </w:rPr>
      </w:pPr>
      <w:r>
        <w:rPr>
          <w:rFonts w:ascii="Lucida Sans Unicode"/>
          <w:color w:val="212121"/>
          <w:sz w:val="20"/>
        </w:rPr>
        <w:t>Yours sincerely Palle Holmstrup</w:t>
      </w:r>
    </w:p>
    <w:p>
      <w:pPr>
        <w:spacing w:after="0"/>
        <w:jc w:val="left"/>
        <w:rPr>
          <w:rFonts w:ascii="Lucida Sans Unicode"/>
          <w:sz w:val="20"/>
        </w:rPr>
        <w:sectPr>
          <w:pgSz w:w="12240" w:h="15840"/>
          <w:pgMar w:header="731" w:footer="1012" w:top="1160" w:bottom="1200" w:left="1480" w:right="1480"/>
        </w:sectPr>
      </w:pPr>
    </w:p>
    <w:p>
      <w:pPr>
        <w:pStyle w:val="BodyText"/>
        <w:spacing w:before="4"/>
        <w:rPr>
          <w:rFonts w:ascii="Lucida Sans Unicode"/>
          <w:sz w:val="14"/>
        </w:rPr>
      </w:pPr>
    </w:p>
    <w:p>
      <w:pPr>
        <w:pStyle w:val="Heading2"/>
        <w:spacing w:before="51"/>
        <w:ind w:left="407" w:right="208"/>
        <w:rPr>
          <w:rFonts w:ascii="Calibri"/>
        </w:rPr>
      </w:pPr>
      <w:r>
        <w:rPr>
          <w:rFonts w:ascii="Calibri"/>
        </w:rPr>
        <w:t>EFFICACY OF COLLOIDAL SILVER ON BIOFILM CONTROL IN DENTAL UNIT WATERLINES</w:t>
      </w:r>
    </w:p>
    <w:p>
      <w:pPr>
        <w:pStyle w:val="BodyText"/>
        <w:spacing w:before="8"/>
        <w:rPr>
          <w:rFonts w:ascii="Calibri"/>
          <w:b/>
          <w:sz w:val="28"/>
        </w:rPr>
      </w:pPr>
    </w:p>
    <w:p>
      <w:pPr>
        <w:spacing w:line="247" w:lineRule="auto" w:before="1"/>
        <w:ind w:left="219" w:right="225" w:firstLine="0"/>
        <w:jc w:val="both"/>
        <w:rPr>
          <w:rFonts w:ascii="Calibri" w:hAnsi="Calibri"/>
          <w:sz w:val="16"/>
        </w:rPr>
      </w:pPr>
      <w:r>
        <w:rPr>
          <w:rFonts w:ascii="Calibri" w:hAnsi="Calibri"/>
          <w:b/>
          <w:sz w:val="24"/>
          <w:u w:val="thick"/>
        </w:rPr>
        <w:t>Gauddy Lizeth Manzanares-Leal</w:t>
      </w:r>
      <w:r>
        <w:rPr>
          <w:rFonts w:ascii="Calibri" w:hAnsi="Calibri"/>
          <w:position w:val="11"/>
          <w:sz w:val="16"/>
        </w:rPr>
        <w:t>a</w:t>
      </w:r>
      <w:r>
        <w:rPr>
          <w:rFonts w:ascii="Calibri" w:hAnsi="Calibri"/>
          <w:sz w:val="24"/>
        </w:rPr>
        <w:t>, Norma Margarita Montiel-Bastida</w:t>
      </w:r>
      <w:r>
        <w:rPr>
          <w:rFonts w:ascii="Calibri" w:hAnsi="Calibri"/>
          <w:position w:val="11"/>
          <w:sz w:val="16"/>
        </w:rPr>
        <w:t>b</w:t>
      </w:r>
      <w:r>
        <w:rPr>
          <w:rFonts w:ascii="Calibri" w:hAnsi="Calibri"/>
          <w:sz w:val="24"/>
        </w:rPr>
        <w:t>, Sara Gabriela María Eugenia del Real-Sánchez,</w:t>
      </w:r>
      <w:r>
        <w:rPr>
          <w:rFonts w:ascii="Calibri" w:hAnsi="Calibri"/>
          <w:position w:val="11"/>
          <w:sz w:val="16"/>
        </w:rPr>
        <w:t>c </w:t>
      </w:r>
      <w:r>
        <w:rPr>
          <w:rFonts w:ascii="Calibri" w:hAnsi="Calibri"/>
          <w:sz w:val="24"/>
        </w:rPr>
        <w:t>Rosa Isela Flores-Chávez</w:t>
      </w:r>
      <w:r>
        <w:rPr>
          <w:rFonts w:ascii="Calibri" w:hAnsi="Calibri"/>
          <w:position w:val="11"/>
          <w:sz w:val="16"/>
        </w:rPr>
        <w:t>d</w:t>
      </w:r>
      <w:r>
        <w:rPr>
          <w:rFonts w:ascii="Calibri" w:hAnsi="Calibri"/>
          <w:sz w:val="24"/>
        </w:rPr>
        <w:t>, Ángel Visoso-Salgado</w:t>
      </w:r>
      <w:r>
        <w:rPr>
          <w:rFonts w:ascii="Calibri" w:hAnsi="Calibri"/>
          <w:position w:val="11"/>
          <w:sz w:val="16"/>
        </w:rPr>
        <w:t>e</w:t>
      </w:r>
    </w:p>
    <w:p>
      <w:pPr>
        <w:pStyle w:val="BodyText"/>
        <w:spacing w:before="3"/>
        <w:rPr>
          <w:rFonts w:ascii="Calibri"/>
          <w:sz w:val="30"/>
        </w:rPr>
      </w:pPr>
    </w:p>
    <w:p>
      <w:pPr>
        <w:pStyle w:val="BodyText"/>
        <w:spacing w:line="278" w:lineRule="auto"/>
        <w:ind w:left="219" w:right="229"/>
        <w:jc w:val="both"/>
        <w:rPr>
          <w:rFonts w:ascii="Calibri" w:hAnsi="Calibri"/>
        </w:rPr>
      </w:pPr>
      <w:r>
        <w:rPr>
          <w:rFonts w:ascii="Calibri" w:hAnsi="Calibri"/>
        </w:rPr>
        <w:t>a: Dental Surgeon, second-year master’s student in Odontology, Center for Research and Advanced Studies in Dentistry, Department of Odontology, Autonomous University of Mexico (UAEM).</w:t>
      </w:r>
    </w:p>
    <w:p>
      <w:pPr>
        <w:pStyle w:val="BodyText"/>
        <w:spacing w:line="276" w:lineRule="auto"/>
        <w:ind w:left="219" w:right="232"/>
        <w:rPr>
          <w:rFonts w:ascii="Calibri"/>
        </w:rPr>
      </w:pPr>
      <w:r>
        <w:rPr>
          <w:rFonts w:ascii="Calibri"/>
        </w:rPr>
        <w:t>b: Doctor in Dentistry, Planning Coordinator of the Department of Odontology of the UAEM, researcher for the Center for Research and Advanced Studies in Dentistry, UAEM. c: Master in Health Sciences, Coordinator of the Postgraduate Studies of the Center for Research and Advanced Studies in Dentistry,</w:t>
      </w:r>
      <w:r>
        <w:rPr>
          <w:rFonts w:ascii="Calibri"/>
          <w:spacing w:val="-24"/>
        </w:rPr>
        <w:t> </w:t>
      </w:r>
      <w:r>
        <w:rPr>
          <w:rFonts w:ascii="Calibri"/>
        </w:rPr>
        <w:t>UAEM.</w:t>
      </w:r>
    </w:p>
    <w:p>
      <w:pPr>
        <w:pStyle w:val="BodyText"/>
        <w:spacing w:line="276" w:lineRule="auto" w:before="4"/>
        <w:ind w:left="219" w:right="235"/>
        <w:jc w:val="both"/>
        <w:rPr>
          <w:rFonts w:ascii="Calibri"/>
        </w:rPr>
      </w:pPr>
      <w:r>
        <w:rPr>
          <w:rFonts w:ascii="Calibri"/>
        </w:rPr>
        <w:t>d: Master in Teaching and Administration in Higher Education, Head of the Biohazardous Infectious Waste (RPBI) Department, Department of Odontology, UAEM.</w:t>
      </w:r>
    </w:p>
    <w:p>
      <w:pPr>
        <w:pStyle w:val="BodyText"/>
        <w:spacing w:line="276" w:lineRule="auto"/>
        <w:ind w:left="219" w:right="233"/>
        <w:jc w:val="both"/>
        <w:rPr>
          <w:rFonts w:ascii="Calibri"/>
        </w:rPr>
      </w:pPr>
      <w:r>
        <w:rPr>
          <w:rFonts w:ascii="Calibri"/>
        </w:rPr>
        <w:t>e: Doctor in Public Health Sciences, Researcher for the Center for Research and Advanced Studies in Dentistry, UAEM.</w:t>
      </w:r>
    </w:p>
    <w:p>
      <w:pPr>
        <w:pStyle w:val="BodyText"/>
        <w:spacing w:before="10"/>
        <w:rPr>
          <w:rFonts w:ascii="Calibri"/>
          <w:sz w:val="27"/>
        </w:rPr>
      </w:pPr>
    </w:p>
    <w:p>
      <w:pPr>
        <w:pStyle w:val="BodyText"/>
        <w:spacing w:line="276" w:lineRule="auto"/>
        <w:ind w:left="219" w:right="231"/>
        <w:jc w:val="both"/>
        <w:rPr>
          <w:rFonts w:ascii="Calibri" w:hAnsi="Calibri"/>
        </w:rPr>
      </w:pPr>
      <w:r>
        <w:rPr>
          <w:rFonts w:ascii="Calibri" w:hAnsi="Calibri"/>
        </w:rPr>
        <w:t>Correspondence: Ph D. Norma Margarita Montiel Bastida, Faculty of Dentistry, University Autonomous of the State of Mexico, Guillermo Menez Servin #110, Habitacional Colon, Toluca, Estado de México. Telephone: 722-367-90-01. e-mail: </w:t>
      </w:r>
      <w:hyperlink r:id="rId52">
        <w:r>
          <w:rPr>
            <w:rFonts w:ascii="Calibri" w:hAnsi="Calibri"/>
          </w:rPr>
          <w:t>montiel74@hotmail.com</w:t>
        </w:r>
      </w:hyperlink>
    </w:p>
    <w:p>
      <w:pPr>
        <w:pStyle w:val="BodyText"/>
        <w:rPr>
          <w:rFonts w:ascii="Calibri"/>
        </w:rPr>
      </w:pPr>
    </w:p>
    <w:p>
      <w:pPr>
        <w:pStyle w:val="BodyText"/>
        <w:spacing w:before="2"/>
        <w:rPr>
          <w:rFonts w:ascii="Calibri"/>
          <w:sz w:val="21"/>
        </w:rPr>
      </w:pPr>
    </w:p>
    <w:p>
      <w:pPr>
        <w:pStyle w:val="Heading2"/>
        <w:jc w:val="both"/>
        <w:rPr>
          <w:rFonts w:ascii="Calibri"/>
        </w:rPr>
      </w:pPr>
      <w:r>
        <w:rPr>
          <w:rFonts w:ascii="Calibri"/>
        </w:rPr>
        <w:t>Abstract</w:t>
      </w:r>
    </w:p>
    <w:p>
      <w:pPr>
        <w:pStyle w:val="BodyText"/>
        <w:spacing w:line="278" w:lineRule="auto" w:before="43"/>
        <w:ind w:left="219" w:right="231"/>
        <w:jc w:val="both"/>
        <w:rPr>
          <w:rFonts w:ascii="Calibri"/>
        </w:rPr>
      </w:pPr>
      <w:r>
        <w:rPr>
          <w:rFonts w:ascii="Calibri"/>
          <w:b/>
        </w:rPr>
        <w:t>Purpose: </w:t>
      </w:r>
      <w:r>
        <w:rPr>
          <w:rFonts w:ascii="Calibri"/>
        </w:rPr>
        <w:t>The purpose of the present study was to evaluate the antimicrobial efficacy of colloidal silver for biofilm control in high-speed waterlines of dental units.</w:t>
      </w:r>
    </w:p>
    <w:p>
      <w:pPr>
        <w:pStyle w:val="BodyText"/>
        <w:spacing w:line="276" w:lineRule="auto"/>
        <w:ind w:left="219" w:right="222"/>
        <w:jc w:val="both"/>
        <w:rPr>
          <w:rFonts w:ascii="Calibri" w:hAnsi="Calibri"/>
        </w:rPr>
      </w:pPr>
      <w:r>
        <w:rPr>
          <w:rFonts w:ascii="Calibri" w:hAnsi="Calibri"/>
          <w:b/>
        </w:rPr>
        <w:t>Materials and methods</w:t>
      </w:r>
      <w:r>
        <w:rPr>
          <w:rFonts w:ascii="Calibri" w:hAnsi="Calibri"/>
        </w:rPr>
        <w:t>: This was a cross-over experimental study analyzing 35 high-speed waterlines using three treatments, filtered water, chlorhexidine gluconate and colloidal silver, for four weeks each in succession. The colony-forming units per millimeter (CFU/ml) were counted, and the microorganisms present were determined. ANOVA and Bonferroni’s test were applied for the statistical analysis.</w:t>
      </w:r>
    </w:p>
    <w:p>
      <w:pPr>
        <w:spacing w:line="276" w:lineRule="auto" w:before="4"/>
        <w:ind w:left="219" w:right="220" w:firstLine="0"/>
        <w:jc w:val="both"/>
        <w:rPr>
          <w:rFonts w:ascii="Calibri"/>
          <w:sz w:val="24"/>
        </w:rPr>
      </w:pPr>
      <w:r>
        <w:rPr>
          <w:rFonts w:ascii="Calibri"/>
          <w:b/>
          <w:sz w:val="24"/>
        </w:rPr>
        <w:t>Results: </w:t>
      </w:r>
      <w:r>
        <w:rPr>
          <w:rFonts w:ascii="Calibri"/>
          <w:sz w:val="24"/>
        </w:rPr>
        <w:t>The differences in the CFU/ml were significant between the following pairs: colloidal silver and filtered water (p&lt;0.01), chlorhexidine and filtered water (p&lt;0.01) and colloidal silver and chlorhexidine (p&lt;0.01). </w:t>
      </w:r>
      <w:r>
        <w:rPr>
          <w:rFonts w:ascii="Calibri"/>
          <w:i/>
          <w:sz w:val="24"/>
        </w:rPr>
        <w:t>Pseudomonas aeruginosa</w:t>
      </w:r>
      <w:r>
        <w:rPr>
          <w:rFonts w:ascii="Calibri"/>
          <w:sz w:val="24"/>
        </w:rPr>
        <w:t>, </w:t>
      </w:r>
      <w:r>
        <w:rPr>
          <w:rFonts w:ascii="Calibri"/>
          <w:i/>
          <w:sz w:val="24"/>
        </w:rPr>
        <w:t>Escherichia coli</w:t>
      </w:r>
      <w:r>
        <w:rPr>
          <w:rFonts w:ascii="Calibri"/>
          <w:sz w:val="24"/>
        </w:rPr>
        <w:t>, </w:t>
      </w:r>
      <w:r>
        <w:rPr>
          <w:rFonts w:ascii="Calibri"/>
          <w:i/>
          <w:sz w:val="24"/>
        </w:rPr>
        <w:t>Legionella pneumophila </w:t>
      </w:r>
      <w:r>
        <w:rPr>
          <w:rFonts w:ascii="Calibri"/>
          <w:sz w:val="24"/>
        </w:rPr>
        <w:t>and </w:t>
      </w:r>
      <w:r>
        <w:rPr>
          <w:rFonts w:ascii="Calibri"/>
          <w:i/>
          <w:sz w:val="24"/>
        </w:rPr>
        <w:t>Candida albicans </w:t>
      </w:r>
      <w:r>
        <w:rPr>
          <w:rFonts w:ascii="Calibri"/>
          <w:sz w:val="24"/>
        </w:rPr>
        <w:t>were identified.</w:t>
      </w:r>
    </w:p>
    <w:p>
      <w:pPr>
        <w:pStyle w:val="BodyText"/>
        <w:spacing w:line="276" w:lineRule="auto"/>
        <w:ind w:left="219" w:right="225"/>
        <w:jc w:val="both"/>
        <w:rPr>
          <w:rFonts w:ascii="Calibri"/>
        </w:rPr>
      </w:pPr>
      <w:r>
        <w:rPr>
          <w:rFonts w:ascii="Calibri"/>
          <w:b/>
        </w:rPr>
        <w:t>Conclusions: </w:t>
      </w:r>
      <w:r>
        <w:rPr>
          <w:rFonts w:ascii="Calibri"/>
        </w:rPr>
        <w:t>Colloidal silver decreased the microbial count to under 45 CFU/ml and attained the total elimination of opportunistic pathogens. Our results may provide solid data on the use of an effective, non-toxic, widely available antimicrobial agent to improve the quality of the dental clinic environment.</w:t>
      </w:r>
    </w:p>
    <w:p>
      <w:pPr>
        <w:spacing w:after="0" w:line="276" w:lineRule="auto"/>
        <w:jc w:val="both"/>
        <w:rPr>
          <w:rFonts w:ascii="Calibri"/>
        </w:rPr>
        <w:sectPr>
          <w:pgSz w:w="12240" w:h="15840"/>
          <w:pgMar w:header="731" w:footer="1012" w:top="1160" w:bottom="1200" w:left="1480" w:right="1480"/>
        </w:sectPr>
      </w:pPr>
    </w:p>
    <w:p>
      <w:pPr>
        <w:pStyle w:val="BodyText"/>
        <w:spacing w:before="11"/>
        <w:rPr>
          <w:rFonts w:ascii="Calibri"/>
          <w:sz w:val="17"/>
        </w:rPr>
      </w:pPr>
    </w:p>
    <w:p>
      <w:pPr>
        <w:pStyle w:val="BodyText"/>
        <w:spacing w:before="52"/>
        <w:ind w:left="219" w:right="387"/>
        <w:rPr>
          <w:rFonts w:ascii="Calibri"/>
        </w:rPr>
      </w:pPr>
      <w:r>
        <w:rPr>
          <w:rFonts w:ascii="Calibri"/>
        </w:rPr>
        <w:t>Keywords: Biofilm, dental units, colloidal silver, occupational dentistry.</w:t>
      </w:r>
    </w:p>
    <w:p>
      <w:pPr>
        <w:pStyle w:val="BodyText"/>
        <w:rPr>
          <w:rFonts w:ascii="Calibri"/>
        </w:rPr>
      </w:pPr>
    </w:p>
    <w:p>
      <w:pPr>
        <w:pStyle w:val="BodyText"/>
        <w:spacing w:before="2"/>
        <w:rPr>
          <w:rFonts w:ascii="Calibri"/>
          <w:sz w:val="23"/>
        </w:rPr>
      </w:pPr>
    </w:p>
    <w:p>
      <w:pPr>
        <w:pStyle w:val="Heading2"/>
        <w:ind w:right="387"/>
        <w:rPr>
          <w:rFonts w:ascii="Calibri"/>
        </w:rPr>
      </w:pPr>
      <w:r>
        <w:rPr>
          <w:rFonts w:ascii="Calibri"/>
        </w:rPr>
        <w:t>Introduction</w:t>
      </w:r>
    </w:p>
    <w:p>
      <w:pPr>
        <w:pStyle w:val="BodyText"/>
        <w:spacing w:before="5"/>
        <w:rPr>
          <w:rFonts w:ascii="Calibri"/>
          <w:b/>
          <w:sz w:val="20"/>
        </w:rPr>
      </w:pPr>
    </w:p>
    <w:p>
      <w:pPr>
        <w:pStyle w:val="BodyText"/>
        <w:spacing w:line="276" w:lineRule="auto"/>
        <w:ind w:left="219" w:right="224" w:firstLine="706"/>
        <w:jc w:val="both"/>
        <w:rPr>
          <w:rFonts w:ascii="Calibri"/>
        </w:rPr>
      </w:pPr>
      <w:r>
        <w:rPr>
          <w:rFonts w:ascii="Calibri"/>
        </w:rPr>
        <w:t>The World Health Organization (WHO) reported in 2006 that approximately 1.8 million deaths around the world were due to unsafe water and lack of sanitation and hygiene. Approximately 99.8% of these deaths take place in developing countries (WHO, 2007), and biofilms are responsible for more than 60% of the microbial infections (APHA, 2005). Thus, the present study focused on controlling this natural phenomenon, as it is a potential risk of infection, especially for medically compromised  and immunocompromised patients.</w:t>
      </w:r>
    </w:p>
    <w:p>
      <w:pPr>
        <w:pStyle w:val="BodyText"/>
        <w:rPr>
          <w:rFonts w:ascii="Calibri"/>
          <w:sz w:val="20"/>
        </w:rPr>
      </w:pPr>
    </w:p>
    <w:p>
      <w:pPr>
        <w:pStyle w:val="BodyText"/>
        <w:spacing w:line="276" w:lineRule="auto"/>
        <w:ind w:left="219" w:right="221" w:firstLine="706"/>
        <w:jc w:val="both"/>
        <w:rPr>
          <w:rFonts w:ascii="Calibri"/>
        </w:rPr>
      </w:pPr>
      <w:r>
        <w:rPr>
          <w:rFonts w:ascii="Calibri"/>
        </w:rPr>
        <w:t>Dental unit waterlines are an optimal environment for biofilm formation. In fact, several studies (Barbeau, et al., 1997; Uzel, et al., 2008; Pasquarella, et al., 2012) have reported that high concentrations of bacteria such as </w:t>
      </w:r>
      <w:r>
        <w:rPr>
          <w:rFonts w:ascii="Calibri"/>
          <w:i/>
        </w:rPr>
        <w:t>Pseudomonas aeruginosa, Legionella </w:t>
      </w:r>
      <w:r>
        <w:rPr>
          <w:rFonts w:ascii="Calibri"/>
          <w:i/>
        </w:rPr>
        <w:t>pneumophila </w:t>
      </w:r>
      <w:r>
        <w:rPr>
          <w:rFonts w:ascii="Calibri"/>
        </w:rPr>
        <w:t>or even enterobacteria are responsible for respiratory and digestive tract infections. This observation is important given that water is essential in the use of </w:t>
      </w:r>
      <w:r>
        <w:rPr>
          <w:rFonts w:ascii="Calibri"/>
          <w:spacing w:val="2"/>
        </w:rPr>
        <w:t>high- </w:t>
      </w:r>
      <w:r>
        <w:rPr>
          <w:rFonts w:ascii="Calibri"/>
        </w:rPr>
        <w:t>speed handpieces and for dental surface cooling after a dental treatment, which involves  a high potential of dispersion of aerosol infectious</w:t>
      </w:r>
      <w:r>
        <w:rPr>
          <w:rFonts w:ascii="Calibri"/>
          <w:spacing w:val="-26"/>
        </w:rPr>
        <w:t> </w:t>
      </w:r>
      <w:r>
        <w:rPr>
          <w:rFonts w:ascii="Calibri"/>
        </w:rPr>
        <w:t>agents.</w:t>
      </w:r>
    </w:p>
    <w:p>
      <w:pPr>
        <w:pStyle w:val="BodyText"/>
        <w:spacing w:line="276" w:lineRule="auto" w:before="205"/>
        <w:ind w:left="219" w:right="223" w:firstLine="706"/>
        <w:jc w:val="both"/>
        <w:rPr>
          <w:rFonts w:ascii="Calibri"/>
        </w:rPr>
      </w:pPr>
      <w:r>
        <w:rPr>
          <w:rFonts w:ascii="Calibri"/>
        </w:rPr>
        <w:t>To control this source of contamination, several guidelines have been developed around the world. The most accepted are the proposals of the American Dental Association (ADA) and the Centers for Disease Control and Prevention (CDC), which suggest a standard regulation of less than 200 colony-forming units per milliliter (CFU/ml) in the dental unit water (ADA, 1999), . This consideration can be achieved both with control of the microorganisms found in the water phase and with biofilm monitoring, so it is a worthwhile to follow the initiative of the Organization for Safety, Asepsis and Prevention (OSAP), which emphasizes waterline flushing as a mechanical mean for biofilm control. However, OSAP also states that adding an antimicrobial should also be considered, which together with the effect of flushing would theoretically provide a decrease in the total bacterial count (OSAP,</w:t>
      </w:r>
      <w:r>
        <w:rPr>
          <w:rFonts w:ascii="Calibri"/>
          <w:spacing w:val="-20"/>
        </w:rPr>
        <w:t> </w:t>
      </w:r>
      <w:r>
        <w:rPr>
          <w:rFonts w:ascii="Calibri"/>
        </w:rPr>
        <w:t>2000).</w:t>
      </w:r>
    </w:p>
    <w:p>
      <w:pPr>
        <w:pStyle w:val="BodyText"/>
        <w:spacing w:line="276" w:lineRule="auto" w:before="205"/>
        <w:ind w:left="219" w:right="223" w:firstLine="706"/>
        <w:jc w:val="both"/>
        <w:rPr>
          <w:rFonts w:ascii="Calibri"/>
        </w:rPr>
      </w:pPr>
      <w:r>
        <w:rPr>
          <w:rFonts w:ascii="Calibri"/>
        </w:rPr>
        <w:t>Chlorhexidine is the most studied antimicrobial in dentistry; this molecule has been tested </w:t>
      </w:r>
      <w:r>
        <w:rPr>
          <w:rFonts w:ascii="Calibri"/>
          <w:spacing w:val="-3"/>
        </w:rPr>
        <w:t>as </w:t>
      </w:r>
      <w:r>
        <w:rPr>
          <w:rFonts w:ascii="Calibri"/>
        </w:rPr>
        <w:t>an option to disinfect dental unit waterlines (Epstein, et al., 2002; Walker, et al., 2003, Decoret, et al., 2005; Andersen, et al., 2007) and can thus be considered an alternative for biofilm control. It is expensive, however, so its daily and continuous use is unrealistic. On the other hand, there are other options that have not been used for treating dental unit waterlines but that have been studied in eradicating biofilms from the waterlines of the International Space Station (Wong, et al., 2010) or in water  </w:t>
      </w:r>
      <w:r>
        <w:rPr>
          <w:rFonts w:ascii="Calibri"/>
          <w:spacing w:val="53"/>
        </w:rPr>
        <w:t> </w:t>
      </w:r>
      <w:r>
        <w:rPr>
          <w:rFonts w:ascii="Calibri"/>
        </w:rPr>
        <w:t>purification</w:t>
      </w:r>
    </w:p>
    <w:p>
      <w:pPr>
        <w:spacing w:after="0" w:line="276" w:lineRule="auto"/>
        <w:jc w:val="both"/>
        <w:rPr>
          <w:rFonts w:ascii="Calibri"/>
        </w:rPr>
        <w:sectPr>
          <w:pgSz w:w="12240" w:h="15840"/>
          <w:pgMar w:header="731" w:footer="1012" w:top="1160" w:bottom="1200" w:left="1480" w:right="1480"/>
        </w:sectPr>
      </w:pPr>
    </w:p>
    <w:p>
      <w:pPr>
        <w:pStyle w:val="BodyText"/>
        <w:spacing w:before="11"/>
        <w:rPr>
          <w:rFonts w:ascii="Calibri"/>
          <w:sz w:val="17"/>
        </w:rPr>
      </w:pPr>
    </w:p>
    <w:p>
      <w:pPr>
        <w:pStyle w:val="BodyText"/>
        <w:spacing w:line="276" w:lineRule="auto" w:before="52"/>
        <w:ind w:left="219" w:right="219"/>
        <w:jc w:val="both"/>
        <w:rPr>
          <w:rFonts w:ascii="Calibri"/>
        </w:rPr>
      </w:pPr>
      <w:r>
        <w:rPr>
          <w:rFonts w:ascii="Calibri"/>
        </w:rPr>
        <w:t>for human consumption after a natural disaster (WHO, 2005). One such option is colloidal silver, whose variants and efficacy have been reported by several studies that have documented its antibacterial properties and low toxicity (Feng, et al., 2005; Han, et al., 2008; Lee et. al., 2010).</w:t>
      </w:r>
    </w:p>
    <w:p>
      <w:pPr>
        <w:pStyle w:val="BodyText"/>
        <w:spacing w:line="276" w:lineRule="auto" w:before="205"/>
        <w:ind w:left="219" w:right="226" w:firstLine="706"/>
        <w:jc w:val="both"/>
        <w:rPr>
          <w:rFonts w:ascii="Calibri"/>
        </w:rPr>
      </w:pPr>
      <w:r>
        <w:rPr>
          <w:rFonts w:ascii="Calibri"/>
        </w:rPr>
        <w:t>This study focused on evaluating the antimicrobial efficacy of colloidal silver on the control of biofilm formation in high-speed dental unit waterlines, compared to the effects of chlorhexidine gluconate and filtered water. We aimed to provide one more step to be able to reach a method that would ensure bacterial sanitation in the water outlet from high-speed dental handpieces, to protect the health of the patient and the dentist and improve the environment in which dental care personnel operate.</w:t>
      </w:r>
    </w:p>
    <w:p>
      <w:pPr>
        <w:pStyle w:val="BodyText"/>
        <w:spacing w:before="6"/>
        <w:rPr>
          <w:rFonts w:ascii="Calibri"/>
          <w:sz w:val="27"/>
        </w:rPr>
      </w:pPr>
    </w:p>
    <w:p>
      <w:pPr>
        <w:pStyle w:val="Heading2"/>
        <w:jc w:val="both"/>
        <w:rPr>
          <w:rFonts w:ascii="Calibri"/>
        </w:rPr>
      </w:pPr>
      <w:r>
        <w:rPr>
          <w:rFonts w:ascii="Calibri"/>
        </w:rPr>
        <w:t>Materials and methods</w:t>
      </w:r>
    </w:p>
    <w:p>
      <w:pPr>
        <w:pStyle w:val="BodyText"/>
        <w:spacing w:line="276" w:lineRule="auto" w:before="43"/>
        <w:ind w:left="219" w:right="218" w:firstLine="706"/>
        <w:jc w:val="both"/>
        <w:rPr>
          <w:rFonts w:ascii="Calibri"/>
        </w:rPr>
      </w:pPr>
      <w:r>
        <w:rPr>
          <w:rFonts w:ascii="Calibri"/>
        </w:rPr>
        <w:t>Three dental clinics from a higher-education institution, working in the respective areas of endodontics, pediatric dentistry and operative dentistry, were selected, from which a random sample of 35 dental units was taken (Adec, Oregon, U.S.A.). All of the sampled units, with a time of use of less than 6 months, used the high-speed handpiece daily and did not undergo any disinfection treatment prior to the study.</w:t>
      </w:r>
    </w:p>
    <w:p>
      <w:pPr>
        <w:pStyle w:val="BodyText"/>
        <w:spacing w:line="276" w:lineRule="auto" w:before="205"/>
        <w:ind w:left="219" w:right="222"/>
        <w:jc w:val="both"/>
        <w:rPr>
          <w:rFonts w:ascii="Calibri"/>
        </w:rPr>
      </w:pPr>
      <w:r>
        <w:rPr>
          <w:rFonts w:ascii="Calibri"/>
        </w:rPr>
        <w:t>A cross-over experimental study was performed in which each unit was treated with filtered water, colloidal silver (0.38% (Microdyn, Tavistock Holding AG,Switzerland)) or chlorhexidine gluconate (0.12% (Paroex, Gum, Sant Just Desvern, Barcelona)). Each treatment lasted four weeks in succession. To avoid a carry-over effect, new water supply bottles and hoses were placed at the end and the beginning of each new intervention. To control for any position effect, the sequence of treatments was randomized, and the allocation of students to each dental unit was blindfolded.</w:t>
      </w:r>
    </w:p>
    <w:p>
      <w:pPr>
        <w:pStyle w:val="BodyText"/>
        <w:spacing w:before="206"/>
        <w:ind w:left="219"/>
        <w:jc w:val="both"/>
        <w:rPr>
          <w:rFonts w:ascii="Calibri"/>
        </w:rPr>
      </w:pPr>
      <w:r>
        <w:rPr>
          <w:rFonts w:ascii="Calibri"/>
        </w:rPr>
        <w:t>First phase</w:t>
      </w:r>
    </w:p>
    <w:p>
      <w:pPr>
        <w:pStyle w:val="BodyText"/>
        <w:spacing w:line="276" w:lineRule="auto" w:before="43"/>
        <w:ind w:left="219" w:right="227" w:firstLine="706"/>
        <w:jc w:val="both"/>
        <w:rPr>
          <w:rFonts w:ascii="Calibri"/>
        </w:rPr>
      </w:pPr>
      <w:r>
        <w:rPr>
          <w:rFonts w:ascii="Calibri"/>
        </w:rPr>
        <w:t>Filtered water from the Dental School supplying purifiers was placed in the bottles of the dental unit daily. The waterlines were flushed for 3 minutes before beginning the clinical activities, 30 seconds between each patient and 3 minutes at the end of the work day.</w:t>
      </w:r>
    </w:p>
    <w:p>
      <w:pPr>
        <w:pStyle w:val="BodyText"/>
        <w:spacing w:line="292" w:lineRule="exact"/>
        <w:ind w:left="219"/>
        <w:jc w:val="both"/>
        <w:rPr>
          <w:rFonts w:ascii="Calibri"/>
        </w:rPr>
      </w:pPr>
      <w:r>
        <w:rPr>
          <w:rFonts w:ascii="Calibri"/>
        </w:rPr>
        <w:t>Second phase</w:t>
      </w:r>
    </w:p>
    <w:p>
      <w:pPr>
        <w:pStyle w:val="BodyText"/>
        <w:spacing w:line="273" w:lineRule="auto" w:before="43"/>
        <w:ind w:left="219" w:right="221" w:firstLine="706"/>
        <w:jc w:val="both"/>
        <w:rPr>
          <w:rFonts w:ascii="Calibri"/>
        </w:rPr>
      </w:pPr>
      <w:r>
        <w:rPr>
          <w:rFonts w:ascii="Calibri"/>
        </w:rPr>
        <w:t>The second four-week phase consisted of placing daily filtered water with one drop of 0.38% colloidal silver (Microdyn, Tavistock Holding AG, Switzerland) as indicated by the manufacturer and flushing the hoses as described in the first phase.</w:t>
      </w:r>
    </w:p>
    <w:p>
      <w:pPr>
        <w:pStyle w:val="BodyText"/>
        <w:spacing w:before="208"/>
        <w:ind w:left="219"/>
        <w:jc w:val="both"/>
        <w:rPr>
          <w:rFonts w:ascii="Calibri"/>
        </w:rPr>
      </w:pPr>
      <w:r>
        <w:rPr>
          <w:rFonts w:ascii="Calibri"/>
        </w:rPr>
        <w:t>Third phase</w:t>
      </w:r>
    </w:p>
    <w:p>
      <w:pPr>
        <w:spacing w:after="0"/>
        <w:jc w:val="both"/>
        <w:rPr>
          <w:rFonts w:ascii="Calibri"/>
        </w:rPr>
        <w:sectPr>
          <w:pgSz w:w="12240" w:h="15840"/>
          <w:pgMar w:header="731" w:footer="1012" w:top="1160" w:bottom="1200" w:left="1480" w:right="1480"/>
        </w:sectPr>
      </w:pPr>
    </w:p>
    <w:p>
      <w:pPr>
        <w:pStyle w:val="BodyText"/>
        <w:spacing w:before="11"/>
        <w:rPr>
          <w:rFonts w:ascii="Calibri"/>
          <w:sz w:val="17"/>
        </w:rPr>
      </w:pPr>
    </w:p>
    <w:p>
      <w:pPr>
        <w:pStyle w:val="BodyText"/>
        <w:spacing w:line="276" w:lineRule="auto" w:before="52"/>
        <w:ind w:left="219" w:right="221" w:firstLine="706"/>
        <w:jc w:val="both"/>
        <w:rPr>
          <w:rFonts w:ascii="Calibri"/>
        </w:rPr>
      </w:pPr>
      <w:r>
        <w:rPr>
          <w:rFonts w:ascii="Calibri"/>
        </w:rPr>
        <w:t>To conduct the third four-week phase, 250 ml of filtered water and 250 ml of  0.12% chlorhexidine gluconate were placed in the water supply bottles (Paroex, Gum, Sant Just Desvern, Barcelona). Hoses were flushed daily as</w:t>
      </w:r>
      <w:r>
        <w:rPr>
          <w:rFonts w:ascii="Calibri"/>
          <w:spacing w:val="-23"/>
        </w:rPr>
        <w:t> </w:t>
      </w:r>
      <w:r>
        <w:rPr>
          <w:rFonts w:ascii="Calibri"/>
        </w:rPr>
        <w:t>above.</w:t>
      </w:r>
    </w:p>
    <w:p>
      <w:pPr>
        <w:pStyle w:val="BodyText"/>
        <w:spacing w:before="205"/>
        <w:ind w:left="219" w:right="387"/>
        <w:rPr>
          <w:rFonts w:ascii="Calibri"/>
        </w:rPr>
      </w:pPr>
      <w:r>
        <w:rPr>
          <w:rFonts w:ascii="Calibri"/>
        </w:rPr>
        <w:t>Sample collection</w:t>
      </w:r>
    </w:p>
    <w:p>
      <w:pPr>
        <w:pStyle w:val="BodyText"/>
        <w:spacing w:line="276" w:lineRule="auto" w:before="43"/>
        <w:ind w:left="219" w:right="228" w:firstLine="706"/>
        <w:jc w:val="both"/>
        <w:rPr>
          <w:rFonts w:ascii="Calibri"/>
        </w:rPr>
      </w:pPr>
      <w:r>
        <w:rPr>
          <w:rFonts w:ascii="Calibri"/>
        </w:rPr>
        <w:t>At the end of each phase, the high-speed handpiece hoses were removed from the dental units and sectioned into the following three segments: an anterior segment connected to the high-speed handpiece, a middle segment of the hose and a posterior segment corresponding to the attachment of the dental unit, all one inch in length. The segments were transported in individual sterilized and labeled bags to the laboratory.</w:t>
      </w:r>
    </w:p>
    <w:p>
      <w:pPr>
        <w:pStyle w:val="BodyText"/>
        <w:spacing w:before="200"/>
        <w:ind w:left="219" w:right="387"/>
        <w:rPr>
          <w:rFonts w:ascii="Calibri"/>
        </w:rPr>
      </w:pPr>
      <w:r>
        <w:rPr>
          <w:rFonts w:ascii="Calibri"/>
        </w:rPr>
        <w:t>Microbiological analysis</w:t>
      </w:r>
    </w:p>
    <w:p>
      <w:pPr>
        <w:pStyle w:val="BodyText"/>
        <w:spacing w:line="276" w:lineRule="auto" w:before="48"/>
        <w:ind w:left="219" w:right="220" w:firstLine="706"/>
        <w:jc w:val="both"/>
        <w:rPr>
          <w:rFonts w:ascii="Calibri" w:hAnsi="Calibri"/>
        </w:rPr>
      </w:pPr>
      <w:r>
        <w:rPr>
          <w:rFonts w:ascii="Calibri" w:hAnsi="Calibri"/>
        </w:rPr>
        <w:t>In a sterile environment, the referred segments were longitudinally cut with a #11 sterile surgical blade securing access to the ductal lumen. Once the hose was open, a sample of the biofilm was taken by scrubbing with a sterile swab prior rinse with normal saline solution for removing planktonic. Swabs were then immediately inoculated into test tubes with normal saline solution to take three dilutions </w:t>
      </w:r>
      <w:r>
        <w:rPr>
          <w:rFonts w:ascii="Calibri" w:hAnsi="Calibri"/>
          <w:spacing w:val="2"/>
        </w:rPr>
        <w:t>and </w:t>
      </w:r>
      <w:r>
        <w:rPr>
          <w:rFonts w:ascii="Calibri" w:hAnsi="Calibri"/>
        </w:rPr>
        <w:t>get less than 300CFU/ml growths. The 0.1mLt solution was taken and placed for general count of CFU/ml. Plates were incubated at 37°C for 24 hours and direct total CFU/ml count was performed (Uzel, et al.,</w:t>
      </w:r>
      <w:r>
        <w:rPr>
          <w:rFonts w:ascii="Calibri" w:hAnsi="Calibri"/>
          <w:spacing w:val="-11"/>
        </w:rPr>
        <w:t> </w:t>
      </w:r>
      <w:r>
        <w:rPr>
          <w:rFonts w:ascii="Calibri" w:hAnsi="Calibri"/>
        </w:rPr>
        <w:t>2008).</w:t>
      </w:r>
    </w:p>
    <w:p>
      <w:pPr>
        <w:pStyle w:val="BodyText"/>
        <w:spacing w:line="276" w:lineRule="auto" w:before="205"/>
        <w:ind w:left="219" w:right="227" w:firstLine="706"/>
        <w:jc w:val="both"/>
        <w:rPr>
          <w:rFonts w:ascii="Calibri" w:hAnsi="Calibri"/>
        </w:rPr>
      </w:pPr>
      <w:r>
        <w:rPr>
          <w:rFonts w:ascii="Calibri" w:hAnsi="Calibri"/>
        </w:rPr>
        <w:t>Similary, 1ml was placed on nutrient broth for isolation and subsequent identification of bacteria at 37°C for 24hours. 0.1ml was then placed to grow on nutrient agar plates and incubated in the same way. After this period, a sample  of  isolated colonies was taken and they were grown secondarily on BCYEα agar plates for specific detection of </w:t>
      </w:r>
      <w:r>
        <w:rPr>
          <w:rFonts w:ascii="Calibri" w:hAnsi="Calibri"/>
          <w:i/>
        </w:rPr>
        <w:t>Legionella pneumophila</w:t>
      </w:r>
      <w:r>
        <w:rPr>
          <w:rFonts w:ascii="Calibri" w:hAnsi="Calibri"/>
        </w:rPr>
        <w:t>. (incubated at 37°C for 3 to 10 days with a daily follow-up).Agar cultures were subsequently grow on blood agar in order to reconfirm the presence of </w:t>
      </w:r>
      <w:r>
        <w:rPr>
          <w:rFonts w:ascii="Calibri" w:hAnsi="Calibri"/>
          <w:i/>
        </w:rPr>
        <w:t>Legionella pneumophila</w:t>
      </w:r>
      <w:r>
        <w:rPr>
          <w:rFonts w:ascii="Calibri" w:hAnsi="Calibri"/>
        </w:rPr>
        <w:t>. Suspicious yeast colonies were grown in Sbouraud dextrose agar to determine the presence of </w:t>
      </w:r>
      <w:r>
        <w:rPr>
          <w:rFonts w:ascii="Calibri" w:hAnsi="Calibri"/>
          <w:i/>
        </w:rPr>
        <w:t>Candida albicans </w:t>
      </w:r>
      <w:r>
        <w:rPr>
          <w:rFonts w:ascii="Calibri" w:hAnsi="Calibri"/>
        </w:rPr>
        <w:t>(Brock, et al., 2003).</w:t>
      </w:r>
    </w:p>
    <w:p>
      <w:pPr>
        <w:pStyle w:val="BodyText"/>
        <w:spacing w:line="273" w:lineRule="auto" w:before="205"/>
        <w:ind w:left="219" w:right="217" w:firstLine="706"/>
        <w:jc w:val="both"/>
        <w:rPr>
          <w:rFonts w:ascii="Calibri"/>
        </w:rPr>
      </w:pPr>
      <w:r>
        <w:rPr>
          <w:rFonts w:ascii="Calibri"/>
        </w:rPr>
        <w:t>The typical bacterial colonies were identified by performing Gram stains and observed with a microscope. Catalase, coagulase and indole biochemical tests were performed.</w:t>
      </w:r>
    </w:p>
    <w:p>
      <w:pPr>
        <w:pStyle w:val="BodyText"/>
        <w:spacing w:before="208"/>
        <w:ind w:left="219" w:right="387"/>
        <w:rPr>
          <w:rFonts w:ascii="Calibri"/>
        </w:rPr>
      </w:pPr>
      <w:r>
        <w:rPr>
          <w:rFonts w:ascii="Calibri"/>
        </w:rPr>
        <w:t>Statistical analysis</w:t>
      </w:r>
    </w:p>
    <w:p>
      <w:pPr>
        <w:pStyle w:val="BodyText"/>
        <w:spacing w:line="276" w:lineRule="auto" w:before="43"/>
        <w:ind w:left="219" w:right="224" w:firstLine="706"/>
        <w:jc w:val="both"/>
        <w:rPr>
          <w:rFonts w:ascii="Calibri"/>
        </w:rPr>
      </w:pPr>
      <w:r>
        <w:rPr>
          <w:rFonts w:ascii="Calibri"/>
        </w:rPr>
        <w:t>The collected data were analyzed using SPSS version 21. Descriptive statistics were obtained, and analysis of variance (ANOVA) was performed with a posterior paired comparison with the Bonferroni test. A second ANOVA was applied to compare the CFU/ml</w:t>
      </w:r>
      <w:r>
        <w:rPr>
          <w:rFonts w:ascii="Calibri"/>
          <w:spacing w:val="-8"/>
        </w:rPr>
        <w:t> </w:t>
      </w:r>
      <w:r>
        <w:rPr>
          <w:rFonts w:ascii="Calibri"/>
        </w:rPr>
        <w:t>of</w:t>
      </w:r>
      <w:r>
        <w:rPr>
          <w:rFonts w:ascii="Calibri"/>
          <w:spacing w:val="-4"/>
        </w:rPr>
        <w:t> </w:t>
      </w:r>
      <w:r>
        <w:rPr>
          <w:rFonts w:ascii="Calibri"/>
        </w:rPr>
        <w:t>the</w:t>
      </w:r>
      <w:r>
        <w:rPr>
          <w:rFonts w:ascii="Calibri"/>
          <w:spacing w:val="-5"/>
        </w:rPr>
        <w:t> </w:t>
      </w:r>
      <w:r>
        <w:rPr>
          <w:rFonts w:ascii="Calibri"/>
        </w:rPr>
        <w:t>three</w:t>
      </w:r>
      <w:r>
        <w:rPr>
          <w:rFonts w:ascii="Calibri"/>
          <w:spacing w:val="-5"/>
        </w:rPr>
        <w:t> </w:t>
      </w:r>
      <w:r>
        <w:rPr>
          <w:rFonts w:ascii="Calibri"/>
        </w:rPr>
        <w:t>selected</w:t>
      </w:r>
      <w:r>
        <w:rPr>
          <w:rFonts w:ascii="Calibri"/>
          <w:spacing w:val="-3"/>
        </w:rPr>
        <w:t> </w:t>
      </w:r>
      <w:r>
        <w:rPr>
          <w:rFonts w:ascii="Calibri"/>
        </w:rPr>
        <w:t>clinics.</w:t>
      </w:r>
      <w:r>
        <w:rPr>
          <w:rFonts w:ascii="Calibri"/>
          <w:spacing w:val="-4"/>
        </w:rPr>
        <w:t> </w:t>
      </w:r>
      <w:r>
        <w:rPr>
          <w:rFonts w:ascii="Calibri"/>
        </w:rPr>
        <w:t>The</w:t>
      </w:r>
      <w:r>
        <w:rPr>
          <w:rFonts w:ascii="Calibri"/>
          <w:spacing w:val="-2"/>
        </w:rPr>
        <w:t> </w:t>
      </w:r>
      <w:r>
        <w:rPr>
          <w:rFonts w:ascii="Calibri"/>
        </w:rPr>
        <w:t>frequency</w:t>
      </w:r>
      <w:r>
        <w:rPr>
          <w:rFonts w:ascii="Calibri"/>
          <w:spacing w:val="-4"/>
        </w:rPr>
        <w:t> </w:t>
      </w:r>
      <w:r>
        <w:rPr>
          <w:rFonts w:ascii="Calibri"/>
        </w:rPr>
        <w:t>of</w:t>
      </w:r>
      <w:r>
        <w:rPr>
          <w:rFonts w:ascii="Calibri"/>
          <w:spacing w:val="-7"/>
        </w:rPr>
        <w:t> </w:t>
      </w:r>
      <w:r>
        <w:rPr>
          <w:rFonts w:ascii="Calibri"/>
        </w:rPr>
        <w:t>microorganisms</w:t>
      </w:r>
      <w:r>
        <w:rPr>
          <w:rFonts w:ascii="Calibri"/>
          <w:spacing w:val="-4"/>
        </w:rPr>
        <w:t> </w:t>
      </w:r>
      <w:r>
        <w:rPr>
          <w:rFonts w:ascii="Calibri"/>
        </w:rPr>
        <w:t>was</w:t>
      </w:r>
      <w:r>
        <w:rPr>
          <w:rFonts w:ascii="Calibri"/>
          <w:spacing w:val="-4"/>
        </w:rPr>
        <w:t> </w:t>
      </w:r>
      <w:r>
        <w:rPr>
          <w:rFonts w:ascii="Calibri"/>
        </w:rPr>
        <w:t>determined.</w:t>
      </w:r>
    </w:p>
    <w:p>
      <w:pPr>
        <w:spacing w:after="0" w:line="276" w:lineRule="auto"/>
        <w:jc w:val="both"/>
        <w:rPr>
          <w:rFonts w:ascii="Calibri"/>
        </w:rPr>
        <w:sectPr>
          <w:pgSz w:w="12240" w:h="15840"/>
          <w:pgMar w:header="731" w:footer="1012" w:top="1160" w:bottom="1200" w:left="1480" w:right="1480"/>
        </w:sectPr>
      </w:pPr>
    </w:p>
    <w:p>
      <w:pPr>
        <w:pStyle w:val="BodyText"/>
        <w:spacing w:before="11"/>
        <w:rPr>
          <w:rFonts w:ascii="Calibri"/>
          <w:sz w:val="17"/>
        </w:rPr>
      </w:pPr>
    </w:p>
    <w:p>
      <w:pPr>
        <w:pStyle w:val="Heading2"/>
        <w:spacing w:before="52"/>
        <w:ind w:right="387"/>
        <w:rPr>
          <w:rFonts w:ascii="Calibri"/>
        </w:rPr>
      </w:pPr>
      <w:r>
        <w:rPr>
          <w:rFonts w:ascii="Calibri"/>
        </w:rPr>
        <w:t>Results</w:t>
      </w:r>
    </w:p>
    <w:p>
      <w:pPr>
        <w:pStyle w:val="BodyText"/>
        <w:spacing w:line="273" w:lineRule="auto" w:before="48"/>
        <w:ind w:left="219" w:right="228" w:firstLine="706"/>
        <w:jc w:val="both"/>
        <w:rPr>
          <w:rFonts w:ascii="Calibri"/>
        </w:rPr>
      </w:pPr>
      <w:r>
        <w:rPr>
          <w:rFonts w:ascii="Calibri"/>
        </w:rPr>
        <w:t>The total of 35 sampled high-speed waterlines included 12 waterlines from the graduate program clinic of endodontics, 12 from the graduate program clinic of pediatric dentistry and 11 from the undergraduate operative dentistry clinic. Each procedure was evaluated after four weeks of use.</w:t>
      </w:r>
    </w:p>
    <w:p>
      <w:pPr>
        <w:pStyle w:val="BodyText"/>
        <w:spacing w:line="276" w:lineRule="auto" w:before="208"/>
        <w:ind w:left="219" w:right="221" w:firstLine="706"/>
        <w:jc w:val="both"/>
        <w:rPr>
          <w:rFonts w:ascii="Calibri"/>
        </w:rPr>
      </w:pPr>
      <w:r>
        <w:rPr>
          <w:rFonts w:ascii="Calibri"/>
        </w:rPr>
        <w:t>The first phase, using filtered water and flushing, showed means higher than 800 CFU/ml in the three analyzed portions (Table 1). When treating with  colloidal  silver, means less than 45 CFU/ml were detected (Table 1), with maximum values on one dental unit and minimum values on 26 dental units. By treating with chlorhexidine gluconate, means under 450 CFU/ml were obtained (Table 1), showing minimum values in seven dental units and maximum values in one dental unit.</w:t>
      </w:r>
    </w:p>
    <w:p>
      <w:pPr>
        <w:spacing w:line="273" w:lineRule="auto" w:before="206"/>
        <w:ind w:left="219" w:right="211" w:firstLine="706"/>
        <w:jc w:val="both"/>
        <w:rPr>
          <w:rFonts w:ascii="Calibri"/>
          <w:sz w:val="24"/>
        </w:rPr>
      </w:pPr>
      <w:r>
        <w:rPr>
          <w:rFonts w:ascii="Calibri"/>
          <w:sz w:val="24"/>
        </w:rPr>
        <w:t>In the hoses treated with filtered water, the identified microorganisms were, in order of frequency, </w:t>
      </w:r>
      <w:r>
        <w:rPr>
          <w:rFonts w:ascii="Calibri"/>
          <w:i/>
          <w:sz w:val="24"/>
        </w:rPr>
        <w:t>Streptococcus </w:t>
      </w:r>
      <w:r>
        <w:rPr>
          <w:rFonts w:ascii="Calibri"/>
          <w:sz w:val="24"/>
        </w:rPr>
        <w:t>spp., </w:t>
      </w:r>
      <w:r>
        <w:rPr>
          <w:rFonts w:ascii="Calibri"/>
          <w:i/>
          <w:sz w:val="24"/>
        </w:rPr>
        <w:t>Legionella pneumophila</w:t>
      </w:r>
      <w:r>
        <w:rPr>
          <w:rFonts w:ascii="Calibri"/>
          <w:sz w:val="24"/>
        </w:rPr>
        <w:t>, </w:t>
      </w:r>
      <w:r>
        <w:rPr>
          <w:rFonts w:ascii="Calibri"/>
          <w:i/>
          <w:sz w:val="24"/>
        </w:rPr>
        <w:t>Staphylococcus </w:t>
      </w:r>
      <w:r>
        <w:rPr>
          <w:rFonts w:ascii="Calibri"/>
          <w:sz w:val="24"/>
        </w:rPr>
        <w:t>spp., </w:t>
      </w:r>
      <w:r>
        <w:rPr>
          <w:rFonts w:ascii="Calibri"/>
          <w:i/>
          <w:sz w:val="24"/>
        </w:rPr>
        <w:t>Lactobacillus </w:t>
      </w:r>
      <w:r>
        <w:rPr>
          <w:rFonts w:ascii="Calibri"/>
          <w:sz w:val="24"/>
        </w:rPr>
        <w:t>spp., </w:t>
      </w:r>
      <w:r>
        <w:rPr>
          <w:rFonts w:ascii="Calibri"/>
          <w:i/>
          <w:sz w:val="24"/>
        </w:rPr>
        <w:t>Escherichia coli</w:t>
      </w:r>
      <w:r>
        <w:rPr>
          <w:rFonts w:ascii="Calibri"/>
          <w:sz w:val="24"/>
        </w:rPr>
        <w:t>, </w:t>
      </w:r>
      <w:r>
        <w:rPr>
          <w:rFonts w:ascii="Calibri"/>
          <w:i/>
          <w:sz w:val="24"/>
        </w:rPr>
        <w:t>Pseudomonas aeruginosa </w:t>
      </w:r>
      <w:r>
        <w:rPr>
          <w:rFonts w:ascii="Calibri"/>
          <w:sz w:val="24"/>
        </w:rPr>
        <w:t>(Figure I) and </w:t>
      </w:r>
      <w:r>
        <w:rPr>
          <w:rFonts w:ascii="Calibri"/>
          <w:i/>
          <w:sz w:val="24"/>
        </w:rPr>
        <w:t>Candida </w:t>
      </w:r>
      <w:r>
        <w:rPr>
          <w:rFonts w:ascii="Calibri"/>
          <w:i/>
          <w:sz w:val="24"/>
        </w:rPr>
        <w:t>albicans </w:t>
      </w:r>
      <w:r>
        <w:rPr>
          <w:rFonts w:ascii="Calibri"/>
          <w:sz w:val="24"/>
        </w:rPr>
        <w:t>(not shown).</w:t>
      </w:r>
    </w:p>
    <w:p>
      <w:pPr>
        <w:spacing w:line="276" w:lineRule="auto" w:before="209"/>
        <w:ind w:left="219" w:right="218" w:firstLine="706"/>
        <w:jc w:val="both"/>
        <w:rPr>
          <w:rFonts w:ascii="Calibri"/>
          <w:sz w:val="24"/>
        </w:rPr>
      </w:pPr>
      <w:r>
        <w:rPr>
          <w:rFonts w:ascii="Calibri"/>
          <w:sz w:val="24"/>
        </w:rPr>
        <w:t>With the use of chlorhexidine gluconate, </w:t>
      </w:r>
      <w:r>
        <w:rPr>
          <w:rFonts w:ascii="Calibri"/>
          <w:i/>
          <w:sz w:val="24"/>
        </w:rPr>
        <w:t>Escherichia coli </w:t>
      </w:r>
      <w:r>
        <w:rPr>
          <w:rFonts w:ascii="Calibri"/>
          <w:sz w:val="24"/>
        </w:rPr>
        <w:t>and </w:t>
      </w:r>
      <w:r>
        <w:rPr>
          <w:rFonts w:ascii="Calibri"/>
          <w:i/>
          <w:sz w:val="24"/>
        </w:rPr>
        <w:t>Pseudomonas </w:t>
      </w:r>
      <w:r>
        <w:rPr>
          <w:rFonts w:ascii="Calibri"/>
          <w:i/>
          <w:sz w:val="24"/>
        </w:rPr>
        <w:t>aeruginosa </w:t>
      </w:r>
      <w:r>
        <w:rPr>
          <w:rFonts w:ascii="Calibri"/>
          <w:sz w:val="24"/>
        </w:rPr>
        <w:t>were eliminated, as was </w:t>
      </w:r>
      <w:r>
        <w:rPr>
          <w:rFonts w:ascii="Calibri"/>
          <w:i/>
          <w:sz w:val="24"/>
        </w:rPr>
        <w:t>Candida albicans</w:t>
      </w:r>
      <w:r>
        <w:rPr>
          <w:rFonts w:ascii="Calibri"/>
          <w:sz w:val="24"/>
        </w:rPr>
        <w:t>, but </w:t>
      </w:r>
      <w:r>
        <w:rPr>
          <w:rFonts w:ascii="Calibri"/>
          <w:i/>
          <w:sz w:val="24"/>
        </w:rPr>
        <w:t>Legionella pneumophila </w:t>
      </w:r>
      <w:r>
        <w:rPr>
          <w:rFonts w:ascii="Calibri"/>
          <w:sz w:val="24"/>
        </w:rPr>
        <w:t>maintained a frequency comparable to that of the treatment with filtered water. A  marked reduction, greater than the reduction observed with colloidal silver, in the frequency of </w:t>
      </w:r>
      <w:r>
        <w:rPr>
          <w:rFonts w:ascii="Calibri"/>
          <w:i/>
          <w:sz w:val="24"/>
        </w:rPr>
        <w:t>Streptococcus </w:t>
      </w:r>
      <w:r>
        <w:rPr>
          <w:rFonts w:ascii="Calibri"/>
          <w:sz w:val="24"/>
        </w:rPr>
        <w:t>spp. was also observed. Chlorhexidine gluconate reduced </w:t>
      </w:r>
      <w:r>
        <w:rPr>
          <w:rFonts w:ascii="Calibri"/>
          <w:i/>
          <w:sz w:val="24"/>
        </w:rPr>
        <w:t>Staphylococcus </w:t>
      </w:r>
      <w:r>
        <w:rPr>
          <w:rFonts w:ascii="Calibri"/>
          <w:sz w:val="24"/>
        </w:rPr>
        <w:t>spp. and </w:t>
      </w:r>
      <w:r>
        <w:rPr>
          <w:rFonts w:ascii="Calibri"/>
          <w:i/>
          <w:sz w:val="24"/>
        </w:rPr>
        <w:t>Lactobacillus </w:t>
      </w:r>
      <w:r>
        <w:rPr>
          <w:rFonts w:ascii="Calibri"/>
          <w:sz w:val="24"/>
        </w:rPr>
        <w:t>spp. to similar degrees as did the treatment with silver (Figure</w:t>
      </w:r>
      <w:r>
        <w:rPr>
          <w:rFonts w:ascii="Calibri"/>
          <w:spacing w:val="-11"/>
          <w:sz w:val="24"/>
        </w:rPr>
        <w:t> </w:t>
      </w:r>
      <w:r>
        <w:rPr>
          <w:rFonts w:ascii="Calibri"/>
          <w:sz w:val="24"/>
        </w:rPr>
        <w:t>II).</w:t>
      </w:r>
    </w:p>
    <w:p>
      <w:pPr>
        <w:spacing w:line="276" w:lineRule="auto" w:before="205"/>
        <w:ind w:left="219" w:right="220" w:firstLine="706"/>
        <w:jc w:val="both"/>
        <w:rPr>
          <w:rFonts w:ascii="Calibri"/>
          <w:sz w:val="24"/>
        </w:rPr>
      </w:pPr>
      <w:r>
        <w:rPr>
          <w:rFonts w:ascii="Calibri"/>
          <w:sz w:val="24"/>
        </w:rPr>
        <w:t>The elimination of opportunistic pathogens such as </w:t>
      </w:r>
      <w:r>
        <w:rPr>
          <w:rFonts w:ascii="Calibri"/>
          <w:i/>
          <w:sz w:val="24"/>
        </w:rPr>
        <w:t>Legionella pneumophila</w:t>
      </w:r>
      <w:r>
        <w:rPr>
          <w:rFonts w:ascii="Calibri"/>
          <w:sz w:val="24"/>
        </w:rPr>
        <w:t>, </w:t>
      </w:r>
      <w:r>
        <w:rPr>
          <w:rFonts w:ascii="Calibri"/>
          <w:i/>
          <w:sz w:val="24"/>
        </w:rPr>
        <w:t>Escherichia coli </w:t>
      </w:r>
      <w:r>
        <w:rPr>
          <w:rFonts w:ascii="Calibri"/>
          <w:sz w:val="24"/>
        </w:rPr>
        <w:t>and </w:t>
      </w:r>
      <w:r>
        <w:rPr>
          <w:rFonts w:ascii="Calibri"/>
          <w:i/>
          <w:sz w:val="24"/>
        </w:rPr>
        <w:t>Pseudomonas aeruginosa </w:t>
      </w:r>
      <w:r>
        <w:rPr>
          <w:rFonts w:ascii="Calibri"/>
          <w:sz w:val="24"/>
        </w:rPr>
        <w:t>was achieved with the treatment with colloidal silver. </w:t>
      </w:r>
      <w:r>
        <w:rPr>
          <w:rFonts w:ascii="Calibri"/>
          <w:i/>
          <w:sz w:val="24"/>
        </w:rPr>
        <w:t>Streptococcus </w:t>
      </w:r>
      <w:r>
        <w:rPr>
          <w:rFonts w:ascii="Calibri"/>
          <w:sz w:val="24"/>
        </w:rPr>
        <w:t>spp., </w:t>
      </w:r>
      <w:r>
        <w:rPr>
          <w:rFonts w:ascii="Calibri"/>
          <w:i/>
          <w:sz w:val="24"/>
        </w:rPr>
        <w:t>Staphylococcus </w:t>
      </w:r>
      <w:r>
        <w:rPr>
          <w:rFonts w:ascii="Calibri"/>
          <w:sz w:val="24"/>
        </w:rPr>
        <w:t>spp. and </w:t>
      </w:r>
      <w:r>
        <w:rPr>
          <w:rFonts w:ascii="Calibri"/>
          <w:i/>
          <w:sz w:val="24"/>
        </w:rPr>
        <w:t>Lactobacillus </w:t>
      </w:r>
      <w:r>
        <w:rPr>
          <w:rFonts w:ascii="Calibri"/>
          <w:sz w:val="24"/>
        </w:rPr>
        <w:t>spp. decreased  in number (Figure</w:t>
      </w:r>
      <w:r>
        <w:rPr>
          <w:rFonts w:ascii="Calibri"/>
          <w:spacing w:val="-13"/>
          <w:sz w:val="24"/>
        </w:rPr>
        <w:t> </w:t>
      </w:r>
      <w:r>
        <w:rPr>
          <w:rFonts w:ascii="Calibri"/>
          <w:sz w:val="24"/>
        </w:rPr>
        <w:t>III).</w:t>
      </w:r>
    </w:p>
    <w:p>
      <w:pPr>
        <w:pStyle w:val="BodyText"/>
        <w:spacing w:line="276" w:lineRule="auto" w:before="206"/>
        <w:ind w:left="219" w:right="224" w:firstLine="706"/>
        <w:jc w:val="both"/>
        <w:rPr>
          <w:rFonts w:ascii="Calibri"/>
        </w:rPr>
      </w:pPr>
      <w:r>
        <w:rPr>
          <w:rFonts w:ascii="Calibri"/>
        </w:rPr>
        <w:t>To determine the mean differences in bacterial sanitation by the treatments, ANOVA was performed. A Bonferroni test was then performed to compare the means in pairs. We detected significantly different results between colloidal silver and  filtered water (p&lt;0.01), chlorhexidine and filtered water (p&lt;0.01) and colloidal silver and chlorhexidine (p&lt; 0.01) (Table 2). The ANOVA of the mean CFU/ml among the three chosen</w:t>
      </w:r>
      <w:r>
        <w:rPr>
          <w:rFonts w:ascii="Calibri"/>
          <w:spacing w:val="-8"/>
        </w:rPr>
        <w:t> </w:t>
      </w:r>
      <w:r>
        <w:rPr>
          <w:rFonts w:ascii="Calibri"/>
        </w:rPr>
        <w:t>clinics</w:t>
      </w:r>
      <w:r>
        <w:rPr>
          <w:rFonts w:ascii="Calibri"/>
          <w:spacing w:val="-5"/>
        </w:rPr>
        <w:t> </w:t>
      </w:r>
      <w:r>
        <w:rPr>
          <w:rFonts w:ascii="Calibri"/>
        </w:rPr>
        <w:t>showed</w:t>
      </w:r>
      <w:r>
        <w:rPr>
          <w:rFonts w:ascii="Calibri"/>
          <w:spacing w:val="-8"/>
        </w:rPr>
        <w:t> </w:t>
      </w:r>
      <w:r>
        <w:rPr>
          <w:rFonts w:ascii="Calibri"/>
        </w:rPr>
        <w:t>no</w:t>
      </w:r>
      <w:r>
        <w:rPr>
          <w:rFonts w:ascii="Calibri"/>
          <w:spacing w:val="-9"/>
        </w:rPr>
        <w:t> </w:t>
      </w:r>
      <w:r>
        <w:rPr>
          <w:rFonts w:ascii="Calibri"/>
        </w:rPr>
        <w:t>statistically</w:t>
      </w:r>
      <w:r>
        <w:rPr>
          <w:rFonts w:ascii="Calibri"/>
          <w:spacing w:val="-5"/>
        </w:rPr>
        <w:t> </w:t>
      </w:r>
      <w:r>
        <w:rPr>
          <w:rFonts w:ascii="Calibri"/>
        </w:rPr>
        <w:t>significant</w:t>
      </w:r>
      <w:r>
        <w:rPr>
          <w:rFonts w:ascii="Calibri"/>
          <w:spacing w:val="-2"/>
        </w:rPr>
        <w:t> </w:t>
      </w:r>
      <w:r>
        <w:rPr>
          <w:rFonts w:ascii="Calibri"/>
        </w:rPr>
        <w:t>differences</w:t>
      </w:r>
      <w:r>
        <w:rPr>
          <w:rFonts w:ascii="Calibri"/>
          <w:spacing w:val="-5"/>
        </w:rPr>
        <w:t> </w:t>
      </w:r>
      <w:r>
        <w:rPr>
          <w:rFonts w:ascii="Calibri"/>
        </w:rPr>
        <w:t>(not</w:t>
      </w:r>
      <w:r>
        <w:rPr>
          <w:rFonts w:ascii="Calibri"/>
          <w:spacing w:val="-6"/>
        </w:rPr>
        <w:t> </w:t>
      </w:r>
      <w:r>
        <w:rPr>
          <w:rFonts w:ascii="Calibri"/>
        </w:rPr>
        <w:t>shown).</w:t>
      </w:r>
    </w:p>
    <w:p>
      <w:pPr>
        <w:spacing w:after="0" w:line="276" w:lineRule="auto"/>
        <w:jc w:val="both"/>
        <w:rPr>
          <w:rFonts w:ascii="Calibri"/>
        </w:rPr>
        <w:sectPr>
          <w:footerReference w:type="default" r:id="rId53"/>
          <w:pgSz w:w="12240" w:h="15840"/>
          <w:pgMar w:footer="1012" w:header="731" w:top="1160" w:bottom="1200" w:left="1480" w:right="1480"/>
        </w:sectPr>
      </w:pPr>
    </w:p>
    <w:p>
      <w:pPr>
        <w:pStyle w:val="BodyText"/>
        <w:spacing w:before="11"/>
        <w:rPr>
          <w:rFonts w:ascii="Calibri"/>
          <w:sz w:val="17"/>
        </w:rPr>
      </w:pPr>
    </w:p>
    <w:p>
      <w:pPr>
        <w:pStyle w:val="Heading2"/>
        <w:spacing w:before="52"/>
        <w:ind w:right="387"/>
        <w:rPr>
          <w:rFonts w:ascii="Calibri"/>
        </w:rPr>
      </w:pPr>
      <w:r>
        <w:rPr>
          <w:rFonts w:ascii="Calibri"/>
        </w:rPr>
        <w:t>Discussion</w:t>
      </w:r>
    </w:p>
    <w:p>
      <w:pPr>
        <w:pStyle w:val="BodyText"/>
        <w:spacing w:line="276" w:lineRule="auto" w:before="48"/>
        <w:ind w:left="219" w:right="223" w:firstLine="706"/>
        <w:jc w:val="both"/>
        <w:rPr>
          <w:rFonts w:ascii="Calibri" w:hAnsi="Calibri"/>
        </w:rPr>
      </w:pPr>
      <w:r>
        <w:rPr>
          <w:rFonts w:ascii="Calibri" w:hAnsi="Calibri"/>
        </w:rPr>
        <w:t>The above findings uncovered a major, complex microbiological community colonizing high-speed dental unit waterlines. Consequently, the sole use of filtered water and flushing is a deficient technique for biofilm control. At the beginning of this study, we expected filtered water to reduce the number of colonies compared with publications that analyzed the use of a public water supply, such as Singh and Walker (Singh, et al., 2003; Walker, et al., 2006).. However, our data are similar to theirs, showing that the quality of water that supplies dental units is only one of the factors that requires modification to decrease the levels of pathogenic microorganisms present in the biofilms. Accordingly, a possible mechanical process of suction and return of patients’ saliva should also be controlled.</w:t>
      </w:r>
    </w:p>
    <w:p>
      <w:pPr>
        <w:pStyle w:val="BodyText"/>
        <w:spacing w:line="276" w:lineRule="auto" w:before="206"/>
        <w:ind w:left="219" w:right="218" w:firstLine="706"/>
        <w:jc w:val="both"/>
        <w:rPr>
          <w:rFonts w:ascii="Calibri"/>
        </w:rPr>
      </w:pPr>
      <w:r>
        <w:rPr>
          <w:rFonts w:ascii="Calibri"/>
        </w:rPr>
        <w:t>It is important to note that nosocomial bacteria from the oral cavity (</w:t>
      </w:r>
      <w:r>
        <w:rPr>
          <w:rFonts w:ascii="Calibri"/>
          <w:i/>
        </w:rPr>
        <w:t>Streptococcus </w:t>
      </w:r>
      <w:r>
        <w:rPr>
          <w:rFonts w:ascii="Calibri"/>
        </w:rPr>
        <w:t>spp., </w:t>
      </w:r>
      <w:r>
        <w:rPr>
          <w:rFonts w:ascii="Calibri"/>
          <w:i/>
        </w:rPr>
        <w:t>Lactobacillus </w:t>
      </w:r>
      <w:r>
        <w:rPr>
          <w:rFonts w:ascii="Calibri"/>
        </w:rPr>
        <w:t>spp.), from the respiratory tract (</w:t>
      </w:r>
      <w:r>
        <w:rPr>
          <w:rFonts w:ascii="Calibri"/>
          <w:i/>
        </w:rPr>
        <w:t>Staphylococcus </w:t>
      </w:r>
      <w:r>
        <w:rPr>
          <w:rFonts w:ascii="Calibri"/>
        </w:rPr>
        <w:t>spp., </w:t>
      </w:r>
      <w:r>
        <w:rPr>
          <w:rFonts w:ascii="Calibri"/>
          <w:i/>
        </w:rPr>
        <w:t>Legionella </w:t>
      </w:r>
      <w:r>
        <w:rPr>
          <w:rFonts w:ascii="Calibri"/>
          <w:i/>
        </w:rPr>
        <w:t>pneumophila</w:t>
      </w:r>
      <w:r>
        <w:rPr>
          <w:rFonts w:ascii="Calibri"/>
        </w:rPr>
        <w:t>), from the digestive tract and indicators of fecal contamination (</w:t>
      </w:r>
      <w:r>
        <w:rPr>
          <w:rFonts w:ascii="Calibri"/>
          <w:i/>
        </w:rPr>
        <w:t>Escherichia </w:t>
      </w:r>
      <w:r>
        <w:rPr>
          <w:rFonts w:ascii="Calibri"/>
          <w:i/>
        </w:rPr>
        <w:t>coli</w:t>
      </w:r>
      <w:r>
        <w:rPr>
          <w:rFonts w:ascii="Calibri"/>
        </w:rPr>
        <w:t>) and yeasts (</w:t>
      </w:r>
      <w:r>
        <w:rPr>
          <w:rFonts w:ascii="Calibri"/>
          <w:i/>
        </w:rPr>
        <w:t>Candida albicans</w:t>
      </w:r>
      <w:r>
        <w:rPr>
          <w:rFonts w:ascii="Calibri"/>
        </w:rPr>
        <w:t>), as well as fungi that we did not specifically identify, were observed. The presence of this mix of microorganisms emphasizes the need for a controlled retro-suction and the possibility of cross-infection between successive patients. This possibility must be thoroughly investigated because dental patients do not report symptoms of gastrointestinal or respiratory infections because they do not associate them with contaminated water from dental unit exposure. In these cases, the data are insufficient to consider these events public health problems. For this reason, the addition of an antimicrobial to the independent water reservoirs should be considered a necessary and viable option.</w:t>
      </w:r>
    </w:p>
    <w:p>
      <w:pPr>
        <w:pStyle w:val="BodyText"/>
        <w:spacing w:line="276" w:lineRule="auto" w:before="205"/>
        <w:ind w:left="219" w:right="220" w:firstLine="706"/>
        <w:jc w:val="both"/>
        <w:rPr>
          <w:rFonts w:ascii="Calibri"/>
        </w:rPr>
      </w:pPr>
      <w:r>
        <w:rPr>
          <w:rFonts w:ascii="Calibri"/>
        </w:rPr>
        <w:t>Comparing with the exclusive use of filtered water, this proved tobe effective </w:t>
      </w:r>
      <w:r>
        <w:rPr>
          <w:rFonts w:ascii="Calibri"/>
          <w:spacing w:val="2"/>
        </w:rPr>
        <w:t>for </w:t>
      </w:r>
      <w:r>
        <w:rPr>
          <w:rFonts w:ascii="Calibri"/>
        </w:rPr>
        <w:t>reducing the amount of CFU/ml in 99% of the dental units bellows 45CFU/ml, which may help achieve the provisions by the ADA. . Although colloidal silver has not been used in  the field of dentistry, there is evidence of its efficacy in similar fields. </w:t>
      </w:r>
      <w:r>
        <w:rPr>
          <w:rFonts w:ascii="Calibri"/>
          <w:spacing w:val="2"/>
        </w:rPr>
        <w:t>Nawaz </w:t>
      </w:r>
      <w:r>
        <w:rPr>
          <w:rFonts w:ascii="Calibri"/>
        </w:rPr>
        <w:t>et al. (2013), in a study of rainwater disinfection, reported the bactericidal capacity of colloidal silver, as they obtained counts under 45 CFU/ml. Results from other studies (Feng, et al., 2000; Silvestry-Rodriguez, et al., 2007) concur with the results of this study showing the special efficacy</w:t>
      </w:r>
      <w:r>
        <w:rPr>
          <w:rFonts w:ascii="Calibri"/>
          <w:spacing w:val="-4"/>
        </w:rPr>
        <w:t> </w:t>
      </w:r>
      <w:r>
        <w:rPr>
          <w:rFonts w:ascii="Calibri"/>
        </w:rPr>
        <w:t>of</w:t>
      </w:r>
      <w:r>
        <w:rPr>
          <w:rFonts w:ascii="Calibri"/>
          <w:spacing w:val="-6"/>
        </w:rPr>
        <w:t> </w:t>
      </w:r>
      <w:r>
        <w:rPr>
          <w:rFonts w:ascii="Calibri"/>
        </w:rPr>
        <w:t>colloidal</w:t>
      </w:r>
      <w:r>
        <w:rPr>
          <w:rFonts w:ascii="Calibri"/>
          <w:spacing w:val="-7"/>
        </w:rPr>
        <w:t> </w:t>
      </w:r>
      <w:r>
        <w:rPr>
          <w:rFonts w:ascii="Calibri"/>
        </w:rPr>
        <w:t>silver</w:t>
      </w:r>
      <w:r>
        <w:rPr>
          <w:rFonts w:ascii="Calibri"/>
          <w:spacing w:val="-7"/>
        </w:rPr>
        <w:t> </w:t>
      </w:r>
      <w:r>
        <w:rPr>
          <w:rFonts w:ascii="Calibri"/>
        </w:rPr>
        <w:t>in</w:t>
      </w:r>
      <w:r>
        <w:rPr>
          <w:rFonts w:ascii="Calibri"/>
          <w:spacing w:val="-6"/>
        </w:rPr>
        <w:t> </w:t>
      </w:r>
      <w:r>
        <w:rPr>
          <w:rFonts w:ascii="Calibri"/>
        </w:rPr>
        <w:t>the</w:t>
      </w:r>
      <w:r>
        <w:rPr>
          <w:rFonts w:ascii="Calibri"/>
          <w:spacing w:val="-4"/>
        </w:rPr>
        <w:t> </w:t>
      </w:r>
      <w:r>
        <w:rPr>
          <w:rFonts w:ascii="Calibri"/>
        </w:rPr>
        <w:t>elimination</w:t>
      </w:r>
      <w:r>
        <w:rPr>
          <w:rFonts w:ascii="Calibri"/>
          <w:spacing w:val="-2"/>
        </w:rPr>
        <w:t> </w:t>
      </w:r>
      <w:r>
        <w:rPr>
          <w:rFonts w:ascii="Calibri"/>
        </w:rPr>
        <w:t>of</w:t>
      </w:r>
      <w:r>
        <w:rPr>
          <w:rFonts w:ascii="Calibri"/>
          <w:spacing w:val="-2"/>
        </w:rPr>
        <w:t> </w:t>
      </w:r>
      <w:r>
        <w:rPr>
          <w:rFonts w:ascii="Calibri"/>
        </w:rPr>
        <w:t>opportunistic</w:t>
      </w:r>
      <w:r>
        <w:rPr>
          <w:rFonts w:ascii="Calibri"/>
          <w:spacing w:val="-6"/>
        </w:rPr>
        <w:t> </w:t>
      </w:r>
      <w:r>
        <w:rPr>
          <w:rFonts w:ascii="Calibri"/>
        </w:rPr>
        <w:t>pathogens.</w:t>
      </w:r>
    </w:p>
    <w:p>
      <w:pPr>
        <w:pStyle w:val="BodyText"/>
        <w:spacing w:line="276" w:lineRule="auto" w:before="205"/>
        <w:ind w:left="219" w:right="223" w:firstLine="706"/>
        <w:jc w:val="both"/>
        <w:rPr>
          <w:rFonts w:ascii="Calibri" w:hAnsi="Calibri"/>
        </w:rPr>
      </w:pPr>
      <w:r>
        <w:rPr>
          <w:rFonts w:ascii="Calibri" w:hAnsi="Calibri"/>
        </w:rPr>
        <w:t>In an experimental study that lasted ten years, Stout et al. (2012) showed that silver ionization eradicated </w:t>
      </w:r>
      <w:r>
        <w:rPr>
          <w:rFonts w:ascii="Calibri" w:hAnsi="Calibri"/>
          <w:i/>
        </w:rPr>
        <w:t>Legionella pneumophila </w:t>
      </w:r>
      <w:r>
        <w:rPr>
          <w:rFonts w:ascii="Calibri" w:hAnsi="Calibri"/>
        </w:rPr>
        <w:t>in 100% of the pipes of  hospitals where Legionnaires’ disease was frequent. Similarly, the present study achieved total elimination with colloidal</w:t>
      </w:r>
      <w:r>
        <w:rPr>
          <w:rFonts w:ascii="Calibri" w:hAnsi="Calibri"/>
          <w:spacing w:val="-20"/>
        </w:rPr>
        <w:t> </w:t>
      </w:r>
      <w:r>
        <w:rPr>
          <w:rFonts w:ascii="Calibri" w:hAnsi="Calibri"/>
        </w:rPr>
        <w:t>silver.</w:t>
      </w:r>
    </w:p>
    <w:p>
      <w:pPr>
        <w:spacing w:after="0" w:line="276" w:lineRule="auto"/>
        <w:jc w:val="both"/>
        <w:rPr>
          <w:rFonts w:ascii="Calibri" w:hAnsi="Calibri"/>
        </w:rPr>
        <w:sectPr>
          <w:footerReference w:type="default" r:id="rId54"/>
          <w:pgSz w:w="12240" w:h="15840"/>
          <w:pgMar w:footer="1012" w:header="731" w:top="1160" w:bottom="1200" w:left="1480" w:right="1480"/>
          <w:pgNumType w:start="61"/>
        </w:sectPr>
      </w:pPr>
    </w:p>
    <w:p>
      <w:pPr>
        <w:pStyle w:val="BodyText"/>
        <w:spacing w:before="11"/>
        <w:rPr>
          <w:rFonts w:ascii="Calibri"/>
          <w:sz w:val="17"/>
        </w:rPr>
      </w:pPr>
    </w:p>
    <w:p>
      <w:pPr>
        <w:pStyle w:val="BodyText"/>
        <w:spacing w:line="276" w:lineRule="auto" w:before="52"/>
        <w:ind w:left="219" w:right="228" w:firstLine="706"/>
        <w:jc w:val="both"/>
        <w:rPr>
          <w:rFonts w:ascii="Calibri"/>
        </w:rPr>
      </w:pPr>
      <w:r>
        <w:rPr>
          <w:rFonts w:ascii="Calibri"/>
        </w:rPr>
        <w:t>Regarding the use of chlorhexidine gluconate, (Shel, et al., 2006) evaluated a disinfectant with 0.12% clorhexidina, obtaining a decrease by more than 99% of  the biofilm present in waterlines analyzed, contrasting with this review where continuous use did not reduce levels of colonies compared to that obtained by using colloidal silver and filter water. Therefore, we agree with the results obtained by Walker et al (Walker, et al., 2003) where in a laboratory model, using only clorhexidina disinfectants we achieved a 53% decrease of biofilm coverage.</w:t>
      </w:r>
    </w:p>
    <w:p>
      <w:pPr>
        <w:pStyle w:val="BodyText"/>
        <w:spacing w:line="276" w:lineRule="auto" w:before="206"/>
        <w:ind w:left="219" w:right="216" w:firstLine="758"/>
        <w:jc w:val="both"/>
        <w:rPr>
          <w:rFonts w:ascii="Calibri"/>
        </w:rPr>
      </w:pPr>
      <w:r>
        <w:rPr>
          <w:rFonts w:ascii="Calibri"/>
        </w:rPr>
        <w:t>The substance did not eliminate important opportunistic pathogens such as </w:t>
      </w:r>
      <w:r>
        <w:rPr>
          <w:rFonts w:ascii="Calibri"/>
          <w:i/>
        </w:rPr>
        <w:t>Legionella pneumophila</w:t>
      </w:r>
      <w:r>
        <w:rPr>
          <w:rFonts w:ascii="Calibri"/>
        </w:rPr>
        <w:t>; rather, it showed selective elimination of </w:t>
      </w:r>
      <w:r>
        <w:rPr>
          <w:rFonts w:ascii="Calibri"/>
          <w:i/>
        </w:rPr>
        <w:t>Streptococcus </w:t>
      </w:r>
      <w:r>
        <w:rPr>
          <w:rFonts w:ascii="Calibri"/>
        </w:rPr>
        <w:t>spp., which could have been due to several factors. The most likely explanation is the inherent properties of chlorhexidine, which reduce its antimicrobial capacity when in contact with organic material and light. Additionally, the students performing the clinical work in the studied dental units reported foam formation with chlorhexidine gluconate use, which prevented adequate visibility of the working area, made suction difficult and occasionally caused the patients to report taste discomfort.</w:t>
      </w:r>
    </w:p>
    <w:p>
      <w:pPr>
        <w:pStyle w:val="BodyText"/>
        <w:spacing w:line="276" w:lineRule="auto" w:before="206"/>
        <w:ind w:left="219" w:right="224" w:firstLine="706"/>
        <w:jc w:val="both"/>
        <w:rPr>
          <w:rFonts w:ascii="Calibri"/>
        </w:rPr>
      </w:pPr>
      <w:r>
        <w:rPr>
          <w:rFonts w:ascii="Calibri"/>
        </w:rPr>
        <w:t>In this study, other microorganisms identified in previous studies, such as </w:t>
      </w:r>
      <w:r>
        <w:rPr>
          <w:rFonts w:ascii="Calibri"/>
          <w:i/>
        </w:rPr>
        <w:t>Mycobacterium </w:t>
      </w:r>
      <w:r>
        <w:rPr>
          <w:rFonts w:ascii="Calibri"/>
        </w:rPr>
        <w:t>spp., amoebas and protozoans (Singh, et al., 2003; Walker, et al., 2006; Feng, et al., 2000), were not observed, which suggests that their presence results from the time of use of the waterlines. We should emphasize that this project lasted only four weeks per phase. It may be that a higher number of microorganisms and a greater diversity of species from more mature microbial communities can arise after longer use of waterlines, indicating the need for longer-term studies.</w:t>
      </w:r>
    </w:p>
    <w:p>
      <w:pPr>
        <w:pStyle w:val="BodyText"/>
        <w:spacing w:line="276" w:lineRule="auto" w:before="205"/>
        <w:ind w:left="219" w:right="223" w:firstLine="706"/>
        <w:jc w:val="both"/>
        <w:rPr>
          <w:rFonts w:ascii="Calibri"/>
        </w:rPr>
      </w:pPr>
      <w:r>
        <w:rPr>
          <w:rFonts w:ascii="Calibri"/>
        </w:rPr>
        <w:t>In sum, we recommend that dental units be developed with waterlines elaborated with materials that inhibit the production and establishment of biofilms on a long-term basis, and dental offices and clinics should purchase these technologies when updating their infrastructure. However, on a short-term basis, the use of efficient disinfectants is required to promote the compliance with guidelines and reduce the risk of infection.</w:t>
      </w:r>
    </w:p>
    <w:p>
      <w:pPr>
        <w:pStyle w:val="BodyText"/>
        <w:spacing w:line="276" w:lineRule="auto"/>
        <w:ind w:left="219" w:right="224" w:firstLine="706"/>
        <w:jc w:val="both"/>
        <w:rPr>
          <w:rFonts w:ascii="Calibri"/>
        </w:rPr>
      </w:pPr>
      <w:r>
        <w:rPr>
          <w:rFonts w:ascii="Calibri"/>
        </w:rPr>
        <w:t>We conclude that the results obtained in this study can provide solid data on the use of colloidal silver as a highly available, non-toxic and efficient antimicrobial to achieve inhibition of biofilm in the waterlines of dental units. There by contributing to improve quality of the dental unit water output this would enhance the dental clinic environment.</w:t>
      </w:r>
    </w:p>
    <w:p>
      <w:pPr>
        <w:pStyle w:val="BodyText"/>
        <w:spacing w:line="276" w:lineRule="auto"/>
        <w:ind w:left="219" w:right="230" w:firstLine="706"/>
        <w:jc w:val="both"/>
        <w:rPr>
          <w:rFonts w:ascii="Calibri"/>
        </w:rPr>
      </w:pPr>
      <w:r>
        <w:rPr>
          <w:rFonts w:ascii="Calibri"/>
        </w:rPr>
        <w:t>Since the study only assessed the biofilm, we suggest further studies to evaluate colloidal silver as a way to improve water output to comply with ADA and CDCs provision.</w:t>
      </w:r>
    </w:p>
    <w:p>
      <w:pPr>
        <w:spacing w:after="0" w:line="276" w:lineRule="auto"/>
        <w:jc w:val="both"/>
        <w:rPr>
          <w:rFonts w:ascii="Calibri"/>
        </w:rPr>
        <w:sectPr>
          <w:pgSz w:w="12240" w:h="15840"/>
          <w:pgMar w:header="731" w:footer="1012" w:top="1160" w:bottom="1200" w:left="1480" w:right="1480"/>
        </w:sectPr>
      </w:pPr>
    </w:p>
    <w:p>
      <w:pPr>
        <w:pStyle w:val="BodyText"/>
        <w:spacing w:before="11"/>
        <w:rPr>
          <w:rFonts w:ascii="Calibri"/>
          <w:sz w:val="17"/>
        </w:rPr>
      </w:pPr>
    </w:p>
    <w:p>
      <w:pPr>
        <w:pStyle w:val="Heading2"/>
        <w:spacing w:before="52"/>
        <w:ind w:right="387"/>
        <w:rPr>
          <w:rFonts w:ascii="Calibri"/>
        </w:rPr>
      </w:pPr>
      <w:r>
        <w:rPr>
          <w:rFonts w:ascii="Calibri"/>
        </w:rPr>
        <w:t>References</w:t>
      </w:r>
    </w:p>
    <w:p>
      <w:pPr>
        <w:pStyle w:val="BodyText"/>
        <w:spacing w:before="6"/>
        <w:rPr>
          <w:rFonts w:ascii="Calibri"/>
          <w:b/>
          <w:sz w:val="31"/>
        </w:rPr>
      </w:pPr>
    </w:p>
    <w:p>
      <w:pPr>
        <w:pStyle w:val="ListParagraph"/>
        <w:numPr>
          <w:ilvl w:val="1"/>
          <w:numId w:val="8"/>
        </w:numPr>
        <w:tabs>
          <w:tab w:pos="1147" w:val="left" w:leader="none"/>
        </w:tabs>
        <w:spacing w:line="276" w:lineRule="auto" w:before="0" w:after="0"/>
        <w:ind w:left="1146" w:right="230" w:hanging="360"/>
        <w:jc w:val="both"/>
        <w:rPr>
          <w:rFonts w:ascii="Calibri"/>
          <w:sz w:val="24"/>
        </w:rPr>
      </w:pPr>
      <w:r>
        <w:rPr>
          <w:rFonts w:ascii="Calibri"/>
          <w:sz w:val="24"/>
        </w:rPr>
        <w:t>ADA Council on Scientific Affairs, Dental unit waterlines: approaching the year 2000. JADA</w:t>
      </w:r>
      <w:r>
        <w:rPr>
          <w:rFonts w:ascii="Calibri"/>
          <w:spacing w:val="-16"/>
          <w:sz w:val="24"/>
        </w:rPr>
        <w:t> </w:t>
      </w:r>
      <w:r>
        <w:rPr>
          <w:rFonts w:ascii="Calibri"/>
          <w:sz w:val="24"/>
        </w:rPr>
        <w:t>1999;130(11):1653-64.</w:t>
      </w:r>
    </w:p>
    <w:p>
      <w:pPr>
        <w:pStyle w:val="ListParagraph"/>
        <w:numPr>
          <w:ilvl w:val="1"/>
          <w:numId w:val="8"/>
        </w:numPr>
        <w:tabs>
          <w:tab w:pos="1147" w:val="left" w:leader="none"/>
        </w:tabs>
        <w:spacing w:line="292" w:lineRule="exact" w:before="0" w:after="0"/>
        <w:ind w:left="1146" w:right="0" w:hanging="360"/>
        <w:jc w:val="left"/>
        <w:rPr>
          <w:rFonts w:ascii="Calibri"/>
          <w:i/>
          <w:sz w:val="24"/>
        </w:rPr>
      </w:pPr>
      <w:r>
        <w:rPr>
          <w:rFonts w:ascii="Calibri"/>
          <w:sz w:val="24"/>
        </w:rPr>
        <w:t>Andersen LP, Hilsberg P. Disinfectants and disinfection methods. </w:t>
      </w:r>
      <w:r>
        <w:rPr>
          <w:rFonts w:ascii="Calibri"/>
          <w:i/>
          <w:sz w:val="24"/>
        </w:rPr>
        <w:t>Ugeskr. </w:t>
      </w:r>
      <w:r>
        <w:rPr>
          <w:rFonts w:ascii="Calibri"/>
          <w:i/>
          <w:spacing w:val="39"/>
          <w:sz w:val="24"/>
        </w:rPr>
        <w:t> </w:t>
      </w:r>
      <w:r>
        <w:rPr>
          <w:rFonts w:ascii="Calibri"/>
          <w:i/>
          <w:sz w:val="24"/>
        </w:rPr>
        <w:t>Laeger</w:t>
      </w:r>
    </w:p>
    <w:p>
      <w:pPr>
        <w:pStyle w:val="BodyText"/>
        <w:spacing w:before="43"/>
        <w:ind w:left="1146" w:right="387"/>
        <w:rPr>
          <w:rFonts w:ascii="Calibri"/>
        </w:rPr>
      </w:pPr>
      <w:r>
        <w:rPr>
          <w:rFonts w:ascii="Calibri"/>
        </w:rPr>
        <w:t>2007; 169: 4243-4236.</w:t>
      </w:r>
    </w:p>
    <w:p>
      <w:pPr>
        <w:pStyle w:val="ListParagraph"/>
        <w:numPr>
          <w:ilvl w:val="1"/>
          <w:numId w:val="8"/>
        </w:numPr>
        <w:tabs>
          <w:tab w:pos="1147" w:val="left" w:leader="none"/>
        </w:tabs>
        <w:spacing w:line="276" w:lineRule="auto" w:before="43" w:after="0"/>
        <w:ind w:left="1146" w:right="231" w:hanging="360"/>
        <w:jc w:val="both"/>
        <w:rPr>
          <w:rFonts w:ascii="Calibri"/>
          <w:sz w:val="24"/>
        </w:rPr>
      </w:pPr>
      <w:r>
        <w:rPr>
          <w:rFonts w:ascii="Calibri"/>
          <w:sz w:val="24"/>
        </w:rPr>
        <w:t>American Public Health Association, American Water Works Association, Water Environment Federation. Microbiological</w:t>
      </w:r>
      <w:r>
        <w:rPr>
          <w:rFonts w:ascii="Calibri"/>
          <w:spacing w:val="-39"/>
          <w:sz w:val="24"/>
        </w:rPr>
        <w:t> </w:t>
      </w:r>
      <w:r>
        <w:rPr>
          <w:rFonts w:ascii="Calibri"/>
          <w:sz w:val="24"/>
        </w:rPr>
        <w:t>examination. Standard Methods for the Examination of Water and Wastewater. Washington, DC, American Public Health Association 2005; p.</w:t>
      </w:r>
      <w:r>
        <w:rPr>
          <w:rFonts w:ascii="Calibri"/>
          <w:spacing w:val="-15"/>
          <w:sz w:val="24"/>
        </w:rPr>
        <w:t> </w:t>
      </w:r>
      <w:r>
        <w:rPr>
          <w:rFonts w:ascii="Calibri"/>
          <w:sz w:val="24"/>
        </w:rPr>
        <w:t>9.1-9.38.</w:t>
      </w:r>
    </w:p>
    <w:p>
      <w:pPr>
        <w:pStyle w:val="ListParagraph"/>
        <w:numPr>
          <w:ilvl w:val="1"/>
          <w:numId w:val="8"/>
        </w:numPr>
        <w:tabs>
          <w:tab w:pos="1147" w:val="left" w:leader="none"/>
        </w:tabs>
        <w:spacing w:line="276" w:lineRule="auto" w:before="0" w:after="0"/>
        <w:ind w:left="1146" w:right="223" w:hanging="360"/>
        <w:jc w:val="both"/>
        <w:rPr>
          <w:rFonts w:ascii="Calibri"/>
          <w:sz w:val="24"/>
        </w:rPr>
      </w:pPr>
      <w:r>
        <w:rPr>
          <w:rFonts w:ascii="Calibri"/>
          <w:sz w:val="24"/>
        </w:rPr>
        <w:t>Barbeau J, Nadeau C. Dental unit water line microbiology: a cautionary tale. </w:t>
      </w:r>
      <w:r>
        <w:rPr>
          <w:rFonts w:ascii="Calibri"/>
          <w:i/>
          <w:sz w:val="24"/>
        </w:rPr>
        <w:t>J  </w:t>
      </w:r>
      <w:r>
        <w:rPr>
          <w:rFonts w:ascii="Calibri"/>
          <w:i/>
          <w:sz w:val="24"/>
        </w:rPr>
        <w:t>Can Dent Assoc </w:t>
      </w:r>
      <w:r>
        <w:rPr>
          <w:rFonts w:ascii="Calibri"/>
          <w:sz w:val="24"/>
        </w:rPr>
        <w:t>1997;</w:t>
      </w:r>
      <w:r>
        <w:rPr>
          <w:rFonts w:ascii="Calibri"/>
          <w:spacing w:val="-15"/>
          <w:sz w:val="24"/>
        </w:rPr>
        <w:t> </w:t>
      </w:r>
      <w:r>
        <w:rPr>
          <w:rFonts w:ascii="Calibri"/>
          <w:sz w:val="24"/>
        </w:rPr>
        <w:t>63:775-9.</w:t>
      </w:r>
    </w:p>
    <w:p>
      <w:pPr>
        <w:pStyle w:val="ListParagraph"/>
        <w:numPr>
          <w:ilvl w:val="1"/>
          <w:numId w:val="8"/>
        </w:numPr>
        <w:tabs>
          <w:tab w:pos="1147" w:val="left" w:leader="none"/>
        </w:tabs>
        <w:spacing w:line="276" w:lineRule="auto" w:before="4" w:after="0"/>
        <w:ind w:left="1146" w:right="220" w:hanging="360"/>
        <w:jc w:val="both"/>
        <w:rPr>
          <w:rFonts w:ascii="Calibri"/>
          <w:sz w:val="24"/>
        </w:rPr>
      </w:pPr>
      <w:r>
        <w:rPr>
          <w:rFonts w:ascii="Calibri"/>
          <w:sz w:val="24"/>
        </w:rPr>
        <w:t>Brock TD, Smith DW, Madigan MT, Microbiology. 10ed. Prentice-Hall Hispanoamerican. Mexico.</w:t>
      </w:r>
      <w:r>
        <w:rPr>
          <w:rFonts w:ascii="Calibri"/>
          <w:spacing w:val="-22"/>
          <w:sz w:val="24"/>
        </w:rPr>
        <w:t> </w:t>
      </w:r>
      <w:r>
        <w:rPr>
          <w:rFonts w:ascii="Calibri"/>
          <w:sz w:val="24"/>
        </w:rPr>
        <w:t>2003.</w:t>
      </w:r>
    </w:p>
    <w:p>
      <w:pPr>
        <w:pStyle w:val="ListParagraph"/>
        <w:numPr>
          <w:ilvl w:val="1"/>
          <w:numId w:val="8"/>
        </w:numPr>
        <w:tabs>
          <w:tab w:pos="1147" w:val="left" w:leader="none"/>
        </w:tabs>
        <w:spacing w:line="276" w:lineRule="auto" w:before="0" w:after="0"/>
        <w:ind w:left="1146" w:right="225" w:hanging="360"/>
        <w:jc w:val="both"/>
        <w:rPr>
          <w:rFonts w:ascii="Calibri"/>
          <w:sz w:val="24"/>
        </w:rPr>
      </w:pPr>
      <w:r>
        <w:rPr>
          <w:rFonts w:ascii="Calibri"/>
          <w:sz w:val="24"/>
        </w:rPr>
        <w:t>Decoret D, Amoussou Y, Lagneau C, Lissac </w:t>
      </w:r>
      <w:r>
        <w:rPr>
          <w:rFonts w:ascii="Calibri"/>
          <w:spacing w:val="3"/>
          <w:sz w:val="24"/>
        </w:rPr>
        <w:t>M, </w:t>
      </w:r>
      <w:r>
        <w:rPr>
          <w:rFonts w:ascii="Calibri"/>
          <w:sz w:val="24"/>
        </w:rPr>
        <w:t>Morrier JJ, Barsotti O. Simulated use evaluation of hydrogen peroxide disinfectant for preventing biofilm formation in dental unit waterlines. </w:t>
      </w:r>
      <w:r>
        <w:rPr>
          <w:rFonts w:ascii="Calibri"/>
          <w:i/>
          <w:sz w:val="24"/>
        </w:rPr>
        <w:t>Eur. Cell. Mater  </w:t>
      </w:r>
      <w:r>
        <w:rPr>
          <w:rFonts w:ascii="Calibri"/>
          <w:sz w:val="24"/>
        </w:rPr>
        <w:t>2005; 10:</w:t>
      </w:r>
      <w:r>
        <w:rPr>
          <w:rFonts w:ascii="Calibri"/>
          <w:spacing w:val="-27"/>
          <w:sz w:val="24"/>
        </w:rPr>
        <w:t> </w:t>
      </w:r>
      <w:r>
        <w:rPr>
          <w:rFonts w:ascii="Calibri"/>
          <w:sz w:val="24"/>
        </w:rPr>
        <w:t>24-25.</w:t>
      </w:r>
    </w:p>
    <w:p>
      <w:pPr>
        <w:pStyle w:val="ListParagraph"/>
        <w:numPr>
          <w:ilvl w:val="1"/>
          <w:numId w:val="8"/>
        </w:numPr>
        <w:tabs>
          <w:tab w:pos="1147" w:val="left" w:leader="none"/>
        </w:tabs>
        <w:spacing w:line="276" w:lineRule="auto" w:before="4" w:after="0"/>
        <w:ind w:left="1146" w:right="229" w:hanging="360"/>
        <w:jc w:val="both"/>
        <w:rPr>
          <w:rFonts w:ascii="Calibri"/>
          <w:sz w:val="24"/>
        </w:rPr>
      </w:pPr>
      <w:r>
        <w:rPr>
          <w:rFonts w:ascii="Calibri"/>
          <w:sz w:val="24"/>
        </w:rPr>
        <w:t>Epstein JB, Dawson JR, Buivids IA, Wong B, Le ND. The effect of a disinfectant/coolant irrigant on microbes isolated from dental unit water lines. </w:t>
      </w:r>
      <w:r>
        <w:rPr>
          <w:rFonts w:ascii="Calibri"/>
          <w:i/>
          <w:sz w:val="24"/>
        </w:rPr>
        <w:t>Spec. Care. Dentist  </w:t>
      </w:r>
      <w:r>
        <w:rPr>
          <w:rFonts w:ascii="Calibri"/>
          <w:sz w:val="24"/>
        </w:rPr>
        <w:t>2002; 22:</w:t>
      </w:r>
      <w:r>
        <w:rPr>
          <w:rFonts w:ascii="Calibri"/>
          <w:spacing w:val="-19"/>
          <w:sz w:val="24"/>
        </w:rPr>
        <w:t> </w:t>
      </w:r>
      <w:r>
        <w:rPr>
          <w:rFonts w:ascii="Calibri"/>
          <w:sz w:val="24"/>
        </w:rPr>
        <w:t>137-141.</w:t>
      </w:r>
    </w:p>
    <w:p>
      <w:pPr>
        <w:pStyle w:val="ListParagraph"/>
        <w:numPr>
          <w:ilvl w:val="1"/>
          <w:numId w:val="8"/>
        </w:numPr>
        <w:tabs>
          <w:tab w:pos="1147" w:val="left" w:leader="none"/>
        </w:tabs>
        <w:spacing w:line="278" w:lineRule="auto" w:before="0" w:after="0"/>
        <w:ind w:left="1146" w:right="214" w:hanging="360"/>
        <w:jc w:val="both"/>
        <w:rPr>
          <w:rFonts w:ascii="Calibri" w:hAnsi="Calibri"/>
          <w:sz w:val="24"/>
        </w:rPr>
      </w:pPr>
      <w:r>
        <w:rPr>
          <w:rFonts w:ascii="Calibri" w:hAnsi="Calibri"/>
          <w:sz w:val="24"/>
        </w:rPr>
        <w:t>Feng QL, Wu J, Chen GQ, Cui FZ, Kim TN, Kim JO. A mechanistic study of the antibacterial effect of silver ions on </w:t>
      </w:r>
      <w:r>
        <w:rPr>
          <w:rFonts w:ascii="Calibri" w:hAnsi="Calibri"/>
          <w:i/>
          <w:sz w:val="24"/>
        </w:rPr>
        <w:t>Escherichia coli </w:t>
      </w:r>
      <w:r>
        <w:rPr>
          <w:rFonts w:ascii="Calibri" w:hAnsi="Calibri"/>
          <w:sz w:val="24"/>
        </w:rPr>
        <w:t>and </w:t>
      </w:r>
      <w:r>
        <w:rPr>
          <w:rFonts w:ascii="Calibri" w:hAnsi="Calibri"/>
          <w:i/>
          <w:sz w:val="24"/>
        </w:rPr>
        <w:t>Staphylococcus aureus</w:t>
      </w:r>
      <w:r>
        <w:rPr>
          <w:rFonts w:ascii="Calibri" w:hAnsi="Calibri"/>
          <w:sz w:val="24"/>
        </w:rPr>
        <w:t>. J Biomed Mater Res</w:t>
      </w:r>
      <w:r>
        <w:rPr>
          <w:rFonts w:ascii="Calibri" w:hAnsi="Calibri"/>
          <w:spacing w:val="-18"/>
          <w:sz w:val="24"/>
        </w:rPr>
        <w:t> </w:t>
      </w:r>
      <w:r>
        <w:rPr>
          <w:rFonts w:ascii="Calibri" w:hAnsi="Calibri"/>
          <w:sz w:val="24"/>
        </w:rPr>
        <w:t>2000;52:662–8.</w:t>
      </w:r>
    </w:p>
    <w:p>
      <w:pPr>
        <w:pStyle w:val="ListParagraph"/>
        <w:numPr>
          <w:ilvl w:val="1"/>
          <w:numId w:val="8"/>
        </w:numPr>
        <w:tabs>
          <w:tab w:pos="1147" w:val="left" w:leader="none"/>
        </w:tabs>
        <w:spacing w:line="276" w:lineRule="auto" w:before="0" w:after="0"/>
        <w:ind w:left="1146" w:right="235" w:hanging="360"/>
        <w:jc w:val="both"/>
        <w:rPr>
          <w:rFonts w:ascii="Calibri" w:hAnsi="Calibri"/>
          <w:sz w:val="24"/>
        </w:rPr>
      </w:pPr>
      <w:r>
        <w:rPr>
          <w:rFonts w:ascii="Calibri" w:hAnsi="Calibri"/>
          <w:sz w:val="24"/>
        </w:rPr>
        <w:t>Han MY, Mun JS. Particle behavior consideration to maximize the settling capacity of rainwater storage tanks. Water Sci Technol</w:t>
      </w:r>
      <w:r>
        <w:rPr>
          <w:rFonts w:ascii="Calibri" w:hAnsi="Calibri"/>
          <w:spacing w:val="-30"/>
          <w:sz w:val="24"/>
        </w:rPr>
        <w:t> </w:t>
      </w:r>
      <w:r>
        <w:rPr>
          <w:rFonts w:ascii="Calibri" w:hAnsi="Calibri"/>
          <w:sz w:val="24"/>
        </w:rPr>
        <w:t>2008;56:73–9.</w:t>
      </w:r>
    </w:p>
    <w:p>
      <w:pPr>
        <w:pStyle w:val="ListParagraph"/>
        <w:numPr>
          <w:ilvl w:val="1"/>
          <w:numId w:val="8"/>
        </w:numPr>
        <w:tabs>
          <w:tab w:pos="1147" w:val="left" w:leader="none"/>
        </w:tabs>
        <w:spacing w:line="276" w:lineRule="auto" w:before="0" w:after="0"/>
        <w:ind w:left="1146" w:right="222" w:hanging="360"/>
        <w:jc w:val="both"/>
        <w:rPr>
          <w:rFonts w:ascii="Calibri" w:hAnsi="Calibri"/>
          <w:sz w:val="24"/>
        </w:rPr>
      </w:pPr>
      <w:r>
        <w:rPr>
          <w:rFonts w:ascii="Calibri" w:hAnsi="Calibri"/>
          <w:sz w:val="24"/>
        </w:rPr>
        <w:t>Lee JY, Yang JS, Han MY, Choi JY. Comparison of the microbiological and chemical characterization of harvested rainwater and reservoir water as alternative water resources. Sci Total Environ</w:t>
      </w:r>
      <w:r>
        <w:rPr>
          <w:rFonts w:ascii="Calibri" w:hAnsi="Calibri"/>
          <w:spacing w:val="-23"/>
          <w:sz w:val="24"/>
        </w:rPr>
        <w:t> </w:t>
      </w:r>
      <w:r>
        <w:rPr>
          <w:rFonts w:ascii="Calibri" w:hAnsi="Calibri"/>
          <w:sz w:val="24"/>
        </w:rPr>
        <w:t>2010;408:896–905.</w:t>
      </w:r>
    </w:p>
    <w:p>
      <w:pPr>
        <w:pStyle w:val="ListParagraph"/>
        <w:numPr>
          <w:ilvl w:val="1"/>
          <w:numId w:val="8"/>
        </w:numPr>
        <w:tabs>
          <w:tab w:pos="1147" w:val="left" w:leader="none"/>
        </w:tabs>
        <w:spacing w:line="276" w:lineRule="auto" w:before="4" w:after="0"/>
        <w:ind w:left="1146" w:right="223" w:hanging="360"/>
        <w:jc w:val="both"/>
        <w:rPr>
          <w:rFonts w:ascii="Calibri" w:hAnsi="Calibri"/>
          <w:sz w:val="24"/>
        </w:rPr>
      </w:pPr>
      <w:r>
        <w:rPr>
          <w:rFonts w:ascii="Calibri" w:hAnsi="Calibri"/>
          <w:sz w:val="24"/>
        </w:rPr>
        <w:t>Nawaz M, Han MY, Manzoor MT. Silver disinfection of </w:t>
      </w:r>
      <w:r>
        <w:rPr>
          <w:rFonts w:ascii="Calibri" w:hAnsi="Calibri"/>
          <w:i/>
          <w:sz w:val="24"/>
        </w:rPr>
        <w:t>Pseudomonas aeruginosa </w:t>
      </w:r>
      <w:r>
        <w:rPr>
          <w:rFonts w:ascii="Calibri" w:hAnsi="Calibri"/>
          <w:sz w:val="24"/>
        </w:rPr>
        <w:t>and </w:t>
      </w:r>
      <w:r>
        <w:rPr>
          <w:rFonts w:ascii="Calibri" w:hAnsi="Calibri"/>
          <w:i/>
          <w:sz w:val="24"/>
        </w:rPr>
        <w:t>E. coli </w:t>
      </w:r>
      <w:r>
        <w:rPr>
          <w:rFonts w:ascii="Calibri" w:hAnsi="Calibri"/>
          <w:sz w:val="24"/>
        </w:rPr>
        <w:t>in rooftop harvested rainwater for potable purposes. Sci Tot Environ 2013</w:t>
      </w:r>
      <w:r>
        <w:rPr>
          <w:rFonts w:ascii="Calibri" w:hAnsi="Calibri"/>
          <w:spacing w:val="-7"/>
          <w:sz w:val="24"/>
        </w:rPr>
        <w:t> </w:t>
      </w:r>
      <w:r>
        <w:rPr>
          <w:rFonts w:ascii="Calibri" w:hAnsi="Calibri"/>
          <w:sz w:val="24"/>
        </w:rPr>
        <w:t>20–25</w:t>
      </w:r>
    </w:p>
    <w:p>
      <w:pPr>
        <w:pStyle w:val="ListParagraph"/>
        <w:numPr>
          <w:ilvl w:val="1"/>
          <w:numId w:val="8"/>
        </w:numPr>
        <w:tabs>
          <w:tab w:pos="1142" w:val="left" w:leader="none"/>
        </w:tabs>
        <w:spacing w:line="276" w:lineRule="auto" w:before="0" w:after="0"/>
        <w:ind w:left="1141" w:right="227" w:hanging="360"/>
        <w:jc w:val="both"/>
        <w:rPr>
          <w:rFonts w:ascii="Calibri"/>
          <w:sz w:val="24"/>
        </w:rPr>
      </w:pPr>
      <w:r>
        <w:rPr>
          <w:rFonts w:ascii="Calibri"/>
          <w:sz w:val="24"/>
        </w:rPr>
        <w:t>WHO. Guidelines for drinking-water quality: incorporating first addendum. 3rd ed. Geneva: World Health Organization;</w:t>
      </w:r>
      <w:r>
        <w:rPr>
          <w:rFonts w:ascii="Calibri"/>
          <w:spacing w:val="-25"/>
          <w:sz w:val="24"/>
        </w:rPr>
        <w:t> </w:t>
      </w:r>
      <w:r>
        <w:rPr>
          <w:rFonts w:ascii="Calibri"/>
          <w:sz w:val="24"/>
        </w:rPr>
        <w:t>2004.</w:t>
      </w:r>
    </w:p>
    <w:p>
      <w:pPr>
        <w:pStyle w:val="ListParagraph"/>
        <w:numPr>
          <w:ilvl w:val="1"/>
          <w:numId w:val="8"/>
        </w:numPr>
        <w:tabs>
          <w:tab w:pos="1147" w:val="left" w:leader="none"/>
        </w:tabs>
        <w:spacing w:line="276" w:lineRule="auto" w:before="4" w:after="0"/>
        <w:ind w:left="1146" w:right="224" w:hanging="360"/>
        <w:jc w:val="both"/>
        <w:rPr>
          <w:rFonts w:ascii="Calibri"/>
          <w:sz w:val="24"/>
        </w:rPr>
      </w:pPr>
      <w:r>
        <w:rPr>
          <w:rFonts w:ascii="Calibri"/>
          <w:sz w:val="24"/>
        </w:rPr>
        <w:t>OSAP, Organization for the Safety and Asepsis Procedures, stance on dental unit waterlines. March</w:t>
      </w:r>
      <w:r>
        <w:rPr>
          <w:rFonts w:ascii="Calibri"/>
          <w:spacing w:val="-16"/>
          <w:sz w:val="24"/>
        </w:rPr>
        <w:t> </w:t>
      </w:r>
      <w:r>
        <w:rPr>
          <w:rFonts w:ascii="Calibri"/>
          <w:sz w:val="24"/>
        </w:rPr>
        <w:t>2000.</w:t>
      </w:r>
    </w:p>
    <w:p>
      <w:pPr>
        <w:pStyle w:val="ListParagraph"/>
        <w:numPr>
          <w:ilvl w:val="1"/>
          <w:numId w:val="8"/>
        </w:numPr>
        <w:tabs>
          <w:tab w:pos="1142" w:val="left" w:leader="none"/>
        </w:tabs>
        <w:spacing w:line="276" w:lineRule="auto" w:before="0" w:after="0"/>
        <w:ind w:left="1141" w:right="222" w:hanging="360"/>
        <w:jc w:val="both"/>
        <w:rPr>
          <w:rFonts w:ascii="Calibri"/>
          <w:sz w:val="24"/>
        </w:rPr>
      </w:pPr>
      <w:r>
        <w:rPr>
          <w:rFonts w:ascii="Calibri"/>
          <w:sz w:val="24"/>
        </w:rPr>
        <w:t>Pasquarella C, Veronesi L, Napoli C, Castiglia P, Liguori G, Rizzetto R, Torre I, et all.,Working Group Hygiene in Dentistry. Microbial environmental contamination in  Italian  dental  clinics:  A  multicenter  study  yielding   recommendations   </w:t>
      </w:r>
      <w:r>
        <w:rPr>
          <w:rFonts w:ascii="Calibri"/>
          <w:spacing w:val="40"/>
          <w:sz w:val="24"/>
        </w:rPr>
        <w:t> </w:t>
      </w:r>
      <w:r>
        <w:rPr>
          <w:rFonts w:ascii="Calibri"/>
          <w:sz w:val="24"/>
        </w:rPr>
        <w:t>for</w:t>
      </w:r>
    </w:p>
    <w:p>
      <w:pPr>
        <w:spacing w:after="0" w:line="276" w:lineRule="auto"/>
        <w:jc w:val="both"/>
        <w:rPr>
          <w:rFonts w:ascii="Calibri"/>
          <w:sz w:val="24"/>
        </w:rPr>
        <w:sectPr>
          <w:pgSz w:w="12240" w:h="15840"/>
          <w:pgMar w:header="731" w:footer="1012" w:top="1160" w:bottom="1200" w:left="1480" w:right="1480"/>
        </w:sectPr>
      </w:pPr>
    </w:p>
    <w:p>
      <w:pPr>
        <w:pStyle w:val="BodyText"/>
        <w:spacing w:before="11"/>
        <w:rPr>
          <w:rFonts w:ascii="Calibri"/>
          <w:sz w:val="17"/>
        </w:rPr>
      </w:pPr>
    </w:p>
    <w:p>
      <w:pPr>
        <w:pStyle w:val="BodyText"/>
        <w:spacing w:line="278" w:lineRule="auto" w:before="52"/>
        <w:ind w:left="1141" w:right="387"/>
        <w:rPr>
          <w:rFonts w:ascii="Calibri"/>
        </w:rPr>
      </w:pPr>
      <w:r>
        <w:rPr>
          <w:rFonts w:ascii="Calibri"/>
        </w:rPr>
        <w:t>standardized sampling methods and threshold values. Sci Total Environ. 2012 Mar 15;420:289-99.</w:t>
      </w:r>
    </w:p>
    <w:p>
      <w:pPr>
        <w:pStyle w:val="ListParagraph"/>
        <w:numPr>
          <w:ilvl w:val="1"/>
          <w:numId w:val="8"/>
        </w:numPr>
        <w:tabs>
          <w:tab w:pos="1147" w:val="left" w:leader="none"/>
        </w:tabs>
        <w:spacing w:line="276" w:lineRule="auto" w:before="0" w:after="0"/>
        <w:ind w:left="1146" w:right="217" w:hanging="360"/>
        <w:jc w:val="both"/>
        <w:rPr>
          <w:rFonts w:ascii="Calibri"/>
          <w:sz w:val="24"/>
        </w:rPr>
      </w:pPr>
      <w:r>
        <w:rPr>
          <w:rFonts w:ascii="Calibri"/>
          <w:sz w:val="24"/>
        </w:rPr>
        <w:t>Schel AJ, Marsh PD, Bradshaw DJ et al. Comparison of the efficacies of disinfectants to control microbial contamination in dental unit water systems in general dental practices across the European Union Applied and Environmental Microbiology, 72 (2006), pp</w:t>
      </w:r>
      <w:r>
        <w:rPr>
          <w:rFonts w:ascii="Calibri"/>
          <w:spacing w:val="-22"/>
          <w:sz w:val="24"/>
        </w:rPr>
        <w:t> </w:t>
      </w:r>
      <w:r>
        <w:rPr>
          <w:rFonts w:ascii="Calibri"/>
          <w:sz w:val="24"/>
        </w:rPr>
        <w:t>1380-1387</w:t>
      </w:r>
    </w:p>
    <w:p>
      <w:pPr>
        <w:pStyle w:val="ListParagraph"/>
        <w:numPr>
          <w:ilvl w:val="1"/>
          <w:numId w:val="8"/>
        </w:numPr>
        <w:tabs>
          <w:tab w:pos="1147" w:val="left" w:leader="none"/>
        </w:tabs>
        <w:spacing w:line="278" w:lineRule="auto" w:before="0" w:after="0"/>
        <w:ind w:left="1146" w:right="217" w:hanging="360"/>
        <w:jc w:val="both"/>
        <w:rPr>
          <w:rFonts w:ascii="Calibri" w:hAnsi="Calibri"/>
          <w:sz w:val="24"/>
        </w:rPr>
      </w:pPr>
      <w:r>
        <w:rPr>
          <w:rFonts w:ascii="Calibri" w:hAnsi="Calibri"/>
          <w:sz w:val="24"/>
        </w:rPr>
        <w:t>Silvestry-Rodriguez N, Bright KR, Uhlmann DR, Slack DC, Gerba CP. Inactivation of </w:t>
      </w:r>
      <w:r>
        <w:rPr>
          <w:rFonts w:ascii="Calibri" w:hAnsi="Calibri"/>
          <w:i/>
          <w:sz w:val="24"/>
        </w:rPr>
        <w:t>Pseudomonas aeruginosa </w:t>
      </w:r>
      <w:r>
        <w:rPr>
          <w:rFonts w:ascii="Calibri" w:hAnsi="Calibri"/>
          <w:sz w:val="24"/>
        </w:rPr>
        <w:t>and </w:t>
      </w:r>
      <w:r>
        <w:rPr>
          <w:rFonts w:ascii="Calibri" w:hAnsi="Calibri"/>
          <w:i/>
          <w:sz w:val="24"/>
        </w:rPr>
        <w:t>Aeromonas hydrophila </w:t>
      </w:r>
      <w:r>
        <w:rPr>
          <w:rFonts w:ascii="Calibri" w:hAnsi="Calibri"/>
          <w:sz w:val="24"/>
        </w:rPr>
        <w:t>by silver in tap water. J Environ Sci Health A</w:t>
      </w:r>
      <w:r>
        <w:rPr>
          <w:rFonts w:ascii="Calibri" w:hAnsi="Calibri"/>
          <w:spacing w:val="-20"/>
          <w:sz w:val="24"/>
        </w:rPr>
        <w:t> </w:t>
      </w:r>
      <w:r>
        <w:rPr>
          <w:rFonts w:ascii="Calibri" w:hAnsi="Calibri"/>
          <w:sz w:val="24"/>
        </w:rPr>
        <w:t>2007b;42:1579–84</w:t>
      </w:r>
    </w:p>
    <w:p>
      <w:pPr>
        <w:pStyle w:val="ListParagraph"/>
        <w:numPr>
          <w:ilvl w:val="1"/>
          <w:numId w:val="8"/>
        </w:numPr>
        <w:tabs>
          <w:tab w:pos="1147" w:val="left" w:leader="none"/>
        </w:tabs>
        <w:spacing w:line="276" w:lineRule="auto" w:before="0" w:after="0"/>
        <w:ind w:left="1146" w:right="221" w:hanging="360"/>
        <w:jc w:val="both"/>
        <w:rPr>
          <w:rFonts w:ascii="Calibri"/>
          <w:sz w:val="24"/>
        </w:rPr>
      </w:pPr>
      <w:r>
        <w:rPr>
          <w:rFonts w:ascii="Calibri"/>
          <w:sz w:val="24"/>
        </w:rPr>
        <w:t>Singh R, Stine OC, Smith DL, Jr Spitznagel J.K., Labib ME. Microbial Diversity of Biofilms in Dental Unit Water Systems. </w:t>
      </w:r>
      <w:r>
        <w:rPr>
          <w:rFonts w:ascii="Calibri"/>
          <w:i/>
          <w:sz w:val="24"/>
        </w:rPr>
        <w:t>Appl Environ Microbiol </w:t>
      </w:r>
      <w:r>
        <w:rPr>
          <w:rFonts w:ascii="Calibri"/>
          <w:sz w:val="24"/>
        </w:rPr>
        <w:t>2003; 69: 3412- 3420</w:t>
      </w:r>
    </w:p>
    <w:p>
      <w:pPr>
        <w:pStyle w:val="ListParagraph"/>
        <w:numPr>
          <w:ilvl w:val="1"/>
          <w:numId w:val="8"/>
        </w:numPr>
        <w:tabs>
          <w:tab w:pos="1147" w:val="left" w:leader="none"/>
        </w:tabs>
        <w:spacing w:line="276" w:lineRule="auto" w:before="4" w:after="0"/>
        <w:ind w:left="1146" w:right="222" w:hanging="360"/>
        <w:jc w:val="both"/>
        <w:rPr>
          <w:rFonts w:ascii="Calibri"/>
          <w:sz w:val="24"/>
        </w:rPr>
      </w:pPr>
      <w:r>
        <w:rPr>
          <w:rFonts w:ascii="Calibri"/>
          <w:sz w:val="24"/>
        </w:rPr>
        <w:t>Stout JE, Lin YSE, Goetz AM. Controlling Legionella in hospital water systems: silver ionization. Infect Control Hosp Epidemiol</w:t>
      </w:r>
      <w:r>
        <w:rPr>
          <w:rFonts w:ascii="Calibri"/>
          <w:spacing w:val="-32"/>
          <w:sz w:val="24"/>
        </w:rPr>
        <w:t> </w:t>
      </w:r>
      <w:r>
        <w:rPr>
          <w:rFonts w:ascii="Calibri"/>
          <w:sz w:val="24"/>
        </w:rPr>
        <w:t>2012;19:911-914</w:t>
      </w:r>
    </w:p>
    <w:p>
      <w:pPr>
        <w:pStyle w:val="ListParagraph"/>
        <w:numPr>
          <w:ilvl w:val="1"/>
          <w:numId w:val="8"/>
        </w:numPr>
        <w:tabs>
          <w:tab w:pos="1147" w:val="left" w:leader="none"/>
        </w:tabs>
        <w:spacing w:line="276" w:lineRule="auto" w:before="0" w:after="0"/>
        <w:ind w:left="1146" w:right="224" w:hanging="360"/>
        <w:jc w:val="both"/>
        <w:rPr>
          <w:rFonts w:ascii="Calibri"/>
          <w:sz w:val="24"/>
        </w:rPr>
      </w:pPr>
      <w:r>
        <w:rPr>
          <w:rFonts w:ascii="Calibri"/>
          <w:sz w:val="24"/>
        </w:rPr>
        <w:t>Uzel A, Cogulu D, Oncag O. Microbiological evaluation and antibiotic susceptibility of dental unit water systems in general dental practice. Int J Dent Hyg 2008</w:t>
      </w:r>
      <w:r>
        <w:rPr>
          <w:rFonts w:ascii="Calibri"/>
          <w:spacing w:val="-18"/>
          <w:sz w:val="24"/>
        </w:rPr>
        <w:t> </w:t>
      </w:r>
      <w:r>
        <w:rPr>
          <w:rFonts w:ascii="Calibri"/>
          <w:sz w:val="24"/>
        </w:rPr>
        <w:t>Feb;6(1):43-7.</w:t>
      </w:r>
    </w:p>
    <w:p>
      <w:pPr>
        <w:pStyle w:val="ListParagraph"/>
        <w:numPr>
          <w:ilvl w:val="1"/>
          <w:numId w:val="8"/>
        </w:numPr>
        <w:tabs>
          <w:tab w:pos="1147" w:val="left" w:leader="none"/>
        </w:tabs>
        <w:spacing w:line="276" w:lineRule="auto" w:before="4" w:after="0"/>
        <w:ind w:left="1146" w:right="229" w:hanging="360"/>
        <w:jc w:val="both"/>
        <w:rPr>
          <w:rFonts w:ascii="Calibri"/>
          <w:sz w:val="24"/>
        </w:rPr>
      </w:pPr>
      <w:r>
        <w:rPr>
          <w:rFonts w:ascii="Calibri"/>
          <w:sz w:val="24"/>
        </w:rPr>
        <w:t>Walker JT, Bradshaw DJ, Finney M, Fulford MR, Frandsen E, Ostergaard E, Ten Cate JM, Moorer WR, Schel AJ, Mavridou A, Kamma JJ. Microbiological evaluation of dental unit water systems in general dental practice in Europe. Eur J Oral Sci 2006;112:</w:t>
      </w:r>
      <w:r>
        <w:rPr>
          <w:rFonts w:ascii="Calibri"/>
          <w:spacing w:val="-16"/>
          <w:sz w:val="24"/>
        </w:rPr>
        <w:t> </w:t>
      </w:r>
      <w:r>
        <w:rPr>
          <w:rFonts w:ascii="Calibri"/>
          <w:sz w:val="24"/>
        </w:rPr>
        <w:t>412-418</w:t>
      </w:r>
    </w:p>
    <w:p>
      <w:pPr>
        <w:pStyle w:val="ListParagraph"/>
        <w:numPr>
          <w:ilvl w:val="1"/>
          <w:numId w:val="8"/>
        </w:numPr>
        <w:tabs>
          <w:tab w:pos="1147" w:val="left" w:leader="none"/>
        </w:tabs>
        <w:spacing w:line="276" w:lineRule="auto" w:before="0" w:after="0"/>
        <w:ind w:left="1146" w:right="222" w:hanging="360"/>
        <w:jc w:val="both"/>
        <w:rPr>
          <w:rFonts w:ascii="Calibri"/>
          <w:sz w:val="24"/>
        </w:rPr>
      </w:pPr>
      <w:r>
        <w:rPr>
          <w:rFonts w:ascii="Calibri"/>
          <w:sz w:val="24"/>
        </w:rPr>
        <w:t>Walker JT, Bradshaw DJ, Fulford MR, Marsh PD Microbiological evaluation of a range of disinfectant products to control mixed-species biofilm contamination in a laboratory model of a dental unit water system. Appl Environ Microbiol 2003 Jun;69(6):3327-32.</w:t>
      </w:r>
    </w:p>
    <w:p>
      <w:pPr>
        <w:pStyle w:val="ListParagraph"/>
        <w:numPr>
          <w:ilvl w:val="1"/>
          <w:numId w:val="8"/>
        </w:numPr>
        <w:tabs>
          <w:tab w:pos="1147" w:val="left" w:leader="none"/>
        </w:tabs>
        <w:spacing w:line="276" w:lineRule="auto" w:before="0" w:after="0"/>
        <w:ind w:left="1146" w:right="230" w:hanging="360"/>
        <w:jc w:val="both"/>
        <w:rPr>
          <w:rFonts w:ascii="Calibri"/>
          <w:sz w:val="24"/>
        </w:rPr>
      </w:pPr>
      <w:r>
        <w:rPr>
          <w:rFonts w:ascii="Calibri"/>
          <w:sz w:val="24"/>
        </w:rPr>
        <w:t>Williams JF, Johnston AM, Johnson B, Huntington MK, Mackenzie CD. Microbial contamination of dental unit waterlines: prevalence, intensity and microbiological characteristics. </w:t>
      </w:r>
      <w:r>
        <w:rPr>
          <w:rFonts w:ascii="Calibri"/>
          <w:i/>
          <w:sz w:val="24"/>
        </w:rPr>
        <w:t>J Am Dent Assoc </w:t>
      </w:r>
      <w:r>
        <w:rPr>
          <w:rFonts w:ascii="Calibri"/>
          <w:sz w:val="24"/>
        </w:rPr>
        <w:t>1993;</w:t>
      </w:r>
      <w:r>
        <w:rPr>
          <w:rFonts w:ascii="Calibri"/>
          <w:spacing w:val="-26"/>
          <w:sz w:val="24"/>
        </w:rPr>
        <w:t> </w:t>
      </w:r>
      <w:r>
        <w:rPr>
          <w:rFonts w:ascii="Calibri"/>
          <w:sz w:val="24"/>
        </w:rPr>
        <w:t>124:59-65</w:t>
      </w:r>
    </w:p>
    <w:p>
      <w:pPr>
        <w:pStyle w:val="ListParagraph"/>
        <w:numPr>
          <w:ilvl w:val="1"/>
          <w:numId w:val="8"/>
        </w:numPr>
        <w:tabs>
          <w:tab w:pos="1147" w:val="left" w:leader="none"/>
        </w:tabs>
        <w:spacing w:line="276" w:lineRule="auto" w:before="4" w:after="0"/>
        <w:ind w:left="1146" w:right="223" w:hanging="360"/>
        <w:jc w:val="both"/>
        <w:rPr>
          <w:rFonts w:ascii="Calibri" w:hAnsi="Calibri"/>
          <w:sz w:val="24"/>
        </w:rPr>
      </w:pPr>
      <w:r>
        <w:rPr>
          <w:rFonts w:ascii="Calibri" w:hAnsi="Calibri"/>
          <w:sz w:val="24"/>
        </w:rPr>
        <w:t>Wong WC, Dudinsky LA, García VM, Ott CM, Castro VA. Efficacy of various chemical disinfectants on biofilms formed in spacecraft potable water system components. Biofouling 2010;</w:t>
      </w:r>
      <w:r>
        <w:rPr>
          <w:rFonts w:ascii="Calibri" w:hAnsi="Calibri"/>
          <w:spacing w:val="-22"/>
          <w:sz w:val="24"/>
        </w:rPr>
        <w:t> </w:t>
      </w:r>
      <w:r>
        <w:rPr>
          <w:rFonts w:ascii="Calibri" w:hAnsi="Calibri"/>
          <w:sz w:val="24"/>
        </w:rPr>
        <w:t>26:583-6.</w:t>
      </w:r>
    </w:p>
    <w:p>
      <w:pPr>
        <w:spacing w:after="0" w:line="276" w:lineRule="auto"/>
        <w:jc w:val="both"/>
        <w:rPr>
          <w:rFonts w:ascii="Calibri" w:hAnsi="Calibri"/>
          <w:sz w:val="24"/>
        </w:rPr>
        <w:sectPr>
          <w:pgSz w:w="12240" w:h="15840"/>
          <w:pgMar w:header="731" w:footer="1012" w:top="1160" w:bottom="1200" w:left="1480" w:right="1480"/>
        </w:sectPr>
      </w:pPr>
    </w:p>
    <w:p>
      <w:pPr>
        <w:pStyle w:val="BodyText"/>
        <w:spacing w:before="7"/>
        <w:rPr>
          <w:rFonts w:ascii="Calibri"/>
          <w:sz w:val="15"/>
        </w:rPr>
      </w:pPr>
    </w:p>
    <w:p>
      <w:pPr>
        <w:pStyle w:val="Heading2"/>
        <w:spacing w:before="69"/>
        <w:ind w:right="387"/>
      </w:pPr>
      <w:r>
        <w:rPr/>
        <w:t>Tables</w:t>
      </w:r>
    </w:p>
    <w:p>
      <w:pPr>
        <w:pStyle w:val="BodyText"/>
        <w:rPr>
          <w:b/>
          <w:sz w:val="20"/>
        </w:rPr>
      </w:pPr>
    </w:p>
    <w:p>
      <w:pPr>
        <w:pStyle w:val="BodyText"/>
        <w:spacing w:before="10"/>
        <w:rPr>
          <w:b/>
          <w:sz w:val="21"/>
        </w:rPr>
      </w:pPr>
    </w:p>
    <w:p>
      <w:pPr>
        <w:spacing w:line="360" w:lineRule="auto" w:before="0" w:after="23"/>
        <w:ind w:left="949" w:right="687" w:hanging="245"/>
        <w:jc w:val="left"/>
        <w:rPr>
          <w:b/>
          <w:sz w:val="20"/>
        </w:rPr>
      </w:pPr>
      <w:r>
        <w:rPr>
          <w:b/>
          <w:sz w:val="20"/>
        </w:rPr>
        <w:t>Table 1. Descriptive statistics on the colony-forming units per milliliter observed in the high-speed waterlines for each segment of the hose under each treatment</w:t>
      </w:r>
    </w:p>
    <w:tbl>
      <w:tblPr>
        <w:tblW w:w="0" w:type="auto"/>
        <w:jc w:val="left"/>
        <w:tblInd w:w="4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671"/>
        <w:gridCol w:w="1417"/>
        <w:gridCol w:w="566"/>
        <w:gridCol w:w="1161"/>
        <w:gridCol w:w="1263"/>
        <w:gridCol w:w="960"/>
        <w:gridCol w:w="1297"/>
      </w:tblGrid>
      <w:tr>
        <w:trPr>
          <w:trHeight w:val="552" w:hRule="exact"/>
        </w:trPr>
        <w:tc>
          <w:tcPr>
            <w:tcW w:w="1671" w:type="dxa"/>
            <w:tcBorders>
              <w:left w:val="nil"/>
              <w:right w:val="nil"/>
            </w:tcBorders>
          </w:tcPr>
          <w:p>
            <w:pPr>
              <w:pStyle w:val="TableParagraph"/>
              <w:ind w:left="110"/>
              <w:rPr>
                <w:b/>
                <w:sz w:val="20"/>
              </w:rPr>
            </w:pPr>
            <w:r>
              <w:rPr>
                <w:b/>
                <w:sz w:val="20"/>
              </w:rPr>
              <w:t>Treatment</w:t>
            </w:r>
          </w:p>
        </w:tc>
        <w:tc>
          <w:tcPr>
            <w:tcW w:w="1417" w:type="dxa"/>
            <w:tcBorders>
              <w:left w:val="nil"/>
              <w:right w:val="nil"/>
            </w:tcBorders>
          </w:tcPr>
          <w:p>
            <w:pPr>
              <w:pStyle w:val="TableParagraph"/>
              <w:spacing w:line="276" w:lineRule="auto"/>
              <w:ind w:left="172" w:right="158" w:firstLine="110"/>
              <w:rPr>
                <w:b/>
                <w:sz w:val="20"/>
              </w:rPr>
            </w:pPr>
            <w:r>
              <w:rPr>
                <w:b/>
                <w:sz w:val="20"/>
              </w:rPr>
              <w:t>Segment of the hose</w:t>
            </w:r>
          </w:p>
        </w:tc>
        <w:tc>
          <w:tcPr>
            <w:tcW w:w="566" w:type="dxa"/>
            <w:tcBorders>
              <w:left w:val="nil"/>
              <w:right w:val="nil"/>
            </w:tcBorders>
          </w:tcPr>
          <w:p>
            <w:pPr>
              <w:pStyle w:val="TableParagraph"/>
              <w:ind w:left="211"/>
              <w:rPr>
                <w:b/>
                <w:sz w:val="20"/>
              </w:rPr>
            </w:pPr>
            <w:r>
              <w:rPr>
                <w:b/>
                <w:w w:val="100"/>
                <w:sz w:val="20"/>
              </w:rPr>
              <w:t>N</w:t>
            </w:r>
          </w:p>
        </w:tc>
        <w:tc>
          <w:tcPr>
            <w:tcW w:w="1161" w:type="dxa"/>
            <w:tcBorders>
              <w:left w:val="nil"/>
              <w:right w:val="nil"/>
            </w:tcBorders>
          </w:tcPr>
          <w:p>
            <w:pPr>
              <w:pStyle w:val="TableParagraph"/>
              <w:spacing w:line="201" w:lineRule="exact"/>
              <w:ind w:left="154" w:right="176"/>
              <w:jc w:val="center"/>
              <w:rPr>
                <w:b/>
                <w:sz w:val="18"/>
              </w:rPr>
            </w:pPr>
            <w:r>
              <w:rPr>
                <w:b/>
                <w:sz w:val="18"/>
              </w:rPr>
              <w:t>Minimum</w:t>
            </w:r>
          </w:p>
        </w:tc>
        <w:tc>
          <w:tcPr>
            <w:tcW w:w="1263" w:type="dxa"/>
            <w:tcBorders>
              <w:left w:val="nil"/>
              <w:right w:val="nil"/>
            </w:tcBorders>
          </w:tcPr>
          <w:p>
            <w:pPr>
              <w:pStyle w:val="TableParagraph"/>
              <w:spacing w:line="201" w:lineRule="exact"/>
              <w:ind w:left="180" w:right="211"/>
              <w:jc w:val="center"/>
              <w:rPr>
                <w:b/>
                <w:sz w:val="18"/>
              </w:rPr>
            </w:pPr>
            <w:r>
              <w:rPr>
                <w:b/>
                <w:sz w:val="18"/>
              </w:rPr>
              <w:t>Maximum</w:t>
            </w:r>
          </w:p>
        </w:tc>
        <w:tc>
          <w:tcPr>
            <w:tcW w:w="960" w:type="dxa"/>
            <w:tcBorders>
              <w:left w:val="nil"/>
              <w:right w:val="nil"/>
            </w:tcBorders>
          </w:tcPr>
          <w:p>
            <w:pPr>
              <w:pStyle w:val="TableParagraph"/>
              <w:ind w:left="231"/>
              <w:rPr>
                <w:b/>
                <w:sz w:val="20"/>
              </w:rPr>
            </w:pPr>
            <w:r>
              <w:rPr>
                <w:b/>
                <w:sz w:val="20"/>
              </w:rPr>
              <w:t>Mean</w:t>
            </w:r>
          </w:p>
        </w:tc>
        <w:tc>
          <w:tcPr>
            <w:tcW w:w="1297" w:type="dxa"/>
            <w:tcBorders>
              <w:left w:val="nil"/>
              <w:right w:val="nil"/>
            </w:tcBorders>
          </w:tcPr>
          <w:p>
            <w:pPr>
              <w:pStyle w:val="TableParagraph"/>
              <w:spacing w:line="276" w:lineRule="auto"/>
              <w:ind w:left="216" w:right="183" w:firstLine="4"/>
              <w:rPr>
                <w:b/>
                <w:sz w:val="20"/>
              </w:rPr>
            </w:pPr>
            <w:r>
              <w:rPr>
                <w:b/>
                <w:sz w:val="20"/>
              </w:rPr>
              <w:t>Standard deviation</w:t>
            </w:r>
          </w:p>
        </w:tc>
      </w:tr>
      <w:tr>
        <w:trPr>
          <w:trHeight w:val="283" w:hRule="exact"/>
        </w:trPr>
        <w:tc>
          <w:tcPr>
            <w:tcW w:w="1671" w:type="dxa"/>
            <w:tcBorders>
              <w:left w:val="nil"/>
              <w:bottom w:val="nil"/>
              <w:right w:val="nil"/>
            </w:tcBorders>
          </w:tcPr>
          <w:p>
            <w:pPr>
              <w:pStyle w:val="TableParagraph"/>
              <w:ind w:left="110"/>
              <w:rPr>
                <w:b/>
                <w:sz w:val="20"/>
              </w:rPr>
            </w:pPr>
            <w:r>
              <w:rPr>
                <w:b/>
                <w:sz w:val="20"/>
              </w:rPr>
              <w:t>Filtered water</w:t>
            </w:r>
          </w:p>
        </w:tc>
        <w:tc>
          <w:tcPr>
            <w:tcW w:w="1417" w:type="dxa"/>
            <w:tcBorders>
              <w:left w:val="nil"/>
              <w:right w:val="nil"/>
            </w:tcBorders>
          </w:tcPr>
          <w:p>
            <w:pPr>
              <w:pStyle w:val="TableParagraph"/>
              <w:spacing w:line="230" w:lineRule="exact"/>
              <w:ind w:left="167" w:right="158"/>
              <w:rPr>
                <w:sz w:val="20"/>
              </w:rPr>
            </w:pPr>
            <w:r>
              <w:rPr>
                <w:sz w:val="20"/>
              </w:rPr>
              <w:t>Anterior</w:t>
            </w:r>
          </w:p>
        </w:tc>
        <w:tc>
          <w:tcPr>
            <w:tcW w:w="566" w:type="dxa"/>
            <w:tcBorders>
              <w:left w:val="nil"/>
              <w:right w:val="nil"/>
            </w:tcBorders>
          </w:tcPr>
          <w:p>
            <w:pPr>
              <w:pStyle w:val="TableParagraph"/>
              <w:spacing w:line="230" w:lineRule="exact"/>
              <w:ind w:left="172"/>
              <w:rPr>
                <w:sz w:val="20"/>
              </w:rPr>
            </w:pPr>
            <w:r>
              <w:rPr>
                <w:sz w:val="20"/>
              </w:rPr>
              <w:t>35</w:t>
            </w:r>
          </w:p>
        </w:tc>
        <w:tc>
          <w:tcPr>
            <w:tcW w:w="1161" w:type="dxa"/>
            <w:tcBorders>
              <w:left w:val="nil"/>
              <w:right w:val="nil"/>
            </w:tcBorders>
          </w:tcPr>
          <w:p>
            <w:pPr>
              <w:pStyle w:val="TableParagraph"/>
              <w:spacing w:line="230" w:lineRule="exact"/>
              <w:ind w:left="154" w:right="175"/>
              <w:jc w:val="center"/>
              <w:rPr>
                <w:sz w:val="20"/>
              </w:rPr>
            </w:pPr>
            <w:r>
              <w:rPr>
                <w:sz w:val="20"/>
              </w:rPr>
              <w:t>425</w:t>
            </w:r>
          </w:p>
        </w:tc>
        <w:tc>
          <w:tcPr>
            <w:tcW w:w="1263" w:type="dxa"/>
            <w:tcBorders>
              <w:left w:val="nil"/>
              <w:right w:val="nil"/>
            </w:tcBorders>
          </w:tcPr>
          <w:p>
            <w:pPr>
              <w:pStyle w:val="TableParagraph"/>
              <w:spacing w:line="230" w:lineRule="exact"/>
              <w:ind w:left="105" w:right="211"/>
              <w:jc w:val="center"/>
              <w:rPr>
                <w:sz w:val="20"/>
              </w:rPr>
            </w:pPr>
            <w:r>
              <w:rPr>
                <w:sz w:val="20"/>
              </w:rPr>
              <w:t>1120</w:t>
            </w:r>
          </w:p>
        </w:tc>
        <w:tc>
          <w:tcPr>
            <w:tcW w:w="960" w:type="dxa"/>
            <w:tcBorders>
              <w:left w:val="nil"/>
              <w:right w:val="nil"/>
            </w:tcBorders>
          </w:tcPr>
          <w:p>
            <w:pPr>
              <w:pStyle w:val="TableParagraph"/>
              <w:spacing w:line="230" w:lineRule="exact"/>
              <w:ind w:left="284"/>
              <w:rPr>
                <w:sz w:val="20"/>
              </w:rPr>
            </w:pPr>
            <w:r>
              <w:rPr>
                <w:sz w:val="20"/>
              </w:rPr>
              <w:t>936</w:t>
            </w:r>
          </w:p>
        </w:tc>
        <w:tc>
          <w:tcPr>
            <w:tcW w:w="1297" w:type="dxa"/>
            <w:tcBorders>
              <w:left w:val="nil"/>
              <w:right w:val="nil"/>
            </w:tcBorders>
          </w:tcPr>
          <w:p>
            <w:pPr>
              <w:pStyle w:val="TableParagraph"/>
              <w:spacing w:line="230" w:lineRule="exact"/>
              <w:ind w:left="457" w:right="183"/>
              <w:rPr>
                <w:sz w:val="20"/>
              </w:rPr>
            </w:pPr>
            <w:r>
              <w:rPr>
                <w:sz w:val="20"/>
              </w:rPr>
              <w:t>177</w:t>
            </w:r>
          </w:p>
        </w:tc>
      </w:tr>
      <w:tr>
        <w:trPr>
          <w:trHeight w:val="284" w:hRule="exact"/>
        </w:trPr>
        <w:tc>
          <w:tcPr>
            <w:tcW w:w="1671" w:type="dxa"/>
            <w:tcBorders>
              <w:top w:val="nil"/>
              <w:left w:val="nil"/>
              <w:bottom w:val="nil"/>
              <w:right w:val="nil"/>
            </w:tcBorders>
          </w:tcPr>
          <w:p>
            <w:pPr/>
          </w:p>
        </w:tc>
        <w:tc>
          <w:tcPr>
            <w:tcW w:w="1417" w:type="dxa"/>
            <w:tcBorders>
              <w:left w:val="nil"/>
              <w:right w:val="nil"/>
            </w:tcBorders>
          </w:tcPr>
          <w:p>
            <w:pPr>
              <w:pStyle w:val="TableParagraph"/>
              <w:spacing w:line="240" w:lineRule="auto"/>
              <w:ind w:left="167" w:right="158"/>
              <w:rPr>
                <w:sz w:val="20"/>
              </w:rPr>
            </w:pPr>
            <w:r>
              <w:rPr>
                <w:sz w:val="20"/>
              </w:rPr>
              <w:t>Middle</w:t>
            </w:r>
          </w:p>
        </w:tc>
        <w:tc>
          <w:tcPr>
            <w:tcW w:w="566" w:type="dxa"/>
            <w:tcBorders>
              <w:left w:val="nil"/>
              <w:right w:val="nil"/>
            </w:tcBorders>
          </w:tcPr>
          <w:p>
            <w:pPr>
              <w:pStyle w:val="TableParagraph"/>
              <w:spacing w:line="240" w:lineRule="auto"/>
              <w:ind w:left="172"/>
              <w:rPr>
                <w:sz w:val="20"/>
              </w:rPr>
            </w:pPr>
            <w:r>
              <w:rPr>
                <w:sz w:val="20"/>
              </w:rPr>
              <w:t>35</w:t>
            </w:r>
          </w:p>
        </w:tc>
        <w:tc>
          <w:tcPr>
            <w:tcW w:w="1161" w:type="dxa"/>
            <w:tcBorders>
              <w:left w:val="nil"/>
              <w:right w:val="nil"/>
            </w:tcBorders>
          </w:tcPr>
          <w:p>
            <w:pPr>
              <w:pStyle w:val="TableParagraph"/>
              <w:spacing w:line="240" w:lineRule="auto"/>
              <w:ind w:left="154" w:right="175"/>
              <w:jc w:val="center"/>
              <w:rPr>
                <w:sz w:val="20"/>
              </w:rPr>
            </w:pPr>
            <w:r>
              <w:rPr>
                <w:sz w:val="20"/>
              </w:rPr>
              <w:t>450</w:t>
            </w:r>
          </w:p>
        </w:tc>
        <w:tc>
          <w:tcPr>
            <w:tcW w:w="1263" w:type="dxa"/>
            <w:tcBorders>
              <w:left w:val="nil"/>
              <w:right w:val="nil"/>
            </w:tcBorders>
          </w:tcPr>
          <w:p>
            <w:pPr>
              <w:pStyle w:val="TableParagraph"/>
              <w:spacing w:line="240" w:lineRule="auto"/>
              <w:ind w:left="105" w:right="211"/>
              <w:jc w:val="center"/>
              <w:rPr>
                <w:sz w:val="20"/>
              </w:rPr>
            </w:pPr>
            <w:r>
              <w:rPr>
                <w:sz w:val="20"/>
              </w:rPr>
              <w:t>1100</w:t>
            </w:r>
          </w:p>
        </w:tc>
        <w:tc>
          <w:tcPr>
            <w:tcW w:w="960" w:type="dxa"/>
            <w:tcBorders>
              <w:left w:val="nil"/>
              <w:right w:val="nil"/>
            </w:tcBorders>
          </w:tcPr>
          <w:p>
            <w:pPr>
              <w:pStyle w:val="TableParagraph"/>
              <w:spacing w:line="240" w:lineRule="auto"/>
              <w:ind w:left="284"/>
              <w:rPr>
                <w:sz w:val="20"/>
              </w:rPr>
            </w:pPr>
            <w:r>
              <w:rPr>
                <w:sz w:val="20"/>
              </w:rPr>
              <w:t>986</w:t>
            </w:r>
          </w:p>
        </w:tc>
        <w:tc>
          <w:tcPr>
            <w:tcW w:w="1297" w:type="dxa"/>
            <w:tcBorders>
              <w:left w:val="nil"/>
              <w:right w:val="nil"/>
            </w:tcBorders>
          </w:tcPr>
          <w:p>
            <w:pPr>
              <w:pStyle w:val="TableParagraph"/>
              <w:spacing w:line="240" w:lineRule="auto"/>
              <w:ind w:left="457" w:right="183"/>
              <w:rPr>
                <w:sz w:val="20"/>
              </w:rPr>
            </w:pPr>
            <w:r>
              <w:rPr>
                <w:sz w:val="20"/>
              </w:rPr>
              <w:t>101</w:t>
            </w:r>
          </w:p>
        </w:tc>
      </w:tr>
      <w:tr>
        <w:trPr>
          <w:trHeight w:val="283" w:hRule="exact"/>
        </w:trPr>
        <w:tc>
          <w:tcPr>
            <w:tcW w:w="1671" w:type="dxa"/>
            <w:tcBorders>
              <w:top w:val="nil"/>
              <w:left w:val="nil"/>
              <w:right w:val="nil"/>
            </w:tcBorders>
          </w:tcPr>
          <w:p>
            <w:pPr/>
          </w:p>
        </w:tc>
        <w:tc>
          <w:tcPr>
            <w:tcW w:w="1417" w:type="dxa"/>
            <w:tcBorders>
              <w:left w:val="nil"/>
              <w:right w:val="nil"/>
            </w:tcBorders>
          </w:tcPr>
          <w:p>
            <w:pPr>
              <w:pStyle w:val="TableParagraph"/>
              <w:spacing w:line="230" w:lineRule="exact"/>
              <w:ind w:left="167" w:right="158"/>
              <w:rPr>
                <w:sz w:val="20"/>
              </w:rPr>
            </w:pPr>
            <w:r>
              <w:rPr>
                <w:sz w:val="20"/>
              </w:rPr>
              <w:t>Posterior</w:t>
            </w:r>
          </w:p>
        </w:tc>
        <w:tc>
          <w:tcPr>
            <w:tcW w:w="566" w:type="dxa"/>
            <w:tcBorders>
              <w:left w:val="nil"/>
              <w:right w:val="nil"/>
            </w:tcBorders>
          </w:tcPr>
          <w:p>
            <w:pPr>
              <w:pStyle w:val="TableParagraph"/>
              <w:spacing w:line="230" w:lineRule="exact"/>
              <w:ind w:left="172"/>
              <w:rPr>
                <w:sz w:val="20"/>
              </w:rPr>
            </w:pPr>
            <w:r>
              <w:rPr>
                <w:sz w:val="20"/>
              </w:rPr>
              <w:t>35</w:t>
            </w:r>
          </w:p>
        </w:tc>
        <w:tc>
          <w:tcPr>
            <w:tcW w:w="1161" w:type="dxa"/>
            <w:tcBorders>
              <w:left w:val="nil"/>
              <w:right w:val="nil"/>
            </w:tcBorders>
          </w:tcPr>
          <w:p>
            <w:pPr>
              <w:pStyle w:val="TableParagraph"/>
              <w:spacing w:line="230" w:lineRule="exact"/>
              <w:ind w:left="154" w:right="175"/>
              <w:jc w:val="center"/>
              <w:rPr>
                <w:sz w:val="20"/>
              </w:rPr>
            </w:pPr>
            <w:r>
              <w:rPr>
                <w:sz w:val="20"/>
              </w:rPr>
              <w:t>400</w:t>
            </w:r>
          </w:p>
        </w:tc>
        <w:tc>
          <w:tcPr>
            <w:tcW w:w="1263" w:type="dxa"/>
            <w:tcBorders>
              <w:left w:val="nil"/>
              <w:right w:val="nil"/>
            </w:tcBorders>
          </w:tcPr>
          <w:p>
            <w:pPr>
              <w:pStyle w:val="TableParagraph"/>
              <w:spacing w:line="230" w:lineRule="exact"/>
              <w:ind w:left="105" w:right="211"/>
              <w:jc w:val="center"/>
              <w:rPr>
                <w:sz w:val="20"/>
              </w:rPr>
            </w:pPr>
            <w:r>
              <w:rPr>
                <w:sz w:val="20"/>
              </w:rPr>
              <w:t>1015</w:t>
            </w:r>
          </w:p>
        </w:tc>
        <w:tc>
          <w:tcPr>
            <w:tcW w:w="960" w:type="dxa"/>
            <w:tcBorders>
              <w:left w:val="nil"/>
              <w:right w:val="nil"/>
            </w:tcBorders>
          </w:tcPr>
          <w:p>
            <w:pPr>
              <w:pStyle w:val="TableParagraph"/>
              <w:spacing w:line="230" w:lineRule="exact"/>
              <w:ind w:left="284"/>
              <w:rPr>
                <w:sz w:val="20"/>
              </w:rPr>
            </w:pPr>
            <w:r>
              <w:rPr>
                <w:sz w:val="20"/>
              </w:rPr>
              <w:t>897</w:t>
            </w:r>
          </w:p>
        </w:tc>
        <w:tc>
          <w:tcPr>
            <w:tcW w:w="1297" w:type="dxa"/>
            <w:tcBorders>
              <w:left w:val="nil"/>
              <w:right w:val="nil"/>
            </w:tcBorders>
          </w:tcPr>
          <w:p>
            <w:pPr>
              <w:pStyle w:val="TableParagraph"/>
              <w:spacing w:line="230" w:lineRule="exact"/>
              <w:ind w:left="457" w:right="183"/>
              <w:rPr>
                <w:sz w:val="20"/>
              </w:rPr>
            </w:pPr>
            <w:r>
              <w:rPr>
                <w:sz w:val="20"/>
              </w:rPr>
              <w:t>213</w:t>
            </w:r>
          </w:p>
        </w:tc>
      </w:tr>
      <w:tr>
        <w:trPr>
          <w:trHeight w:val="288" w:hRule="exact"/>
        </w:trPr>
        <w:tc>
          <w:tcPr>
            <w:tcW w:w="1671" w:type="dxa"/>
            <w:tcBorders>
              <w:left w:val="nil"/>
              <w:bottom w:val="nil"/>
              <w:right w:val="nil"/>
            </w:tcBorders>
          </w:tcPr>
          <w:p>
            <w:pPr>
              <w:pStyle w:val="TableParagraph"/>
              <w:spacing w:line="230" w:lineRule="exact"/>
              <w:ind w:left="110"/>
              <w:rPr>
                <w:b/>
                <w:sz w:val="20"/>
              </w:rPr>
            </w:pPr>
            <w:r>
              <w:rPr>
                <w:b/>
                <w:sz w:val="20"/>
              </w:rPr>
              <w:t>Colloidal</w:t>
            </w:r>
          </w:p>
        </w:tc>
        <w:tc>
          <w:tcPr>
            <w:tcW w:w="1417" w:type="dxa"/>
            <w:tcBorders>
              <w:left w:val="nil"/>
              <w:right w:val="nil"/>
            </w:tcBorders>
          </w:tcPr>
          <w:p>
            <w:pPr>
              <w:pStyle w:val="TableParagraph"/>
              <w:spacing w:line="240" w:lineRule="auto" w:before="4"/>
              <w:ind w:left="167" w:right="158"/>
              <w:rPr>
                <w:sz w:val="20"/>
              </w:rPr>
            </w:pPr>
            <w:r>
              <w:rPr>
                <w:sz w:val="20"/>
              </w:rPr>
              <w:t>Anterior</w:t>
            </w:r>
          </w:p>
        </w:tc>
        <w:tc>
          <w:tcPr>
            <w:tcW w:w="566" w:type="dxa"/>
            <w:tcBorders>
              <w:left w:val="nil"/>
              <w:right w:val="nil"/>
            </w:tcBorders>
          </w:tcPr>
          <w:p>
            <w:pPr>
              <w:pStyle w:val="TableParagraph"/>
              <w:spacing w:line="240" w:lineRule="auto" w:before="4"/>
              <w:ind w:left="172"/>
              <w:rPr>
                <w:sz w:val="20"/>
              </w:rPr>
            </w:pPr>
            <w:r>
              <w:rPr>
                <w:sz w:val="20"/>
              </w:rPr>
              <w:t>35</w:t>
            </w:r>
          </w:p>
        </w:tc>
        <w:tc>
          <w:tcPr>
            <w:tcW w:w="1161" w:type="dxa"/>
            <w:tcBorders>
              <w:left w:val="nil"/>
              <w:right w:val="nil"/>
            </w:tcBorders>
          </w:tcPr>
          <w:p>
            <w:pPr>
              <w:pStyle w:val="TableParagraph"/>
              <w:spacing w:line="240" w:lineRule="auto" w:before="4"/>
              <w:ind w:right="19"/>
              <w:jc w:val="center"/>
              <w:rPr>
                <w:sz w:val="20"/>
              </w:rPr>
            </w:pPr>
            <w:r>
              <w:rPr>
                <w:w w:val="100"/>
                <w:sz w:val="20"/>
              </w:rPr>
              <w:t>0</w:t>
            </w:r>
          </w:p>
        </w:tc>
        <w:tc>
          <w:tcPr>
            <w:tcW w:w="1263" w:type="dxa"/>
            <w:tcBorders>
              <w:left w:val="nil"/>
              <w:right w:val="nil"/>
            </w:tcBorders>
          </w:tcPr>
          <w:p>
            <w:pPr>
              <w:pStyle w:val="TableParagraph"/>
              <w:spacing w:line="240" w:lineRule="auto" w:before="4"/>
              <w:ind w:left="109" w:right="211"/>
              <w:jc w:val="center"/>
              <w:rPr>
                <w:sz w:val="20"/>
              </w:rPr>
            </w:pPr>
            <w:r>
              <w:rPr>
                <w:sz w:val="20"/>
              </w:rPr>
              <w:t>220</w:t>
            </w:r>
          </w:p>
        </w:tc>
        <w:tc>
          <w:tcPr>
            <w:tcW w:w="960" w:type="dxa"/>
            <w:tcBorders>
              <w:left w:val="nil"/>
              <w:right w:val="nil"/>
            </w:tcBorders>
          </w:tcPr>
          <w:p>
            <w:pPr>
              <w:pStyle w:val="TableParagraph"/>
              <w:spacing w:line="240" w:lineRule="auto" w:before="4"/>
              <w:ind w:left="322" w:right="375"/>
              <w:jc w:val="center"/>
              <w:rPr>
                <w:sz w:val="20"/>
              </w:rPr>
            </w:pPr>
            <w:r>
              <w:rPr>
                <w:sz w:val="20"/>
              </w:rPr>
              <w:t>30</w:t>
            </w:r>
          </w:p>
        </w:tc>
        <w:tc>
          <w:tcPr>
            <w:tcW w:w="1297" w:type="dxa"/>
            <w:tcBorders>
              <w:left w:val="nil"/>
              <w:right w:val="nil"/>
            </w:tcBorders>
          </w:tcPr>
          <w:p>
            <w:pPr>
              <w:pStyle w:val="TableParagraph"/>
              <w:spacing w:line="240" w:lineRule="auto" w:before="4"/>
              <w:ind w:left="514" w:right="183"/>
              <w:rPr>
                <w:sz w:val="20"/>
              </w:rPr>
            </w:pPr>
            <w:r>
              <w:rPr>
                <w:sz w:val="20"/>
              </w:rPr>
              <w:t>64</w:t>
            </w:r>
          </w:p>
        </w:tc>
      </w:tr>
      <w:tr>
        <w:trPr>
          <w:trHeight w:val="283" w:hRule="exact"/>
        </w:trPr>
        <w:tc>
          <w:tcPr>
            <w:tcW w:w="1671" w:type="dxa"/>
            <w:tcBorders>
              <w:top w:val="nil"/>
              <w:left w:val="nil"/>
              <w:bottom w:val="nil"/>
              <w:right w:val="nil"/>
            </w:tcBorders>
          </w:tcPr>
          <w:p>
            <w:pPr>
              <w:pStyle w:val="TableParagraph"/>
              <w:spacing w:line="215" w:lineRule="exact"/>
              <w:ind w:left="110"/>
              <w:rPr>
                <w:b/>
                <w:sz w:val="20"/>
              </w:rPr>
            </w:pPr>
            <w:r>
              <w:rPr>
                <w:b/>
                <w:sz w:val="20"/>
              </w:rPr>
              <w:t>silver</w:t>
            </w:r>
          </w:p>
        </w:tc>
        <w:tc>
          <w:tcPr>
            <w:tcW w:w="1417" w:type="dxa"/>
            <w:tcBorders>
              <w:left w:val="nil"/>
              <w:right w:val="nil"/>
            </w:tcBorders>
          </w:tcPr>
          <w:p>
            <w:pPr>
              <w:pStyle w:val="TableParagraph"/>
              <w:spacing w:line="230" w:lineRule="exact"/>
              <w:ind w:left="167" w:right="158"/>
              <w:rPr>
                <w:sz w:val="20"/>
              </w:rPr>
            </w:pPr>
            <w:r>
              <w:rPr>
                <w:sz w:val="20"/>
              </w:rPr>
              <w:t>Middle</w:t>
            </w:r>
          </w:p>
        </w:tc>
        <w:tc>
          <w:tcPr>
            <w:tcW w:w="566" w:type="dxa"/>
            <w:tcBorders>
              <w:left w:val="nil"/>
              <w:right w:val="nil"/>
            </w:tcBorders>
          </w:tcPr>
          <w:p>
            <w:pPr>
              <w:pStyle w:val="TableParagraph"/>
              <w:spacing w:line="230" w:lineRule="exact"/>
              <w:ind w:left="172"/>
              <w:rPr>
                <w:sz w:val="20"/>
              </w:rPr>
            </w:pPr>
            <w:r>
              <w:rPr>
                <w:sz w:val="20"/>
              </w:rPr>
              <w:t>35</w:t>
            </w:r>
          </w:p>
        </w:tc>
        <w:tc>
          <w:tcPr>
            <w:tcW w:w="1161" w:type="dxa"/>
            <w:tcBorders>
              <w:left w:val="nil"/>
              <w:right w:val="nil"/>
            </w:tcBorders>
          </w:tcPr>
          <w:p>
            <w:pPr>
              <w:pStyle w:val="TableParagraph"/>
              <w:spacing w:line="230" w:lineRule="exact"/>
              <w:ind w:right="19"/>
              <w:jc w:val="center"/>
              <w:rPr>
                <w:sz w:val="20"/>
              </w:rPr>
            </w:pPr>
            <w:r>
              <w:rPr>
                <w:w w:val="100"/>
                <w:sz w:val="20"/>
              </w:rPr>
              <w:t>0</w:t>
            </w:r>
          </w:p>
        </w:tc>
        <w:tc>
          <w:tcPr>
            <w:tcW w:w="1263" w:type="dxa"/>
            <w:tcBorders>
              <w:left w:val="nil"/>
              <w:right w:val="nil"/>
            </w:tcBorders>
          </w:tcPr>
          <w:p>
            <w:pPr>
              <w:pStyle w:val="TableParagraph"/>
              <w:spacing w:line="230" w:lineRule="exact"/>
              <w:ind w:left="109" w:right="211"/>
              <w:jc w:val="center"/>
              <w:rPr>
                <w:sz w:val="20"/>
              </w:rPr>
            </w:pPr>
            <w:r>
              <w:rPr>
                <w:sz w:val="20"/>
              </w:rPr>
              <w:t>250</w:t>
            </w:r>
          </w:p>
        </w:tc>
        <w:tc>
          <w:tcPr>
            <w:tcW w:w="960" w:type="dxa"/>
            <w:tcBorders>
              <w:left w:val="nil"/>
              <w:right w:val="nil"/>
            </w:tcBorders>
          </w:tcPr>
          <w:p>
            <w:pPr>
              <w:pStyle w:val="TableParagraph"/>
              <w:spacing w:line="230" w:lineRule="exact"/>
              <w:ind w:left="322" w:right="375"/>
              <w:jc w:val="center"/>
              <w:rPr>
                <w:sz w:val="20"/>
              </w:rPr>
            </w:pPr>
            <w:r>
              <w:rPr>
                <w:sz w:val="20"/>
              </w:rPr>
              <w:t>45</w:t>
            </w:r>
          </w:p>
        </w:tc>
        <w:tc>
          <w:tcPr>
            <w:tcW w:w="1297" w:type="dxa"/>
            <w:tcBorders>
              <w:left w:val="nil"/>
              <w:right w:val="nil"/>
            </w:tcBorders>
          </w:tcPr>
          <w:p>
            <w:pPr>
              <w:pStyle w:val="TableParagraph"/>
              <w:spacing w:line="230" w:lineRule="exact"/>
              <w:ind w:left="514" w:right="183"/>
              <w:rPr>
                <w:sz w:val="20"/>
              </w:rPr>
            </w:pPr>
            <w:r>
              <w:rPr>
                <w:sz w:val="20"/>
              </w:rPr>
              <w:t>78</w:t>
            </w:r>
          </w:p>
        </w:tc>
      </w:tr>
      <w:tr>
        <w:trPr>
          <w:trHeight w:val="283" w:hRule="exact"/>
        </w:trPr>
        <w:tc>
          <w:tcPr>
            <w:tcW w:w="1671" w:type="dxa"/>
            <w:tcBorders>
              <w:top w:val="nil"/>
              <w:left w:val="nil"/>
              <w:right w:val="nil"/>
            </w:tcBorders>
          </w:tcPr>
          <w:p>
            <w:pPr/>
          </w:p>
        </w:tc>
        <w:tc>
          <w:tcPr>
            <w:tcW w:w="1417" w:type="dxa"/>
            <w:tcBorders>
              <w:left w:val="nil"/>
              <w:right w:val="nil"/>
            </w:tcBorders>
          </w:tcPr>
          <w:p>
            <w:pPr>
              <w:pStyle w:val="TableParagraph"/>
              <w:spacing w:line="230" w:lineRule="exact"/>
              <w:ind w:left="167" w:right="158"/>
              <w:rPr>
                <w:sz w:val="20"/>
              </w:rPr>
            </w:pPr>
            <w:r>
              <w:rPr>
                <w:sz w:val="20"/>
              </w:rPr>
              <w:t>Posterior</w:t>
            </w:r>
          </w:p>
        </w:tc>
        <w:tc>
          <w:tcPr>
            <w:tcW w:w="566" w:type="dxa"/>
            <w:tcBorders>
              <w:left w:val="nil"/>
              <w:right w:val="nil"/>
            </w:tcBorders>
          </w:tcPr>
          <w:p>
            <w:pPr>
              <w:pStyle w:val="TableParagraph"/>
              <w:spacing w:line="230" w:lineRule="exact"/>
              <w:ind w:left="172"/>
              <w:rPr>
                <w:sz w:val="20"/>
              </w:rPr>
            </w:pPr>
            <w:r>
              <w:rPr>
                <w:sz w:val="20"/>
              </w:rPr>
              <w:t>35</w:t>
            </w:r>
          </w:p>
        </w:tc>
        <w:tc>
          <w:tcPr>
            <w:tcW w:w="1161" w:type="dxa"/>
            <w:tcBorders>
              <w:left w:val="nil"/>
              <w:right w:val="nil"/>
            </w:tcBorders>
          </w:tcPr>
          <w:p>
            <w:pPr>
              <w:pStyle w:val="TableParagraph"/>
              <w:spacing w:line="230" w:lineRule="exact"/>
              <w:ind w:right="19"/>
              <w:jc w:val="center"/>
              <w:rPr>
                <w:sz w:val="20"/>
              </w:rPr>
            </w:pPr>
            <w:r>
              <w:rPr>
                <w:w w:val="100"/>
                <w:sz w:val="20"/>
              </w:rPr>
              <w:t>0</w:t>
            </w:r>
          </w:p>
        </w:tc>
        <w:tc>
          <w:tcPr>
            <w:tcW w:w="1263" w:type="dxa"/>
            <w:tcBorders>
              <w:left w:val="nil"/>
              <w:right w:val="nil"/>
            </w:tcBorders>
          </w:tcPr>
          <w:p>
            <w:pPr>
              <w:pStyle w:val="TableParagraph"/>
              <w:spacing w:line="230" w:lineRule="exact"/>
              <w:ind w:left="109" w:right="211"/>
              <w:jc w:val="center"/>
              <w:rPr>
                <w:sz w:val="20"/>
              </w:rPr>
            </w:pPr>
            <w:r>
              <w:rPr>
                <w:sz w:val="20"/>
              </w:rPr>
              <w:t>210</w:t>
            </w:r>
          </w:p>
        </w:tc>
        <w:tc>
          <w:tcPr>
            <w:tcW w:w="960" w:type="dxa"/>
            <w:tcBorders>
              <w:left w:val="nil"/>
              <w:right w:val="nil"/>
            </w:tcBorders>
          </w:tcPr>
          <w:p>
            <w:pPr>
              <w:pStyle w:val="TableParagraph"/>
              <w:spacing w:line="230" w:lineRule="exact"/>
              <w:ind w:left="322" w:right="375"/>
              <w:jc w:val="center"/>
              <w:rPr>
                <w:sz w:val="20"/>
              </w:rPr>
            </w:pPr>
            <w:r>
              <w:rPr>
                <w:sz w:val="20"/>
              </w:rPr>
              <w:t>31</w:t>
            </w:r>
          </w:p>
        </w:tc>
        <w:tc>
          <w:tcPr>
            <w:tcW w:w="1297" w:type="dxa"/>
            <w:tcBorders>
              <w:left w:val="nil"/>
              <w:right w:val="nil"/>
            </w:tcBorders>
          </w:tcPr>
          <w:p>
            <w:pPr>
              <w:pStyle w:val="TableParagraph"/>
              <w:spacing w:line="230" w:lineRule="exact"/>
              <w:ind w:left="514" w:right="183"/>
              <w:rPr>
                <w:sz w:val="20"/>
              </w:rPr>
            </w:pPr>
            <w:r>
              <w:rPr>
                <w:sz w:val="20"/>
              </w:rPr>
              <w:t>62</w:t>
            </w:r>
          </w:p>
        </w:tc>
      </w:tr>
      <w:tr>
        <w:trPr>
          <w:trHeight w:val="284" w:hRule="exact"/>
        </w:trPr>
        <w:tc>
          <w:tcPr>
            <w:tcW w:w="1671" w:type="dxa"/>
            <w:tcBorders>
              <w:left w:val="nil"/>
              <w:bottom w:val="nil"/>
              <w:right w:val="nil"/>
            </w:tcBorders>
          </w:tcPr>
          <w:p>
            <w:pPr>
              <w:pStyle w:val="TableParagraph"/>
              <w:ind w:left="110"/>
              <w:rPr>
                <w:b/>
                <w:sz w:val="20"/>
              </w:rPr>
            </w:pPr>
            <w:r>
              <w:rPr>
                <w:b/>
                <w:sz w:val="20"/>
              </w:rPr>
              <w:t>Chlorhexidine</w:t>
            </w:r>
          </w:p>
        </w:tc>
        <w:tc>
          <w:tcPr>
            <w:tcW w:w="1417" w:type="dxa"/>
            <w:tcBorders>
              <w:left w:val="nil"/>
              <w:right w:val="nil"/>
            </w:tcBorders>
          </w:tcPr>
          <w:p>
            <w:pPr>
              <w:pStyle w:val="TableParagraph"/>
              <w:spacing w:line="240" w:lineRule="auto"/>
              <w:ind w:left="167" w:right="158"/>
              <w:rPr>
                <w:sz w:val="20"/>
              </w:rPr>
            </w:pPr>
            <w:r>
              <w:rPr>
                <w:sz w:val="20"/>
              </w:rPr>
              <w:t>Anterior</w:t>
            </w:r>
          </w:p>
        </w:tc>
        <w:tc>
          <w:tcPr>
            <w:tcW w:w="566" w:type="dxa"/>
            <w:tcBorders>
              <w:left w:val="nil"/>
              <w:right w:val="nil"/>
            </w:tcBorders>
          </w:tcPr>
          <w:p>
            <w:pPr>
              <w:pStyle w:val="TableParagraph"/>
              <w:spacing w:line="240" w:lineRule="auto"/>
              <w:ind w:left="172"/>
              <w:rPr>
                <w:sz w:val="20"/>
              </w:rPr>
            </w:pPr>
            <w:r>
              <w:rPr>
                <w:sz w:val="20"/>
              </w:rPr>
              <w:t>35</w:t>
            </w:r>
          </w:p>
        </w:tc>
        <w:tc>
          <w:tcPr>
            <w:tcW w:w="1161" w:type="dxa"/>
            <w:tcBorders>
              <w:left w:val="nil"/>
              <w:right w:val="nil"/>
            </w:tcBorders>
          </w:tcPr>
          <w:p>
            <w:pPr>
              <w:pStyle w:val="TableParagraph"/>
              <w:spacing w:line="240" w:lineRule="auto"/>
              <w:ind w:right="19"/>
              <w:jc w:val="center"/>
              <w:rPr>
                <w:sz w:val="20"/>
              </w:rPr>
            </w:pPr>
            <w:r>
              <w:rPr>
                <w:w w:val="100"/>
                <w:sz w:val="20"/>
              </w:rPr>
              <w:t>0</w:t>
            </w:r>
          </w:p>
        </w:tc>
        <w:tc>
          <w:tcPr>
            <w:tcW w:w="1263" w:type="dxa"/>
            <w:tcBorders>
              <w:left w:val="nil"/>
              <w:right w:val="nil"/>
            </w:tcBorders>
          </w:tcPr>
          <w:p>
            <w:pPr>
              <w:pStyle w:val="TableParagraph"/>
              <w:spacing w:line="240" w:lineRule="auto"/>
              <w:ind w:left="109" w:right="211"/>
              <w:jc w:val="center"/>
              <w:rPr>
                <w:sz w:val="20"/>
              </w:rPr>
            </w:pPr>
            <w:r>
              <w:rPr>
                <w:sz w:val="20"/>
              </w:rPr>
              <w:t>900</w:t>
            </w:r>
          </w:p>
        </w:tc>
        <w:tc>
          <w:tcPr>
            <w:tcW w:w="960" w:type="dxa"/>
            <w:tcBorders>
              <w:left w:val="nil"/>
              <w:right w:val="nil"/>
            </w:tcBorders>
          </w:tcPr>
          <w:p>
            <w:pPr>
              <w:pStyle w:val="TableParagraph"/>
              <w:spacing w:line="240" w:lineRule="auto"/>
              <w:ind w:left="284"/>
              <w:rPr>
                <w:sz w:val="20"/>
              </w:rPr>
            </w:pPr>
            <w:r>
              <w:rPr>
                <w:sz w:val="20"/>
              </w:rPr>
              <w:t>270</w:t>
            </w:r>
          </w:p>
        </w:tc>
        <w:tc>
          <w:tcPr>
            <w:tcW w:w="1297" w:type="dxa"/>
            <w:tcBorders>
              <w:left w:val="nil"/>
              <w:right w:val="nil"/>
            </w:tcBorders>
          </w:tcPr>
          <w:p>
            <w:pPr>
              <w:pStyle w:val="TableParagraph"/>
              <w:spacing w:line="240" w:lineRule="auto"/>
              <w:ind w:left="457" w:right="183"/>
              <w:rPr>
                <w:sz w:val="20"/>
              </w:rPr>
            </w:pPr>
            <w:r>
              <w:rPr>
                <w:sz w:val="20"/>
              </w:rPr>
              <w:t>311</w:t>
            </w:r>
          </w:p>
        </w:tc>
      </w:tr>
      <w:tr>
        <w:trPr>
          <w:trHeight w:val="288" w:hRule="exact"/>
        </w:trPr>
        <w:tc>
          <w:tcPr>
            <w:tcW w:w="1671" w:type="dxa"/>
            <w:tcBorders>
              <w:top w:val="nil"/>
              <w:left w:val="nil"/>
              <w:bottom w:val="nil"/>
              <w:right w:val="nil"/>
            </w:tcBorders>
          </w:tcPr>
          <w:p>
            <w:pPr>
              <w:pStyle w:val="TableParagraph"/>
              <w:spacing w:line="215" w:lineRule="exact"/>
              <w:ind w:left="110"/>
              <w:rPr>
                <w:b/>
                <w:sz w:val="20"/>
              </w:rPr>
            </w:pPr>
            <w:r>
              <w:rPr>
                <w:b/>
                <w:sz w:val="20"/>
              </w:rPr>
              <w:t>gluconate</w:t>
            </w:r>
          </w:p>
        </w:tc>
        <w:tc>
          <w:tcPr>
            <w:tcW w:w="1417" w:type="dxa"/>
            <w:tcBorders>
              <w:left w:val="nil"/>
              <w:right w:val="nil"/>
            </w:tcBorders>
          </w:tcPr>
          <w:p>
            <w:pPr>
              <w:pStyle w:val="TableParagraph"/>
              <w:spacing w:line="240" w:lineRule="auto" w:before="4"/>
              <w:ind w:left="167" w:right="158"/>
              <w:rPr>
                <w:sz w:val="20"/>
              </w:rPr>
            </w:pPr>
            <w:r>
              <w:rPr>
                <w:sz w:val="20"/>
              </w:rPr>
              <w:t>Middle</w:t>
            </w:r>
          </w:p>
        </w:tc>
        <w:tc>
          <w:tcPr>
            <w:tcW w:w="566" w:type="dxa"/>
            <w:tcBorders>
              <w:left w:val="nil"/>
              <w:right w:val="nil"/>
            </w:tcBorders>
          </w:tcPr>
          <w:p>
            <w:pPr>
              <w:pStyle w:val="TableParagraph"/>
              <w:spacing w:line="240" w:lineRule="auto" w:before="4"/>
              <w:ind w:left="172"/>
              <w:rPr>
                <w:sz w:val="20"/>
              </w:rPr>
            </w:pPr>
            <w:r>
              <w:rPr>
                <w:sz w:val="20"/>
              </w:rPr>
              <w:t>35</w:t>
            </w:r>
          </w:p>
        </w:tc>
        <w:tc>
          <w:tcPr>
            <w:tcW w:w="1161" w:type="dxa"/>
            <w:tcBorders>
              <w:left w:val="nil"/>
              <w:right w:val="nil"/>
            </w:tcBorders>
          </w:tcPr>
          <w:p>
            <w:pPr>
              <w:pStyle w:val="TableParagraph"/>
              <w:spacing w:line="240" w:lineRule="auto" w:before="4"/>
              <w:ind w:right="19"/>
              <w:jc w:val="center"/>
              <w:rPr>
                <w:sz w:val="20"/>
              </w:rPr>
            </w:pPr>
            <w:r>
              <w:rPr>
                <w:w w:val="100"/>
                <w:sz w:val="20"/>
              </w:rPr>
              <w:t>0</w:t>
            </w:r>
          </w:p>
        </w:tc>
        <w:tc>
          <w:tcPr>
            <w:tcW w:w="1263" w:type="dxa"/>
            <w:tcBorders>
              <w:left w:val="nil"/>
              <w:right w:val="nil"/>
            </w:tcBorders>
          </w:tcPr>
          <w:p>
            <w:pPr>
              <w:pStyle w:val="TableParagraph"/>
              <w:spacing w:line="240" w:lineRule="auto" w:before="4"/>
              <w:ind w:left="105" w:right="211"/>
              <w:jc w:val="center"/>
              <w:rPr>
                <w:sz w:val="20"/>
              </w:rPr>
            </w:pPr>
            <w:r>
              <w:rPr>
                <w:sz w:val="20"/>
              </w:rPr>
              <w:t>1050</w:t>
            </w:r>
          </w:p>
        </w:tc>
        <w:tc>
          <w:tcPr>
            <w:tcW w:w="960" w:type="dxa"/>
            <w:tcBorders>
              <w:left w:val="nil"/>
              <w:right w:val="nil"/>
            </w:tcBorders>
          </w:tcPr>
          <w:p>
            <w:pPr>
              <w:pStyle w:val="TableParagraph"/>
              <w:spacing w:line="240" w:lineRule="auto" w:before="4"/>
              <w:ind w:left="284"/>
              <w:rPr>
                <w:sz w:val="20"/>
              </w:rPr>
            </w:pPr>
            <w:r>
              <w:rPr>
                <w:sz w:val="20"/>
              </w:rPr>
              <w:t>317</w:t>
            </w:r>
          </w:p>
        </w:tc>
        <w:tc>
          <w:tcPr>
            <w:tcW w:w="1297" w:type="dxa"/>
            <w:tcBorders>
              <w:left w:val="nil"/>
              <w:right w:val="nil"/>
            </w:tcBorders>
          </w:tcPr>
          <w:p>
            <w:pPr>
              <w:pStyle w:val="TableParagraph"/>
              <w:spacing w:line="240" w:lineRule="auto" w:before="4"/>
              <w:ind w:left="457" w:right="183"/>
              <w:rPr>
                <w:sz w:val="20"/>
              </w:rPr>
            </w:pPr>
            <w:r>
              <w:rPr>
                <w:sz w:val="20"/>
              </w:rPr>
              <w:t>351</w:t>
            </w:r>
          </w:p>
        </w:tc>
      </w:tr>
      <w:tr>
        <w:trPr>
          <w:trHeight w:val="283" w:hRule="exact"/>
        </w:trPr>
        <w:tc>
          <w:tcPr>
            <w:tcW w:w="1671" w:type="dxa"/>
            <w:tcBorders>
              <w:top w:val="nil"/>
              <w:left w:val="nil"/>
              <w:right w:val="nil"/>
            </w:tcBorders>
          </w:tcPr>
          <w:p>
            <w:pPr/>
          </w:p>
        </w:tc>
        <w:tc>
          <w:tcPr>
            <w:tcW w:w="1417" w:type="dxa"/>
            <w:tcBorders>
              <w:left w:val="nil"/>
              <w:right w:val="nil"/>
            </w:tcBorders>
          </w:tcPr>
          <w:p>
            <w:pPr>
              <w:pStyle w:val="TableParagraph"/>
              <w:spacing w:line="230" w:lineRule="exact"/>
              <w:ind w:left="167" w:right="158"/>
              <w:rPr>
                <w:sz w:val="20"/>
              </w:rPr>
            </w:pPr>
            <w:r>
              <w:rPr>
                <w:sz w:val="20"/>
              </w:rPr>
              <w:t>Posterior</w:t>
            </w:r>
          </w:p>
        </w:tc>
        <w:tc>
          <w:tcPr>
            <w:tcW w:w="566" w:type="dxa"/>
            <w:tcBorders>
              <w:left w:val="nil"/>
              <w:right w:val="nil"/>
            </w:tcBorders>
          </w:tcPr>
          <w:p>
            <w:pPr>
              <w:pStyle w:val="TableParagraph"/>
              <w:spacing w:line="230" w:lineRule="exact"/>
              <w:ind w:left="172"/>
              <w:rPr>
                <w:sz w:val="20"/>
              </w:rPr>
            </w:pPr>
            <w:r>
              <w:rPr>
                <w:sz w:val="20"/>
              </w:rPr>
              <w:t>35</w:t>
            </w:r>
          </w:p>
        </w:tc>
        <w:tc>
          <w:tcPr>
            <w:tcW w:w="1161" w:type="dxa"/>
            <w:tcBorders>
              <w:left w:val="nil"/>
              <w:right w:val="nil"/>
            </w:tcBorders>
          </w:tcPr>
          <w:p>
            <w:pPr>
              <w:pStyle w:val="TableParagraph"/>
              <w:spacing w:line="230" w:lineRule="exact"/>
              <w:ind w:right="19"/>
              <w:jc w:val="center"/>
              <w:rPr>
                <w:sz w:val="20"/>
              </w:rPr>
            </w:pPr>
            <w:r>
              <w:rPr>
                <w:w w:val="100"/>
                <w:sz w:val="20"/>
              </w:rPr>
              <w:t>1</w:t>
            </w:r>
          </w:p>
        </w:tc>
        <w:tc>
          <w:tcPr>
            <w:tcW w:w="1263" w:type="dxa"/>
            <w:tcBorders>
              <w:left w:val="nil"/>
              <w:right w:val="nil"/>
            </w:tcBorders>
          </w:tcPr>
          <w:p>
            <w:pPr>
              <w:pStyle w:val="TableParagraph"/>
              <w:spacing w:line="230" w:lineRule="exact"/>
              <w:ind w:left="105" w:right="211"/>
              <w:jc w:val="center"/>
              <w:rPr>
                <w:sz w:val="20"/>
              </w:rPr>
            </w:pPr>
            <w:r>
              <w:rPr>
                <w:sz w:val="20"/>
              </w:rPr>
              <w:t>1200</w:t>
            </w:r>
          </w:p>
        </w:tc>
        <w:tc>
          <w:tcPr>
            <w:tcW w:w="960" w:type="dxa"/>
            <w:tcBorders>
              <w:left w:val="nil"/>
              <w:right w:val="nil"/>
            </w:tcBorders>
          </w:tcPr>
          <w:p>
            <w:pPr>
              <w:pStyle w:val="TableParagraph"/>
              <w:spacing w:line="230" w:lineRule="exact"/>
              <w:ind w:left="284"/>
              <w:rPr>
                <w:sz w:val="20"/>
              </w:rPr>
            </w:pPr>
            <w:r>
              <w:rPr>
                <w:sz w:val="20"/>
              </w:rPr>
              <w:t>456</w:t>
            </w:r>
          </w:p>
        </w:tc>
        <w:tc>
          <w:tcPr>
            <w:tcW w:w="1297" w:type="dxa"/>
            <w:tcBorders>
              <w:left w:val="nil"/>
              <w:right w:val="nil"/>
            </w:tcBorders>
          </w:tcPr>
          <w:p>
            <w:pPr>
              <w:pStyle w:val="TableParagraph"/>
              <w:spacing w:line="230" w:lineRule="exact"/>
              <w:ind w:left="457" w:right="183"/>
              <w:rPr>
                <w:sz w:val="20"/>
              </w:rPr>
            </w:pPr>
            <w:r>
              <w:rPr>
                <w:sz w:val="20"/>
              </w:rPr>
              <w:t>404</w:t>
            </w:r>
          </w:p>
        </w:tc>
      </w:tr>
      <w:tr>
        <w:trPr>
          <w:trHeight w:val="330" w:hRule="exact"/>
        </w:trPr>
        <w:tc>
          <w:tcPr>
            <w:tcW w:w="1671" w:type="dxa"/>
            <w:tcBorders>
              <w:left w:val="nil"/>
              <w:bottom w:val="nil"/>
              <w:right w:val="nil"/>
            </w:tcBorders>
          </w:tcPr>
          <w:p>
            <w:pPr>
              <w:pStyle w:val="TableParagraph"/>
              <w:ind w:left="172"/>
              <w:rPr>
                <w:sz w:val="20"/>
              </w:rPr>
            </w:pPr>
            <w:r>
              <w:rPr>
                <w:w w:val="100"/>
                <w:sz w:val="20"/>
              </w:rPr>
              <w:t>.</w:t>
            </w:r>
          </w:p>
        </w:tc>
        <w:tc>
          <w:tcPr>
            <w:tcW w:w="1417" w:type="dxa"/>
            <w:tcBorders>
              <w:left w:val="nil"/>
              <w:bottom w:val="nil"/>
              <w:right w:val="nil"/>
            </w:tcBorders>
          </w:tcPr>
          <w:p>
            <w:pPr/>
          </w:p>
        </w:tc>
        <w:tc>
          <w:tcPr>
            <w:tcW w:w="566" w:type="dxa"/>
            <w:tcBorders>
              <w:left w:val="nil"/>
              <w:bottom w:val="nil"/>
              <w:right w:val="nil"/>
            </w:tcBorders>
          </w:tcPr>
          <w:p>
            <w:pPr/>
          </w:p>
        </w:tc>
        <w:tc>
          <w:tcPr>
            <w:tcW w:w="1161" w:type="dxa"/>
            <w:tcBorders>
              <w:left w:val="nil"/>
              <w:bottom w:val="nil"/>
              <w:right w:val="nil"/>
            </w:tcBorders>
          </w:tcPr>
          <w:p>
            <w:pPr/>
          </w:p>
        </w:tc>
        <w:tc>
          <w:tcPr>
            <w:tcW w:w="1263" w:type="dxa"/>
            <w:tcBorders>
              <w:left w:val="nil"/>
              <w:bottom w:val="nil"/>
              <w:right w:val="nil"/>
            </w:tcBorders>
          </w:tcPr>
          <w:p>
            <w:pPr/>
          </w:p>
        </w:tc>
        <w:tc>
          <w:tcPr>
            <w:tcW w:w="960" w:type="dxa"/>
            <w:tcBorders>
              <w:left w:val="nil"/>
              <w:bottom w:val="nil"/>
              <w:right w:val="nil"/>
            </w:tcBorders>
          </w:tcPr>
          <w:p>
            <w:pPr/>
          </w:p>
        </w:tc>
        <w:tc>
          <w:tcPr>
            <w:tcW w:w="1297" w:type="dxa"/>
            <w:tcBorders>
              <w:left w:val="nil"/>
              <w:bottom w:val="nil"/>
              <w:right w:val="nil"/>
            </w:tcBorders>
          </w:tcPr>
          <w:p>
            <w:pP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17"/>
        </w:rPr>
      </w:pPr>
    </w:p>
    <w:p>
      <w:pPr>
        <w:spacing w:before="1"/>
        <w:ind w:left="532" w:right="387" w:firstLine="0"/>
        <w:jc w:val="left"/>
        <w:rPr>
          <w:b/>
          <w:sz w:val="20"/>
        </w:rPr>
      </w:pPr>
      <w:r>
        <w:rPr>
          <w:b/>
          <w:sz w:val="20"/>
        </w:rPr>
        <w:t>Table 2. Bonferroni test for the comparison of mean colony-forming units per milliliter</w:t>
      </w:r>
    </w:p>
    <w:p>
      <w:pPr>
        <w:pStyle w:val="BodyText"/>
        <w:spacing w:before="2"/>
        <w:rPr>
          <w:b/>
          <w:sz w:val="27"/>
        </w:rPr>
      </w:pPr>
    </w:p>
    <w:tbl>
      <w:tblPr>
        <w:tblW w:w="0" w:type="auto"/>
        <w:jc w:val="left"/>
        <w:tblInd w:w="1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84"/>
        <w:gridCol w:w="3801"/>
        <w:gridCol w:w="1331"/>
        <w:gridCol w:w="825"/>
        <w:gridCol w:w="1621"/>
      </w:tblGrid>
      <w:tr>
        <w:trPr>
          <w:trHeight w:val="548" w:hRule="exact"/>
        </w:trPr>
        <w:tc>
          <w:tcPr>
            <w:tcW w:w="1484" w:type="dxa"/>
            <w:tcBorders>
              <w:left w:val="nil"/>
              <w:right w:val="nil"/>
            </w:tcBorders>
          </w:tcPr>
          <w:p>
            <w:pPr>
              <w:pStyle w:val="TableParagraph"/>
              <w:spacing w:line="276" w:lineRule="auto"/>
              <w:ind w:left="331" w:right="178" w:hanging="135"/>
              <w:rPr>
                <w:b/>
                <w:sz w:val="20"/>
              </w:rPr>
            </w:pPr>
            <w:r>
              <w:rPr>
                <w:b/>
                <w:sz w:val="20"/>
              </w:rPr>
              <w:t>Segment of the hose</w:t>
            </w:r>
          </w:p>
        </w:tc>
        <w:tc>
          <w:tcPr>
            <w:tcW w:w="3801" w:type="dxa"/>
            <w:tcBorders>
              <w:left w:val="nil"/>
              <w:right w:val="nil"/>
            </w:tcBorders>
          </w:tcPr>
          <w:p>
            <w:pPr>
              <w:pStyle w:val="TableParagraph"/>
              <w:tabs>
                <w:tab w:pos="2847" w:val="left" w:leader="none"/>
              </w:tabs>
              <w:spacing w:line="276" w:lineRule="auto"/>
              <w:ind w:left="2627" w:right="211" w:hanging="2262"/>
              <w:rPr>
                <w:b/>
                <w:sz w:val="20"/>
              </w:rPr>
            </w:pPr>
            <w:r>
              <w:rPr>
                <w:b/>
                <w:sz w:val="20"/>
              </w:rPr>
              <w:t>Pair of</w:t>
            </w:r>
            <w:r>
              <w:rPr>
                <w:b/>
                <w:spacing w:val="-3"/>
                <w:sz w:val="20"/>
              </w:rPr>
              <w:t> </w:t>
            </w:r>
            <w:r>
              <w:rPr>
                <w:b/>
                <w:sz w:val="20"/>
              </w:rPr>
              <w:t>treatments</w:t>
              <w:tab/>
              <w:tab/>
              <w:t>Mean </w:t>
            </w:r>
            <w:r>
              <w:rPr>
                <w:b/>
                <w:spacing w:val="-1"/>
                <w:sz w:val="20"/>
              </w:rPr>
              <w:t>difference</w:t>
            </w:r>
          </w:p>
        </w:tc>
        <w:tc>
          <w:tcPr>
            <w:tcW w:w="1331" w:type="dxa"/>
            <w:tcBorders>
              <w:left w:val="nil"/>
              <w:right w:val="nil"/>
            </w:tcBorders>
          </w:tcPr>
          <w:p>
            <w:pPr>
              <w:pStyle w:val="TableParagraph"/>
              <w:spacing w:line="276" w:lineRule="auto"/>
              <w:ind w:left="213" w:right="219" w:firstLine="4"/>
              <w:rPr>
                <w:b/>
                <w:sz w:val="20"/>
              </w:rPr>
            </w:pPr>
            <w:r>
              <w:rPr>
                <w:b/>
                <w:sz w:val="20"/>
              </w:rPr>
              <w:t>Standard deviation</w:t>
            </w:r>
          </w:p>
        </w:tc>
        <w:tc>
          <w:tcPr>
            <w:tcW w:w="825" w:type="dxa"/>
            <w:tcBorders>
              <w:left w:val="nil"/>
              <w:right w:val="nil"/>
            </w:tcBorders>
          </w:tcPr>
          <w:p>
            <w:pPr>
              <w:pStyle w:val="TableParagraph"/>
              <w:ind w:left="3"/>
              <w:jc w:val="center"/>
              <w:rPr>
                <w:b/>
                <w:sz w:val="20"/>
              </w:rPr>
            </w:pPr>
            <w:r>
              <w:rPr>
                <w:b/>
                <w:w w:val="100"/>
                <w:sz w:val="20"/>
              </w:rPr>
              <w:t>t</w:t>
            </w:r>
          </w:p>
        </w:tc>
        <w:tc>
          <w:tcPr>
            <w:tcW w:w="1621" w:type="dxa"/>
            <w:tcBorders>
              <w:left w:val="nil"/>
              <w:right w:val="nil"/>
            </w:tcBorders>
          </w:tcPr>
          <w:p>
            <w:pPr>
              <w:pStyle w:val="TableParagraph"/>
              <w:spacing w:line="276" w:lineRule="auto"/>
              <w:ind w:left="232" w:right="212" w:firstLine="182"/>
              <w:rPr>
                <w:b/>
                <w:sz w:val="20"/>
              </w:rPr>
            </w:pPr>
            <w:r>
              <w:rPr>
                <w:b/>
                <w:sz w:val="20"/>
              </w:rPr>
              <w:t>Bilateral significance</w:t>
            </w:r>
          </w:p>
        </w:tc>
      </w:tr>
      <w:tr>
        <w:trPr>
          <w:trHeight w:val="494" w:hRule="exact"/>
        </w:trPr>
        <w:tc>
          <w:tcPr>
            <w:tcW w:w="1484" w:type="dxa"/>
            <w:tcBorders>
              <w:left w:val="nil"/>
              <w:bottom w:val="nil"/>
              <w:right w:val="nil"/>
            </w:tcBorders>
          </w:tcPr>
          <w:p>
            <w:pPr/>
          </w:p>
        </w:tc>
        <w:tc>
          <w:tcPr>
            <w:tcW w:w="3801" w:type="dxa"/>
            <w:tcBorders>
              <w:left w:val="nil"/>
              <w:right w:val="nil"/>
            </w:tcBorders>
          </w:tcPr>
          <w:p>
            <w:pPr>
              <w:pStyle w:val="TableParagraph"/>
              <w:tabs>
                <w:tab w:pos="3222" w:val="right" w:leader="none"/>
              </w:tabs>
              <w:spacing w:line="201" w:lineRule="exact"/>
              <w:ind w:left="110"/>
              <w:rPr>
                <w:sz w:val="18"/>
              </w:rPr>
            </w:pPr>
            <w:r>
              <w:rPr>
                <w:sz w:val="18"/>
              </w:rPr>
              <w:t>Filtered water</w:t>
              <w:tab/>
              <w:t>905</w:t>
            </w:r>
          </w:p>
          <w:p>
            <w:pPr>
              <w:pStyle w:val="TableParagraph"/>
              <w:spacing w:line="240" w:lineRule="auto" w:before="33"/>
              <w:ind w:left="110"/>
              <w:rPr>
                <w:sz w:val="18"/>
              </w:rPr>
            </w:pPr>
            <w:r>
              <w:rPr>
                <w:sz w:val="18"/>
              </w:rPr>
              <w:t>Colloidal silver</w:t>
            </w:r>
          </w:p>
        </w:tc>
        <w:tc>
          <w:tcPr>
            <w:tcW w:w="1331" w:type="dxa"/>
            <w:tcBorders>
              <w:left w:val="nil"/>
              <w:right w:val="nil"/>
            </w:tcBorders>
          </w:tcPr>
          <w:p>
            <w:pPr>
              <w:pStyle w:val="TableParagraph"/>
              <w:spacing w:line="201" w:lineRule="exact"/>
              <w:ind w:left="361" w:right="379"/>
              <w:jc w:val="center"/>
              <w:rPr>
                <w:sz w:val="18"/>
              </w:rPr>
            </w:pPr>
            <w:r>
              <w:rPr>
                <w:sz w:val="18"/>
              </w:rPr>
              <w:t>173.62</w:t>
            </w:r>
          </w:p>
        </w:tc>
        <w:tc>
          <w:tcPr>
            <w:tcW w:w="825" w:type="dxa"/>
            <w:tcBorders>
              <w:left w:val="nil"/>
              <w:right w:val="nil"/>
            </w:tcBorders>
          </w:tcPr>
          <w:p>
            <w:pPr>
              <w:pStyle w:val="TableParagraph"/>
              <w:spacing w:line="201" w:lineRule="exact"/>
              <w:ind w:left="218" w:right="215"/>
              <w:jc w:val="center"/>
              <w:rPr>
                <w:sz w:val="18"/>
              </w:rPr>
            </w:pPr>
            <w:r>
              <w:rPr>
                <w:sz w:val="18"/>
              </w:rPr>
              <w:t>30.8</w:t>
            </w:r>
          </w:p>
        </w:tc>
        <w:tc>
          <w:tcPr>
            <w:tcW w:w="1621" w:type="dxa"/>
            <w:tcBorders>
              <w:left w:val="nil"/>
              <w:right w:val="nil"/>
            </w:tcBorders>
          </w:tcPr>
          <w:p>
            <w:pPr>
              <w:pStyle w:val="TableParagraph"/>
              <w:spacing w:line="201" w:lineRule="exact"/>
              <w:ind w:right="446"/>
              <w:jc w:val="right"/>
              <w:rPr>
                <w:b/>
                <w:sz w:val="18"/>
              </w:rPr>
            </w:pPr>
            <w:r>
              <w:rPr>
                <w:b/>
                <w:sz w:val="18"/>
              </w:rPr>
              <w:t>P&lt;0.01**</w:t>
            </w:r>
          </w:p>
        </w:tc>
      </w:tr>
      <w:tr>
        <w:trPr>
          <w:trHeight w:val="499" w:hRule="exact"/>
        </w:trPr>
        <w:tc>
          <w:tcPr>
            <w:tcW w:w="1484" w:type="dxa"/>
            <w:tcBorders>
              <w:top w:val="nil"/>
              <w:left w:val="nil"/>
              <w:bottom w:val="nil"/>
              <w:right w:val="nil"/>
            </w:tcBorders>
          </w:tcPr>
          <w:p>
            <w:pPr>
              <w:pStyle w:val="TableParagraph"/>
              <w:spacing w:line="192" w:lineRule="exact"/>
              <w:ind w:left="269" w:right="325"/>
              <w:jc w:val="center"/>
              <w:rPr>
                <w:b/>
                <w:sz w:val="18"/>
              </w:rPr>
            </w:pPr>
            <w:r>
              <w:rPr>
                <w:b/>
                <w:sz w:val="18"/>
              </w:rPr>
              <w:t>Anterior</w:t>
            </w:r>
          </w:p>
        </w:tc>
        <w:tc>
          <w:tcPr>
            <w:tcW w:w="3801" w:type="dxa"/>
            <w:tcBorders>
              <w:left w:val="nil"/>
              <w:right w:val="nil"/>
            </w:tcBorders>
          </w:tcPr>
          <w:p>
            <w:pPr>
              <w:pStyle w:val="TableParagraph"/>
              <w:tabs>
                <w:tab w:pos="3255" w:val="right" w:leader="none"/>
              </w:tabs>
              <w:spacing w:line="206" w:lineRule="exact"/>
              <w:ind w:left="110"/>
              <w:rPr>
                <w:sz w:val="18"/>
              </w:rPr>
            </w:pPr>
            <w:r>
              <w:rPr>
                <w:sz w:val="18"/>
              </w:rPr>
              <w:t>Filtered water</w:t>
              <w:tab/>
              <w:t>665</w:t>
            </w:r>
          </w:p>
          <w:p>
            <w:pPr>
              <w:pStyle w:val="TableParagraph"/>
              <w:spacing w:line="240" w:lineRule="auto" w:before="28"/>
              <w:ind w:left="110"/>
              <w:rPr>
                <w:sz w:val="18"/>
              </w:rPr>
            </w:pPr>
            <w:r>
              <w:rPr>
                <w:sz w:val="18"/>
              </w:rPr>
              <w:t>Chlorhexidine gluconate</w:t>
            </w:r>
          </w:p>
        </w:tc>
        <w:tc>
          <w:tcPr>
            <w:tcW w:w="1331" w:type="dxa"/>
            <w:tcBorders>
              <w:left w:val="nil"/>
              <w:right w:val="nil"/>
            </w:tcBorders>
          </w:tcPr>
          <w:p>
            <w:pPr>
              <w:pStyle w:val="TableParagraph"/>
              <w:spacing w:line="206" w:lineRule="exact"/>
              <w:ind w:left="361" w:right="379"/>
              <w:jc w:val="center"/>
              <w:rPr>
                <w:sz w:val="18"/>
              </w:rPr>
            </w:pPr>
            <w:r>
              <w:rPr>
                <w:sz w:val="18"/>
              </w:rPr>
              <w:t>363.63</w:t>
            </w:r>
          </w:p>
        </w:tc>
        <w:tc>
          <w:tcPr>
            <w:tcW w:w="825" w:type="dxa"/>
            <w:tcBorders>
              <w:left w:val="nil"/>
              <w:right w:val="nil"/>
            </w:tcBorders>
          </w:tcPr>
          <w:p>
            <w:pPr>
              <w:pStyle w:val="TableParagraph"/>
              <w:spacing w:line="206" w:lineRule="exact"/>
              <w:ind w:left="218" w:right="215"/>
              <w:jc w:val="center"/>
              <w:rPr>
                <w:sz w:val="18"/>
              </w:rPr>
            </w:pPr>
            <w:r>
              <w:rPr>
                <w:sz w:val="18"/>
              </w:rPr>
              <w:t>10.8</w:t>
            </w:r>
          </w:p>
        </w:tc>
        <w:tc>
          <w:tcPr>
            <w:tcW w:w="1621" w:type="dxa"/>
            <w:tcBorders>
              <w:left w:val="nil"/>
              <w:right w:val="nil"/>
            </w:tcBorders>
          </w:tcPr>
          <w:p>
            <w:pPr>
              <w:pStyle w:val="TableParagraph"/>
              <w:spacing w:line="206" w:lineRule="exact"/>
              <w:ind w:right="446"/>
              <w:jc w:val="right"/>
              <w:rPr>
                <w:b/>
                <w:sz w:val="18"/>
              </w:rPr>
            </w:pPr>
            <w:r>
              <w:rPr>
                <w:b/>
                <w:sz w:val="18"/>
              </w:rPr>
              <w:t>P&lt;0.01**</w:t>
            </w:r>
          </w:p>
        </w:tc>
      </w:tr>
      <w:tr>
        <w:trPr>
          <w:trHeight w:val="495" w:hRule="exact"/>
        </w:trPr>
        <w:tc>
          <w:tcPr>
            <w:tcW w:w="1484" w:type="dxa"/>
            <w:tcBorders>
              <w:top w:val="nil"/>
              <w:left w:val="nil"/>
              <w:right w:val="nil"/>
            </w:tcBorders>
          </w:tcPr>
          <w:p>
            <w:pPr/>
          </w:p>
        </w:tc>
        <w:tc>
          <w:tcPr>
            <w:tcW w:w="3801" w:type="dxa"/>
            <w:tcBorders>
              <w:left w:val="nil"/>
              <w:right w:val="nil"/>
            </w:tcBorders>
          </w:tcPr>
          <w:p>
            <w:pPr>
              <w:pStyle w:val="TableParagraph"/>
              <w:tabs>
                <w:tab w:pos="2924" w:val="left" w:leader="none"/>
              </w:tabs>
              <w:spacing w:line="201" w:lineRule="exact"/>
              <w:ind w:left="110"/>
              <w:rPr>
                <w:sz w:val="18"/>
              </w:rPr>
            </w:pPr>
            <w:r>
              <w:rPr>
                <w:sz w:val="18"/>
              </w:rPr>
              <w:t>Colloidal</w:t>
            </w:r>
            <w:r>
              <w:rPr>
                <w:spacing w:val="-2"/>
                <w:sz w:val="18"/>
              </w:rPr>
              <w:t> </w:t>
            </w:r>
            <w:r>
              <w:rPr>
                <w:sz w:val="18"/>
              </w:rPr>
              <w:t>silver</w:t>
              <w:tab/>
              <w:t>-240</w:t>
            </w:r>
          </w:p>
          <w:p>
            <w:pPr>
              <w:pStyle w:val="TableParagraph"/>
              <w:spacing w:line="240" w:lineRule="auto" w:before="33"/>
              <w:ind w:left="110"/>
              <w:rPr>
                <w:sz w:val="18"/>
              </w:rPr>
            </w:pPr>
            <w:r>
              <w:rPr>
                <w:sz w:val="18"/>
              </w:rPr>
              <w:t>Chlorhexidine gluconate</w:t>
            </w:r>
          </w:p>
        </w:tc>
        <w:tc>
          <w:tcPr>
            <w:tcW w:w="1331" w:type="dxa"/>
            <w:tcBorders>
              <w:left w:val="nil"/>
              <w:right w:val="nil"/>
            </w:tcBorders>
          </w:tcPr>
          <w:p>
            <w:pPr>
              <w:pStyle w:val="TableParagraph"/>
              <w:spacing w:line="201" w:lineRule="exact"/>
              <w:ind w:left="361" w:right="379"/>
              <w:jc w:val="center"/>
              <w:rPr>
                <w:sz w:val="18"/>
              </w:rPr>
            </w:pPr>
            <w:r>
              <w:rPr>
                <w:sz w:val="18"/>
              </w:rPr>
              <w:t>323.95</w:t>
            </w:r>
          </w:p>
        </w:tc>
        <w:tc>
          <w:tcPr>
            <w:tcW w:w="825" w:type="dxa"/>
            <w:tcBorders>
              <w:left w:val="nil"/>
              <w:right w:val="nil"/>
            </w:tcBorders>
          </w:tcPr>
          <w:p>
            <w:pPr>
              <w:pStyle w:val="TableParagraph"/>
              <w:spacing w:line="201" w:lineRule="exact"/>
              <w:ind w:left="218" w:right="215"/>
              <w:jc w:val="center"/>
              <w:rPr>
                <w:sz w:val="18"/>
              </w:rPr>
            </w:pPr>
            <w:r>
              <w:rPr>
                <w:sz w:val="18"/>
              </w:rPr>
              <w:t>-4.3</w:t>
            </w:r>
          </w:p>
        </w:tc>
        <w:tc>
          <w:tcPr>
            <w:tcW w:w="1621" w:type="dxa"/>
            <w:tcBorders>
              <w:left w:val="nil"/>
              <w:right w:val="nil"/>
            </w:tcBorders>
          </w:tcPr>
          <w:p>
            <w:pPr>
              <w:pStyle w:val="TableParagraph"/>
              <w:spacing w:line="201" w:lineRule="exact"/>
              <w:ind w:right="446"/>
              <w:jc w:val="right"/>
              <w:rPr>
                <w:b/>
                <w:sz w:val="18"/>
              </w:rPr>
            </w:pPr>
            <w:r>
              <w:rPr>
                <w:b/>
                <w:sz w:val="18"/>
              </w:rPr>
              <w:t>P&lt;0.01**</w:t>
            </w:r>
          </w:p>
        </w:tc>
      </w:tr>
      <w:tr>
        <w:trPr>
          <w:trHeight w:val="494" w:hRule="exact"/>
        </w:trPr>
        <w:tc>
          <w:tcPr>
            <w:tcW w:w="1484" w:type="dxa"/>
            <w:tcBorders>
              <w:left w:val="nil"/>
              <w:bottom w:val="nil"/>
              <w:right w:val="nil"/>
            </w:tcBorders>
          </w:tcPr>
          <w:p>
            <w:pPr/>
          </w:p>
        </w:tc>
        <w:tc>
          <w:tcPr>
            <w:tcW w:w="3801" w:type="dxa"/>
            <w:tcBorders>
              <w:left w:val="nil"/>
              <w:right w:val="nil"/>
            </w:tcBorders>
          </w:tcPr>
          <w:p>
            <w:pPr>
              <w:pStyle w:val="TableParagraph"/>
              <w:tabs>
                <w:tab w:pos="3255" w:val="right" w:leader="none"/>
              </w:tabs>
              <w:spacing w:line="201" w:lineRule="exact"/>
              <w:ind w:left="110"/>
              <w:rPr>
                <w:sz w:val="18"/>
              </w:rPr>
            </w:pPr>
            <w:r>
              <w:rPr>
                <w:sz w:val="18"/>
              </w:rPr>
              <w:t>Filtered water</w:t>
              <w:tab/>
              <w:t>941</w:t>
            </w:r>
          </w:p>
          <w:p>
            <w:pPr>
              <w:pStyle w:val="TableParagraph"/>
              <w:spacing w:line="240" w:lineRule="auto" w:before="33"/>
              <w:ind w:left="110"/>
              <w:rPr>
                <w:sz w:val="18"/>
              </w:rPr>
            </w:pPr>
            <w:r>
              <w:rPr>
                <w:sz w:val="18"/>
              </w:rPr>
              <w:t>Colloidal silver</w:t>
            </w:r>
          </w:p>
        </w:tc>
        <w:tc>
          <w:tcPr>
            <w:tcW w:w="1331" w:type="dxa"/>
            <w:tcBorders>
              <w:left w:val="nil"/>
              <w:right w:val="nil"/>
            </w:tcBorders>
          </w:tcPr>
          <w:p>
            <w:pPr>
              <w:pStyle w:val="TableParagraph"/>
              <w:spacing w:line="201" w:lineRule="exact"/>
              <w:ind w:left="361" w:right="379"/>
              <w:jc w:val="center"/>
              <w:rPr>
                <w:sz w:val="18"/>
              </w:rPr>
            </w:pPr>
            <w:r>
              <w:rPr>
                <w:sz w:val="18"/>
              </w:rPr>
              <w:t>121.87</w:t>
            </w:r>
          </w:p>
        </w:tc>
        <w:tc>
          <w:tcPr>
            <w:tcW w:w="825" w:type="dxa"/>
            <w:tcBorders>
              <w:left w:val="nil"/>
              <w:right w:val="nil"/>
            </w:tcBorders>
          </w:tcPr>
          <w:p>
            <w:pPr>
              <w:pStyle w:val="TableParagraph"/>
              <w:spacing w:line="201" w:lineRule="exact"/>
              <w:ind w:left="218" w:right="215"/>
              <w:jc w:val="center"/>
              <w:rPr>
                <w:sz w:val="18"/>
              </w:rPr>
            </w:pPr>
            <w:r>
              <w:rPr>
                <w:sz w:val="18"/>
              </w:rPr>
              <w:t>45.6</w:t>
            </w:r>
          </w:p>
        </w:tc>
        <w:tc>
          <w:tcPr>
            <w:tcW w:w="1621" w:type="dxa"/>
            <w:tcBorders>
              <w:left w:val="nil"/>
              <w:right w:val="nil"/>
            </w:tcBorders>
          </w:tcPr>
          <w:p>
            <w:pPr>
              <w:pStyle w:val="TableParagraph"/>
              <w:spacing w:line="201" w:lineRule="exact"/>
              <w:ind w:right="446"/>
              <w:jc w:val="right"/>
              <w:rPr>
                <w:b/>
                <w:sz w:val="18"/>
              </w:rPr>
            </w:pPr>
            <w:r>
              <w:rPr>
                <w:b/>
                <w:sz w:val="18"/>
              </w:rPr>
              <w:t>P&lt;0.01**</w:t>
            </w:r>
          </w:p>
        </w:tc>
      </w:tr>
      <w:tr>
        <w:trPr>
          <w:trHeight w:val="499" w:hRule="exact"/>
        </w:trPr>
        <w:tc>
          <w:tcPr>
            <w:tcW w:w="1484" w:type="dxa"/>
            <w:tcBorders>
              <w:top w:val="nil"/>
              <w:left w:val="nil"/>
              <w:bottom w:val="nil"/>
              <w:right w:val="nil"/>
            </w:tcBorders>
          </w:tcPr>
          <w:p>
            <w:pPr>
              <w:pStyle w:val="TableParagraph"/>
              <w:spacing w:line="192" w:lineRule="exact"/>
              <w:ind w:left="328" w:right="323"/>
              <w:jc w:val="center"/>
              <w:rPr>
                <w:b/>
                <w:sz w:val="18"/>
              </w:rPr>
            </w:pPr>
            <w:r>
              <w:rPr>
                <w:b/>
                <w:sz w:val="18"/>
              </w:rPr>
              <w:t>Middle</w:t>
            </w:r>
          </w:p>
        </w:tc>
        <w:tc>
          <w:tcPr>
            <w:tcW w:w="3801" w:type="dxa"/>
            <w:tcBorders>
              <w:left w:val="nil"/>
              <w:right w:val="nil"/>
            </w:tcBorders>
          </w:tcPr>
          <w:p>
            <w:pPr>
              <w:pStyle w:val="TableParagraph"/>
              <w:tabs>
                <w:tab w:pos="3255" w:val="right" w:leader="none"/>
              </w:tabs>
              <w:spacing w:line="206" w:lineRule="exact"/>
              <w:ind w:left="110"/>
              <w:rPr>
                <w:sz w:val="18"/>
              </w:rPr>
            </w:pPr>
            <w:r>
              <w:rPr>
                <w:sz w:val="18"/>
              </w:rPr>
              <w:t>Filtered water</w:t>
              <w:tab/>
              <w:t>669</w:t>
            </w:r>
          </w:p>
          <w:p>
            <w:pPr>
              <w:pStyle w:val="TableParagraph"/>
              <w:spacing w:line="240" w:lineRule="auto" w:before="28"/>
              <w:ind w:left="110"/>
              <w:rPr>
                <w:sz w:val="18"/>
              </w:rPr>
            </w:pPr>
            <w:r>
              <w:rPr>
                <w:sz w:val="18"/>
              </w:rPr>
              <w:t>Chlorhexidine gluconate</w:t>
            </w:r>
          </w:p>
        </w:tc>
        <w:tc>
          <w:tcPr>
            <w:tcW w:w="1331" w:type="dxa"/>
            <w:tcBorders>
              <w:left w:val="nil"/>
              <w:right w:val="nil"/>
            </w:tcBorders>
          </w:tcPr>
          <w:p>
            <w:pPr>
              <w:pStyle w:val="TableParagraph"/>
              <w:spacing w:line="206" w:lineRule="exact"/>
              <w:ind w:left="361" w:right="379"/>
              <w:jc w:val="center"/>
              <w:rPr>
                <w:sz w:val="18"/>
              </w:rPr>
            </w:pPr>
            <w:r>
              <w:rPr>
                <w:sz w:val="18"/>
              </w:rPr>
              <w:t>355.80</w:t>
            </w:r>
          </w:p>
        </w:tc>
        <w:tc>
          <w:tcPr>
            <w:tcW w:w="825" w:type="dxa"/>
            <w:tcBorders>
              <w:left w:val="nil"/>
              <w:right w:val="nil"/>
            </w:tcBorders>
          </w:tcPr>
          <w:p>
            <w:pPr>
              <w:pStyle w:val="TableParagraph"/>
              <w:spacing w:line="206" w:lineRule="exact"/>
              <w:ind w:left="218" w:right="215"/>
              <w:jc w:val="center"/>
              <w:rPr>
                <w:sz w:val="18"/>
              </w:rPr>
            </w:pPr>
            <w:r>
              <w:rPr>
                <w:sz w:val="18"/>
              </w:rPr>
              <w:t>11.1</w:t>
            </w:r>
          </w:p>
        </w:tc>
        <w:tc>
          <w:tcPr>
            <w:tcW w:w="1621" w:type="dxa"/>
            <w:tcBorders>
              <w:left w:val="nil"/>
              <w:right w:val="nil"/>
            </w:tcBorders>
          </w:tcPr>
          <w:p>
            <w:pPr>
              <w:pStyle w:val="TableParagraph"/>
              <w:spacing w:line="206" w:lineRule="exact"/>
              <w:ind w:right="446"/>
              <w:jc w:val="right"/>
              <w:rPr>
                <w:b/>
                <w:sz w:val="18"/>
              </w:rPr>
            </w:pPr>
            <w:r>
              <w:rPr>
                <w:b/>
                <w:sz w:val="18"/>
              </w:rPr>
              <w:t>P&lt;0.01**</w:t>
            </w:r>
          </w:p>
        </w:tc>
      </w:tr>
      <w:tr>
        <w:trPr>
          <w:trHeight w:val="495" w:hRule="exact"/>
        </w:trPr>
        <w:tc>
          <w:tcPr>
            <w:tcW w:w="1484" w:type="dxa"/>
            <w:tcBorders>
              <w:top w:val="nil"/>
              <w:left w:val="nil"/>
              <w:right w:val="nil"/>
            </w:tcBorders>
          </w:tcPr>
          <w:p>
            <w:pPr/>
          </w:p>
        </w:tc>
        <w:tc>
          <w:tcPr>
            <w:tcW w:w="3801" w:type="dxa"/>
            <w:tcBorders>
              <w:left w:val="nil"/>
              <w:right w:val="nil"/>
            </w:tcBorders>
          </w:tcPr>
          <w:p>
            <w:pPr>
              <w:pStyle w:val="TableParagraph"/>
              <w:tabs>
                <w:tab w:pos="2924" w:val="left" w:leader="none"/>
              </w:tabs>
              <w:spacing w:line="201" w:lineRule="exact"/>
              <w:ind w:left="110"/>
              <w:rPr>
                <w:sz w:val="18"/>
              </w:rPr>
            </w:pPr>
            <w:r>
              <w:rPr>
                <w:sz w:val="18"/>
              </w:rPr>
              <w:t>Colloidal</w:t>
            </w:r>
            <w:r>
              <w:rPr>
                <w:spacing w:val="-2"/>
                <w:sz w:val="18"/>
              </w:rPr>
              <w:t> </w:t>
            </w:r>
            <w:r>
              <w:rPr>
                <w:sz w:val="18"/>
              </w:rPr>
              <w:t>silver</w:t>
              <w:tab/>
              <w:t>-272</w:t>
            </w:r>
          </w:p>
          <w:p>
            <w:pPr>
              <w:pStyle w:val="TableParagraph"/>
              <w:spacing w:line="240" w:lineRule="auto" w:before="33"/>
              <w:ind w:left="110"/>
              <w:rPr>
                <w:sz w:val="18"/>
              </w:rPr>
            </w:pPr>
            <w:r>
              <w:rPr>
                <w:sz w:val="18"/>
              </w:rPr>
              <w:t>Chlorhexidine gluconate</w:t>
            </w:r>
          </w:p>
        </w:tc>
        <w:tc>
          <w:tcPr>
            <w:tcW w:w="1331" w:type="dxa"/>
            <w:tcBorders>
              <w:left w:val="nil"/>
              <w:right w:val="nil"/>
            </w:tcBorders>
          </w:tcPr>
          <w:p>
            <w:pPr>
              <w:pStyle w:val="TableParagraph"/>
              <w:spacing w:line="201" w:lineRule="exact"/>
              <w:ind w:left="361" w:right="379"/>
              <w:jc w:val="center"/>
              <w:rPr>
                <w:sz w:val="18"/>
              </w:rPr>
            </w:pPr>
            <w:r>
              <w:rPr>
                <w:sz w:val="18"/>
              </w:rPr>
              <w:t>366.81</w:t>
            </w:r>
          </w:p>
        </w:tc>
        <w:tc>
          <w:tcPr>
            <w:tcW w:w="825" w:type="dxa"/>
            <w:tcBorders>
              <w:left w:val="nil"/>
              <w:right w:val="nil"/>
            </w:tcBorders>
          </w:tcPr>
          <w:p>
            <w:pPr>
              <w:pStyle w:val="TableParagraph"/>
              <w:spacing w:line="201" w:lineRule="exact"/>
              <w:ind w:left="218" w:right="215"/>
              <w:jc w:val="center"/>
              <w:rPr>
                <w:sz w:val="18"/>
              </w:rPr>
            </w:pPr>
            <w:r>
              <w:rPr>
                <w:sz w:val="18"/>
              </w:rPr>
              <w:t>-4.3</w:t>
            </w:r>
          </w:p>
        </w:tc>
        <w:tc>
          <w:tcPr>
            <w:tcW w:w="1621" w:type="dxa"/>
            <w:tcBorders>
              <w:left w:val="nil"/>
              <w:right w:val="nil"/>
            </w:tcBorders>
          </w:tcPr>
          <w:p>
            <w:pPr>
              <w:pStyle w:val="TableParagraph"/>
              <w:spacing w:line="201" w:lineRule="exact"/>
              <w:ind w:right="446"/>
              <w:jc w:val="right"/>
              <w:rPr>
                <w:b/>
                <w:sz w:val="18"/>
              </w:rPr>
            </w:pPr>
            <w:r>
              <w:rPr>
                <w:b/>
                <w:sz w:val="18"/>
              </w:rPr>
              <w:t>P&lt;0.01**</w:t>
            </w:r>
          </w:p>
        </w:tc>
      </w:tr>
      <w:tr>
        <w:trPr>
          <w:trHeight w:val="499" w:hRule="exact"/>
        </w:trPr>
        <w:tc>
          <w:tcPr>
            <w:tcW w:w="1484" w:type="dxa"/>
            <w:tcBorders>
              <w:left w:val="nil"/>
              <w:bottom w:val="nil"/>
              <w:right w:val="nil"/>
            </w:tcBorders>
          </w:tcPr>
          <w:p>
            <w:pPr/>
          </w:p>
        </w:tc>
        <w:tc>
          <w:tcPr>
            <w:tcW w:w="3801" w:type="dxa"/>
            <w:tcBorders>
              <w:left w:val="nil"/>
              <w:right w:val="nil"/>
            </w:tcBorders>
          </w:tcPr>
          <w:p>
            <w:pPr>
              <w:pStyle w:val="TableParagraph"/>
              <w:tabs>
                <w:tab w:pos="3255" w:val="right" w:leader="none"/>
              </w:tabs>
              <w:spacing w:line="201" w:lineRule="exact"/>
              <w:ind w:left="110"/>
              <w:rPr>
                <w:sz w:val="18"/>
              </w:rPr>
            </w:pPr>
            <w:r>
              <w:rPr>
                <w:sz w:val="18"/>
              </w:rPr>
              <w:t>Filtered water</w:t>
              <w:tab/>
              <w:t>866</w:t>
            </w:r>
          </w:p>
          <w:p>
            <w:pPr>
              <w:pStyle w:val="TableParagraph"/>
              <w:spacing w:line="240" w:lineRule="auto" w:before="33"/>
              <w:ind w:left="110"/>
              <w:rPr>
                <w:sz w:val="18"/>
              </w:rPr>
            </w:pPr>
            <w:r>
              <w:rPr>
                <w:sz w:val="18"/>
              </w:rPr>
              <w:t>Colloidal silver</w:t>
            </w:r>
          </w:p>
        </w:tc>
        <w:tc>
          <w:tcPr>
            <w:tcW w:w="1331" w:type="dxa"/>
            <w:tcBorders>
              <w:left w:val="nil"/>
              <w:right w:val="nil"/>
            </w:tcBorders>
          </w:tcPr>
          <w:p>
            <w:pPr>
              <w:pStyle w:val="TableParagraph"/>
              <w:spacing w:line="201" w:lineRule="exact"/>
              <w:ind w:left="361" w:right="379"/>
              <w:jc w:val="center"/>
              <w:rPr>
                <w:sz w:val="18"/>
              </w:rPr>
            </w:pPr>
            <w:r>
              <w:rPr>
                <w:sz w:val="18"/>
              </w:rPr>
              <w:t>207.11</w:t>
            </w:r>
          </w:p>
        </w:tc>
        <w:tc>
          <w:tcPr>
            <w:tcW w:w="825" w:type="dxa"/>
            <w:tcBorders>
              <w:left w:val="nil"/>
              <w:right w:val="nil"/>
            </w:tcBorders>
          </w:tcPr>
          <w:p>
            <w:pPr>
              <w:pStyle w:val="TableParagraph"/>
              <w:spacing w:line="201" w:lineRule="exact"/>
              <w:ind w:left="218" w:right="215"/>
              <w:jc w:val="center"/>
              <w:rPr>
                <w:sz w:val="18"/>
              </w:rPr>
            </w:pPr>
            <w:r>
              <w:rPr>
                <w:sz w:val="18"/>
              </w:rPr>
              <w:t>24.7</w:t>
            </w:r>
          </w:p>
        </w:tc>
        <w:tc>
          <w:tcPr>
            <w:tcW w:w="1621" w:type="dxa"/>
            <w:tcBorders>
              <w:left w:val="nil"/>
              <w:right w:val="nil"/>
            </w:tcBorders>
          </w:tcPr>
          <w:p>
            <w:pPr>
              <w:pStyle w:val="TableParagraph"/>
              <w:spacing w:line="201" w:lineRule="exact"/>
              <w:ind w:right="446"/>
              <w:jc w:val="right"/>
              <w:rPr>
                <w:b/>
                <w:sz w:val="18"/>
              </w:rPr>
            </w:pPr>
            <w:r>
              <w:rPr>
                <w:b/>
                <w:sz w:val="18"/>
              </w:rPr>
              <w:t>P&lt;0.01**</w:t>
            </w:r>
          </w:p>
        </w:tc>
      </w:tr>
      <w:tr>
        <w:trPr>
          <w:trHeight w:val="494" w:hRule="exact"/>
        </w:trPr>
        <w:tc>
          <w:tcPr>
            <w:tcW w:w="1484" w:type="dxa"/>
            <w:tcBorders>
              <w:top w:val="nil"/>
              <w:left w:val="nil"/>
              <w:bottom w:val="nil"/>
              <w:right w:val="nil"/>
            </w:tcBorders>
          </w:tcPr>
          <w:p>
            <w:pPr>
              <w:pStyle w:val="TableParagraph"/>
              <w:spacing w:line="192" w:lineRule="exact"/>
              <w:ind w:left="328" w:right="325"/>
              <w:jc w:val="center"/>
              <w:rPr>
                <w:b/>
                <w:sz w:val="18"/>
              </w:rPr>
            </w:pPr>
            <w:r>
              <w:rPr>
                <w:b/>
                <w:sz w:val="18"/>
              </w:rPr>
              <w:t>Posterior</w:t>
            </w:r>
          </w:p>
        </w:tc>
        <w:tc>
          <w:tcPr>
            <w:tcW w:w="3801" w:type="dxa"/>
            <w:tcBorders>
              <w:left w:val="nil"/>
              <w:right w:val="nil"/>
            </w:tcBorders>
          </w:tcPr>
          <w:p>
            <w:pPr>
              <w:pStyle w:val="TableParagraph"/>
              <w:tabs>
                <w:tab w:pos="3255" w:val="right" w:leader="none"/>
              </w:tabs>
              <w:spacing w:line="201" w:lineRule="exact"/>
              <w:ind w:left="110"/>
              <w:rPr>
                <w:sz w:val="18"/>
              </w:rPr>
            </w:pPr>
            <w:r>
              <w:rPr>
                <w:sz w:val="18"/>
              </w:rPr>
              <w:t>Filtered water</w:t>
              <w:tab/>
              <w:t>441</w:t>
            </w:r>
          </w:p>
          <w:p>
            <w:pPr>
              <w:pStyle w:val="TableParagraph"/>
              <w:spacing w:line="240" w:lineRule="auto" w:before="28"/>
              <w:ind w:left="110"/>
              <w:rPr>
                <w:sz w:val="18"/>
              </w:rPr>
            </w:pPr>
            <w:r>
              <w:rPr>
                <w:sz w:val="18"/>
              </w:rPr>
              <w:t>Chlorhexidine gluconate</w:t>
            </w:r>
          </w:p>
        </w:tc>
        <w:tc>
          <w:tcPr>
            <w:tcW w:w="1331" w:type="dxa"/>
            <w:tcBorders>
              <w:left w:val="nil"/>
              <w:right w:val="nil"/>
            </w:tcBorders>
          </w:tcPr>
          <w:p>
            <w:pPr>
              <w:pStyle w:val="TableParagraph"/>
              <w:spacing w:line="201" w:lineRule="exact"/>
              <w:ind w:left="361" w:right="379"/>
              <w:jc w:val="center"/>
              <w:rPr>
                <w:sz w:val="18"/>
              </w:rPr>
            </w:pPr>
            <w:r>
              <w:rPr>
                <w:sz w:val="18"/>
              </w:rPr>
              <w:t>460.19</w:t>
            </w:r>
          </w:p>
        </w:tc>
        <w:tc>
          <w:tcPr>
            <w:tcW w:w="825" w:type="dxa"/>
            <w:tcBorders>
              <w:left w:val="nil"/>
              <w:right w:val="nil"/>
            </w:tcBorders>
          </w:tcPr>
          <w:p>
            <w:pPr>
              <w:pStyle w:val="TableParagraph"/>
              <w:spacing w:line="201" w:lineRule="exact"/>
              <w:ind w:left="218" w:right="215"/>
              <w:jc w:val="center"/>
              <w:rPr>
                <w:sz w:val="18"/>
              </w:rPr>
            </w:pPr>
            <w:r>
              <w:rPr>
                <w:sz w:val="18"/>
              </w:rPr>
              <w:t>5.67</w:t>
            </w:r>
          </w:p>
        </w:tc>
        <w:tc>
          <w:tcPr>
            <w:tcW w:w="1621" w:type="dxa"/>
            <w:tcBorders>
              <w:left w:val="nil"/>
              <w:right w:val="nil"/>
            </w:tcBorders>
          </w:tcPr>
          <w:p>
            <w:pPr>
              <w:pStyle w:val="TableParagraph"/>
              <w:spacing w:line="201" w:lineRule="exact"/>
              <w:ind w:right="446"/>
              <w:jc w:val="right"/>
              <w:rPr>
                <w:b/>
                <w:sz w:val="18"/>
              </w:rPr>
            </w:pPr>
            <w:r>
              <w:rPr>
                <w:b/>
                <w:sz w:val="18"/>
              </w:rPr>
              <w:t>P&lt;0.01**</w:t>
            </w:r>
          </w:p>
        </w:tc>
      </w:tr>
      <w:tr>
        <w:trPr>
          <w:trHeight w:val="237" w:hRule="exact"/>
        </w:trPr>
        <w:tc>
          <w:tcPr>
            <w:tcW w:w="1484" w:type="dxa"/>
            <w:tcBorders>
              <w:top w:val="nil"/>
              <w:left w:val="nil"/>
              <w:bottom w:val="nil"/>
              <w:right w:val="nil"/>
            </w:tcBorders>
          </w:tcPr>
          <w:p>
            <w:pPr/>
          </w:p>
        </w:tc>
        <w:tc>
          <w:tcPr>
            <w:tcW w:w="3801" w:type="dxa"/>
            <w:tcBorders>
              <w:left w:val="nil"/>
              <w:bottom w:val="nil"/>
              <w:right w:val="nil"/>
            </w:tcBorders>
          </w:tcPr>
          <w:p>
            <w:pPr>
              <w:pStyle w:val="TableParagraph"/>
              <w:tabs>
                <w:tab w:pos="2924" w:val="left" w:leader="none"/>
              </w:tabs>
              <w:spacing w:line="201" w:lineRule="exact"/>
              <w:ind w:left="110"/>
              <w:rPr>
                <w:sz w:val="18"/>
              </w:rPr>
            </w:pPr>
            <w:r>
              <w:rPr>
                <w:sz w:val="18"/>
              </w:rPr>
              <w:t>Colloidal</w:t>
            </w:r>
            <w:r>
              <w:rPr>
                <w:spacing w:val="-2"/>
                <w:sz w:val="18"/>
              </w:rPr>
              <w:t> </w:t>
            </w:r>
            <w:r>
              <w:rPr>
                <w:sz w:val="18"/>
              </w:rPr>
              <w:t>silver</w:t>
              <w:tab/>
              <w:t>-425</w:t>
            </w:r>
          </w:p>
        </w:tc>
        <w:tc>
          <w:tcPr>
            <w:tcW w:w="1331" w:type="dxa"/>
            <w:tcBorders>
              <w:left w:val="nil"/>
              <w:bottom w:val="nil"/>
              <w:right w:val="nil"/>
            </w:tcBorders>
          </w:tcPr>
          <w:p>
            <w:pPr>
              <w:pStyle w:val="TableParagraph"/>
              <w:spacing w:line="201" w:lineRule="exact"/>
              <w:ind w:left="361" w:right="379"/>
              <w:jc w:val="center"/>
              <w:rPr>
                <w:sz w:val="18"/>
              </w:rPr>
            </w:pPr>
            <w:r>
              <w:rPr>
                <w:sz w:val="18"/>
              </w:rPr>
              <w:t>404.25</w:t>
            </w:r>
          </w:p>
        </w:tc>
        <w:tc>
          <w:tcPr>
            <w:tcW w:w="825" w:type="dxa"/>
            <w:tcBorders>
              <w:left w:val="nil"/>
              <w:bottom w:val="nil"/>
              <w:right w:val="nil"/>
            </w:tcBorders>
          </w:tcPr>
          <w:p>
            <w:pPr>
              <w:pStyle w:val="TableParagraph"/>
              <w:spacing w:line="201" w:lineRule="exact"/>
              <w:ind w:left="218" w:right="215"/>
              <w:jc w:val="center"/>
              <w:rPr>
                <w:sz w:val="18"/>
              </w:rPr>
            </w:pPr>
            <w:r>
              <w:rPr>
                <w:sz w:val="18"/>
              </w:rPr>
              <w:t>-6.2</w:t>
            </w:r>
          </w:p>
        </w:tc>
        <w:tc>
          <w:tcPr>
            <w:tcW w:w="1621" w:type="dxa"/>
            <w:tcBorders>
              <w:left w:val="nil"/>
              <w:bottom w:val="nil"/>
              <w:right w:val="nil"/>
            </w:tcBorders>
          </w:tcPr>
          <w:p>
            <w:pPr>
              <w:pStyle w:val="TableParagraph"/>
              <w:spacing w:line="201" w:lineRule="exact"/>
              <w:ind w:right="446"/>
              <w:jc w:val="right"/>
              <w:rPr>
                <w:b/>
                <w:sz w:val="18"/>
              </w:rPr>
            </w:pPr>
            <w:r>
              <w:rPr>
                <w:b/>
                <w:sz w:val="18"/>
              </w:rPr>
              <w:t>P&lt;0.01**</w:t>
            </w:r>
          </w:p>
        </w:tc>
      </w:tr>
    </w:tbl>
    <w:p>
      <w:pPr>
        <w:spacing w:before="6"/>
        <w:ind w:left="1703" w:right="387" w:firstLine="0"/>
        <w:jc w:val="left"/>
        <w:rPr>
          <w:sz w:val="18"/>
        </w:rPr>
      </w:pPr>
      <w:r>
        <w:rPr/>
        <w:pict>
          <v:group style="position:absolute;margin-left:79.213997pt;margin-top:12.361904pt;width:453.6pt;height:.5pt;mso-position-horizontal-relative:page;mso-position-vertical-relative:paragraph;z-index:2512;mso-wrap-distance-left:0;mso-wrap-distance-right:0" coordorigin="1584,247" coordsize="9072,10">
            <v:line style="position:absolute" from="1589,252" to="3073,252" stroked="true" strokeweight=".47998pt" strokecolor="#000000"/>
            <v:line style="position:absolute" from="3073,252" to="3083,252" stroked="true" strokeweight=".47998pt" strokecolor="#000000"/>
            <v:line style="position:absolute" from="3083,252" to="5498,252" stroked="true" strokeweight=".47998pt" strokecolor="#000000"/>
            <v:line style="position:absolute" from="5498,252" to="5508,252" stroked="true" strokeweight=".47998pt" strokecolor="#000000"/>
            <v:line style="position:absolute" from="5508,252" to="6853,252" stroked="true" strokeweight=".47998pt" strokecolor="#000000"/>
            <v:line style="position:absolute" from="6852,252" to="6862,252" stroked="true" strokeweight=".47998pt" strokecolor="#000000"/>
            <v:line style="position:absolute" from="6862,252" to="8206,252" stroked="true" strokeweight=".47998pt" strokecolor="#000000"/>
            <v:line style="position:absolute" from="8207,252" to="8216,252" stroked="true" strokeweight=".47998pt" strokecolor="#000000"/>
            <v:line style="position:absolute" from="8216,252" to="9027,252" stroked="true" strokeweight=".47998pt" strokecolor="#000000"/>
            <v:line style="position:absolute" from="9027,252" to="9037,252" stroked="true" strokeweight=".47998pt" strokecolor="#000000"/>
            <v:line style="position:absolute" from="9037,252" to="10651,252" stroked="true" strokeweight=".47998pt" strokecolor="#000000"/>
            <w10:wrap type="topAndBottom"/>
          </v:group>
        </w:pict>
      </w:r>
      <w:r>
        <w:rPr>
          <w:sz w:val="18"/>
        </w:rPr>
        <w:t>Chlorhexidine gluconate</w:t>
      </w:r>
    </w:p>
    <w:p>
      <w:pPr>
        <w:spacing w:before="0"/>
        <w:ind w:left="219" w:right="387" w:firstLine="0"/>
        <w:jc w:val="left"/>
        <w:rPr>
          <w:sz w:val="18"/>
        </w:rPr>
      </w:pPr>
      <w:r>
        <w:rPr>
          <w:sz w:val="18"/>
        </w:rPr>
        <w:t>**p≤0.01</w:t>
      </w:r>
    </w:p>
    <w:p>
      <w:pPr>
        <w:spacing w:after="0"/>
        <w:jc w:val="left"/>
        <w:rPr>
          <w:sz w:val="18"/>
        </w:rPr>
        <w:sectPr>
          <w:pgSz w:w="12240" w:h="15840"/>
          <w:pgMar w:header="731" w:footer="1012" w:top="1160" w:bottom="1200" w:left="1480" w:right="1480"/>
        </w:sectPr>
      </w:pPr>
    </w:p>
    <w:p>
      <w:pPr>
        <w:pStyle w:val="BodyText"/>
        <w:spacing w:before="6"/>
        <w:rPr>
          <w:sz w:val="16"/>
        </w:rPr>
      </w:pPr>
    </w:p>
    <w:p>
      <w:pPr>
        <w:pStyle w:val="Heading2"/>
        <w:spacing w:before="69"/>
        <w:ind w:right="667"/>
      </w:pPr>
      <w:r>
        <w:rPr/>
        <w:t>Titles of figures</w:t>
      </w:r>
    </w:p>
    <w:p>
      <w:pPr>
        <w:pStyle w:val="BodyText"/>
        <w:rPr>
          <w:b/>
        </w:rPr>
      </w:pPr>
    </w:p>
    <w:p>
      <w:pPr>
        <w:spacing w:line="283" w:lineRule="auto" w:before="202"/>
        <w:ind w:left="219" w:right="667" w:firstLine="0"/>
        <w:jc w:val="left"/>
        <w:rPr>
          <w:sz w:val="22"/>
        </w:rPr>
      </w:pPr>
      <w:r>
        <w:rPr>
          <w:b/>
          <w:sz w:val="22"/>
        </w:rPr>
        <w:t>Figure I</w:t>
      </w:r>
      <w:r>
        <w:rPr>
          <w:sz w:val="22"/>
        </w:rPr>
        <w:t>: Percentage of contaminated dental units and microorganisms identified in the high-speed waterlines using filtered water. 2013</w:t>
      </w:r>
    </w:p>
    <w:p>
      <w:pPr>
        <w:pStyle w:val="BodyText"/>
        <w:rPr>
          <w:sz w:val="22"/>
        </w:rPr>
      </w:pPr>
    </w:p>
    <w:p>
      <w:pPr>
        <w:pStyle w:val="BodyText"/>
        <w:rPr>
          <w:sz w:val="22"/>
        </w:rPr>
      </w:pPr>
    </w:p>
    <w:p>
      <w:pPr>
        <w:spacing w:line="283" w:lineRule="auto" w:before="171"/>
        <w:ind w:left="219" w:right="601" w:firstLine="0"/>
        <w:jc w:val="left"/>
        <w:rPr>
          <w:sz w:val="22"/>
        </w:rPr>
      </w:pPr>
      <w:r>
        <w:rPr>
          <w:b/>
          <w:sz w:val="22"/>
        </w:rPr>
        <w:t>Figure II</w:t>
      </w:r>
      <w:r>
        <w:rPr>
          <w:sz w:val="22"/>
        </w:rPr>
        <w:t>: Percentage of contaminated dental units and microorganisms identified in the high-speed waterlines using chlorhexidine gluconate. 2013</w:t>
      </w:r>
    </w:p>
    <w:p>
      <w:pPr>
        <w:pStyle w:val="BodyText"/>
        <w:rPr>
          <w:sz w:val="22"/>
        </w:rPr>
      </w:pPr>
    </w:p>
    <w:p>
      <w:pPr>
        <w:pStyle w:val="BodyText"/>
        <w:rPr>
          <w:sz w:val="22"/>
        </w:rPr>
      </w:pPr>
    </w:p>
    <w:p>
      <w:pPr>
        <w:spacing w:line="283" w:lineRule="auto" w:before="171"/>
        <w:ind w:left="219" w:right="543" w:firstLine="0"/>
        <w:jc w:val="left"/>
        <w:rPr>
          <w:sz w:val="22"/>
        </w:rPr>
      </w:pPr>
      <w:r>
        <w:rPr>
          <w:b/>
          <w:sz w:val="22"/>
        </w:rPr>
        <w:t>Figure III</w:t>
      </w:r>
      <w:r>
        <w:rPr>
          <w:sz w:val="22"/>
        </w:rPr>
        <w:t>: Percentage of contaminated dental units and microorganisms identified in the high-speed waterlines using colloidal silver. 2013</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8"/>
        <w:rPr>
          <w:sz w:val="17"/>
        </w:rPr>
      </w:pPr>
    </w:p>
    <w:p>
      <w:pPr>
        <w:pStyle w:val="Heading2"/>
        <w:ind w:right="667"/>
      </w:pPr>
      <w:r>
        <w:rPr/>
        <w:t>Figure I</w:t>
      </w:r>
    </w:p>
    <w:p>
      <w:pPr>
        <w:pStyle w:val="BodyText"/>
        <w:rPr>
          <w:b/>
          <w:sz w:val="20"/>
        </w:rPr>
      </w:pPr>
    </w:p>
    <w:p>
      <w:pPr>
        <w:pStyle w:val="BodyText"/>
        <w:spacing w:before="8"/>
        <w:rPr>
          <w:b/>
          <w:sz w:val="18"/>
        </w:rPr>
      </w:pPr>
      <w:r>
        <w:rPr/>
        <w:drawing>
          <wp:anchor distT="0" distB="0" distL="0" distR="0" allowOverlap="1" layoutInCell="1" locked="0" behindDoc="0" simplePos="0" relativeHeight="2536">
            <wp:simplePos x="0" y="0"/>
            <wp:positionH relativeFrom="page">
              <wp:posOffset>1080135</wp:posOffset>
            </wp:positionH>
            <wp:positionV relativeFrom="paragraph">
              <wp:posOffset>161899</wp:posOffset>
            </wp:positionV>
            <wp:extent cx="5734574" cy="2638425"/>
            <wp:effectExtent l="0" t="0" r="0" b="0"/>
            <wp:wrapTopAndBottom/>
            <wp:docPr id="13" name="image35.png" descr=""/>
            <wp:cNvGraphicFramePr>
              <a:graphicFrameLocks noChangeAspect="1"/>
            </wp:cNvGraphicFramePr>
            <a:graphic>
              <a:graphicData uri="http://schemas.openxmlformats.org/drawingml/2006/picture">
                <pic:pic>
                  <pic:nvPicPr>
                    <pic:cNvPr id="14" name="image35.png"/>
                    <pic:cNvPicPr/>
                  </pic:nvPicPr>
                  <pic:blipFill>
                    <a:blip r:embed="rId55" cstate="print"/>
                    <a:stretch>
                      <a:fillRect/>
                    </a:stretch>
                  </pic:blipFill>
                  <pic:spPr>
                    <a:xfrm>
                      <a:off x="0" y="0"/>
                      <a:ext cx="5734574" cy="2638425"/>
                    </a:xfrm>
                    <a:prstGeom prst="rect">
                      <a:avLst/>
                    </a:prstGeom>
                  </pic:spPr>
                </pic:pic>
              </a:graphicData>
            </a:graphic>
          </wp:anchor>
        </w:drawing>
      </w:r>
    </w:p>
    <w:p>
      <w:pPr>
        <w:spacing w:after="0"/>
        <w:rPr>
          <w:sz w:val="18"/>
        </w:rPr>
        <w:sectPr>
          <w:pgSz w:w="12240" w:h="15840"/>
          <w:pgMar w:header="731" w:footer="1012" w:top="1160" w:bottom="1200" w:left="1480" w:right="1400"/>
        </w:sectPr>
      </w:pPr>
    </w:p>
    <w:p>
      <w:pPr>
        <w:pStyle w:val="BodyText"/>
        <w:spacing w:before="2"/>
        <w:rPr>
          <w:b/>
          <w:sz w:val="16"/>
        </w:rPr>
      </w:pPr>
    </w:p>
    <w:p>
      <w:pPr>
        <w:spacing w:before="73"/>
        <w:ind w:left="219" w:right="489" w:firstLine="0"/>
        <w:jc w:val="left"/>
        <w:rPr>
          <w:b/>
          <w:sz w:val="22"/>
        </w:rPr>
      </w:pPr>
      <w:r>
        <w:rPr>
          <w:b/>
          <w:sz w:val="22"/>
        </w:rPr>
        <w:t>Figure II</w:t>
      </w:r>
    </w:p>
    <w:p>
      <w:pPr>
        <w:pStyle w:val="BodyText"/>
        <w:rPr>
          <w:b/>
          <w:sz w:val="20"/>
        </w:rPr>
      </w:pPr>
    </w:p>
    <w:p>
      <w:pPr>
        <w:pStyle w:val="BodyText"/>
        <w:rPr>
          <w:b/>
          <w:sz w:val="20"/>
        </w:rPr>
      </w:pPr>
    </w:p>
    <w:p>
      <w:pPr>
        <w:pStyle w:val="BodyText"/>
        <w:spacing w:before="11"/>
        <w:rPr>
          <w:b/>
          <w:sz w:val="20"/>
        </w:rPr>
      </w:pPr>
      <w:r>
        <w:rPr/>
        <w:drawing>
          <wp:anchor distT="0" distB="0" distL="0" distR="0" allowOverlap="1" layoutInCell="1" locked="0" behindDoc="0" simplePos="0" relativeHeight="2560">
            <wp:simplePos x="0" y="0"/>
            <wp:positionH relativeFrom="page">
              <wp:posOffset>1080135</wp:posOffset>
            </wp:positionH>
            <wp:positionV relativeFrom="paragraph">
              <wp:posOffset>177938</wp:posOffset>
            </wp:positionV>
            <wp:extent cx="5693222" cy="2638425"/>
            <wp:effectExtent l="0" t="0" r="0" b="0"/>
            <wp:wrapTopAndBottom/>
            <wp:docPr id="15" name="image36.png" descr=""/>
            <wp:cNvGraphicFramePr>
              <a:graphicFrameLocks noChangeAspect="1"/>
            </wp:cNvGraphicFramePr>
            <a:graphic>
              <a:graphicData uri="http://schemas.openxmlformats.org/drawingml/2006/picture">
                <pic:pic>
                  <pic:nvPicPr>
                    <pic:cNvPr id="16" name="image36.png"/>
                    <pic:cNvPicPr/>
                  </pic:nvPicPr>
                  <pic:blipFill>
                    <a:blip r:embed="rId56" cstate="print"/>
                    <a:stretch>
                      <a:fillRect/>
                    </a:stretch>
                  </pic:blipFill>
                  <pic:spPr>
                    <a:xfrm>
                      <a:off x="0" y="0"/>
                      <a:ext cx="5693222" cy="2638425"/>
                    </a:xfrm>
                    <a:prstGeom prst="rect">
                      <a:avLst/>
                    </a:prstGeom>
                  </pic:spPr>
                </pic:pic>
              </a:graphicData>
            </a:graphic>
          </wp:anchor>
        </w:drawing>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pStyle w:val="BodyText"/>
        <w:rPr>
          <w:b/>
          <w:sz w:val="22"/>
        </w:rPr>
      </w:pPr>
    </w:p>
    <w:p>
      <w:pPr>
        <w:spacing w:before="171"/>
        <w:ind w:left="219" w:right="489" w:firstLine="0"/>
        <w:jc w:val="left"/>
        <w:rPr>
          <w:b/>
          <w:sz w:val="22"/>
        </w:rPr>
      </w:pPr>
      <w:r>
        <w:rPr>
          <w:b/>
          <w:sz w:val="22"/>
        </w:rPr>
        <w:t>Figure III</w:t>
      </w:r>
    </w:p>
    <w:p>
      <w:pPr>
        <w:pStyle w:val="BodyText"/>
        <w:rPr>
          <w:b/>
          <w:sz w:val="20"/>
        </w:rPr>
      </w:pPr>
    </w:p>
    <w:p>
      <w:pPr>
        <w:pStyle w:val="BodyText"/>
        <w:spacing w:before="7"/>
        <w:rPr>
          <w:b/>
          <w:sz w:val="16"/>
        </w:rPr>
      </w:pPr>
      <w:r>
        <w:rPr/>
        <w:drawing>
          <wp:anchor distT="0" distB="0" distL="0" distR="0" allowOverlap="1" layoutInCell="1" locked="0" behindDoc="0" simplePos="0" relativeHeight="2584">
            <wp:simplePos x="0" y="0"/>
            <wp:positionH relativeFrom="page">
              <wp:posOffset>1080135</wp:posOffset>
            </wp:positionH>
            <wp:positionV relativeFrom="paragraph">
              <wp:posOffset>146049</wp:posOffset>
            </wp:positionV>
            <wp:extent cx="5692674" cy="2638425"/>
            <wp:effectExtent l="0" t="0" r="0" b="0"/>
            <wp:wrapTopAndBottom/>
            <wp:docPr id="17" name="image37.png" descr=""/>
            <wp:cNvGraphicFramePr>
              <a:graphicFrameLocks noChangeAspect="1"/>
            </wp:cNvGraphicFramePr>
            <a:graphic>
              <a:graphicData uri="http://schemas.openxmlformats.org/drawingml/2006/picture">
                <pic:pic>
                  <pic:nvPicPr>
                    <pic:cNvPr id="18" name="image37.png"/>
                    <pic:cNvPicPr/>
                  </pic:nvPicPr>
                  <pic:blipFill>
                    <a:blip r:embed="rId57" cstate="print"/>
                    <a:stretch>
                      <a:fillRect/>
                    </a:stretch>
                  </pic:blipFill>
                  <pic:spPr>
                    <a:xfrm>
                      <a:off x="0" y="0"/>
                      <a:ext cx="5692674" cy="2638425"/>
                    </a:xfrm>
                    <a:prstGeom prst="rect">
                      <a:avLst/>
                    </a:prstGeom>
                  </pic:spPr>
                </pic:pic>
              </a:graphicData>
            </a:graphic>
          </wp:anchor>
        </w:drawing>
      </w:r>
    </w:p>
    <w:p>
      <w:pPr>
        <w:spacing w:after="0"/>
        <w:rPr>
          <w:sz w:val="16"/>
        </w:rPr>
        <w:sectPr>
          <w:pgSz w:w="12240" w:h="15840"/>
          <w:pgMar w:header="731" w:footer="1012" w:top="1160" w:bottom="1200" w:left="1480" w:right="1460"/>
        </w:sectPr>
      </w:pPr>
    </w:p>
    <w:p>
      <w:pPr>
        <w:pStyle w:val="BodyText"/>
        <w:spacing w:before="1"/>
        <w:rPr>
          <w:b/>
          <w:sz w:val="16"/>
        </w:rPr>
      </w:pPr>
    </w:p>
    <w:p>
      <w:pPr>
        <w:pStyle w:val="Heading2"/>
        <w:numPr>
          <w:ilvl w:val="0"/>
          <w:numId w:val="8"/>
        </w:numPr>
        <w:tabs>
          <w:tab w:pos="941" w:val="left" w:leader="none"/>
        </w:tabs>
        <w:spacing w:line="240" w:lineRule="auto" w:before="70" w:after="0"/>
        <w:ind w:left="940" w:right="0" w:hanging="360"/>
        <w:jc w:val="left"/>
      </w:pPr>
      <w:r>
        <w:rPr/>
        <w:t>Artículo</w:t>
      </w:r>
      <w:r>
        <w:rPr>
          <w:spacing w:val="-3"/>
        </w:rPr>
        <w:t> </w:t>
      </w:r>
      <w:r>
        <w:rPr/>
        <w:t>2</w:t>
      </w:r>
    </w:p>
    <w:p>
      <w:pPr>
        <w:pStyle w:val="BodyText"/>
        <w:rPr>
          <w:b/>
          <w:sz w:val="20"/>
        </w:rPr>
      </w:pPr>
    </w:p>
    <w:p>
      <w:pPr>
        <w:pStyle w:val="BodyText"/>
        <w:rPr>
          <w:b/>
          <w:sz w:val="20"/>
        </w:rPr>
      </w:pPr>
    </w:p>
    <w:p>
      <w:pPr>
        <w:pStyle w:val="BodyText"/>
        <w:rPr>
          <w:b/>
          <w:sz w:val="20"/>
        </w:rPr>
      </w:pPr>
    </w:p>
    <w:p>
      <w:pPr>
        <w:pStyle w:val="BodyText"/>
        <w:rPr>
          <w:b/>
          <w:sz w:val="22"/>
        </w:rPr>
      </w:pPr>
      <w:r>
        <w:rPr/>
        <w:pict>
          <v:group style="position:absolute;margin-left:85.800003pt;margin-top:14.614944pt;width:465.25pt;height:369.7pt;mso-position-horizontal-relative:page;mso-position-vertical-relative:paragraph;z-index:2608;mso-wrap-distance-left:0;mso-wrap-distance-right:0" coordorigin="1716,292" coordsize="9305,7394">
            <v:shape style="position:absolute;left:1761;top:337;width:9215;height:7304" type="#_x0000_t75" stroked="false">
              <v:imagedata r:id="rId58" o:title=""/>
            </v:shape>
            <v:rect style="position:absolute;left:1739;top:315;width:9260;height:7349" filled="false" stroked="true" strokeweight="2.25pt" strokecolor="#585858"/>
            <w10:wrap type="topAndBottom"/>
          </v:group>
        </w:pict>
      </w:r>
    </w:p>
    <w:p>
      <w:pPr>
        <w:spacing w:after="0"/>
        <w:rPr>
          <w:sz w:val="22"/>
        </w:rPr>
        <w:sectPr>
          <w:pgSz w:w="12240" w:h="15840"/>
          <w:pgMar w:header="731" w:footer="1012" w:top="1160" w:bottom="1200" w:left="1480" w:right="1100"/>
        </w:sectPr>
      </w:pPr>
    </w:p>
    <w:p>
      <w:pPr>
        <w:pStyle w:val="BodyText"/>
        <w:spacing w:before="6"/>
        <w:rPr>
          <w:b/>
          <w:sz w:val="16"/>
        </w:rPr>
      </w:pPr>
    </w:p>
    <w:p>
      <w:pPr>
        <w:spacing w:line="271" w:lineRule="auto" w:before="69"/>
        <w:ind w:left="585" w:right="589" w:firstLine="0"/>
        <w:jc w:val="center"/>
        <w:rPr>
          <w:b/>
          <w:sz w:val="24"/>
        </w:rPr>
      </w:pPr>
      <w:r>
        <w:rPr>
          <w:b/>
          <w:sz w:val="24"/>
        </w:rPr>
        <w:t>Detección de </w:t>
      </w:r>
      <w:r>
        <w:rPr>
          <w:b/>
          <w:i/>
          <w:sz w:val="24"/>
        </w:rPr>
        <w:t>Legionella pneumophila </w:t>
      </w:r>
      <w:r>
        <w:rPr>
          <w:b/>
          <w:sz w:val="24"/>
        </w:rPr>
        <w:t>en los sistemas de agua de la Facultad de odontología de la UAEM</w:t>
      </w:r>
    </w:p>
    <w:p>
      <w:pPr>
        <w:pStyle w:val="BodyText"/>
        <w:rPr>
          <w:b/>
        </w:rPr>
      </w:pPr>
    </w:p>
    <w:p>
      <w:pPr>
        <w:pStyle w:val="BodyText"/>
        <w:rPr>
          <w:b/>
        </w:rPr>
      </w:pPr>
    </w:p>
    <w:p>
      <w:pPr>
        <w:spacing w:before="174"/>
        <w:ind w:left="585" w:right="589" w:firstLine="0"/>
        <w:jc w:val="center"/>
        <w:rPr>
          <w:b/>
          <w:sz w:val="24"/>
        </w:rPr>
      </w:pPr>
      <w:r>
        <w:rPr>
          <w:b/>
          <w:sz w:val="24"/>
        </w:rPr>
        <w:t>Título corto: </w:t>
      </w:r>
      <w:r>
        <w:rPr>
          <w:b/>
          <w:i/>
          <w:sz w:val="24"/>
        </w:rPr>
        <w:t>Legionella pneumophila </w:t>
      </w:r>
      <w:r>
        <w:rPr>
          <w:b/>
          <w:sz w:val="24"/>
        </w:rPr>
        <w:t>en odontología</w:t>
      </w:r>
    </w:p>
    <w:p>
      <w:pPr>
        <w:spacing w:line="244" w:lineRule="auto" w:before="212"/>
        <w:ind w:left="585" w:right="589" w:firstLine="0"/>
        <w:jc w:val="center"/>
        <w:rPr>
          <w:sz w:val="16"/>
        </w:rPr>
      </w:pPr>
      <w:r>
        <w:rPr>
          <w:b/>
          <w:sz w:val="24"/>
          <w:u w:val="thick"/>
        </w:rPr>
        <w:t>Gauddy Lizeth Manzanares Leal</w:t>
      </w:r>
      <w:r>
        <w:rPr>
          <w:position w:val="11"/>
          <w:sz w:val="16"/>
        </w:rPr>
        <w:t>a</w:t>
      </w:r>
      <w:r>
        <w:rPr>
          <w:sz w:val="24"/>
        </w:rPr>
        <w:t>, Norma Margarita Montiel Bastida</w:t>
      </w:r>
      <w:r>
        <w:rPr>
          <w:position w:val="11"/>
          <w:sz w:val="16"/>
        </w:rPr>
        <w:t>b</w:t>
      </w:r>
      <w:r>
        <w:rPr>
          <w:sz w:val="24"/>
        </w:rPr>
        <w:t>, Sara Gabriela María Eugenia del Real Sánchez,</w:t>
      </w:r>
      <w:r>
        <w:rPr>
          <w:position w:val="11"/>
          <w:sz w:val="16"/>
        </w:rPr>
        <w:t>c </w:t>
      </w:r>
      <w:r>
        <w:rPr>
          <w:sz w:val="24"/>
        </w:rPr>
        <w:t>Rosa Isela Flores Chávez</w:t>
      </w:r>
      <w:r>
        <w:rPr>
          <w:position w:val="11"/>
          <w:sz w:val="16"/>
        </w:rPr>
        <w:t>d</w:t>
      </w:r>
    </w:p>
    <w:p>
      <w:pPr>
        <w:pStyle w:val="BodyText"/>
        <w:rPr>
          <w:sz w:val="28"/>
        </w:rPr>
      </w:pPr>
    </w:p>
    <w:p>
      <w:pPr>
        <w:pStyle w:val="BodyText"/>
        <w:spacing w:before="6"/>
        <w:rPr>
          <w:sz w:val="38"/>
        </w:rPr>
      </w:pPr>
    </w:p>
    <w:p>
      <w:pPr>
        <w:pStyle w:val="BodyText"/>
        <w:spacing w:line="274" w:lineRule="exact"/>
        <w:ind w:left="219" w:right="229"/>
        <w:jc w:val="both"/>
      </w:pPr>
      <w:r>
        <w:rPr/>
        <w:t>a: Cirujano dentista, alumna de la maestría en ciencias odontológicas, Centro de investigación y estudios avanzados en odontología, UAEM</w:t>
      </w:r>
    </w:p>
    <w:p>
      <w:pPr>
        <w:pStyle w:val="BodyText"/>
        <w:spacing w:line="274" w:lineRule="exact" w:before="5"/>
        <w:ind w:left="219" w:right="216"/>
        <w:jc w:val="both"/>
      </w:pPr>
      <w:r>
        <w:rPr/>
        <w:t>b: Doctora en ortodoncia, investigadora del Centro de Investigación y Estudios Avanzados en Odontología, UAEM,</w:t>
      </w:r>
    </w:p>
    <w:p>
      <w:pPr>
        <w:pStyle w:val="BodyText"/>
        <w:spacing w:line="274" w:lineRule="exact" w:before="4"/>
        <w:ind w:left="219" w:right="222"/>
        <w:jc w:val="both"/>
      </w:pPr>
      <w:r>
        <w:rPr/>
        <w:t>c: Maestra en ciencias de la salud, coordinadora de posgrado del Centro de Investigación y Estudios Avanzados en Odontología, UAEM.</w:t>
      </w:r>
    </w:p>
    <w:p>
      <w:pPr>
        <w:pStyle w:val="BodyText"/>
        <w:spacing w:line="242" w:lineRule="auto"/>
        <w:ind w:left="219" w:right="223"/>
        <w:jc w:val="both"/>
      </w:pPr>
      <w:r>
        <w:rPr/>
        <w:t>d: Maestra en Docencia y Administración en la Educación Superior. Responsable del programa de RPBI de la Facultad de Odontología de la UAEM.</w:t>
      </w:r>
    </w:p>
    <w:p>
      <w:pPr>
        <w:pStyle w:val="BodyText"/>
      </w:pPr>
    </w:p>
    <w:p>
      <w:pPr>
        <w:pStyle w:val="BodyText"/>
        <w:spacing w:before="199"/>
        <w:ind w:left="219" w:right="214"/>
        <w:jc w:val="both"/>
      </w:pPr>
      <w:r>
        <w:rPr/>
        <w:t>Correspondencia: Dra. en O. Norma Margarita Montiel Bastida, Facultad de Odontología, Universidad Autónoma del Estado de México, Jesús Carranza esquina Paseo Tollocan. C.P.50130. Toluca, México. </w:t>
      </w:r>
      <w:hyperlink r:id="rId59">
        <w:r>
          <w:rPr/>
          <w:t>Montiel74@hotmail.com,</w:t>
        </w:r>
      </w:hyperlink>
      <w:r>
        <w:rPr/>
        <w:t> Teléfono:(722)2-17-96-07 Fax: 2-17-90-70</w:t>
      </w:r>
    </w:p>
    <w:p>
      <w:pPr>
        <w:spacing w:after="0"/>
        <w:jc w:val="both"/>
        <w:sectPr>
          <w:pgSz w:w="12240" w:h="15840"/>
          <w:pgMar w:header="731" w:footer="1012" w:top="1160" w:bottom="1200" w:left="1480" w:right="1480"/>
        </w:sectPr>
      </w:pPr>
    </w:p>
    <w:p>
      <w:pPr>
        <w:pStyle w:val="BodyText"/>
        <w:spacing w:before="1"/>
        <w:rPr>
          <w:sz w:val="16"/>
        </w:rPr>
      </w:pPr>
    </w:p>
    <w:p>
      <w:pPr>
        <w:pStyle w:val="Heading2"/>
        <w:spacing w:before="70"/>
        <w:jc w:val="both"/>
      </w:pPr>
      <w:r>
        <w:rPr/>
        <w:t>Resumen</w:t>
      </w:r>
    </w:p>
    <w:p>
      <w:pPr>
        <w:pStyle w:val="BodyText"/>
        <w:spacing w:before="5"/>
        <w:rPr>
          <w:b/>
          <w:sz w:val="21"/>
        </w:rPr>
      </w:pPr>
    </w:p>
    <w:p>
      <w:pPr>
        <w:pStyle w:val="BodyText"/>
        <w:spacing w:line="276" w:lineRule="auto"/>
        <w:ind w:left="219" w:right="220"/>
        <w:jc w:val="both"/>
      </w:pPr>
      <w:r>
        <w:rPr>
          <w:b/>
        </w:rPr>
        <w:t>Antecedentes: </w:t>
      </w:r>
      <w:r>
        <w:rPr/>
        <w:t>Los sistemas de agua, incluidas las unidades dentales, son sitios propicios para el establecimiento de biopelículas que pueden estar colonizadas  por microorganismos patógenos oportunistas tan importantes como </w:t>
      </w:r>
      <w:r>
        <w:rPr>
          <w:i/>
        </w:rPr>
        <w:t>Legionella </w:t>
      </w:r>
      <w:r>
        <w:rPr>
          <w:i/>
        </w:rPr>
        <w:t>pneumophila</w:t>
      </w:r>
      <w:r>
        <w:rPr/>
        <w:t>, bacteria causante de enfermedades pulmonares</w:t>
      </w:r>
      <w:r>
        <w:rPr>
          <w:spacing w:val="-31"/>
        </w:rPr>
        <w:t> </w:t>
      </w:r>
      <w:r>
        <w:rPr/>
        <w:t>graves.</w:t>
      </w:r>
    </w:p>
    <w:p>
      <w:pPr>
        <w:spacing w:line="276" w:lineRule="auto" w:before="197"/>
        <w:ind w:left="219" w:right="218" w:firstLine="0"/>
        <w:jc w:val="both"/>
        <w:rPr>
          <w:sz w:val="24"/>
        </w:rPr>
      </w:pPr>
      <w:r>
        <w:rPr>
          <w:b/>
          <w:sz w:val="24"/>
        </w:rPr>
        <w:t>Objetivo: </w:t>
      </w:r>
      <w:r>
        <w:rPr>
          <w:sz w:val="24"/>
        </w:rPr>
        <w:t>determinar por primera vez la presencia de </w:t>
      </w:r>
      <w:r>
        <w:rPr>
          <w:i/>
          <w:sz w:val="24"/>
        </w:rPr>
        <w:t>Legionella pneumophila </w:t>
      </w:r>
      <w:r>
        <w:rPr>
          <w:sz w:val="24"/>
        </w:rPr>
        <w:t>en los sistemas de agua de la Facultad de Odontología de la UAEM.</w:t>
      </w:r>
    </w:p>
    <w:p>
      <w:pPr>
        <w:pStyle w:val="BodyText"/>
        <w:spacing w:line="276" w:lineRule="auto" w:before="202"/>
        <w:ind w:left="219" w:right="220"/>
        <w:jc w:val="both"/>
      </w:pPr>
      <w:r>
        <w:rPr>
          <w:b/>
        </w:rPr>
        <w:t>Materiales y métodos: </w:t>
      </w:r>
      <w:r>
        <w:rPr/>
        <w:t>estudio observacional, transversal, para el cual fueron recolectadas 120 muestras de agua de la Facultad de Odontología de la UAEM, incluyendo líneas de agua de unidades dentales, filtros y llaves de abastecimiento público. Se cultivaron en agar BCYEα con L-cisteína y confirmación en agar sangre, se contaron UFC/ml y se aplicó una prueba de ANOVA y test de Bonferroni con el paquete SPSS 21 para su análisis</w:t>
      </w:r>
      <w:r>
        <w:rPr>
          <w:spacing w:val="-22"/>
        </w:rPr>
        <w:t> </w:t>
      </w:r>
      <w:r>
        <w:rPr/>
        <w:t>estadístico.</w:t>
      </w:r>
    </w:p>
    <w:p>
      <w:pPr>
        <w:pStyle w:val="BodyText"/>
        <w:spacing w:line="276" w:lineRule="auto" w:before="202"/>
        <w:ind w:left="219" w:right="214"/>
        <w:jc w:val="both"/>
      </w:pPr>
      <w:r>
        <w:rPr>
          <w:b/>
        </w:rPr>
        <w:t>Resultados: </w:t>
      </w:r>
      <w:r>
        <w:rPr/>
        <w:t>el 100% de las muestras tuvo crecimiento en agar BCYEα y ausencia en agar sangre</w:t>
      </w:r>
      <w:r>
        <w:rPr>
          <w:i/>
        </w:rPr>
        <w:t>. </w:t>
      </w:r>
      <w:r>
        <w:rPr/>
        <w:t>Hubo diferencias estadísticamente significativas (p≤0.05) en todas las evaluaciones.</w:t>
      </w:r>
    </w:p>
    <w:p>
      <w:pPr>
        <w:pStyle w:val="BodyText"/>
        <w:spacing w:line="276" w:lineRule="auto" w:before="202"/>
        <w:ind w:left="219" w:right="225"/>
        <w:jc w:val="both"/>
      </w:pPr>
      <w:r>
        <w:rPr>
          <w:b/>
        </w:rPr>
        <w:t>Conclusiones: </w:t>
      </w:r>
      <w:r>
        <w:rPr/>
        <w:t>se propone un monitoreo semestral para realizar correcciones oportunas que eviten el aumento de la bacteria y la consecuente producción de enfermedad.</w:t>
      </w:r>
    </w:p>
    <w:p>
      <w:pPr>
        <w:spacing w:before="198"/>
        <w:ind w:left="219" w:right="0" w:firstLine="0"/>
        <w:jc w:val="both"/>
        <w:rPr>
          <w:sz w:val="24"/>
        </w:rPr>
      </w:pPr>
      <w:r>
        <w:rPr>
          <w:b/>
          <w:sz w:val="24"/>
        </w:rPr>
        <w:t>Palabras clave: </w:t>
      </w:r>
      <w:r>
        <w:rPr>
          <w:i/>
          <w:sz w:val="24"/>
        </w:rPr>
        <w:t>Legionella pneumophila</w:t>
      </w:r>
      <w:r>
        <w:rPr>
          <w:sz w:val="24"/>
        </w:rPr>
        <w:t>, biopelícula, unidades dentales</w:t>
      </w:r>
    </w:p>
    <w:p>
      <w:pPr>
        <w:pStyle w:val="BodyText"/>
      </w:pPr>
    </w:p>
    <w:p>
      <w:pPr>
        <w:pStyle w:val="BodyText"/>
      </w:pPr>
    </w:p>
    <w:p>
      <w:pPr>
        <w:pStyle w:val="Heading2"/>
        <w:spacing w:before="204"/>
        <w:jc w:val="both"/>
      </w:pPr>
      <w:r>
        <w:rPr/>
        <w:t>Abstract</w:t>
      </w:r>
    </w:p>
    <w:p>
      <w:pPr>
        <w:pStyle w:val="BodyText"/>
        <w:spacing w:before="5"/>
        <w:rPr>
          <w:b/>
          <w:sz w:val="21"/>
        </w:rPr>
      </w:pPr>
    </w:p>
    <w:p>
      <w:pPr>
        <w:pStyle w:val="BodyText"/>
        <w:spacing w:line="276" w:lineRule="auto"/>
        <w:ind w:left="219" w:right="229"/>
        <w:jc w:val="both"/>
      </w:pPr>
      <w:r>
        <w:rPr>
          <w:b/>
        </w:rPr>
        <w:t>Background: </w:t>
      </w:r>
      <w:r>
        <w:rPr/>
        <w:t>The water systems, including dental units, are favorable to the establishment of biofilm that may be colonized by opportunistic pathogens such as Legionella pneumophila, bacteria which produces severe lung diseases.</w:t>
      </w:r>
    </w:p>
    <w:p>
      <w:pPr>
        <w:pStyle w:val="BodyText"/>
        <w:spacing w:line="276" w:lineRule="auto" w:before="202"/>
        <w:ind w:left="219" w:right="228"/>
        <w:jc w:val="both"/>
      </w:pPr>
      <w:r>
        <w:rPr>
          <w:b/>
        </w:rPr>
        <w:t>Objective</w:t>
      </w:r>
      <w:r>
        <w:rPr/>
        <w:t>: To determine for the first time the presence of Legionella pneumophila in water systems in the Faculty of Dentistry at the UAEM .</w:t>
      </w:r>
    </w:p>
    <w:p>
      <w:pPr>
        <w:pStyle w:val="BodyText"/>
        <w:spacing w:line="276" w:lineRule="auto" w:before="202"/>
        <w:ind w:left="219" w:right="218"/>
        <w:jc w:val="both"/>
      </w:pPr>
      <w:r>
        <w:rPr>
          <w:b/>
        </w:rPr>
        <w:t>Material and methods</w:t>
      </w:r>
      <w:r>
        <w:rPr/>
        <w:t>: Observational, cross study, for which they were collected 120 samples water from the Faculty of Dentistry, UAEM , including water lines of dental units, filters and faucets public supply. </w:t>
      </w:r>
      <w:r>
        <w:rPr>
          <w:spacing w:val="2"/>
        </w:rPr>
        <w:t>Were </w:t>
      </w:r>
      <w:r>
        <w:rPr/>
        <w:t>grown on agar BCYEα with L- cysteine and confirmation on blood agar. </w:t>
      </w:r>
      <w:r>
        <w:rPr>
          <w:spacing w:val="-3"/>
        </w:rPr>
        <w:t>CFU/ml </w:t>
      </w:r>
      <w:r>
        <w:rPr/>
        <w:t>were counted and an ANOVA  test and Bonferroni test were applied using SPSS 21 package for statistical analysis.</w:t>
      </w:r>
    </w:p>
    <w:p>
      <w:pPr>
        <w:spacing w:after="0" w:line="276" w:lineRule="auto"/>
        <w:jc w:val="both"/>
        <w:sectPr>
          <w:footerReference w:type="default" r:id="rId60"/>
          <w:pgSz w:w="12240" w:h="15840"/>
          <w:pgMar w:footer="1012" w:header="731" w:top="1160" w:bottom="1200" w:left="1480" w:right="1480"/>
        </w:sectPr>
      </w:pPr>
    </w:p>
    <w:p>
      <w:pPr>
        <w:pStyle w:val="BodyText"/>
        <w:spacing w:before="6"/>
        <w:rPr>
          <w:sz w:val="16"/>
        </w:rPr>
      </w:pPr>
    </w:p>
    <w:p>
      <w:pPr>
        <w:pStyle w:val="BodyText"/>
        <w:spacing w:line="276" w:lineRule="auto" w:before="69"/>
        <w:ind w:left="219" w:right="220"/>
        <w:jc w:val="both"/>
      </w:pPr>
      <w:r>
        <w:rPr>
          <w:b/>
        </w:rPr>
        <w:t>Results: </w:t>
      </w:r>
      <w:r>
        <w:rPr/>
        <w:t>100% of the samples had growth on BCYEα agar and absence on blood agar. There were statistically significant differences (p ≤ 0.05) in all assessments.</w:t>
      </w:r>
    </w:p>
    <w:p>
      <w:pPr>
        <w:pStyle w:val="BodyText"/>
        <w:spacing w:line="276" w:lineRule="auto" w:before="203"/>
        <w:ind w:left="219" w:right="215"/>
        <w:jc w:val="both"/>
      </w:pPr>
      <w:r>
        <w:rPr>
          <w:b/>
        </w:rPr>
        <w:t>Conclusions</w:t>
      </w:r>
      <w:r>
        <w:rPr/>
        <w:t>: biannual monitoring is proposed for appropriate corrections to avoid increasing the bacteria and the consequent production of disease.</w:t>
      </w:r>
    </w:p>
    <w:p>
      <w:pPr>
        <w:pStyle w:val="BodyText"/>
        <w:spacing w:before="197"/>
        <w:ind w:left="219"/>
        <w:jc w:val="both"/>
      </w:pPr>
      <w:r>
        <w:rPr>
          <w:b/>
        </w:rPr>
        <w:t>Keywords</w:t>
      </w:r>
      <w:r>
        <w:rPr/>
        <w:t>: Legionella pneumophila biofilm, dental units</w:t>
      </w:r>
    </w:p>
    <w:p>
      <w:pPr>
        <w:pStyle w:val="BodyText"/>
      </w:pPr>
    </w:p>
    <w:p>
      <w:pPr>
        <w:pStyle w:val="BodyText"/>
      </w:pPr>
    </w:p>
    <w:p>
      <w:pPr>
        <w:pStyle w:val="Heading2"/>
        <w:spacing w:before="209"/>
        <w:jc w:val="both"/>
      </w:pPr>
      <w:r>
        <w:rPr/>
        <w:t>INTRODUCCIÓN</w:t>
      </w:r>
    </w:p>
    <w:p>
      <w:pPr>
        <w:pStyle w:val="BodyText"/>
        <w:spacing w:before="10"/>
        <w:rPr>
          <w:b/>
          <w:sz w:val="21"/>
        </w:rPr>
      </w:pPr>
    </w:p>
    <w:p>
      <w:pPr>
        <w:pStyle w:val="BodyText"/>
        <w:spacing w:line="276" w:lineRule="auto"/>
        <w:ind w:left="219" w:right="214" w:firstLine="706"/>
        <w:jc w:val="both"/>
      </w:pPr>
      <w:r>
        <w:rPr/>
        <w:t>En odontología, el uso de instrumentos rotatorios y jeringa triple produce aerosoles que pueden ser fuente de infección y tanto el equipo de atención dental como los pacientes están expuestos a ellos, de acuerdo con la Asociación Dental Americana (ADA), los sistemas de agua de la unidad dental son sitios propicios para el establecimiento de biopelículas colonizadas por microorganismos que se encuentran comúnmente en el agua potable, incluyendo especies de Legionella. La Legionella, es una bacteria perteneciente a la familia </w:t>
      </w:r>
      <w:r>
        <w:rPr>
          <w:i/>
        </w:rPr>
        <w:t>Legionellaceae </w:t>
      </w:r>
      <w:r>
        <w:rPr/>
        <w:t>que  incluye 42 especies que habitan normalmente el suelo y el agua. L. pneumophila es la </w:t>
      </w:r>
      <w:r>
        <w:rPr>
          <w:spacing w:val="-3"/>
        </w:rPr>
        <w:t>más </w:t>
      </w:r>
      <w:r>
        <w:rPr/>
        <w:t>importante de ellas, este microorganismo tolera el cloro y por ello sobrevive a los procedimientos de tratamiento del agua. El método estándar para una detección adecuada se basa en el cultivo de los especímenes en agar extracto de levadura y carbón amortiguado (pH 6,9) enriquecido con L-cisteína, hierro y a-cetoglutarato (BCYEα) por un periodo de 3 a 7 días</w:t>
      </w:r>
      <w:r>
        <w:rPr>
          <w:spacing w:val="-27"/>
        </w:rPr>
        <w:t> </w:t>
      </w:r>
      <w:r>
        <w:rPr/>
        <w:t>(1,2).</w:t>
      </w:r>
    </w:p>
    <w:p>
      <w:pPr>
        <w:pStyle w:val="BodyText"/>
        <w:spacing w:before="6"/>
        <w:rPr>
          <w:sz w:val="27"/>
        </w:rPr>
      </w:pPr>
    </w:p>
    <w:p>
      <w:pPr>
        <w:pStyle w:val="BodyText"/>
        <w:spacing w:line="276" w:lineRule="auto" w:before="1"/>
        <w:ind w:left="219" w:right="217"/>
        <w:jc w:val="both"/>
      </w:pPr>
      <w:r>
        <w:rPr/>
        <w:t>La mayoría de las infecciones causadas por L. pneumophila, se deben a la inhalación de organismos dispersados, la bacteria penetra en las vías respiratorias superiores cuando se aspira el líquido que la contiene o se inhala un aerosol contaminado, de ahí su importancia en odontología. Si el cuerpo no la elimina, llega a los pulmones donde se multiplica causando alguna de dos tipos de infecciones: Legionellosis o enfermedad del legionario caracterizada por una neumonía lobular atípica grave con síntomas polisistémicos, con una tasa de muerte entre el 5% y el 30%, y fiebre de Pontiac, enfermedad parecida a la influenza que cursa con fiebre, dolor muscular, mareos y afectación general del organismo. Los factores que determinan en qué forma se presentará la enfermedad no se conocen, aunque probablemente el estado del huésped influye en ello. (3)</w:t>
      </w:r>
    </w:p>
    <w:p>
      <w:pPr>
        <w:pStyle w:val="BodyText"/>
        <w:spacing w:line="276" w:lineRule="auto" w:before="1"/>
        <w:ind w:left="219" w:right="221"/>
        <w:jc w:val="both"/>
      </w:pPr>
      <w:r>
        <w:rPr/>
        <w:t>Aproximadamente 1000 casos de Legionellosis se reportan anualmente a los Centers for Disease Control and Prevention (CDC), pero se estima que más de 25,000 casos de esta enfermedad ocurren cada año en el mundo, causando más de 4,000 muertes. En México el sistema de vigilancia epidemiológica publicó en</w:t>
      </w:r>
    </w:p>
    <w:p>
      <w:pPr>
        <w:spacing w:after="0" w:line="276" w:lineRule="auto"/>
        <w:jc w:val="both"/>
        <w:sectPr>
          <w:footerReference w:type="default" r:id="rId61"/>
          <w:pgSz w:w="12240" w:h="15840"/>
          <w:pgMar w:footer="1012" w:header="731" w:top="1160" w:bottom="1200" w:left="1480" w:right="1480"/>
          <w:pgNumType w:start="71"/>
        </w:sectPr>
      </w:pPr>
    </w:p>
    <w:p>
      <w:pPr>
        <w:pStyle w:val="BodyText"/>
        <w:spacing w:before="11"/>
        <w:rPr>
          <w:sz w:val="16"/>
        </w:rPr>
      </w:pPr>
    </w:p>
    <w:p>
      <w:pPr>
        <w:pStyle w:val="BodyText"/>
        <w:spacing w:line="276" w:lineRule="auto" w:before="69"/>
        <w:ind w:left="219" w:right="213"/>
        <w:jc w:val="both"/>
      </w:pPr>
      <w:r>
        <w:rPr/>
        <w:t>2005 el reporte de dos casos con diagnóstico clínico de neumonía por </w:t>
      </w:r>
      <w:r>
        <w:rPr>
          <w:i/>
        </w:rPr>
        <w:t>Legionella</w:t>
      </w:r>
      <w:r>
        <w:rPr/>
        <w:t>, sin pruebas de laboratorio confirmatorias y ninguno por aislamiento del agente causal, estos fueron del Estado de México y Guerrero. Pero hasta el momento, no ha sido notificado ningún brote ni la bacteria ha sido aislada de ningún caso de neumonía, sin embargo, de acuerdo a este sistema, es necesario investigar su presencia en nuestro país para iniciar las medidas que permitan controlar su aparición (4,5)</w:t>
      </w:r>
    </w:p>
    <w:p>
      <w:pPr>
        <w:pStyle w:val="BodyText"/>
        <w:spacing w:line="276" w:lineRule="auto" w:before="1"/>
        <w:ind w:left="219" w:right="225"/>
        <w:jc w:val="both"/>
      </w:pPr>
      <w:r>
        <w:rPr/>
        <w:t>Por tanto, siendo los sistemas de agua de las unidades dentales y de agua potable, reservorios aptos para la proliferación de Legionella, el presente trabajo de investigación se centró en determinar por primera vez, la presencia de Legionella pneumophila en los sistemas de agua de la facultad de odontología de la Universidad Autónoma del Estado de México, con ello se proveerá de un panorama </w:t>
      </w:r>
      <w:r>
        <w:rPr>
          <w:spacing w:val="-3"/>
        </w:rPr>
        <w:t>más </w:t>
      </w:r>
      <w:r>
        <w:rPr/>
        <w:t>amplio de la presencia de dicho microorganismo para implementar estrategias de control y prevención de posibles</w:t>
      </w:r>
      <w:r>
        <w:rPr>
          <w:spacing w:val="-14"/>
        </w:rPr>
        <w:t> </w:t>
      </w:r>
      <w:r>
        <w:rPr/>
        <w:t>contagios.</w:t>
      </w:r>
    </w:p>
    <w:p>
      <w:pPr>
        <w:pStyle w:val="BodyText"/>
      </w:pPr>
    </w:p>
    <w:p>
      <w:pPr>
        <w:pStyle w:val="BodyText"/>
        <w:spacing w:before="3"/>
        <w:rPr>
          <w:sz w:val="20"/>
        </w:rPr>
      </w:pPr>
    </w:p>
    <w:p>
      <w:pPr>
        <w:pStyle w:val="Heading2"/>
        <w:jc w:val="both"/>
      </w:pPr>
      <w:r>
        <w:rPr/>
        <w:t>METODOLOGÍA</w:t>
      </w:r>
    </w:p>
    <w:p>
      <w:pPr>
        <w:pStyle w:val="BodyText"/>
        <w:spacing w:before="10"/>
        <w:rPr>
          <w:b/>
          <w:sz w:val="21"/>
        </w:rPr>
      </w:pPr>
    </w:p>
    <w:p>
      <w:pPr>
        <w:pStyle w:val="BodyText"/>
        <w:spacing w:line="276" w:lineRule="auto" w:before="1"/>
        <w:ind w:left="219" w:right="217" w:firstLine="706"/>
        <w:jc w:val="both"/>
      </w:pPr>
      <w:r>
        <w:rPr/>
        <w:t>Se realizó un estudio de tipo observacional, transversal, donde </w:t>
      </w:r>
      <w:r>
        <w:rPr>
          <w:spacing w:val="-3"/>
        </w:rPr>
        <w:t>se </w:t>
      </w:r>
      <w:r>
        <w:rPr/>
        <w:t>seleccionaron cuatro clínicas odontológicas de la Facultad de Odontología de la Universidad Autónoma del Estado de México (clínicas 1, 3, 4 Y 5), de ellas fueron tomadas 120 muestras de agua: 48 provenientes de las líneas de agua de alta velocidad de las unidades dentales, 48 de las llaves de agua de los lavabos y 24 de los filtros que abastecen a dichas clínicas. Fueron recolectadas en bolsas plásticas estériles </w:t>
      </w:r>
      <w:r>
        <w:rPr>
          <w:spacing w:val="-3"/>
        </w:rPr>
        <w:t>5ml </w:t>
      </w:r>
      <w:r>
        <w:rPr/>
        <w:t>de agua proveniente de cada una de las fuentes, las muestras se mantuvieron en frío para ser transportadas y sembradas en menos de dos horas en un medio aséptico, por la misma persona. Las muestras fueron filtradas para eliminar posibles sedimentos provenientes de las mangueras y tuberías y posterior a ello, se tomó 0.1ml y se sembró por difusión en placas de agar Buffered Charcoal Yast Extract alfa adicionado con L. Cisteína (BCYEα). Se incubaron a 37°C por un periodo de 3 a 10 días con revisión diaria </w:t>
      </w:r>
      <w:r>
        <w:rPr>
          <w:spacing w:val="3"/>
        </w:rPr>
        <w:t>para </w:t>
      </w:r>
      <w:r>
        <w:rPr/>
        <w:t>observar el crecimiento de las</w:t>
      </w:r>
      <w:r>
        <w:rPr>
          <w:spacing w:val="-9"/>
        </w:rPr>
        <w:t> </w:t>
      </w:r>
      <w:r>
        <w:rPr/>
        <w:t>colonias.</w:t>
      </w:r>
    </w:p>
    <w:p>
      <w:pPr>
        <w:pStyle w:val="BodyText"/>
        <w:spacing w:line="276" w:lineRule="auto" w:before="207"/>
        <w:ind w:left="219" w:right="219"/>
        <w:jc w:val="both"/>
      </w:pPr>
      <w:r>
        <w:rPr/>
        <w:t>Una vez transcurrido el periodo de incubación y después de la observación de las colonias características de Legionella se realizó la confirmación de 5 colonias típicas de cada placa sembrándolas en Agar sangre. Se consideraron como </w:t>
      </w:r>
      <w:r>
        <w:rPr>
          <w:i/>
        </w:rPr>
        <w:t>Legionella </w:t>
      </w:r>
      <w:r>
        <w:rPr/>
        <w:t>colonias que pueden crecer en Agar BCYE, pero que no crecen en  Agar sangre. Una vez verificados los crecimientos, se contaron las Unidades Formadoras de colonias por mililitro (UFC/ml) y se les realizó tinción de Gram </w:t>
      </w:r>
      <w:r>
        <w:rPr>
          <w:spacing w:val="4"/>
        </w:rPr>
        <w:t>para </w:t>
      </w:r>
      <w:r>
        <w:rPr/>
        <w:t>observar morfología microscópica y comprobar el Gram negativo propio de </w:t>
      </w:r>
      <w:r>
        <w:rPr>
          <w:i/>
        </w:rPr>
        <w:t>Legionella</w:t>
      </w:r>
      <w:r>
        <w:rPr/>
        <w:t>, modificando el protocolo tradicional al aumentar el tiempo de la  fucsina, de 30 seg a</w:t>
      </w:r>
      <w:r>
        <w:rPr>
          <w:spacing w:val="-10"/>
        </w:rPr>
        <w:t> </w:t>
      </w:r>
      <w:r>
        <w:rPr/>
        <w:t>1min.</w:t>
      </w:r>
    </w:p>
    <w:p>
      <w:pPr>
        <w:spacing w:after="0" w:line="276" w:lineRule="auto"/>
        <w:jc w:val="both"/>
        <w:sectPr>
          <w:pgSz w:w="12240" w:h="15840"/>
          <w:pgMar w:header="731" w:footer="1012" w:top="1160" w:bottom="1200" w:left="1480" w:right="1480"/>
        </w:sectPr>
      </w:pPr>
    </w:p>
    <w:p>
      <w:pPr>
        <w:pStyle w:val="BodyText"/>
        <w:spacing w:before="11"/>
        <w:rPr>
          <w:sz w:val="16"/>
        </w:rPr>
      </w:pPr>
    </w:p>
    <w:p>
      <w:pPr>
        <w:pStyle w:val="BodyText"/>
        <w:spacing w:line="276" w:lineRule="auto" w:before="69"/>
        <w:ind w:left="219" w:right="225"/>
        <w:jc w:val="both"/>
      </w:pPr>
      <w:r>
        <w:rPr/>
        <w:t>Para los resultados se realizó el cálculo de estadísticos descriptivos y  comparación de medias mediante una prueba de ANOVA y posterior test de Bonferroni de las UFC/ml y se obtuvieron frecuencias de la presencia de dicho microorganismo mediante el paquete estadístico SPSS versión</w:t>
      </w:r>
      <w:r>
        <w:rPr>
          <w:spacing w:val="-24"/>
        </w:rPr>
        <w:t> </w:t>
      </w:r>
      <w:r>
        <w:rPr/>
        <w:t>21.</w:t>
      </w:r>
    </w:p>
    <w:p>
      <w:pPr>
        <w:pStyle w:val="BodyText"/>
      </w:pPr>
    </w:p>
    <w:p>
      <w:pPr>
        <w:pStyle w:val="BodyText"/>
      </w:pPr>
    </w:p>
    <w:p>
      <w:pPr>
        <w:pStyle w:val="Heading2"/>
        <w:spacing w:before="159"/>
        <w:jc w:val="both"/>
      </w:pPr>
      <w:r>
        <w:rPr/>
        <w:t>RESULTADOS</w:t>
      </w:r>
    </w:p>
    <w:p>
      <w:pPr>
        <w:pStyle w:val="BodyText"/>
        <w:spacing w:before="10"/>
        <w:rPr>
          <w:b/>
          <w:sz w:val="21"/>
        </w:rPr>
      </w:pPr>
    </w:p>
    <w:p>
      <w:pPr>
        <w:pStyle w:val="BodyText"/>
        <w:spacing w:line="276" w:lineRule="auto" w:before="1"/>
        <w:ind w:left="219" w:right="229" w:firstLine="706"/>
        <w:jc w:val="both"/>
      </w:pPr>
      <w:r>
        <w:rPr/>
        <w:t>De las 120 muestras de agua, el 100% tuvo crecimiento en agar BCYEα  con L Cisteína y ausencia del mismo en agar sangre. Los cultivos presentaron las características morfológicas propias de Legionella: colonias  puntiformes de </w:t>
      </w:r>
      <w:r>
        <w:rPr>
          <w:spacing w:val="20"/>
        </w:rPr>
        <w:t> </w:t>
      </w:r>
      <w:r>
        <w:rPr/>
        <w:t>hasta</w:t>
      </w:r>
    </w:p>
    <w:p>
      <w:pPr>
        <w:pStyle w:val="BodyText"/>
        <w:spacing w:line="276" w:lineRule="auto"/>
        <w:ind w:left="219" w:right="221"/>
        <w:jc w:val="both"/>
      </w:pPr>
      <w:r>
        <w:rPr/>
        <w:t>3 a 4mm, brillantes, convexas, circulares y con margen entero (Figura I ). Al observarlas al microscopio presentaron estructuras de tipo “vidrio esmerilado”. A través de la tinción de Gram, se observaron bacilos Gramnegativos largos y finos (Figura II)</w:t>
      </w:r>
    </w:p>
    <w:p>
      <w:pPr>
        <w:pStyle w:val="BodyText"/>
        <w:spacing w:line="273" w:lineRule="auto" w:before="207"/>
        <w:ind w:left="219" w:right="218"/>
        <w:jc w:val="both"/>
      </w:pPr>
      <w:r>
        <w:rPr/>
        <w:t>En cuanto al conteo de Unidades Formadoras de colonias por mililitro, el valor mínimo encontrado fue de 19UFC/ml, proveniente de la línea de agua de alta velocidad de la clínica número tres, el valor máximo encontrado fue de 1000UFC/ml distribuidos en las líneas de agua y las llaves. (Tabla 1)</w:t>
      </w:r>
    </w:p>
    <w:p>
      <w:pPr>
        <w:pStyle w:val="BodyText"/>
        <w:spacing w:line="276" w:lineRule="auto" w:before="209"/>
        <w:ind w:left="219" w:right="224"/>
        <w:jc w:val="both"/>
      </w:pPr>
      <w:r>
        <w:rPr/>
        <w:t>A través de una prueba de análisis de la varianza (ANOVA), se determinó que había diferencias estadísticamente significativas entre las medias de las clínicas, las llaves y los filtros, por lo que </w:t>
      </w:r>
      <w:r>
        <w:rPr>
          <w:spacing w:val="-3"/>
        </w:rPr>
        <w:t>se </w:t>
      </w:r>
      <w:r>
        <w:rPr/>
        <w:t>aplicó un test de Bonferroni para comparación por pares, resultando </w:t>
      </w:r>
      <w:r>
        <w:rPr>
          <w:spacing w:val="-3"/>
        </w:rPr>
        <w:t>muy </w:t>
      </w:r>
      <w:r>
        <w:rPr/>
        <w:t>significativa la diferencia entre el número de Unidades Formadoras de Colonias por mililitro encontradas en las clínicas en comparación con las llaves así como en aquellas encontradas en llaves, en comparación con los filtros (tabla</w:t>
      </w:r>
      <w:r>
        <w:rPr>
          <w:spacing w:val="-9"/>
        </w:rPr>
        <w:t> </w:t>
      </w:r>
      <w:r>
        <w:rPr/>
        <w:t>2).</w:t>
      </w:r>
    </w:p>
    <w:p>
      <w:pPr>
        <w:pStyle w:val="BodyText"/>
      </w:pPr>
    </w:p>
    <w:p>
      <w:pPr>
        <w:pStyle w:val="BodyText"/>
      </w:pPr>
    </w:p>
    <w:p>
      <w:pPr>
        <w:pStyle w:val="Heading2"/>
        <w:spacing w:before="164"/>
        <w:jc w:val="both"/>
      </w:pPr>
      <w:r>
        <w:rPr/>
        <w:t>DISCUSION</w:t>
      </w:r>
    </w:p>
    <w:p>
      <w:pPr>
        <w:pStyle w:val="BodyText"/>
        <w:spacing w:before="10"/>
        <w:rPr>
          <w:b/>
          <w:sz w:val="21"/>
        </w:rPr>
      </w:pPr>
    </w:p>
    <w:p>
      <w:pPr>
        <w:pStyle w:val="BodyText"/>
        <w:spacing w:line="276" w:lineRule="auto" w:before="1"/>
        <w:ind w:left="219" w:right="215"/>
        <w:jc w:val="both"/>
      </w:pPr>
      <w:r>
        <w:rPr/>
        <w:t>La presencia de especies de </w:t>
      </w:r>
      <w:r>
        <w:rPr>
          <w:i/>
        </w:rPr>
        <w:t>Legionella</w:t>
      </w:r>
      <w:r>
        <w:rPr/>
        <w:t>, en específico de </w:t>
      </w:r>
      <w:r>
        <w:rPr>
          <w:i/>
        </w:rPr>
        <w:t>Legionella pneumophila </w:t>
      </w:r>
      <w:r>
        <w:rPr/>
        <w:t>se encuentra ampliamente documentada en países europeos e incluso en Estados Unidos de Norteamérica, sin embargo en Sudamérica y en especial en México, no existen reportes concretos de la incidencia y prevalencia de dicho microorganismo, por lo que el objetivo de este estudio fue determinar la presencia de </w:t>
      </w:r>
      <w:r>
        <w:rPr>
          <w:i/>
        </w:rPr>
        <w:t>Legionella </w:t>
      </w:r>
      <w:r>
        <w:rPr>
          <w:i/>
        </w:rPr>
        <w:t>pneumophila </w:t>
      </w:r>
      <w:r>
        <w:rPr/>
        <w:t>en los sistemas de agua de la facultad de Odontología de la UAEM mediante su aislamiento a partir de muestras de agua a través de la técnica de cultivo ya que ésta sigue siendo hasta ahora el estándar de oro para la determinación de dicha bacteria (6).</w:t>
      </w:r>
    </w:p>
    <w:p>
      <w:pPr>
        <w:spacing w:after="0" w:line="276" w:lineRule="auto"/>
        <w:jc w:val="both"/>
        <w:sectPr>
          <w:pgSz w:w="12240" w:h="15840"/>
          <w:pgMar w:header="731" w:footer="1012" w:top="1160" w:bottom="1200" w:left="1480" w:right="1480"/>
        </w:sectPr>
      </w:pPr>
    </w:p>
    <w:p>
      <w:pPr>
        <w:pStyle w:val="BodyText"/>
        <w:spacing w:before="11"/>
        <w:rPr>
          <w:sz w:val="16"/>
        </w:rPr>
      </w:pPr>
    </w:p>
    <w:p>
      <w:pPr>
        <w:pStyle w:val="BodyText"/>
        <w:spacing w:line="276" w:lineRule="auto" w:before="69"/>
        <w:ind w:left="219" w:right="214"/>
        <w:jc w:val="both"/>
      </w:pPr>
      <w:r>
        <w:rPr/>
        <w:t>Por medio del cultivo en agar BCYEα adicionado con L. Cisteína, se encontró crecimiento bacteriano en el 100% de </w:t>
      </w:r>
      <w:r>
        <w:rPr>
          <w:spacing w:val="4"/>
        </w:rPr>
        <w:t>las </w:t>
      </w:r>
      <w:r>
        <w:rPr/>
        <w:t>muestras analizadas, contrastando con los resultados obtenidos por diversos autores (7,8,9) que reportan frecuencias de entre el 10% y el 80% de los ejemplares obtenidos del agua de unidades dentales y de agua potable, esta diferencia puede deberse a factores como la temperatura del medio ambiente, el medio de cultivo, el tiempo de incubación e incluso al tratamiento ácido que generalmente se realiza en muestras ambientales y que se ha documentado que disminuye hasta en un 50% la cantidad de bacterias </w:t>
      </w:r>
      <w:r>
        <w:rPr>
          <w:spacing w:val="3"/>
        </w:rPr>
        <w:t>(10). </w:t>
      </w:r>
      <w:r>
        <w:rPr/>
        <w:t>Exner et. al., informan que de existir crecimiento en </w:t>
      </w:r>
      <w:r>
        <w:rPr>
          <w:spacing w:val="-3"/>
        </w:rPr>
        <w:t>más </w:t>
      </w:r>
      <w:r>
        <w:rPr/>
        <w:t>del 30% de las muestras, el agua está claramente contaminada </w:t>
      </w:r>
      <w:r>
        <w:rPr>
          <w:spacing w:val="2"/>
        </w:rPr>
        <w:t>(11), </w:t>
      </w:r>
      <w:r>
        <w:rPr/>
        <w:t>este estudio, por lo tanto,  confirma  que una gran parte de los sistemas de agua de la facultad de odontología están infectados con </w:t>
      </w:r>
      <w:r>
        <w:rPr>
          <w:i/>
        </w:rPr>
        <w:t>Legionella </w:t>
      </w:r>
      <w:r>
        <w:rPr/>
        <w:t>y esto puede jugar un papel clave como factor de riesgo en la seguridad de los pacientes y del personal que labora en la</w:t>
      </w:r>
      <w:r>
        <w:rPr>
          <w:spacing w:val="-38"/>
        </w:rPr>
        <w:t> </w:t>
      </w:r>
      <w:r>
        <w:rPr/>
        <w:t>misma.</w:t>
      </w:r>
    </w:p>
    <w:p>
      <w:pPr>
        <w:pStyle w:val="BodyText"/>
        <w:spacing w:line="276" w:lineRule="auto" w:before="207"/>
        <w:ind w:left="219" w:right="218"/>
        <w:jc w:val="both"/>
      </w:pPr>
      <w:r>
        <w:rPr/>
        <w:t>Kusnetsov et. all (12) sugieren que una concentración de 1000UFC/L es un límite teórico aceptable para el desarrollo de la enfermedad, en la presente investigación se obtuvieron conteos de 19UFC/ml a 1000UFC/ml contrastando con los resultados obtenidos en diversos estudios (13,14,15). Atlas et al.(7) encontraron concentraciones de Legionella spp. de 10,000UFC/ml pero  Legionella pneumophila nunca supero las 1000UFC/ml. Williams et al (13) por su parte encontraron concentraciones que no excedían las 100ufc/ml. De acuerdo </w:t>
      </w:r>
      <w:r>
        <w:rPr>
          <w:spacing w:val="4"/>
        </w:rPr>
        <w:t>con </w:t>
      </w:r>
      <w:r>
        <w:rPr/>
        <w:t>el Instituto de Seguridad e Higiene del trabajo Español (14) se sugiere que en instalaciones con concentraciones de &gt; 100UFC/L &lt; 1000UFC/L de Legionella spp., se debe revisar el programa de mantenimiento y realizar las correcciones oportunas que disminuyan su concentración y que la presencia de dichas cantidades de bacterias no limitan el uso del agua excepto en personas con alto riesgo (inmunocomprometidos) por lo que se debe monitorear anualmente el número de colonias</w:t>
      </w:r>
      <w:r>
        <w:rPr>
          <w:spacing w:val="-9"/>
        </w:rPr>
        <w:t> </w:t>
      </w:r>
      <w:r>
        <w:rPr/>
        <w:t>presentes.</w:t>
      </w:r>
    </w:p>
    <w:p>
      <w:pPr>
        <w:pStyle w:val="BodyText"/>
        <w:spacing w:line="276" w:lineRule="auto" w:before="207"/>
        <w:ind w:left="219" w:right="218"/>
        <w:jc w:val="both"/>
      </w:pPr>
      <w:r>
        <w:rPr/>
        <w:t>Las concentraciones encontradas por clínicas, llaves y filtros tienen diferencias estadísticamente significativas, lo que nos lleva a valorar que a través del uso de los filtros la cantidad de microorganismos se mantiene al mínimo y que la cloración del agua potable como sabemos no es un tratamiento adecuado para el control de </w:t>
      </w:r>
      <w:r>
        <w:rPr>
          <w:i/>
        </w:rPr>
        <w:t>Legionella pneumophila</w:t>
      </w:r>
      <w:r>
        <w:rPr/>
        <w:t>, por ello los niveles encontrados en las llaves fue superior, en cuanto a los conteos provenientes de las unidades dentales, éstas se mantuvieron similares a las de las llaves aunque con diferencias muy significativas respecto a la de los filtros lo que nos sugiere que la presencia de biopelículas en las líneas de agua promueve la proliferación de </w:t>
      </w:r>
      <w:r>
        <w:rPr>
          <w:i/>
        </w:rPr>
        <w:t>Legionella pneumophila</w:t>
      </w:r>
      <w:r>
        <w:rPr/>
        <w:t>.</w:t>
      </w:r>
    </w:p>
    <w:p>
      <w:pPr>
        <w:spacing w:after="0" w:line="276" w:lineRule="auto"/>
        <w:jc w:val="both"/>
        <w:sectPr>
          <w:pgSz w:w="12240" w:h="15840"/>
          <w:pgMar w:header="731" w:footer="1012" w:top="1160" w:bottom="1200" w:left="1480" w:right="1480"/>
        </w:sectPr>
      </w:pPr>
    </w:p>
    <w:p>
      <w:pPr>
        <w:pStyle w:val="BodyText"/>
        <w:spacing w:before="1"/>
        <w:rPr>
          <w:sz w:val="16"/>
        </w:rPr>
      </w:pPr>
    </w:p>
    <w:p>
      <w:pPr>
        <w:pStyle w:val="Heading2"/>
        <w:spacing w:before="70"/>
        <w:ind w:right="387"/>
      </w:pPr>
      <w:r>
        <w:rPr/>
        <w:t>CONCLUSIONES</w:t>
      </w:r>
    </w:p>
    <w:p>
      <w:pPr>
        <w:pStyle w:val="BodyText"/>
        <w:spacing w:before="8"/>
        <w:rPr>
          <w:b/>
          <w:sz w:val="21"/>
        </w:rPr>
      </w:pPr>
    </w:p>
    <w:p>
      <w:pPr>
        <w:pStyle w:val="ListParagraph"/>
        <w:numPr>
          <w:ilvl w:val="0"/>
          <w:numId w:val="9"/>
        </w:numPr>
        <w:tabs>
          <w:tab w:pos="941" w:val="left" w:leader="none"/>
        </w:tabs>
        <w:spacing w:line="271" w:lineRule="auto" w:before="0" w:after="0"/>
        <w:ind w:left="940" w:right="218" w:hanging="360"/>
        <w:jc w:val="both"/>
        <w:rPr>
          <w:sz w:val="24"/>
        </w:rPr>
      </w:pPr>
      <w:r>
        <w:rPr>
          <w:sz w:val="24"/>
        </w:rPr>
        <w:t>Mediante el presente estudio </w:t>
      </w:r>
      <w:r>
        <w:rPr>
          <w:spacing w:val="-3"/>
          <w:sz w:val="24"/>
        </w:rPr>
        <w:t>se </w:t>
      </w:r>
      <w:r>
        <w:rPr>
          <w:sz w:val="24"/>
        </w:rPr>
        <w:t>comprobó por primera vez la presencia de Legionella pneumophila en el 100% de las muestras</w:t>
      </w:r>
      <w:r>
        <w:rPr>
          <w:spacing w:val="-29"/>
          <w:sz w:val="24"/>
        </w:rPr>
        <w:t> </w:t>
      </w:r>
      <w:r>
        <w:rPr>
          <w:sz w:val="24"/>
        </w:rPr>
        <w:t>tomadas.</w:t>
      </w:r>
    </w:p>
    <w:p>
      <w:pPr>
        <w:pStyle w:val="ListParagraph"/>
        <w:numPr>
          <w:ilvl w:val="0"/>
          <w:numId w:val="9"/>
        </w:numPr>
        <w:tabs>
          <w:tab w:pos="941" w:val="left" w:leader="none"/>
        </w:tabs>
        <w:spacing w:line="273" w:lineRule="auto" w:before="205" w:after="0"/>
        <w:ind w:left="940" w:right="219" w:hanging="360"/>
        <w:jc w:val="both"/>
        <w:rPr>
          <w:sz w:val="24"/>
        </w:rPr>
      </w:pPr>
      <w:r>
        <w:rPr>
          <w:sz w:val="24"/>
        </w:rPr>
        <w:t>Los conteos fueron menores a 100UFC/L, lo cual nos sugiere que la presencia de estas bacterias no limita el uso del agua pero se propone que se mantenga un monitoreo semestral para realizar las correcciones oportunas que eviten el aumento de la presencia de la</w:t>
      </w:r>
      <w:r>
        <w:rPr>
          <w:spacing w:val="-22"/>
          <w:sz w:val="24"/>
        </w:rPr>
        <w:t> </w:t>
      </w:r>
      <w:r>
        <w:rPr>
          <w:spacing w:val="-3"/>
          <w:sz w:val="24"/>
        </w:rPr>
        <w:t>misma</w:t>
      </w:r>
    </w:p>
    <w:p>
      <w:pPr>
        <w:pStyle w:val="BodyText"/>
      </w:pPr>
    </w:p>
    <w:p>
      <w:pPr>
        <w:pStyle w:val="BodyText"/>
      </w:pPr>
    </w:p>
    <w:p>
      <w:pPr>
        <w:pStyle w:val="BodyText"/>
      </w:pPr>
    </w:p>
    <w:p>
      <w:pPr>
        <w:pStyle w:val="BodyText"/>
      </w:pPr>
    </w:p>
    <w:p>
      <w:pPr>
        <w:pStyle w:val="BodyText"/>
      </w:pPr>
    </w:p>
    <w:p>
      <w:pPr>
        <w:pStyle w:val="BodyText"/>
        <w:spacing w:before="1"/>
        <w:rPr>
          <w:sz w:val="28"/>
        </w:rPr>
      </w:pPr>
    </w:p>
    <w:p>
      <w:pPr>
        <w:pStyle w:val="Heading2"/>
        <w:ind w:right="387"/>
      </w:pPr>
      <w:r>
        <w:rPr/>
        <w:t>REFERENCIAS</w:t>
      </w:r>
    </w:p>
    <w:p>
      <w:pPr>
        <w:pStyle w:val="BodyText"/>
        <w:spacing w:before="10"/>
        <w:rPr>
          <w:b/>
          <w:sz w:val="21"/>
        </w:rPr>
      </w:pPr>
    </w:p>
    <w:p>
      <w:pPr>
        <w:pStyle w:val="ListParagraph"/>
        <w:numPr>
          <w:ilvl w:val="0"/>
          <w:numId w:val="10"/>
        </w:numPr>
        <w:tabs>
          <w:tab w:pos="941" w:val="left" w:leader="none"/>
        </w:tabs>
        <w:spacing w:line="276" w:lineRule="auto" w:before="0" w:after="0"/>
        <w:ind w:left="940" w:right="214" w:hanging="360"/>
        <w:jc w:val="both"/>
        <w:rPr>
          <w:sz w:val="24"/>
        </w:rPr>
      </w:pPr>
      <w:r>
        <w:rPr>
          <w:sz w:val="24"/>
        </w:rPr>
        <w:t>Barbeau J, Gauthier C, Payment P. Biofilms, infectious agents, and dental unit waterlines: a review. Can J Microbiol. 1998;44:1019–28. doi: 10.1139/w98-101.</w:t>
      </w:r>
    </w:p>
    <w:p>
      <w:pPr>
        <w:pStyle w:val="ListParagraph"/>
        <w:numPr>
          <w:ilvl w:val="0"/>
          <w:numId w:val="10"/>
        </w:numPr>
        <w:tabs>
          <w:tab w:pos="941" w:val="left" w:leader="none"/>
        </w:tabs>
        <w:spacing w:line="276" w:lineRule="auto" w:before="0" w:after="0"/>
        <w:ind w:left="940" w:right="225" w:hanging="360"/>
        <w:jc w:val="both"/>
        <w:rPr>
          <w:sz w:val="24"/>
        </w:rPr>
      </w:pPr>
      <w:r>
        <w:rPr>
          <w:sz w:val="24"/>
        </w:rPr>
        <w:t>Bonadonna L, Briancesco R, Della Libera S, Lacchetti I, Paradiso R, Semproni M. Microbial characterization of water and biofilms in drinking water distribution systems at sport facilities. Cent Eur J Public Health . 2009;17(2):99–102.</w:t>
      </w:r>
    </w:p>
    <w:p>
      <w:pPr>
        <w:pStyle w:val="ListParagraph"/>
        <w:numPr>
          <w:ilvl w:val="0"/>
          <w:numId w:val="10"/>
        </w:numPr>
        <w:tabs>
          <w:tab w:pos="941" w:val="left" w:leader="none"/>
        </w:tabs>
        <w:spacing w:line="276" w:lineRule="auto" w:before="0" w:after="0"/>
        <w:ind w:left="940" w:right="226" w:hanging="360"/>
        <w:jc w:val="both"/>
        <w:rPr>
          <w:sz w:val="24"/>
        </w:rPr>
      </w:pPr>
      <w:r>
        <w:rPr>
          <w:sz w:val="24"/>
        </w:rPr>
        <w:t>Prescott, Halley, Klein Microbiología” Mc Graw Hill Interamericana. 4a Ed. 2004</w:t>
      </w:r>
    </w:p>
    <w:p>
      <w:pPr>
        <w:pStyle w:val="ListParagraph"/>
        <w:numPr>
          <w:ilvl w:val="0"/>
          <w:numId w:val="10"/>
        </w:numPr>
        <w:tabs>
          <w:tab w:pos="941" w:val="left" w:leader="none"/>
        </w:tabs>
        <w:spacing w:line="276" w:lineRule="auto" w:before="0" w:after="0"/>
        <w:ind w:left="940" w:right="228" w:hanging="360"/>
        <w:jc w:val="both"/>
        <w:rPr>
          <w:sz w:val="24"/>
        </w:rPr>
      </w:pPr>
      <w:r>
        <w:rPr>
          <w:sz w:val="24"/>
        </w:rPr>
        <w:t>Gunther F. Craun, Joan M. Brunkard, Causes of outbreaks associated with drinking water in the United States from 1971 to 2006. J Public Health 2010:16-102</w:t>
      </w:r>
    </w:p>
    <w:p>
      <w:pPr>
        <w:pStyle w:val="ListParagraph"/>
        <w:numPr>
          <w:ilvl w:val="0"/>
          <w:numId w:val="10"/>
        </w:numPr>
        <w:tabs>
          <w:tab w:pos="941" w:val="left" w:leader="none"/>
        </w:tabs>
        <w:spacing w:line="280" w:lineRule="auto" w:before="0" w:after="0"/>
        <w:ind w:left="940" w:right="222" w:hanging="360"/>
        <w:jc w:val="both"/>
        <w:rPr>
          <w:sz w:val="24"/>
        </w:rPr>
      </w:pPr>
      <w:r>
        <w:rPr>
          <w:sz w:val="24"/>
        </w:rPr>
        <w:t>Secretaria de Salud, Sistema nacional de vigilancia epidemiológica, Vigilancia  Epidemiológica</w:t>
      </w:r>
      <w:r>
        <w:rPr>
          <w:spacing w:val="-17"/>
          <w:sz w:val="24"/>
        </w:rPr>
        <w:t> </w:t>
      </w:r>
      <w:r>
        <w:rPr>
          <w:sz w:val="24"/>
        </w:rPr>
        <w:t>2005:22(8)</w:t>
      </w:r>
    </w:p>
    <w:p>
      <w:pPr>
        <w:pStyle w:val="ListParagraph"/>
        <w:numPr>
          <w:ilvl w:val="0"/>
          <w:numId w:val="10"/>
        </w:numPr>
        <w:tabs>
          <w:tab w:pos="941" w:val="left" w:leader="none"/>
        </w:tabs>
        <w:spacing w:line="276" w:lineRule="auto" w:before="0" w:after="0"/>
        <w:ind w:left="940" w:right="230" w:hanging="360"/>
        <w:jc w:val="both"/>
        <w:rPr>
          <w:color w:val="333333"/>
          <w:sz w:val="24"/>
        </w:rPr>
      </w:pPr>
      <w:r>
        <w:rPr>
          <w:color w:val="333333"/>
          <w:sz w:val="24"/>
        </w:rPr>
        <w:t>Koneman. Diagnostico Microbiologico/ Microbiological diagnosis: Texto y atlas.6ª edición. Editorial medica panamericana. Madrid, España.</w:t>
      </w:r>
      <w:r>
        <w:rPr>
          <w:color w:val="333333"/>
          <w:spacing w:val="-32"/>
          <w:sz w:val="24"/>
        </w:rPr>
        <w:t> </w:t>
      </w:r>
      <w:r>
        <w:rPr>
          <w:color w:val="333333"/>
          <w:sz w:val="24"/>
        </w:rPr>
        <w:t>2006</w:t>
      </w:r>
    </w:p>
    <w:p>
      <w:pPr>
        <w:pStyle w:val="ListParagraph"/>
        <w:numPr>
          <w:ilvl w:val="0"/>
          <w:numId w:val="10"/>
        </w:numPr>
        <w:tabs>
          <w:tab w:pos="941" w:val="left" w:leader="none"/>
        </w:tabs>
        <w:spacing w:line="276" w:lineRule="auto" w:before="1" w:after="0"/>
        <w:ind w:left="940" w:right="215" w:hanging="360"/>
        <w:jc w:val="both"/>
        <w:rPr>
          <w:color w:val="333333"/>
          <w:sz w:val="24"/>
        </w:rPr>
      </w:pPr>
      <w:r>
        <w:rPr>
          <w:color w:val="333333"/>
          <w:sz w:val="24"/>
        </w:rPr>
        <w:t>Atlas RM, Williams JF, Huntington </w:t>
      </w:r>
      <w:r>
        <w:rPr>
          <w:color w:val="333333"/>
          <w:spacing w:val="-2"/>
          <w:sz w:val="24"/>
        </w:rPr>
        <w:t>MK: </w:t>
      </w:r>
      <w:r>
        <w:rPr>
          <w:color w:val="333333"/>
          <w:sz w:val="24"/>
        </w:rPr>
        <w:t>Legionella contamination of dental- unit waters. Appl Environ Microbiol 1995, 61,</w:t>
      </w:r>
      <w:r>
        <w:rPr>
          <w:color w:val="333333"/>
          <w:spacing w:val="-18"/>
          <w:sz w:val="24"/>
        </w:rPr>
        <w:t> </w:t>
      </w:r>
      <w:r>
        <w:rPr>
          <w:color w:val="333333"/>
          <w:sz w:val="24"/>
        </w:rPr>
        <w:t>1208-1213.</w:t>
      </w:r>
    </w:p>
    <w:p>
      <w:pPr>
        <w:pStyle w:val="ListParagraph"/>
        <w:numPr>
          <w:ilvl w:val="0"/>
          <w:numId w:val="10"/>
        </w:numPr>
        <w:tabs>
          <w:tab w:pos="941" w:val="left" w:leader="none"/>
        </w:tabs>
        <w:spacing w:line="276" w:lineRule="auto" w:before="0" w:after="0"/>
        <w:ind w:left="940" w:right="219" w:hanging="360"/>
        <w:jc w:val="both"/>
        <w:rPr>
          <w:color w:val="333333"/>
          <w:sz w:val="24"/>
        </w:rPr>
      </w:pPr>
      <w:r>
        <w:rPr>
          <w:sz w:val="24"/>
        </w:rPr>
        <w:t>Ma'ayeh SY, Al-Hiyasat AS, Hindiyeh </w:t>
      </w:r>
      <w:r>
        <w:rPr>
          <w:spacing w:val="-2"/>
          <w:sz w:val="24"/>
        </w:rPr>
        <w:t>MY, </w:t>
      </w:r>
      <w:r>
        <w:rPr>
          <w:sz w:val="24"/>
        </w:rPr>
        <w:t>Khader YS. Legionella pneumophila contamination of a dental unit water line system in a dental teaching centre. Int J Dent Hyg. 2008;6:48–55. doi:</w:t>
      </w:r>
      <w:r>
        <w:rPr>
          <w:spacing w:val="-22"/>
          <w:sz w:val="24"/>
        </w:rPr>
        <w:t> </w:t>
      </w:r>
      <w:r>
        <w:rPr>
          <w:sz w:val="24"/>
        </w:rPr>
        <w:t>10.1111/j.1601-5037</w:t>
      </w:r>
    </w:p>
    <w:p>
      <w:pPr>
        <w:pStyle w:val="ListParagraph"/>
        <w:numPr>
          <w:ilvl w:val="0"/>
          <w:numId w:val="10"/>
        </w:numPr>
        <w:tabs>
          <w:tab w:pos="941" w:val="left" w:leader="none"/>
        </w:tabs>
        <w:spacing w:line="276" w:lineRule="auto" w:before="6" w:after="0"/>
        <w:ind w:left="940" w:right="214" w:hanging="360"/>
        <w:jc w:val="both"/>
        <w:rPr>
          <w:color w:val="333333"/>
          <w:sz w:val="24"/>
        </w:rPr>
      </w:pPr>
      <w:r>
        <w:rPr>
          <w:sz w:val="24"/>
        </w:rPr>
        <w:t>Szymanska J. Risk of exposure to Legionella in dental practice. Ann Agric Environ</w:t>
      </w:r>
      <w:r>
        <w:rPr>
          <w:spacing w:val="-8"/>
          <w:sz w:val="24"/>
        </w:rPr>
        <w:t> </w:t>
      </w:r>
      <w:r>
        <w:rPr>
          <w:sz w:val="24"/>
        </w:rPr>
        <w:t>Med.2004;11:9–12.</w:t>
      </w:r>
    </w:p>
    <w:p>
      <w:pPr>
        <w:pStyle w:val="ListParagraph"/>
        <w:numPr>
          <w:ilvl w:val="0"/>
          <w:numId w:val="10"/>
        </w:numPr>
        <w:tabs>
          <w:tab w:pos="941" w:val="left" w:leader="none"/>
        </w:tabs>
        <w:spacing w:line="276" w:lineRule="auto" w:before="0" w:after="0"/>
        <w:ind w:left="940" w:right="231" w:hanging="360"/>
        <w:jc w:val="both"/>
        <w:rPr>
          <w:color w:val="333333"/>
          <w:sz w:val="24"/>
        </w:rPr>
      </w:pPr>
      <w:r>
        <w:rPr>
          <w:color w:val="333333"/>
          <w:sz w:val="24"/>
        </w:rPr>
        <w:t>Legionella spp. ¿Ausente en los hospitales de Costa Rica? Rev Biomed 2002;</w:t>
      </w:r>
      <w:r>
        <w:rPr>
          <w:color w:val="333333"/>
          <w:spacing w:val="-5"/>
          <w:sz w:val="24"/>
        </w:rPr>
        <w:t> </w:t>
      </w:r>
      <w:r>
        <w:rPr>
          <w:color w:val="333333"/>
          <w:sz w:val="24"/>
        </w:rPr>
        <w:t>13:165-169.</w:t>
      </w:r>
    </w:p>
    <w:p>
      <w:pPr>
        <w:spacing w:after="0" w:line="276" w:lineRule="auto"/>
        <w:jc w:val="both"/>
        <w:rPr>
          <w:sz w:val="24"/>
        </w:rPr>
        <w:sectPr>
          <w:pgSz w:w="12240" w:h="15840"/>
          <w:pgMar w:header="731" w:footer="1012" w:top="1160" w:bottom="1200" w:left="1480" w:right="1480"/>
        </w:sectPr>
      </w:pPr>
    </w:p>
    <w:p>
      <w:pPr>
        <w:pStyle w:val="BodyText"/>
        <w:spacing w:before="11"/>
        <w:rPr>
          <w:sz w:val="16"/>
        </w:rPr>
      </w:pPr>
    </w:p>
    <w:p>
      <w:pPr>
        <w:pStyle w:val="ListParagraph"/>
        <w:numPr>
          <w:ilvl w:val="0"/>
          <w:numId w:val="10"/>
        </w:numPr>
        <w:tabs>
          <w:tab w:pos="941" w:val="left" w:leader="none"/>
        </w:tabs>
        <w:spacing w:line="278" w:lineRule="auto" w:before="69" w:after="0"/>
        <w:ind w:left="940" w:right="220" w:hanging="360"/>
        <w:jc w:val="both"/>
        <w:rPr>
          <w:color w:val="333333"/>
          <w:sz w:val="24"/>
        </w:rPr>
      </w:pPr>
      <w:r>
        <w:rPr>
          <w:color w:val="333333"/>
          <w:sz w:val="24"/>
        </w:rPr>
        <w:t>Exner M, Kramer A, Lajoie L et al. Prevention and control of health care associated waterborne infections in health care facilities. Am J Infect Control.</w:t>
      </w:r>
      <w:r>
        <w:rPr>
          <w:color w:val="333333"/>
          <w:spacing w:val="-5"/>
          <w:sz w:val="24"/>
        </w:rPr>
        <w:t> </w:t>
      </w:r>
      <w:r>
        <w:rPr>
          <w:color w:val="333333"/>
          <w:sz w:val="24"/>
        </w:rPr>
        <w:t>2005:33;S26-S40</w:t>
      </w:r>
    </w:p>
    <w:p>
      <w:pPr>
        <w:pStyle w:val="ListParagraph"/>
        <w:numPr>
          <w:ilvl w:val="0"/>
          <w:numId w:val="10"/>
        </w:numPr>
        <w:tabs>
          <w:tab w:pos="941" w:val="left" w:leader="none"/>
        </w:tabs>
        <w:spacing w:line="276" w:lineRule="auto" w:before="0" w:after="0"/>
        <w:ind w:left="940" w:right="224" w:hanging="360"/>
        <w:jc w:val="both"/>
        <w:rPr>
          <w:color w:val="333333"/>
          <w:sz w:val="24"/>
        </w:rPr>
      </w:pPr>
      <w:r>
        <w:rPr>
          <w:sz w:val="24"/>
        </w:rPr>
        <w:t>Kusnetsov J, Torvinen E, Perola O et al. Colonization of hospital water systems by legionellae, mycobacteria and other heterotrophic bacteria potentially hazardous to risk group patients. APMIS 2003; 111:</w:t>
      </w:r>
      <w:r>
        <w:rPr>
          <w:spacing w:val="-24"/>
          <w:sz w:val="24"/>
        </w:rPr>
        <w:t> </w:t>
      </w:r>
      <w:r>
        <w:rPr>
          <w:sz w:val="24"/>
        </w:rPr>
        <w:t>546 – 56.</w:t>
      </w:r>
    </w:p>
    <w:p>
      <w:pPr>
        <w:pStyle w:val="ListParagraph"/>
        <w:numPr>
          <w:ilvl w:val="0"/>
          <w:numId w:val="10"/>
        </w:numPr>
        <w:tabs>
          <w:tab w:pos="941" w:val="left" w:leader="none"/>
        </w:tabs>
        <w:spacing w:line="276" w:lineRule="auto" w:before="0" w:after="0"/>
        <w:ind w:left="940" w:right="219" w:hanging="360"/>
        <w:jc w:val="both"/>
        <w:rPr>
          <w:color w:val="333333"/>
          <w:sz w:val="24"/>
        </w:rPr>
      </w:pPr>
      <w:r>
        <w:rPr>
          <w:color w:val="333333"/>
          <w:sz w:val="24"/>
        </w:rPr>
        <w:t>Williams JF, Johnston </w:t>
      </w:r>
      <w:r>
        <w:rPr>
          <w:color w:val="333333"/>
          <w:spacing w:val="-2"/>
          <w:sz w:val="24"/>
        </w:rPr>
        <w:t>AM, </w:t>
      </w:r>
      <w:r>
        <w:rPr>
          <w:color w:val="333333"/>
          <w:sz w:val="24"/>
        </w:rPr>
        <w:t>Johnson B, Huntington </w:t>
      </w:r>
      <w:r>
        <w:rPr>
          <w:color w:val="333333"/>
          <w:spacing w:val="-2"/>
          <w:sz w:val="24"/>
        </w:rPr>
        <w:t>MK, </w:t>
      </w:r>
      <w:r>
        <w:rPr>
          <w:color w:val="333333"/>
          <w:sz w:val="24"/>
        </w:rPr>
        <w:t>Mackenzie CD: Microbial contamination of dental unit waterlines: prevalence, intensity, and microbial characteristics. J Am Dent Assoc 1993, 124,</w:t>
      </w:r>
      <w:r>
        <w:rPr>
          <w:color w:val="333333"/>
          <w:spacing w:val="-20"/>
          <w:sz w:val="24"/>
        </w:rPr>
        <w:t> </w:t>
      </w:r>
      <w:r>
        <w:rPr>
          <w:color w:val="333333"/>
          <w:sz w:val="24"/>
        </w:rPr>
        <w:t>59-65</w:t>
      </w:r>
    </w:p>
    <w:p>
      <w:pPr>
        <w:pStyle w:val="ListParagraph"/>
        <w:numPr>
          <w:ilvl w:val="0"/>
          <w:numId w:val="10"/>
        </w:numPr>
        <w:tabs>
          <w:tab w:pos="941" w:val="left" w:leader="none"/>
        </w:tabs>
        <w:spacing w:line="278" w:lineRule="auto" w:before="0" w:after="0"/>
        <w:ind w:left="940" w:right="223" w:hanging="360"/>
        <w:jc w:val="both"/>
        <w:rPr>
          <w:color w:val="333333"/>
          <w:sz w:val="24"/>
        </w:rPr>
      </w:pPr>
      <w:r>
        <w:rPr>
          <w:color w:val="333333"/>
          <w:sz w:val="24"/>
        </w:rPr>
        <w:t>Real Decreto 865/2003, de 4.7 (M. San. y Cons., BOE 18.7.2003), por el que se establecen los criterios higiénico - sanitarios para la prevención y el control de la</w:t>
      </w:r>
      <w:r>
        <w:rPr>
          <w:color w:val="333333"/>
          <w:spacing w:val="-6"/>
          <w:sz w:val="24"/>
        </w:rPr>
        <w:t> </w:t>
      </w:r>
      <w:r>
        <w:rPr>
          <w:color w:val="333333"/>
          <w:sz w:val="24"/>
        </w:rPr>
        <w:t>legionelosis.</w:t>
      </w:r>
    </w:p>
    <w:p>
      <w:pPr>
        <w:spacing w:after="0" w:line="278" w:lineRule="auto"/>
        <w:jc w:val="both"/>
        <w:rPr>
          <w:sz w:val="24"/>
        </w:rPr>
        <w:sectPr>
          <w:pgSz w:w="12240" w:h="15840"/>
          <w:pgMar w:header="731" w:footer="1012" w:top="1160" w:bottom="1200" w:left="1480" w:right="1480"/>
        </w:sectPr>
      </w:pPr>
    </w:p>
    <w:p>
      <w:pPr>
        <w:pStyle w:val="BodyText"/>
        <w:spacing w:before="1"/>
        <w:rPr>
          <w:sz w:val="16"/>
        </w:rPr>
      </w:pPr>
    </w:p>
    <w:p>
      <w:pPr>
        <w:pStyle w:val="Heading2"/>
        <w:spacing w:before="70"/>
        <w:ind w:right="387"/>
      </w:pPr>
      <w:r>
        <w:rPr/>
        <w:t>Figuras</w:t>
      </w:r>
    </w:p>
    <w:p>
      <w:pPr>
        <w:pStyle w:val="BodyText"/>
        <w:spacing w:before="10"/>
        <w:rPr>
          <w:b/>
          <w:sz w:val="18"/>
        </w:rPr>
      </w:pPr>
      <w:r>
        <w:rPr/>
        <w:drawing>
          <wp:anchor distT="0" distB="0" distL="0" distR="0" allowOverlap="1" layoutInCell="1" locked="0" behindDoc="0" simplePos="0" relativeHeight="2632">
            <wp:simplePos x="0" y="0"/>
            <wp:positionH relativeFrom="page">
              <wp:posOffset>1080135</wp:posOffset>
            </wp:positionH>
            <wp:positionV relativeFrom="paragraph">
              <wp:posOffset>367373</wp:posOffset>
            </wp:positionV>
            <wp:extent cx="2507844" cy="1885950"/>
            <wp:effectExtent l="0" t="0" r="0" b="0"/>
            <wp:wrapTopAndBottom/>
            <wp:docPr id="19" name="image39.jpeg" descr=""/>
            <wp:cNvGraphicFramePr>
              <a:graphicFrameLocks noChangeAspect="1"/>
            </wp:cNvGraphicFramePr>
            <a:graphic>
              <a:graphicData uri="http://schemas.openxmlformats.org/drawingml/2006/picture">
                <pic:pic>
                  <pic:nvPicPr>
                    <pic:cNvPr id="20" name="image39.jpeg"/>
                    <pic:cNvPicPr/>
                  </pic:nvPicPr>
                  <pic:blipFill>
                    <a:blip r:embed="rId62" cstate="print"/>
                    <a:stretch>
                      <a:fillRect/>
                    </a:stretch>
                  </pic:blipFill>
                  <pic:spPr>
                    <a:xfrm>
                      <a:off x="0" y="0"/>
                      <a:ext cx="2507844" cy="1885950"/>
                    </a:xfrm>
                    <a:prstGeom prst="rect">
                      <a:avLst/>
                    </a:prstGeom>
                  </pic:spPr>
                </pic:pic>
              </a:graphicData>
            </a:graphic>
          </wp:anchor>
        </w:drawing>
      </w:r>
      <w:r>
        <w:rPr/>
        <w:drawing>
          <wp:anchor distT="0" distB="0" distL="0" distR="0" allowOverlap="1" layoutInCell="1" locked="0" behindDoc="0" simplePos="0" relativeHeight="2656">
            <wp:simplePos x="0" y="0"/>
            <wp:positionH relativeFrom="page">
              <wp:posOffset>3891153</wp:posOffset>
            </wp:positionH>
            <wp:positionV relativeFrom="paragraph">
              <wp:posOffset>162903</wp:posOffset>
            </wp:positionV>
            <wp:extent cx="2533650" cy="2085975"/>
            <wp:effectExtent l="0" t="0" r="0" b="0"/>
            <wp:wrapTopAndBottom/>
            <wp:docPr id="21" name="image40.png" descr=""/>
            <wp:cNvGraphicFramePr>
              <a:graphicFrameLocks noChangeAspect="1"/>
            </wp:cNvGraphicFramePr>
            <a:graphic>
              <a:graphicData uri="http://schemas.openxmlformats.org/drawingml/2006/picture">
                <pic:pic>
                  <pic:nvPicPr>
                    <pic:cNvPr id="22" name="image40.png"/>
                    <pic:cNvPicPr/>
                  </pic:nvPicPr>
                  <pic:blipFill>
                    <a:blip r:embed="rId63" cstate="print"/>
                    <a:stretch>
                      <a:fillRect/>
                    </a:stretch>
                  </pic:blipFill>
                  <pic:spPr>
                    <a:xfrm>
                      <a:off x="0" y="0"/>
                      <a:ext cx="2533650" cy="2085975"/>
                    </a:xfrm>
                    <a:prstGeom prst="rect">
                      <a:avLst/>
                    </a:prstGeom>
                  </pic:spPr>
                </pic:pic>
              </a:graphicData>
            </a:graphic>
          </wp:anchor>
        </w:drawing>
      </w:r>
      <w:r>
        <w:rPr/>
        <w:pict>
          <v:group style="position:absolute;margin-left:86.160004pt;margin-top:194.47702pt;width:196.35pt;height:40.8pt;mso-position-horizontal-relative:page;mso-position-vertical-relative:paragraph;z-index:2704;mso-wrap-distance-left:0;mso-wrap-distance-right:0" coordorigin="1723,3890" coordsize="3927,816">
            <v:shape style="position:absolute;left:1723;top:3890;width:3926;height:816" type="#_x0000_t75" stroked="false">
              <v:imagedata r:id="rId64" o:title=""/>
            </v:shape>
            <v:shape style="position:absolute;left:1723;top:3890;width:3927;height:816" type="#_x0000_t202" filled="false" stroked="false">
              <v:textbox inset="0,0,0,0">
                <w:txbxContent>
                  <w:p>
                    <w:pPr>
                      <w:spacing w:line="271" w:lineRule="auto" w:before="3"/>
                      <w:ind w:left="370" w:right="351" w:firstLine="14"/>
                      <w:jc w:val="left"/>
                      <w:rPr>
                        <w:rFonts w:ascii="Calibri" w:hAnsi="Calibri"/>
                        <w:i/>
                        <w:sz w:val="22"/>
                      </w:rPr>
                    </w:pPr>
                    <w:r>
                      <w:rPr>
                        <w:rFonts w:ascii="Calibri" w:hAnsi="Calibri"/>
                        <w:sz w:val="22"/>
                      </w:rPr>
                      <w:t>FIGURA I: aspecto macroscópico de colonias de </w:t>
                    </w:r>
                    <w:r>
                      <w:rPr>
                        <w:rFonts w:ascii="Calibri" w:hAnsi="Calibri"/>
                        <w:i/>
                        <w:sz w:val="22"/>
                      </w:rPr>
                      <w:t>Legionella pneumophila</w:t>
                    </w:r>
                  </w:p>
                </w:txbxContent>
              </v:textbox>
              <w10:wrap type="none"/>
            </v:shape>
            <w10:wrap type="topAndBottom"/>
          </v:group>
        </w:pict>
      </w:r>
      <w:r>
        <w:rPr/>
        <w:pict>
          <v:group style="position:absolute;margin-left:309.359985pt;margin-top:195.197021pt;width:196.1pt;height:40.8pt;mso-position-horizontal-relative:page;mso-position-vertical-relative:paragraph;z-index:2752;mso-wrap-distance-left:0;mso-wrap-distance-right:0" coordorigin="6187,3904" coordsize="3922,816">
            <v:shape style="position:absolute;left:6187;top:3904;width:3922;height:816" type="#_x0000_t75" stroked="false">
              <v:imagedata r:id="rId64" o:title=""/>
            </v:shape>
            <v:shape style="position:absolute;left:6187;top:3904;width:3922;height:816" type="#_x0000_t202" filled="false" stroked="false">
              <v:textbox inset="0,0,0,0">
                <w:txbxContent>
                  <w:p>
                    <w:pPr>
                      <w:spacing w:before="3"/>
                      <w:ind w:left="364" w:right="359" w:firstLine="0"/>
                      <w:jc w:val="center"/>
                      <w:rPr>
                        <w:rFonts w:ascii="Calibri" w:hAnsi="Calibri"/>
                        <w:sz w:val="22"/>
                      </w:rPr>
                    </w:pPr>
                    <w:r>
                      <w:rPr>
                        <w:rFonts w:ascii="Calibri" w:hAnsi="Calibri"/>
                        <w:sz w:val="22"/>
                      </w:rPr>
                      <w:t>FIGURA II: aspecto microscópico de</w:t>
                    </w:r>
                  </w:p>
                  <w:p>
                    <w:pPr>
                      <w:spacing w:before="34"/>
                      <w:ind w:left="364" w:right="358" w:firstLine="0"/>
                      <w:jc w:val="center"/>
                      <w:rPr>
                        <w:rFonts w:ascii="Calibri"/>
                        <w:i/>
                        <w:sz w:val="22"/>
                      </w:rPr>
                    </w:pPr>
                    <w:r>
                      <w:rPr>
                        <w:rFonts w:ascii="Calibri"/>
                        <w:i/>
                        <w:sz w:val="22"/>
                      </w:rPr>
                      <w:t>Legionella pneumophila</w:t>
                    </w:r>
                  </w:p>
                </w:txbxContent>
              </v:textbox>
              <w10:wrap type="none"/>
            </v:shape>
            <w10:wrap type="topAndBottom"/>
          </v:group>
        </w:pict>
      </w:r>
    </w:p>
    <w:p>
      <w:pPr>
        <w:pStyle w:val="BodyText"/>
        <w:spacing w:before="8"/>
        <w:rPr>
          <w:b/>
          <w:sz w:val="23"/>
        </w:rPr>
      </w:pPr>
    </w:p>
    <w:p>
      <w:pPr>
        <w:spacing w:after="0"/>
        <w:rPr>
          <w:sz w:val="23"/>
        </w:rPr>
        <w:sectPr>
          <w:pgSz w:w="12240" w:h="15840"/>
          <w:pgMar w:header="731" w:footer="1012" w:top="1160" w:bottom="1200" w:left="1480" w:right="1480"/>
        </w:sectPr>
      </w:pPr>
    </w:p>
    <w:p>
      <w:pPr>
        <w:pStyle w:val="BodyText"/>
        <w:spacing w:before="1"/>
        <w:rPr>
          <w:b/>
          <w:sz w:val="16"/>
        </w:rPr>
      </w:pPr>
    </w:p>
    <w:p>
      <w:pPr>
        <w:spacing w:before="70"/>
        <w:ind w:left="239" w:right="284" w:firstLine="0"/>
        <w:jc w:val="left"/>
        <w:rPr>
          <w:b/>
          <w:sz w:val="24"/>
        </w:rPr>
      </w:pPr>
      <w:r>
        <w:rPr>
          <w:b/>
          <w:sz w:val="24"/>
        </w:rPr>
        <w:t>Tablas</w:t>
      </w:r>
    </w:p>
    <w:p>
      <w:pPr>
        <w:pStyle w:val="BodyText"/>
        <w:spacing w:before="4"/>
        <w:rPr>
          <w:b/>
          <w:sz w:val="21"/>
        </w:rPr>
      </w:pPr>
    </w:p>
    <w:p>
      <w:pPr>
        <w:spacing w:before="1"/>
        <w:ind w:left="1089" w:right="284" w:hanging="803"/>
        <w:jc w:val="left"/>
        <w:rPr>
          <w:b/>
          <w:sz w:val="20"/>
        </w:rPr>
      </w:pPr>
      <w:r>
        <w:rPr>
          <w:b/>
          <w:sz w:val="20"/>
        </w:rPr>
        <w:t>Tabla 1 Estadísticos descriptivos de UFC/ml de </w:t>
      </w:r>
      <w:r>
        <w:rPr>
          <w:b/>
          <w:i/>
          <w:sz w:val="20"/>
        </w:rPr>
        <w:t>L. pneumophila </w:t>
      </w:r>
      <w:r>
        <w:rPr>
          <w:b/>
          <w:sz w:val="20"/>
        </w:rPr>
        <w:t>encontradas en sistemas de agua de la Facultad de Odontología de la Universidad Autónoma del Estado de México. 2013</w:t>
      </w:r>
    </w:p>
    <w:p>
      <w:pPr>
        <w:pStyle w:val="BodyText"/>
        <w:rPr>
          <w:b/>
          <w:sz w:val="15"/>
        </w:rPr>
      </w:pPr>
      <w:r>
        <w:rPr/>
        <w:pict>
          <v:group style="position:absolute;margin-left:78.963997pt;margin-top:10.58087pt;width:495.85pt;height:23.35pt;mso-position-horizontal-relative:page;mso-position-vertical-relative:paragraph;z-index:2776;mso-wrap-distance-left:0;mso-wrap-distance-right:0" coordorigin="1579,212" coordsize="9917,467">
            <v:line style="position:absolute" from="1589,222" to="3765,222" stroked="true" strokeweight=".95999pt" strokecolor="#4aacc5"/>
            <v:line style="position:absolute" from="3765,222" to="3784,222" stroked="true" strokeweight=".95999pt" strokecolor="#4aacc5"/>
            <v:line style="position:absolute" from="3784,222" to="5325,222" stroked="true" strokeweight=".95999pt" strokecolor="#4aacc5"/>
            <v:line style="position:absolute" from="5325,222" to="5344,222" stroked="true" strokeweight=".95999pt" strokecolor="#4aacc5"/>
            <v:line style="position:absolute" from="5344,222" to="6862,222" stroked="true" strokeweight=".95999pt" strokecolor="#4aacc5"/>
            <v:line style="position:absolute" from="6862,222" to="6881,222" stroked="true" strokeweight=".95999pt" strokecolor="#4aacc5"/>
            <v:line style="position:absolute" from="6881,222" to="8398,222" stroked="true" strokeweight=".95999pt" strokecolor="#4aacc5"/>
            <v:line style="position:absolute" from="8399,222" to="8418,222" stroked="true" strokeweight=".95999pt" strokecolor="#4aacc5"/>
            <v:line style="position:absolute" from="8418,222" to="9940,222" stroked="true" strokeweight=".95999pt" strokecolor="#4aacc5"/>
            <v:line style="position:absolute" from="9940,222" to="9959,222" stroked="true" strokeweight=".95999pt" strokecolor="#4aacc5"/>
            <v:line style="position:absolute" from="9959,222" to="11486,222" stroked="true" strokeweight=".95999pt" strokecolor="#4aacc5"/>
            <v:line style="position:absolute" from="3772,231" to="3772,658" stroked="true" strokeweight=".72pt" strokecolor="#4aacc5"/>
            <v:line style="position:absolute" from="5332,231" to="5332,658" stroked="true" strokeweight=".72pt" strokecolor="#4aacc5"/>
            <v:line style="position:absolute" from="6869,231" to="6869,658" stroked="true" strokeweight=".72pt" strokecolor="#4aacc5"/>
            <v:line style="position:absolute" from="8406,231" to="8406,658" stroked="true" strokeweight=".72pt" strokecolor="#4aacc5"/>
            <v:line style="position:absolute" from="9947,231" to="9947,658" stroked="true" strokeweight=".72pt" strokecolor="#4aacc5"/>
            <v:line style="position:absolute" from="1589,668" to="3765,668" stroked="true" strokeweight=".96001pt" strokecolor="#4aacc5"/>
            <v:line style="position:absolute" from="3765,668" to="3784,668" stroked="true" strokeweight=".96001pt" strokecolor="#4aacc5"/>
            <v:line style="position:absolute" from="3784,668" to="5325,668" stroked="true" strokeweight=".96001pt" strokecolor="#4aacc5"/>
            <v:line style="position:absolute" from="5325,668" to="5344,668" stroked="true" strokeweight=".96001pt" strokecolor="#4aacc5"/>
            <v:line style="position:absolute" from="5344,668" to="6862,668" stroked="true" strokeweight=".96001pt" strokecolor="#4aacc5"/>
            <v:line style="position:absolute" from="6862,668" to="6881,668" stroked="true" strokeweight=".96001pt" strokecolor="#4aacc5"/>
            <v:line style="position:absolute" from="6881,668" to="8398,668" stroked="true" strokeweight=".96001pt" strokecolor="#4aacc5"/>
            <v:line style="position:absolute" from="8399,668" to="8418,668" stroked="true" strokeweight=".96001pt" strokecolor="#4aacc5"/>
            <v:line style="position:absolute" from="8418,668" to="9940,668" stroked="true" strokeweight=".96001pt" strokecolor="#4aacc5"/>
            <v:line style="position:absolute" from="9940,668" to="9959,668" stroked="true" strokeweight=".96001pt" strokecolor="#4aacc5"/>
            <v:line style="position:absolute" from="9959,668" to="11486,668" stroked="true" strokeweight=".96001pt" strokecolor="#4aacc5"/>
            <w10:wrap type="topAndBottom"/>
          </v:group>
        </w:pict>
      </w:r>
    </w:p>
    <w:p>
      <w:pPr>
        <w:spacing w:line="195" w:lineRule="exact" w:before="0"/>
        <w:ind w:left="3500" w:right="3506" w:firstLine="0"/>
        <w:jc w:val="center"/>
        <w:rPr>
          <w:b/>
          <w:sz w:val="20"/>
        </w:rPr>
      </w:pPr>
      <w:r>
        <w:rPr>
          <w:b/>
          <w:sz w:val="20"/>
        </w:rPr>
        <w:t>Líneas de agua de alta velocidad</w:t>
      </w:r>
    </w:p>
    <w:p>
      <w:pPr>
        <w:pStyle w:val="BodyText"/>
        <w:rPr>
          <w:b/>
          <w:sz w:val="18"/>
        </w:rPr>
      </w:pPr>
    </w:p>
    <w:tbl>
      <w:tblPr>
        <w:tblW w:w="0" w:type="auto"/>
        <w:jc w:val="left"/>
        <w:tblInd w:w="119"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185"/>
        <w:gridCol w:w="1561"/>
        <w:gridCol w:w="1537"/>
        <w:gridCol w:w="1537"/>
        <w:gridCol w:w="1541"/>
        <w:gridCol w:w="1536"/>
      </w:tblGrid>
      <w:tr>
        <w:trPr>
          <w:trHeight w:val="452" w:hRule="exact"/>
        </w:trPr>
        <w:tc>
          <w:tcPr>
            <w:tcW w:w="2185" w:type="dxa"/>
            <w:tcBorders>
              <w:left w:val="nil"/>
              <w:right w:val="single" w:sz="6" w:space="0" w:color="4AACC5"/>
            </w:tcBorders>
          </w:tcPr>
          <w:p>
            <w:pPr>
              <w:pStyle w:val="TableParagraph"/>
              <w:spacing w:line="220" w:lineRule="exact"/>
              <w:ind w:left="110"/>
              <w:rPr>
                <w:b/>
                <w:sz w:val="20"/>
              </w:rPr>
            </w:pPr>
            <w:r>
              <w:rPr>
                <w:b/>
                <w:sz w:val="20"/>
              </w:rPr>
              <w:t>Clínica 1</w:t>
            </w:r>
          </w:p>
        </w:tc>
        <w:tc>
          <w:tcPr>
            <w:tcW w:w="1561" w:type="dxa"/>
            <w:tcBorders>
              <w:left w:val="single" w:sz="6" w:space="0" w:color="4AACC5"/>
              <w:right w:val="single" w:sz="6" w:space="0" w:color="4AACC5"/>
            </w:tcBorders>
          </w:tcPr>
          <w:p>
            <w:pPr>
              <w:pStyle w:val="TableParagraph"/>
              <w:ind w:left="103"/>
              <w:rPr>
                <w:sz w:val="20"/>
              </w:rPr>
            </w:pPr>
            <w:r>
              <w:rPr>
                <w:sz w:val="20"/>
              </w:rPr>
              <w:t>12</w:t>
            </w:r>
          </w:p>
        </w:tc>
        <w:tc>
          <w:tcPr>
            <w:tcW w:w="1537" w:type="dxa"/>
            <w:tcBorders>
              <w:left w:val="single" w:sz="6" w:space="0" w:color="4AACC5"/>
              <w:right w:val="single" w:sz="6" w:space="0" w:color="4AACC5"/>
            </w:tcBorders>
          </w:tcPr>
          <w:p>
            <w:pPr>
              <w:pStyle w:val="TableParagraph"/>
              <w:ind w:left="103"/>
              <w:rPr>
                <w:sz w:val="20"/>
              </w:rPr>
            </w:pPr>
            <w:r>
              <w:rPr>
                <w:sz w:val="20"/>
              </w:rPr>
              <w:t>97</w:t>
            </w:r>
          </w:p>
        </w:tc>
        <w:tc>
          <w:tcPr>
            <w:tcW w:w="1537" w:type="dxa"/>
            <w:tcBorders>
              <w:left w:val="single" w:sz="6" w:space="0" w:color="4AACC5"/>
              <w:right w:val="single" w:sz="6" w:space="0" w:color="4AACC5"/>
            </w:tcBorders>
          </w:tcPr>
          <w:p>
            <w:pPr>
              <w:pStyle w:val="TableParagraph"/>
              <w:ind w:left="103"/>
              <w:rPr>
                <w:sz w:val="20"/>
              </w:rPr>
            </w:pPr>
            <w:r>
              <w:rPr>
                <w:sz w:val="20"/>
              </w:rPr>
              <w:t>480</w:t>
            </w:r>
          </w:p>
        </w:tc>
        <w:tc>
          <w:tcPr>
            <w:tcW w:w="1541" w:type="dxa"/>
            <w:tcBorders>
              <w:left w:val="single" w:sz="6" w:space="0" w:color="4AACC5"/>
              <w:right w:val="single" w:sz="6" w:space="0" w:color="4AACC5"/>
            </w:tcBorders>
          </w:tcPr>
          <w:p>
            <w:pPr>
              <w:pStyle w:val="TableParagraph"/>
              <w:ind w:left="103"/>
              <w:rPr>
                <w:sz w:val="20"/>
              </w:rPr>
            </w:pPr>
            <w:r>
              <w:rPr>
                <w:sz w:val="20"/>
              </w:rPr>
              <w:t>212.50</w:t>
            </w:r>
          </w:p>
        </w:tc>
        <w:tc>
          <w:tcPr>
            <w:tcW w:w="1536" w:type="dxa"/>
            <w:tcBorders>
              <w:left w:val="single" w:sz="6" w:space="0" w:color="4AACC5"/>
              <w:right w:val="nil"/>
            </w:tcBorders>
          </w:tcPr>
          <w:p>
            <w:pPr>
              <w:pStyle w:val="TableParagraph"/>
              <w:ind w:left="98"/>
              <w:rPr>
                <w:sz w:val="20"/>
              </w:rPr>
            </w:pPr>
            <w:r>
              <w:rPr>
                <w:sz w:val="20"/>
              </w:rPr>
              <w:t>155.272</w:t>
            </w:r>
          </w:p>
        </w:tc>
      </w:tr>
      <w:tr>
        <w:trPr>
          <w:trHeight w:val="451" w:hRule="exact"/>
        </w:trPr>
        <w:tc>
          <w:tcPr>
            <w:tcW w:w="2185" w:type="dxa"/>
            <w:tcBorders>
              <w:left w:val="nil"/>
            </w:tcBorders>
          </w:tcPr>
          <w:p>
            <w:pPr>
              <w:pStyle w:val="TableParagraph"/>
              <w:spacing w:line="220" w:lineRule="exact"/>
              <w:ind w:left="110"/>
              <w:rPr>
                <w:b/>
                <w:sz w:val="20"/>
              </w:rPr>
            </w:pPr>
            <w:r>
              <w:rPr>
                <w:b/>
                <w:sz w:val="20"/>
              </w:rPr>
              <w:t>Clínica 3</w:t>
            </w:r>
          </w:p>
        </w:tc>
        <w:tc>
          <w:tcPr>
            <w:tcW w:w="1561" w:type="dxa"/>
          </w:tcPr>
          <w:p>
            <w:pPr>
              <w:pStyle w:val="TableParagraph"/>
              <w:ind w:left="100"/>
              <w:rPr>
                <w:sz w:val="20"/>
              </w:rPr>
            </w:pPr>
            <w:r>
              <w:rPr>
                <w:sz w:val="20"/>
              </w:rPr>
              <w:t>12</w:t>
            </w:r>
          </w:p>
        </w:tc>
        <w:tc>
          <w:tcPr>
            <w:tcW w:w="1537" w:type="dxa"/>
          </w:tcPr>
          <w:p>
            <w:pPr>
              <w:pStyle w:val="TableParagraph"/>
              <w:ind w:left="100"/>
              <w:rPr>
                <w:sz w:val="20"/>
              </w:rPr>
            </w:pPr>
            <w:r>
              <w:rPr>
                <w:sz w:val="20"/>
              </w:rPr>
              <w:t>19</w:t>
            </w:r>
          </w:p>
        </w:tc>
        <w:tc>
          <w:tcPr>
            <w:tcW w:w="1537" w:type="dxa"/>
          </w:tcPr>
          <w:p>
            <w:pPr>
              <w:pStyle w:val="TableParagraph"/>
              <w:ind w:left="100"/>
              <w:rPr>
                <w:sz w:val="20"/>
              </w:rPr>
            </w:pPr>
            <w:r>
              <w:rPr>
                <w:sz w:val="20"/>
              </w:rPr>
              <w:t>1000</w:t>
            </w:r>
          </w:p>
        </w:tc>
        <w:tc>
          <w:tcPr>
            <w:tcW w:w="1541" w:type="dxa"/>
          </w:tcPr>
          <w:p>
            <w:pPr>
              <w:pStyle w:val="TableParagraph"/>
              <w:ind w:left="100"/>
              <w:rPr>
                <w:sz w:val="20"/>
              </w:rPr>
            </w:pPr>
            <w:r>
              <w:rPr>
                <w:sz w:val="20"/>
              </w:rPr>
              <w:t>314.08</w:t>
            </w:r>
          </w:p>
        </w:tc>
        <w:tc>
          <w:tcPr>
            <w:tcW w:w="1536" w:type="dxa"/>
            <w:tcBorders>
              <w:right w:val="nil"/>
            </w:tcBorders>
          </w:tcPr>
          <w:p>
            <w:pPr>
              <w:pStyle w:val="TableParagraph"/>
              <w:ind w:left="95"/>
              <w:rPr>
                <w:sz w:val="20"/>
              </w:rPr>
            </w:pPr>
            <w:r>
              <w:rPr>
                <w:sz w:val="20"/>
              </w:rPr>
              <w:t>344.869</w:t>
            </w:r>
          </w:p>
        </w:tc>
      </w:tr>
      <w:tr>
        <w:trPr>
          <w:trHeight w:val="446" w:hRule="exact"/>
        </w:trPr>
        <w:tc>
          <w:tcPr>
            <w:tcW w:w="2185" w:type="dxa"/>
            <w:tcBorders>
              <w:left w:val="nil"/>
              <w:right w:val="single" w:sz="6" w:space="0" w:color="4AACC5"/>
            </w:tcBorders>
          </w:tcPr>
          <w:p>
            <w:pPr>
              <w:pStyle w:val="TableParagraph"/>
              <w:spacing w:line="220" w:lineRule="exact"/>
              <w:ind w:left="110"/>
              <w:rPr>
                <w:b/>
                <w:sz w:val="20"/>
              </w:rPr>
            </w:pPr>
            <w:r>
              <w:rPr>
                <w:b/>
                <w:sz w:val="20"/>
              </w:rPr>
              <w:t>Clínica 4</w:t>
            </w:r>
          </w:p>
        </w:tc>
        <w:tc>
          <w:tcPr>
            <w:tcW w:w="1561" w:type="dxa"/>
            <w:tcBorders>
              <w:left w:val="single" w:sz="6" w:space="0" w:color="4AACC5"/>
              <w:right w:val="single" w:sz="6" w:space="0" w:color="4AACC5"/>
            </w:tcBorders>
          </w:tcPr>
          <w:p>
            <w:pPr>
              <w:pStyle w:val="TableParagraph"/>
              <w:ind w:left="103"/>
              <w:rPr>
                <w:sz w:val="20"/>
              </w:rPr>
            </w:pPr>
            <w:r>
              <w:rPr>
                <w:sz w:val="20"/>
              </w:rPr>
              <w:t>12</w:t>
            </w:r>
          </w:p>
        </w:tc>
        <w:tc>
          <w:tcPr>
            <w:tcW w:w="1537" w:type="dxa"/>
            <w:tcBorders>
              <w:left w:val="single" w:sz="6" w:space="0" w:color="4AACC5"/>
              <w:right w:val="single" w:sz="6" w:space="0" w:color="4AACC5"/>
            </w:tcBorders>
          </w:tcPr>
          <w:p>
            <w:pPr>
              <w:pStyle w:val="TableParagraph"/>
              <w:ind w:left="103"/>
              <w:rPr>
                <w:sz w:val="20"/>
              </w:rPr>
            </w:pPr>
            <w:r>
              <w:rPr>
                <w:sz w:val="20"/>
              </w:rPr>
              <w:t>27</w:t>
            </w:r>
          </w:p>
        </w:tc>
        <w:tc>
          <w:tcPr>
            <w:tcW w:w="1537" w:type="dxa"/>
            <w:tcBorders>
              <w:left w:val="single" w:sz="6" w:space="0" w:color="4AACC5"/>
              <w:right w:val="single" w:sz="6" w:space="0" w:color="4AACC5"/>
            </w:tcBorders>
          </w:tcPr>
          <w:p>
            <w:pPr>
              <w:pStyle w:val="TableParagraph"/>
              <w:ind w:left="103"/>
              <w:rPr>
                <w:sz w:val="20"/>
              </w:rPr>
            </w:pPr>
            <w:r>
              <w:rPr>
                <w:sz w:val="20"/>
              </w:rPr>
              <w:t>1000</w:t>
            </w:r>
          </w:p>
        </w:tc>
        <w:tc>
          <w:tcPr>
            <w:tcW w:w="1541" w:type="dxa"/>
            <w:tcBorders>
              <w:left w:val="single" w:sz="6" w:space="0" w:color="4AACC5"/>
              <w:right w:val="single" w:sz="6" w:space="0" w:color="4AACC5"/>
            </w:tcBorders>
          </w:tcPr>
          <w:p>
            <w:pPr>
              <w:pStyle w:val="TableParagraph"/>
              <w:ind w:left="103"/>
              <w:rPr>
                <w:sz w:val="20"/>
              </w:rPr>
            </w:pPr>
            <w:r>
              <w:rPr>
                <w:sz w:val="20"/>
              </w:rPr>
              <w:t>386.42</w:t>
            </w:r>
          </w:p>
        </w:tc>
        <w:tc>
          <w:tcPr>
            <w:tcW w:w="1536" w:type="dxa"/>
            <w:tcBorders>
              <w:left w:val="single" w:sz="6" w:space="0" w:color="4AACC5"/>
              <w:right w:val="nil"/>
            </w:tcBorders>
          </w:tcPr>
          <w:p>
            <w:pPr>
              <w:pStyle w:val="TableParagraph"/>
              <w:ind w:left="98"/>
              <w:rPr>
                <w:sz w:val="20"/>
              </w:rPr>
            </w:pPr>
            <w:r>
              <w:rPr>
                <w:sz w:val="20"/>
              </w:rPr>
              <w:t>321.691</w:t>
            </w:r>
          </w:p>
        </w:tc>
      </w:tr>
      <w:tr>
        <w:trPr>
          <w:trHeight w:val="452" w:hRule="exact"/>
        </w:trPr>
        <w:tc>
          <w:tcPr>
            <w:tcW w:w="2185" w:type="dxa"/>
            <w:tcBorders>
              <w:left w:val="nil"/>
              <w:bottom w:val="single" w:sz="8" w:space="0" w:color="4AACC5"/>
            </w:tcBorders>
          </w:tcPr>
          <w:p>
            <w:pPr>
              <w:pStyle w:val="TableParagraph"/>
              <w:ind w:left="110"/>
              <w:rPr>
                <w:b/>
                <w:sz w:val="20"/>
              </w:rPr>
            </w:pPr>
            <w:r>
              <w:rPr>
                <w:b/>
                <w:sz w:val="20"/>
              </w:rPr>
              <w:t>Clínica 5</w:t>
            </w:r>
          </w:p>
        </w:tc>
        <w:tc>
          <w:tcPr>
            <w:tcW w:w="1561" w:type="dxa"/>
            <w:tcBorders>
              <w:bottom w:val="single" w:sz="8" w:space="0" w:color="4AACC5"/>
            </w:tcBorders>
          </w:tcPr>
          <w:p>
            <w:pPr>
              <w:pStyle w:val="TableParagraph"/>
              <w:spacing w:line="230" w:lineRule="exact"/>
              <w:ind w:left="100"/>
              <w:rPr>
                <w:sz w:val="20"/>
              </w:rPr>
            </w:pPr>
            <w:r>
              <w:rPr>
                <w:sz w:val="20"/>
              </w:rPr>
              <w:t>12</w:t>
            </w:r>
          </w:p>
        </w:tc>
        <w:tc>
          <w:tcPr>
            <w:tcW w:w="1537" w:type="dxa"/>
            <w:tcBorders>
              <w:bottom w:val="single" w:sz="8" w:space="0" w:color="4AACC5"/>
            </w:tcBorders>
          </w:tcPr>
          <w:p>
            <w:pPr>
              <w:pStyle w:val="TableParagraph"/>
              <w:spacing w:line="230" w:lineRule="exact"/>
              <w:ind w:left="100"/>
              <w:rPr>
                <w:sz w:val="20"/>
              </w:rPr>
            </w:pPr>
            <w:r>
              <w:rPr>
                <w:sz w:val="20"/>
              </w:rPr>
              <w:t>100</w:t>
            </w:r>
          </w:p>
        </w:tc>
        <w:tc>
          <w:tcPr>
            <w:tcW w:w="1537" w:type="dxa"/>
            <w:tcBorders>
              <w:bottom w:val="single" w:sz="8" w:space="0" w:color="4AACC5"/>
            </w:tcBorders>
          </w:tcPr>
          <w:p>
            <w:pPr>
              <w:pStyle w:val="TableParagraph"/>
              <w:spacing w:line="230" w:lineRule="exact"/>
              <w:ind w:left="100"/>
              <w:rPr>
                <w:sz w:val="20"/>
              </w:rPr>
            </w:pPr>
            <w:r>
              <w:rPr>
                <w:sz w:val="20"/>
              </w:rPr>
              <w:t>1000</w:t>
            </w:r>
          </w:p>
        </w:tc>
        <w:tc>
          <w:tcPr>
            <w:tcW w:w="1541" w:type="dxa"/>
            <w:tcBorders>
              <w:bottom w:val="single" w:sz="8" w:space="0" w:color="4AACC5"/>
            </w:tcBorders>
          </w:tcPr>
          <w:p>
            <w:pPr>
              <w:pStyle w:val="TableParagraph"/>
              <w:spacing w:line="230" w:lineRule="exact"/>
              <w:ind w:left="100"/>
              <w:rPr>
                <w:sz w:val="20"/>
              </w:rPr>
            </w:pPr>
            <w:r>
              <w:rPr>
                <w:sz w:val="20"/>
              </w:rPr>
              <w:t>500.92</w:t>
            </w:r>
          </w:p>
        </w:tc>
        <w:tc>
          <w:tcPr>
            <w:tcW w:w="1536" w:type="dxa"/>
            <w:tcBorders>
              <w:bottom w:val="single" w:sz="8" w:space="0" w:color="4AACC5"/>
              <w:right w:val="nil"/>
            </w:tcBorders>
          </w:tcPr>
          <w:p>
            <w:pPr>
              <w:pStyle w:val="TableParagraph"/>
              <w:spacing w:line="230" w:lineRule="exact"/>
              <w:ind w:left="95"/>
              <w:rPr>
                <w:sz w:val="20"/>
              </w:rPr>
            </w:pPr>
            <w:r>
              <w:rPr>
                <w:sz w:val="20"/>
              </w:rPr>
              <w:t>240.947</w:t>
            </w:r>
          </w:p>
        </w:tc>
      </w:tr>
    </w:tbl>
    <w:p>
      <w:pPr>
        <w:spacing w:line="220" w:lineRule="exact" w:before="0"/>
        <w:ind w:left="3500" w:right="3506" w:firstLine="0"/>
        <w:jc w:val="center"/>
        <w:rPr>
          <w:b/>
          <w:sz w:val="20"/>
        </w:rPr>
      </w:pPr>
      <w:r>
        <w:rPr>
          <w:b/>
          <w:sz w:val="20"/>
        </w:rPr>
        <w:t>Llaves</w:t>
      </w:r>
    </w:p>
    <w:p>
      <w:pPr>
        <w:pStyle w:val="BodyText"/>
        <w:spacing w:before="5"/>
        <w:rPr>
          <w:b/>
          <w:sz w:val="18"/>
        </w:rPr>
      </w:pPr>
    </w:p>
    <w:tbl>
      <w:tblPr>
        <w:tblW w:w="0" w:type="auto"/>
        <w:jc w:val="left"/>
        <w:tblInd w:w="119"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185"/>
        <w:gridCol w:w="1561"/>
        <w:gridCol w:w="1537"/>
        <w:gridCol w:w="1537"/>
        <w:gridCol w:w="1541"/>
        <w:gridCol w:w="1536"/>
      </w:tblGrid>
      <w:tr>
        <w:trPr>
          <w:trHeight w:val="451" w:hRule="exact"/>
        </w:trPr>
        <w:tc>
          <w:tcPr>
            <w:tcW w:w="2185" w:type="dxa"/>
            <w:tcBorders>
              <w:left w:val="nil"/>
            </w:tcBorders>
          </w:tcPr>
          <w:p>
            <w:pPr>
              <w:pStyle w:val="TableParagraph"/>
              <w:spacing w:line="220" w:lineRule="exact"/>
              <w:ind w:left="110"/>
              <w:rPr>
                <w:b/>
                <w:sz w:val="20"/>
              </w:rPr>
            </w:pPr>
            <w:r>
              <w:rPr>
                <w:b/>
                <w:sz w:val="20"/>
              </w:rPr>
              <w:t>Clínica 1</w:t>
            </w:r>
          </w:p>
        </w:tc>
        <w:tc>
          <w:tcPr>
            <w:tcW w:w="1561" w:type="dxa"/>
          </w:tcPr>
          <w:p>
            <w:pPr>
              <w:pStyle w:val="TableParagraph"/>
              <w:ind w:left="100"/>
              <w:rPr>
                <w:sz w:val="20"/>
              </w:rPr>
            </w:pPr>
            <w:r>
              <w:rPr>
                <w:sz w:val="20"/>
              </w:rPr>
              <w:t>12</w:t>
            </w:r>
          </w:p>
        </w:tc>
        <w:tc>
          <w:tcPr>
            <w:tcW w:w="1537" w:type="dxa"/>
          </w:tcPr>
          <w:p>
            <w:pPr>
              <w:pStyle w:val="TableParagraph"/>
              <w:ind w:left="100"/>
              <w:rPr>
                <w:sz w:val="20"/>
              </w:rPr>
            </w:pPr>
            <w:r>
              <w:rPr>
                <w:sz w:val="20"/>
              </w:rPr>
              <w:t>100</w:t>
            </w:r>
          </w:p>
        </w:tc>
        <w:tc>
          <w:tcPr>
            <w:tcW w:w="1537" w:type="dxa"/>
          </w:tcPr>
          <w:p>
            <w:pPr>
              <w:pStyle w:val="TableParagraph"/>
              <w:ind w:left="100"/>
              <w:rPr>
                <w:sz w:val="20"/>
              </w:rPr>
            </w:pPr>
            <w:r>
              <w:rPr>
                <w:sz w:val="20"/>
              </w:rPr>
              <w:t>500</w:t>
            </w:r>
          </w:p>
        </w:tc>
        <w:tc>
          <w:tcPr>
            <w:tcW w:w="1541" w:type="dxa"/>
          </w:tcPr>
          <w:p>
            <w:pPr>
              <w:pStyle w:val="TableParagraph"/>
              <w:ind w:left="100"/>
              <w:rPr>
                <w:sz w:val="20"/>
              </w:rPr>
            </w:pPr>
            <w:r>
              <w:rPr>
                <w:sz w:val="20"/>
              </w:rPr>
              <w:t>323.42</w:t>
            </w:r>
          </w:p>
        </w:tc>
        <w:tc>
          <w:tcPr>
            <w:tcW w:w="1536" w:type="dxa"/>
            <w:tcBorders>
              <w:right w:val="nil"/>
            </w:tcBorders>
          </w:tcPr>
          <w:p>
            <w:pPr>
              <w:pStyle w:val="TableParagraph"/>
              <w:ind w:left="95"/>
              <w:rPr>
                <w:sz w:val="20"/>
              </w:rPr>
            </w:pPr>
            <w:r>
              <w:rPr>
                <w:sz w:val="20"/>
              </w:rPr>
              <w:t>133.478</w:t>
            </w:r>
          </w:p>
        </w:tc>
      </w:tr>
      <w:tr>
        <w:trPr>
          <w:trHeight w:val="446" w:hRule="exact"/>
        </w:trPr>
        <w:tc>
          <w:tcPr>
            <w:tcW w:w="2185" w:type="dxa"/>
            <w:tcBorders>
              <w:left w:val="nil"/>
              <w:right w:val="single" w:sz="6" w:space="0" w:color="4AACC5"/>
            </w:tcBorders>
          </w:tcPr>
          <w:p>
            <w:pPr>
              <w:pStyle w:val="TableParagraph"/>
              <w:spacing w:line="220" w:lineRule="exact"/>
              <w:ind w:left="110"/>
              <w:rPr>
                <w:b/>
                <w:sz w:val="20"/>
              </w:rPr>
            </w:pPr>
            <w:r>
              <w:rPr>
                <w:b/>
                <w:sz w:val="20"/>
              </w:rPr>
              <w:t>Clínica 3</w:t>
            </w:r>
          </w:p>
        </w:tc>
        <w:tc>
          <w:tcPr>
            <w:tcW w:w="1561" w:type="dxa"/>
            <w:tcBorders>
              <w:left w:val="single" w:sz="6" w:space="0" w:color="4AACC5"/>
              <w:right w:val="single" w:sz="6" w:space="0" w:color="4AACC5"/>
            </w:tcBorders>
          </w:tcPr>
          <w:p>
            <w:pPr>
              <w:pStyle w:val="TableParagraph"/>
              <w:ind w:left="103"/>
              <w:rPr>
                <w:sz w:val="20"/>
              </w:rPr>
            </w:pPr>
            <w:r>
              <w:rPr>
                <w:sz w:val="20"/>
              </w:rPr>
              <w:t>12</w:t>
            </w:r>
          </w:p>
        </w:tc>
        <w:tc>
          <w:tcPr>
            <w:tcW w:w="1537" w:type="dxa"/>
            <w:tcBorders>
              <w:left w:val="single" w:sz="6" w:space="0" w:color="4AACC5"/>
              <w:right w:val="single" w:sz="6" w:space="0" w:color="4AACC5"/>
            </w:tcBorders>
          </w:tcPr>
          <w:p>
            <w:pPr>
              <w:pStyle w:val="TableParagraph"/>
              <w:ind w:left="103"/>
              <w:rPr>
                <w:sz w:val="20"/>
              </w:rPr>
            </w:pPr>
            <w:r>
              <w:rPr>
                <w:sz w:val="20"/>
              </w:rPr>
              <w:t>276</w:t>
            </w:r>
          </w:p>
        </w:tc>
        <w:tc>
          <w:tcPr>
            <w:tcW w:w="1537" w:type="dxa"/>
            <w:tcBorders>
              <w:left w:val="single" w:sz="6" w:space="0" w:color="4AACC5"/>
              <w:right w:val="single" w:sz="6" w:space="0" w:color="4AACC5"/>
            </w:tcBorders>
          </w:tcPr>
          <w:p>
            <w:pPr>
              <w:pStyle w:val="TableParagraph"/>
              <w:ind w:left="103"/>
              <w:rPr>
                <w:sz w:val="20"/>
              </w:rPr>
            </w:pPr>
            <w:r>
              <w:rPr>
                <w:sz w:val="20"/>
              </w:rPr>
              <w:t>1000</w:t>
            </w:r>
          </w:p>
        </w:tc>
        <w:tc>
          <w:tcPr>
            <w:tcW w:w="1541" w:type="dxa"/>
            <w:tcBorders>
              <w:left w:val="single" w:sz="6" w:space="0" w:color="4AACC5"/>
              <w:right w:val="single" w:sz="6" w:space="0" w:color="4AACC5"/>
            </w:tcBorders>
          </w:tcPr>
          <w:p>
            <w:pPr>
              <w:pStyle w:val="TableParagraph"/>
              <w:ind w:left="103"/>
              <w:rPr>
                <w:sz w:val="20"/>
              </w:rPr>
            </w:pPr>
            <w:r>
              <w:rPr>
                <w:sz w:val="20"/>
              </w:rPr>
              <w:t>465.58</w:t>
            </w:r>
          </w:p>
        </w:tc>
        <w:tc>
          <w:tcPr>
            <w:tcW w:w="1536" w:type="dxa"/>
            <w:tcBorders>
              <w:left w:val="single" w:sz="6" w:space="0" w:color="4AACC5"/>
              <w:right w:val="nil"/>
            </w:tcBorders>
          </w:tcPr>
          <w:p>
            <w:pPr>
              <w:pStyle w:val="TableParagraph"/>
              <w:ind w:left="98"/>
              <w:rPr>
                <w:sz w:val="20"/>
              </w:rPr>
            </w:pPr>
            <w:r>
              <w:rPr>
                <w:sz w:val="20"/>
              </w:rPr>
              <w:t>192.963</w:t>
            </w:r>
          </w:p>
        </w:tc>
      </w:tr>
      <w:tr>
        <w:trPr>
          <w:trHeight w:val="452" w:hRule="exact"/>
        </w:trPr>
        <w:tc>
          <w:tcPr>
            <w:tcW w:w="2185" w:type="dxa"/>
            <w:tcBorders>
              <w:left w:val="nil"/>
            </w:tcBorders>
          </w:tcPr>
          <w:p>
            <w:pPr>
              <w:pStyle w:val="TableParagraph"/>
              <w:ind w:left="110"/>
              <w:rPr>
                <w:b/>
                <w:sz w:val="20"/>
              </w:rPr>
            </w:pPr>
            <w:r>
              <w:rPr>
                <w:b/>
                <w:sz w:val="20"/>
              </w:rPr>
              <w:t>Clínica 4</w:t>
            </w:r>
          </w:p>
        </w:tc>
        <w:tc>
          <w:tcPr>
            <w:tcW w:w="1561" w:type="dxa"/>
          </w:tcPr>
          <w:p>
            <w:pPr>
              <w:pStyle w:val="TableParagraph"/>
              <w:spacing w:line="240" w:lineRule="auto"/>
              <w:ind w:left="100"/>
              <w:rPr>
                <w:sz w:val="20"/>
              </w:rPr>
            </w:pPr>
            <w:r>
              <w:rPr>
                <w:sz w:val="20"/>
              </w:rPr>
              <w:t>12</w:t>
            </w:r>
          </w:p>
        </w:tc>
        <w:tc>
          <w:tcPr>
            <w:tcW w:w="1537" w:type="dxa"/>
          </w:tcPr>
          <w:p>
            <w:pPr>
              <w:pStyle w:val="TableParagraph"/>
              <w:spacing w:line="240" w:lineRule="auto"/>
              <w:ind w:left="100"/>
              <w:rPr>
                <w:sz w:val="20"/>
              </w:rPr>
            </w:pPr>
            <w:r>
              <w:rPr>
                <w:sz w:val="20"/>
              </w:rPr>
              <w:t>286</w:t>
            </w:r>
          </w:p>
        </w:tc>
        <w:tc>
          <w:tcPr>
            <w:tcW w:w="1537" w:type="dxa"/>
          </w:tcPr>
          <w:p>
            <w:pPr>
              <w:pStyle w:val="TableParagraph"/>
              <w:spacing w:line="240" w:lineRule="auto"/>
              <w:ind w:left="100"/>
              <w:rPr>
                <w:sz w:val="20"/>
              </w:rPr>
            </w:pPr>
            <w:r>
              <w:rPr>
                <w:sz w:val="20"/>
              </w:rPr>
              <w:t>1000</w:t>
            </w:r>
          </w:p>
        </w:tc>
        <w:tc>
          <w:tcPr>
            <w:tcW w:w="1541" w:type="dxa"/>
          </w:tcPr>
          <w:p>
            <w:pPr>
              <w:pStyle w:val="TableParagraph"/>
              <w:spacing w:line="240" w:lineRule="auto"/>
              <w:ind w:left="100"/>
              <w:rPr>
                <w:sz w:val="20"/>
              </w:rPr>
            </w:pPr>
            <w:r>
              <w:rPr>
                <w:sz w:val="20"/>
              </w:rPr>
              <w:t>473.92</w:t>
            </w:r>
          </w:p>
        </w:tc>
        <w:tc>
          <w:tcPr>
            <w:tcW w:w="1536" w:type="dxa"/>
            <w:tcBorders>
              <w:right w:val="nil"/>
            </w:tcBorders>
          </w:tcPr>
          <w:p>
            <w:pPr>
              <w:pStyle w:val="TableParagraph"/>
              <w:spacing w:line="240" w:lineRule="auto"/>
              <w:ind w:left="95"/>
              <w:rPr>
                <w:sz w:val="20"/>
              </w:rPr>
            </w:pPr>
            <w:r>
              <w:rPr>
                <w:sz w:val="20"/>
              </w:rPr>
              <w:t>202.218</w:t>
            </w:r>
          </w:p>
        </w:tc>
      </w:tr>
      <w:tr>
        <w:trPr>
          <w:trHeight w:val="451" w:hRule="exact"/>
        </w:trPr>
        <w:tc>
          <w:tcPr>
            <w:tcW w:w="2185" w:type="dxa"/>
            <w:tcBorders>
              <w:left w:val="nil"/>
              <w:right w:val="single" w:sz="6" w:space="0" w:color="4AACC5"/>
            </w:tcBorders>
          </w:tcPr>
          <w:p>
            <w:pPr>
              <w:pStyle w:val="TableParagraph"/>
              <w:spacing w:line="220" w:lineRule="exact"/>
              <w:ind w:left="110"/>
              <w:rPr>
                <w:b/>
                <w:sz w:val="20"/>
              </w:rPr>
            </w:pPr>
            <w:r>
              <w:rPr>
                <w:b/>
                <w:sz w:val="20"/>
              </w:rPr>
              <w:t>Clínica 5</w:t>
            </w:r>
          </w:p>
        </w:tc>
        <w:tc>
          <w:tcPr>
            <w:tcW w:w="1561" w:type="dxa"/>
            <w:tcBorders>
              <w:left w:val="single" w:sz="6" w:space="0" w:color="4AACC5"/>
              <w:right w:val="single" w:sz="6" w:space="0" w:color="4AACC5"/>
            </w:tcBorders>
          </w:tcPr>
          <w:p>
            <w:pPr>
              <w:pStyle w:val="TableParagraph"/>
              <w:ind w:left="103"/>
              <w:rPr>
                <w:sz w:val="20"/>
              </w:rPr>
            </w:pPr>
            <w:r>
              <w:rPr>
                <w:sz w:val="20"/>
              </w:rPr>
              <w:t>12</w:t>
            </w:r>
          </w:p>
        </w:tc>
        <w:tc>
          <w:tcPr>
            <w:tcW w:w="1537" w:type="dxa"/>
            <w:tcBorders>
              <w:left w:val="single" w:sz="6" w:space="0" w:color="4AACC5"/>
              <w:right w:val="single" w:sz="6" w:space="0" w:color="4AACC5"/>
            </w:tcBorders>
          </w:tcPr>
          <w:p>
            <w:pPr>
              <w:pStyle w:val="TableParagraph"/>
              <w:ind w:left="103"/>
              <w:rPr>
                <w:sz w:val="20"/>
              </w:rPr>
            </w:pPr>
            <w:r>
              <w:rPr>
                <w:sz w:val="20"/>
              </w:rPr>
              <w:t>365</w:t>
            </w:r>
          </w:p>
        </w:tc>
        <w:tc>
          <w:tcPr>
            <w:tcW w:w="1537" w:type="dxa"/>
            <w:tcBorders>
              <w:left w:val="single" w:sz="6" w:space="0" w:color="4AACC5"/>
              <w:right w:val="single" w:sz="6" w:space="0" w:color="4AACC5"/>
            </w:tcBorders>
          </w:tcPr>
          <w:p>
            <w:pPr>
              <w:pStyle w:val="TableParagraph"/>
              <w:ind w:left="103"/>
              <w:rPr>
                <w:sz w:val="20"/>
              </w:rPr>
            </w:pPr>
            <w:r>
              <w:rPr>
                <w:sz w:val="20"/>
              </w:rPr>
              <w:t>1000</w:t>
            </w:r>
          </w:p>
        </w:tc>
        <w:tc>
          <w:tcPr>
            <w:tcW w:w="1541" w:type="dxa"/>
            <w:tcBorders>
              <w:left w:val="single" w:sz="6" w:space="0" w:color="4AACC5"/>
              <w:right w:val="single" w:sz="6" w:space="0" w:color="4AACC5"/>
            </w:tcBorders>
          </w:tcPr>
          <w:p>
            <w:pPr>
              <w:pStyle w:val="TableParagraph"/>
              <w:ind w:left="103"/>
              <w:rPr>
                <w:sz w:val="20"/>
              </w:rPr>
            </w:pPr>
            <w:r>
              <w:rPr>
                <w:sz w:val="20"/>
              </w:rPr>
              <w:t>513.58</w:t>
            </w:r>
          </w:p>
        </w:tc>
        <w:tc>
          <w:tcPr>
            <w:tcW w:w="1536" w:type="dxa"/>
            <w:tcBorders>
              <w:left w:val="single" w:sz="6" w:space="0" w:color="4AACC5"/>
              <w:right w:val="nil"/>
            </w:tcBorders>
          </w:tcPr>
          <w:p>
            <w:pPr>
              <w:pStyle w:val="TableParagraph"/>
              <w:ind w:left="98"/>
              <w:rPr>
                <w:sz w:val="20"/>
              </w:rPr>
            </w:pPr>
            <w:r>
              <w:rPr>
                <w:sz w:val="20"/>
              </w:rPr>
              <w:t>181.880</w:t>
            </w:r>
          </w:p>
        </w:tc>
      </w:tr>
    </w:tbl>
    <w:p>
      <w:pPr>
        <w:spacing w:line="220" w:lineRule="exact" w:before="0"/>
        <w:ind w:left="3500" w:right="3499" w:firstLine="0"/>
        <w:jc w:val="center"/>
        <w:rPr>
          <w:b/>
          <w:sz w:val="20"/>
        </w:rPr>
      </w:pPr>
      <w:r>
        <w:rPr>
          <w:b/>
          <w:sz w:val="20"/>
        </w:rPr>
        <w:t>Filtros</w:t>
      </w:r>
    </w:p>
    <w:p>
      <w:pPr>
        <w:pStyle w:val="BodyText"/>
        <w:spacing w:before="5"/>
        <w:rPr>
          <w:b/>
          <w:sz w:val="18"/>
        </w:rPr>
      </w:pPr>
    </w:p>
    <w:tbl>
      <w:tblPr>
        <w:tblW w:w="0" w:type="auto"/>
        <w:jc w:val="left"/>
        <w:tblInd w:w="119"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185"/>
        <w:gridCol w:w="1561"/>
        <w:gridCol w:w="1537"/>
        <w:gridCol w:w="1537"/>
        <w:gridCol w:w="1541"/>
        <w:gridCol w:w="1536"/>
      </w:tblGrid>
      <w:tr>
        <w:trPr>
          <w:trHeight w:val="447" w:hRule="exact"/>
        </w:trPr>
        <w:tc>
          <w:tcPr>
            <w:tcW w:w="2185" w:type="dxa"/>
            <w:tcBorders>
              <w:left w:val="nil"/>
              <w:right w:val="single" w:sz="6" w:space="0" w:color="4AACC5"/>
            </w:tcBorders>
          </w:tcPr>
          <w:p>
            <w:pPr>
              <w:pStyle w:val="TableParagraph"/>
              <w:spacing w:line="220" w:lineRule="exact"/>
              <w:ind w:left="110"/>
              <w:rPr>
                <w:b/>
                <w:sz w:val="20"/>
              </w:rPr>
            </w:pPr>
            <w:r>
              <w:rPr>
                <w:b/>
                <w:sz w:val="20"/>
              </w:rPr>
              <w:t>Filtro 1</w:t>
            </w:r>
          </w:p>
        </w:tc>
        <w:tc>
          <w:tcPr>
            <w:tcW w:w="1561" w:type="dxa"/>
            <w:tcBorders>
              <w:left w:val="single" w:sz="6" w:space="0" w:color="4AACC5"/>
              <w:right w:val="single" w:sz="6" w:space="0" w:color="4AACC5"/>
            </w:tcBorders>
          </w:tcPr>
          <w:p>
            <w:pPr>
              <w:pStyle w:val="TableParagraph"/>
              <w:ind w:left="103"/>
              <w:rPr>
                <w:sz w:val="20"/>
              </w:rPr>
            </w:pPr>
            <w:r>
              <w:rPr>
                <w:sz w:val="20"/>
              </w:rPr>
              <w:t>12</w:t>
            </w:r>
          </w:p>
        </w:tc>
        <w:tc>
          <w:tcPr>
            <w:tcW w:w="1537" w:type="dxa"/>
            <w:tcBorders>
              <w:left w:val="single" w:sz="6" w:space="0" w:color="4AACC5"/>
              <w:right w:val="single" w:sz="6" w:space="0" w:color="4AACC5"/>
            </w:tcBorders>
          </w:tcPr>
          <w:p>
            <w:pPr>
              <w:pStyle w:val="TableParagraph"/>
              <w:ind w:left="103"/>
              <w:rPr>
                <w:sz w:val="20"/>
              </w:rPr>
            </w:pPr>
            <w:r>
              <w:rPr>
                <w:sz w:val="20"/>
              </w:rPr>
              <w:t>45</w:t>
            </w:r>
          </w:p>
        </w:tc>
        <w:tc>
          <w:tcPr>
            <w:tcW w:w="1537" w:type="dxa"/>
            <w:tcBorders>
              <w:left w:val="single" w:sz="6" w:space="0" w:color="4AACC5"/>
              <w:right w:val="single" w:sz="6" w:space="0" w:color="4AACC5"/>
            </w:tcBorders>
          </w:tcPr>
          <w:p>
            <w:pPr>
              <w:pStyle w:val="TableParagraph"/>
              <w:ind w:left="103"/>
              <w:rPr>
                <w:sz w:val="20"/>
              </w:rPr>
            </w:pPr>
            <w:r>
              <w:rPr>
                <w:sz w:val="20"/>
              </w:rPr>
              <w:t>200</w:t>
            </w:r>
          </w:p>
        </w:tc>
        <w:tc>
          <w:tcPr>
            <w:tcW w:w="1541" w:type="dxa"/>
            <w:tcBorders>
              <w:left w:val="single" w:sz="6" w:space="0" w:color="4AACC5"/>
              <w:right w:val="single" w:sz="6" w:space="0" w:color="4AACC5"/>
            </w:tcBorders>
          </w:tcPr>
          <w:p>
            <w:pPr>
              <w:pStyle w:val="TableParagraph"/>
              <w:ind w:left="103"/>
              <w:rPr>
                <w:sz w:val="20"/>
              </w:rPr>
            </w:pPr>
            <w:r>
              <w:rPr>
                <w:sz w:val="20"/>
              </w:rPr>
              <w:t>96.92</w:t>
            </w:r>
          </w:p>
        </w:tc>
        <w:tc>
          <w:tcPr>
            <w:tcW w:w="1536" w:type="dxa"/>
            <w:tcBorders>
              <w:left w:val="single" w:sz="6" w:space="0" w:color="4AACC5"/>
              <w:right w:val="nil"/>
            </w:tcBorders>
          </w:tcPr>
          <w:p>
            <w:pPr>
              <w:pStyle w:val="TableParagraph"/>
              <w:ind w:left="98"/>
              <w:rPr>
                <w:sz w:val="20"/>
              </w:rPr>
            </w:pPr>
            <w:r>
              <w:rPr>
                <w:sz w:val="20"/>
              </w:rPr>
              <w:t>43.023</w:t>
            </w:r>
          </w:p>
        </w:tc>
      </w:tr>
      <w:tr>
        <w:trPr>
          <w:trHeight w:val="451" w:hRule="exact"/>
        </w:trPr>
        <w:tc>
          <w:tcPr>
            <w:tcW w:w="2185" w:type="dxa"/>
            <w:tcBorders>
              <w:left w:val="nil"/>
            </w:tcBorders>
          </w:tcPr>
          <w:p>
            <w:pPr>
              <w:pStyle w:val="TableParagraph"/>
              <w:spacing w:line="220" w:lineRule="exact"/>
              <w:ind w:left="110"/>
              <w:rPr>
                <w:b/>
                <w:sz w:val="20"/>
              </w:rPr>
            </w:pPr>
            <w:r>
              <w:rPr>
                <w:b/>
                <w:sz w:val="20"/>
              </w:rPr>
              <w:t>Filtro 2</w:t>
            </w:r>
          </w:p>
        </w:tc>
        <w:tc>
          <w:tcPr>
            <w:tcW w:w="1561" w:type="dxa"/>
          </w:tcPr>
          <w:p>
            <w:pPr>
              <w:pStyle w:val="TableParagraph"/>
              <w:ind w:left="100"/>
              <w:rPr>
                <w:sz w:val="20"/>
              </w:rPr>
            </w:pPr>
            <w:r>
              <w:rPr>
                <w:sz w:val="20"/>
              </w:rPr>
              <w:t>12</w:t>
            </w:r>
          </w:p>
        </w:tc>
        <w:tc>
          <w:tcPr>
            <w:tcW w:w="1537" w:type="dxa"/>
          </w:tcPr>
          <w:p>
            <w:pPr>
              <w:pStyle w:val="TableParagraph"/>
              <w:ind w:left="100"/>
              <w:rPr>
                <w:sz w:val="20"/>
              </w:rPr>
            </w:pPr>
            <w:r>
              <w:rPr>
                <w:sz w:val="20"/>
              </w:rPr>
              <w:t>33</w:t>
            </w:r>
          </w:p>
        </w:tc>
        <w:tc>
          <w:tcPr>
            <w:tcW w:w="1537" w:type="dxa"/>
          </w:tcPr>
          <w:p>
            <w:pPr>
              <w:pStyle w:val="TableParagraph"/>
              <w:ind w:left="100"/>
              <w:rPr>
                <w:sz w:val="20"/>
              </w:rPr>
            </w:pPr>
            <w:r>
              <w:rPr>
                <w:sz w:val="20"/>
              </w:rPr>
              <w:t>250</w:t>
            </w:r>
          </w:p>
        </w:tc>
        <w:tc>
          <w:tcPr>
            <w:tcW w:w="1541" w:type="dxa"/>
          </w:tcPr>
          <w:p>
            <w:pPr>
              <w:pStyle w:val="TableParagraph"/>
              <w:ind w:left="100"/>
              <w:rPr>
                <w:sz w:val="20"/>
              </w:rPr>
            </w:pPr>
            <w:r>
              <w:rPr>
                <w:sz w:val="20"/>
              </w:rPr>
              <w:t>104.58</w:t>
            </w:r>
          </w:p>
        </w:tc>
        <w:tc>
          <w:tcPr>
            <w:tcW w:w="1536" w:type="dxa"/>
            <w:tcBorders>
              <w:right w:val="nil"/>
            </w:tcBorders>
          </w:tcPr>
          <w:p>
            <w:pPr>
              <w:pStyle w:val="TableParagraph"/>
              <w:ind w:left="95"/>
              <w:rPr>
                <w:sz w:val="20"/>
              </w:rPr>
            </w:pPr>
            <w:r>
              <w:rPr>
                <w:sz w:val="20"/>
              </w:rPr>
              <w:t>56.318</w:t>
            </w:r>
          </w:p>
        </w:tc>
      </w:tr>
    </w:tbl>
    <w:p>
      <w:pPr>
        <w:tabs>
          <w:tab w:pos="5982" w:val="left" w:leader="none"/>
        </w:tabs>
        <w:spacing w:line="225" w:lineRule="exact" w:before="0"/>
        <w:ind w:left="239" w:right="284" w:firstLine="0"/>
        <w:jc w:val="left"/>
        <w:rPr>
          <w:sz w:val="20"/>
        </w:rPr>
      </w:pPr>
      <w:r>
        <w:rPr>
          <w:sz w:val="20"/>
        </w:rPr>
        <w:t>UFC/ml: Unidades Formadoras de Colonias</w:t>
      </w:r>
      <w:r>
        <w:rPr>
          <w:spacing w:val="-9"/>
          <w:sz w:val="20"/>
        </w:rPr>
        <w:t> </w:t>
      </w:r>
      <w:r>
        <w:rPr>
          <w:sz w:val="20"/>
        </w:rPr>
        <w:t>por</w:t>
      </w:r>
      <w:r>
        <w:rPr>
          <w:spacing w:val="-3"/>
          <w:sz w:val="20"/>
        </w:rPr>
        <w:t> </w:t>
      </w:r>
      <w:r>
        <w:rPr>
          <w:sz w:val="20"/>
        </w:rPr>
        <w:t>mililitro</w:t>
        <w:tab/>
        <w:t>D.E.: Desviación</w:t>
      </w:r>
      <w:r>
        <w:rPr>
          <w:spacing w:val="-15"/>
          <w:sz w:val="20"/>
        </w:rPr>
        <w:t> </w:t>
      </w:r>
      <w:r>
        <w:rPr>
          <w:sz w:val="20"/>
        </w:rPr>
        <w:t>Estándar</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spacing w:before="1" w:after="10"/>
        <w:ind w:left="2218" w:right="670" w:hanging="1907"/>
        <w:jc w:val="left"/>
        <w:rPr>
          <w:b/>
          <w:sz w:val="20"/>
        </w:rPr>
      </w:pPr>
      <w:r>
        <w:rPr>
          <w:b/>
          <w:sz w:val="20"/>
        </w:rPr>
        <w:t>Tabla 2 Test de Bonferroni para diferencia de medias de UFC/ml de Legionella en clínicas, llaves y filtros de la Facultad de Odontología de la UAEM. 2013</w:t>
      </w:r>
    </w:p>
    <w:tbl>
      <w:tblPr>
        <w:tblW w:w="0" w:type="auto"/>
        <w:jc w:val="left"/>
        <w:tblInd w:w="119"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367"/>
        <w:gridCol w:w="1469"/>
        <w:gridCol w:w="1498"/>
        <w:gridCol w:w="1075"/>
        <w:gridCol w:w="1037"/>
        <w:gridCol w:w="2075"/>
      </w:tblGrid>
      <w:tr>
        <w:trPr>
          <w:trHeight w:val="696" w:hRule="exact"/>
        </w:trPr>
        <w:tc>
          <w:tcPr>
            <w:tcW w:w="2367" w:type="dxa"/>
            <w:tcBorders>
              <w:left w:val="nil"/>
            </w:tcBorders>
          </w:tcPr>
          <w:p>
            <w:pPr/>
          </w:p>
        </w:tc>
        <w:tc>
          <w:tcPr>
            <w:tcW w:w="1469" w:type="dxa"/>
          </w:tcPr>
          <w:p>
            <w:pPr/>
          </w:p>
        </w:tc>
        <w:tc>
          <w:tcPr>
            <w:tcW w:w="1498" w:type="dxa"/>
          </w:tcPr>
          <w:p>
            <w:pPr/>
          </w:p>
        </w:tc>
        <w:tc>
          <w:tcPr>
            <w:tcW w:w="1075" w:type="dxa"/>
          </w:tcPr>
          <w:p>
            <w:pPr/>
          </w:p>
        </w:tc>
        <w:tc>
          <w:tcPr>
            <w:tcW w:w="1037" w:type="dxa"/>
          </w:tcPr>
          <w:p>
            <w:pPr/>
          </w:p>
        </w:tc>
        <w:tc>
          <w:tcPr>
            <w:tcW w:w="2075" w:type="dxa"/>
            <w:tcBorders>
              <w:right w:val="nil"/>
            </w:tcBorders>
          </w:tcPr>
          <w:p>
            <w:pPr/>
          </w:p>
        </w:tc>
      </w:tr>
      <w:tr>
        <w:trPr>
          <w:trHeight w:val="581" w:hRule="exact"/>
        </w:trPr>
        <w:tc>
          <w:tcPr>
            <w:tcW w:w="2367" w:type="dxa"/>
            <w:tcBorders>
              <w:left w:val="nil"/>
              <w:right w:val="single" w:sz="6" w:space="0" w:color="4AACC5"/>
            </w:tcBorders>
          </w:tcPr>
          <w:p>
            <w:pPr>
              <w:pStyle w:val="TableParagraph"/>
              <w:spacing w:line="220" w:lineRule="exact"/>
              <w:ind w:left="110"/>
              <w:rPr>
                <w:b/>
                <w:sz w:val="20"/>
              </w:rPr>
            </w:pPr>
            <w:r>
              <w:rPr>
                <w:b/>
                <w:sz w:val="20"/>
              </w:rPr>
              <w:t>Clínicas- llaves</w:t>
            </w:r>
          </w:p>
        </w:tc>
        <w:tc>
          <w:tcPr>
            <w:tcW w:w="1469" w:type="dxa"/>
            <w:tcBorders>
              <w:left w:val="single" w:sz="6" w:space="0" w:color="4AACC5"/>
              <w:right w:val="single" w:sz="6" w:space="0" w:color="4AACC5"/>
            </w:tcBorders>
          </w:tcPr>
          <w:p>
            <w:pPr>
              <w:pStyle w:val="TableParagraph"/>
              <w:ind w:left="233" w:right="234"/>
              <w:jc w:val="center"/>
              <w:rPr>
                <w:sz w:val="20"/>
              </w:rPr>
            </w:pPr>
            <w:r>
              <w:rPr>
                <w:sz w:val="20"/>
              </w:rPr>
              <w:t>-90.64583</w:t>
            </w:r>
          </w:p>
        </w:tc>
        <w:tc>
          <w:tcPr>
            <w:tcW w:w="1498" w:type="dxa"/>
            <w:tcBorders>
              <w:left w:val="single" w:sz="6" w:space="0" w:color="4AACC5"/>
              <w:right w:val="single" w:sz="6" w:space="0" w:color="4AACC5"/>
            </w:tcBorders>
          </w:tcPr>
          <w:p>
            <w:pPr>
              <w:pStyle w:val="TableParagraph"/>
              <w:ind w:left="271"/>
              <w:rPr>
                <w:sz w:val="20"/>
              </w:rPr>
            </w:pPr>
            <w:r>
              <w:rPr>
                <w:sz w:val="20"/>
              </w:rPr>
              <w:t>314.74971</w:t>
            </w:r>
          </w:p>
        </w:tc>
        <w:tc>
          <w:tcPr>
            <w:tcW w:w="1075" w:type="dxa"/>
            <w:tcBorders>
              <w:left w:val="single" w:sz="6" w:space="0" w:color="4AACC5"/>
              <w:right w:val="single" w:sz="6" w:space="0" w:color="4AACC5"/>
            </w:tcBorders>
          </w:tcPr>
          <w:p>
            <w:pPr>
              <w:pStyle w:val="TableParagraph"/>
              <w:ind w:left="251"/>
              <w:rPr>
                <w:sz w:val="20"/>
              </w:rPr>
            </w:pPr>
            <w:r>
              <w:rPr>
                <w:sz w:val="20"/>
              </w:rPr>
              <w:t>-1.995</w:t>
            </w:r>
          </w:p>
        </w:tc>
        <w:tc>
          <w:tcPr>
            <w:tcW w:w="1037" w:type="dxa"/>
            <w:tcBorders>
              <w:left w:val="single" w:sz="6" w:space="0" w:color="4AACC5"/>
              <w:right w:val="single" w:sz="6" w:space="0" w:color="4AACC5"/>
            </w:tcBorders>
          </w:tcPr>
          <w:p>
            <w:pPr>
              <w:pStyle w:val="TableParagraph"/>
              <w:ind w:left="380" w:right="380"/>
              <w:jc w:val="center"/>
              <w:rPr>
                <w:sz w:val="20"/>
              </w:rPr>
            </w:pPr>
            <w:r>
              <w:rPr>
                <w:sz w:val="20"/>
              </w:rPr>
              <w:t>47</w:t>
            </w:r>
          </w:p>
        </w:tc>
        <w:tc>
          <w:tcPr>
            <w:tcW w:w="2075" w:type="dxa"/>
            <w:tcBorders>
              <w:left w:val="single" w:sz="6" w:space="0" w:color="4AACC5"/>
              <w:right w:val="nil"/>
            </w:tcBorders>
          </w:tcPr>
          <w:p>
            <w:pPr>
              <w:pStyle w:val="TableParagraph"/>
              <w:ind w:left="737" w:right="745"/>
              <w:jc w:val="center"/>
              <w:rPr>
                <w:sz w:val="20"/>
              </w:rPr>
            </w:pPr>
            <w:r>
              <w:rPr>
                <w:color w:val="FF0000"/>
                <w:sz w:val="20"/>
              </w:rPr>
              <w:t>.052*</w:t>
            </w:r>
          </w:p>
        </w:tc>
      </w:tr>
      <w:tr>
        <w:trPr>
          <w:trHeight w:val="547" w:hRule="exact"/>
        </w:trPr>
        <w:tc>
          <w:tcPr>
            <w:tcW w:w="2367" w:type="dxa"/>
            <w:tcBorders>
              <w:left w:val="nil"/>
            </w:tcBorders>
          </w:tcPr>
          <w:p>
            <w:pPr>
              <w:pStyle w:val="TableParagraph"/>
              <w:spacing w:line="220" w:lineRule="exact"/>
              <w:ind w:left="110"/>
              <w:rPr>
                <w:b/>
                <w:sz w:val="20"/>
              </w:rPr>
            </w:pPr>
            <w:r>
              <w:rPr>
                <w:b/>
                <w:sz w:val="20"/>
              </w:rPr>
              <w:t>Clínicas - filtros</w:t>
            </w:r>
          </w:p>
        </w:tc>
        <w:tc>
          <w:tcPr>
            <w:tcW w:w="1469" w:type="dxa"/>
          </w:tcPr>
          <w:p>
            <w:pPr>
              <w:pStyle w:val="TableParagraph"/>
              <w:ind w:left="232" w:right="231"/>
              <w:jc w:val="center"/>
              <w:rPr>
                <w:sz w:val="20"/>
              </w:rPr>
            </w:pPr>
            <w:r>
              <w:rPr>
                <w:sz w:val="20"/>
              </w:rPr>
              <w:t>162.54167</w:t>
            </w:r>
          </w:p>
        </w:tc>
        <w:tc>
          <w:tcPr>
            <w:tcW w:w="1498" w:type="dxa"/>
          </w:tcPr>
          <w:p>
            <w:pPr>
              <w:pStyle w:val="TableParagraph"/>
              <w:ind w:left="269"/>
              <w:rPr>
                <w:sz w:val="20"/>
              </w:rPr>
            </w:pPr>
            <w:r>
              <w:rPr>
                <w:sz w:val="20"/>
              </w:rPr>
              <w:t>280.44964</w:t>
            </w:r>
          </w:p>
        </w:tc>
        <w:tc>
          <w:tcPr>
            <w:tcW w:w="1075" w:type="dxa"/>
          </w:tcPr>
          <w:p>
            <w:pPr>
              <w:pStyle w:val="TableParagraph"/>
              <w:ind w:left="283"/>
              <w:rPr>
                <w:sz w:val="20"/>
              </w:rPr>
            </w:pPr>
            <w:r>
              <w:rPr>
                <w:sz w:val="20"/>
              </w:rPr>
              <w:t>2.839</w:t>
            </w:r>
          </w:p>
        </w:tc>
        <w:tc>
          <w:tcPr>
            <w:tcW w:w="1037" w:type="dxa"/>
          </w:tcPr>
          <w:p>
            <w:pPr>
              <w:pStyle w:val="TableParagraph"/>
              <w:ind w:left="377" w:right="377"/>
              <w:jc w:val="center"/>
              <w:rPr>
                <w:sz w:val="20"/>
              </w:rPr>
            </w:pPr>
            <w:r>
              <w:rPr>
                <w:sz w:val="20"/>
              </w:rPr>
              <w:t>23</w:t>
            </w:r>
          </w:p>
        </w:tc>
        <w:tc>
          <w:tcPr>
            <w:tcW w:w="2075" w:type="dxa"/>
            <w:tcBorders>
              <w:right w:val="nil"/>
            </w:tcBorders>
          </w:tcPr>
          <w:p>
            <w:pPr>
              <w:pStyle w:val="TableParagraph"/>
              <w:ind w:left="735" w:right="745"/>
              <w:jc w:val="center"/>
              <w:rPr>
                <w:sz w:val="20"/>
              </w:rPr>
            </w:pPr>
            <w:r>
              <w:rPr>
                <w:color w:val="FF0000"/>
                <w:sz w:val="20"/>
              </w:rPr>
              <w:t>.009**</w:t>
            </w:r>
          </w:p>
        </w:tc>
      </w:tr>
      <w:tr>
        <w:trPr>
          <w:trHeight w:val="548" w:hRule="exact"/>
        </w:trPr>
        <w:tc>
          <w:tcPr>
            <w:tcW w:w="2367" w:type="dxa"/>
            <w:tcBorders>
              <w:left w:val="nil"/>
              <w:right w:val="single" w:sz="6" w:space="0" w:color="4AACC5"/>
            </w:tcBorders>
          </w:tcPr>
          <w:p>
            <w:pPr>
              <w:pStyle w:val="TableParagraph"/>
              <w:spacing w:line="220" w:lineRule="exact"/>
              <w:ind w:left="110"/>
              <w:rPr>
                <w:b/>
                <w:sz w:val="20"/>
              </w:rPr>
            </w:pPr>
            <w:r>
              <w:rPr>
                <w:b/>
                <w:sz w:val="20"/>
              </w:rPr>
              <w:t>Llaves -filtros</w:t>
            </w:r>
          </w:p>
        </w:tc>
        <w:tc>
          <w:tcPr>
            <w:tcW w:w="1469" w:type="dxa"/>
            <w:tcBorders>
              <w:left w:val="single" w:sz="6" w:space="0" w:color="4AACC5"/>
              <w:right w:val="single" w:sz="6" w:space="0" w:color="4AACC5"/>
            </w:tcBorders>
          </w:tcPr>
          <w:p>
            <w:pPr>
              <w:pStyle w:val="TableParagraph"/>
              <w:ind w:left="235" w:right="234"/>
              <w:jc w:val="center"/>
              <w:rPr>
                <w:sz w:val="20"/>
              </w:rPr>
            </w:pPr>
            <w:r>
              <w:rPr>
                <w:sz w:val="20"/>
              </w:rPr>
              <w:t>293.75000</w:t>
            </w:r>
          </w:p>
        </w:tc>
        <w:tc>
          <w:tcPr>
            <w:tcW w:w="1498" w:type="dxa"/>
            <w:tcBorders>
              <w:left w:val="single" w:sz="6" w:space="0" w:color="4AACC5"/>
              <w:right w:val="single" w:sz="6" w:space="0" w:color="4AACC5"/>
            </w:tcBorders>
          </w:tcPr>
          <w:p>
            <w:pPr>
              <w:pStyle w:val="TableParagraph"/>
              <w:ind w:left="271"/>
              <w:rPr>
                <w:sz w:val="20"/>
              </w:rPr>
            </w:pPr>
            <w:r>
              <w:rPr>
                <w:sz w:val="20"/>
              </w:rPr>
              <w:t>148.88813</w:t>
            </w:r>
          </w:p>
        </w:tc>
        <w:tc>
          <w:tcPr>
            <w:tcW w:w="1075" w:type="dxa"/>
            <w:tcBorders>
              <w:left w:val="single" w:sz="6" w:space="0" w:color="4AACC5"/>
              <w:right w:val="single" w:sz="6" w:space="0" w:color="4AACC5"/>
            </w:tcBorders>
          </w:tcPr>
          <w:p>
            <w:pPr>
              <w:pStyle w:val="TableParagraph"/>
              <w:ind w:left="285"/>
              <w:rPr>
                <w:sz w:val="20"/>
              </w:rPr>
            </w:pPr>
            <w:r>
              <w:rPr>
                <w:sz w:val="20"/>
              </w:rPr>
              <w:t>9.665</w:t>
            </w:r>
          </w:p>
        </w:tc>
        <w:tc>
          <w:tcPr>
            <w:tcW w:w="1037" w:type="dxa"/>
            <w:tcBorders>
              <w:left w:val="single" w:sz="6" w:space="0" w:color="4AACC5"/>
              <w:right w:val="single" w:sz="6" w:space="0" w:color="4AACC5"/>
            </w:tcBorders>
          </w:tcPr>
          <w:p>
            <w:pPr>
              <w:pStyle w:val="TableParagraph"/>
              <w:ind w:left="380" w:right="380"/>
              <w:jc w:val="center"/>
              <w:rPr>
                <w:sz w:val="20"/>
              </w:rPr>
            </w:pPr>
            <w:r>
              <w:rPr>
                <w:sz w:val="20"/>
              </w:rPr>
              <w:t>23</w:t>
            </w:r>
          </w:p>
        </w:tc>
        <w:tc>
          <w:tcPr>
            <w:tcW w:w="2075" w:type="dxa"/>
            <w:tcBorders>
              <w:left w:val="single" w:sz="6" w:space="0" w:color="4AACC5"/>
              <w:right w:val="nil"/>
            </w:tcBorders>
          </w:tcPr>
          <w:p>
            <w:pPr>
              <w:pStyle w:val="TableParagraph"/>
              <w:ind w:left="737" w:right="745"/>
              <w:jc w:val="center"/>
              <w:rPr>
                <w:sz w:val="20"/>
              </w:rPr>
            </w:pPr>
            <w:r>
              <w:rPr>
                <w:color w:val="FF0000"/>
                <w:sz w:val="20"/>
              </w:rPr>
              <w:t>.000**</w:t>
            </w:r>
          </w:p>
        </w:tc>
      </w:tr>
    </w:tbl>
    <w:p>
      <w:pPr>
        <w:spacing w:line="230" w:lineRule="exact" w:before="0"/>
        <w:ind w:left="239" w:right="284" w:firstLine="0"/>
        <w:jc w:val="left"/>
        <w:rPr>
          <w:sz w:val="20"/>
        </w:rPr>
      </w:pPr>
      <w:r>
        <w:rPr>
          <w:sz w:val="20"/>
        </w:rPr>
        <w:t>*p≤.05, **p≤.01</w:t>
      </w:r>
    </w:p>
    <w:p>
      <w:pPr>
        <w:spacing w:after="0" w:line="230" w:lineRule="exact"/>
        <w:jc w:val="left"/>
        <w:rPr>
          <w:sz w:val="20"/>
        </w:rPr>
        <w:sectPr>
          <w:pgSz w:w="12240" w:h="15840"/>
          <w:pgMar w:header="731" w:footer="1012" w:top="1160" w:bottom="1200" w:left="1460" w:right="620"/>
        </w:sectPr>
      </w:pPr>
    </w:p>
    <w:p>
      <w:pPr>
        <w:pStyle w:val="BodyText"/>
        <w:spacing w:before="6"/>
        <w:rPr>
          <w:sz w:val="16"/>
        </w:rPr>
      </w:pPr>
    </w:p>
    <w:p>
      <w:pPr>
        <w:pStyle w:val="Heading2"/>
        <w:numPr>
          <w:ilvl w:val="0"/>
          <w:numId w:val="8"/>
        </w:numPr>
        <w:tabs>
          <w:tab w:pos="941" w:val="left" w:leader="none"/>
        </w:tabs>
        <w:spacing w:line="240" w:lineRule="auto" w:before="69" w:after="0"/>
        <w:ind w:left="940" w:right="0" w:hanging="360"/>
        <w:jc w:val="left"/>
      </w:pPr>
      <w:r>
        <w:rPr/>
        <w:t>Artículo</w:t>
      </w:r>
      <w:r>
        <w:rPr>
          <w:spacing w:val="-3"/>
        </w:rPr>
        <w:t> </w:t>
      </w:r>
      <w:r>
        <w:rPr/>
        <w:t>3</w:t>
      </w:r>
    </w:p>
    <w:p>
      <w:pPr>
        <w:pStyle w:val="BodyText"/>
        <w:rPr>
          <w:b/>
          <w:sz w:val="20"/>
        </w:rPr>
      </w:pPr>
    </w:p>
    <w:p>
      <w:pPr>
        <w:pStyle w:val="BodyText"/>
        <w:spacing w:before="10"/>
        <w:rPr>
          <w:b/>
          <w:sz w:val="18"/>
        </w:rPr>
      </w:pPr>
      <w:r>
        <w:rPr/>
        <w:pict>
          <v:group style="position:absolute;margin-left:85.050003pt;margin-top:12.818001pt;width:415.6pt;height:266.150pt;mso-position-horizontal-relative:page;mso-position-vertical-relative:paragraph;z-index:2800;mso-wrap-distance-left:0;mso-wrap-distance-right:0" coordorigin="1701,256" coordsize="8312,5323">
            <v:shape style="position:absolute;left:1731;top:286;width:8251;height:5263" type="#_x0000_t75" stroked="false">
              <v:imagedata r:id="rId65" o:title=""/>
            </v:shape>
            <v:rect style="position:absolute;left:1716;top:271;width:8281;height:5293" filled="false" stroked="true" strokeweight="1.5pt" strokecolor="#585858"/>
            <w10:wrap type="topAndBottom"/>
          </v:group>
        </w:pict>
      </w:r>
    </w:p>
    <w:p>
      <w:pPr>
        <w:spacing w:after="0"/>
        <w:rPr>
          <w:sz w:val="18"/>
        </w:rPr>
        <w:sectPr>
          <w:pgSz w:w="12240" w:h="15840"/>
          <w:pgMar w:header="731" w:footer="1012" w:top="1160" w:bottom="1200" w:left="1480" w:right="1480"/>
        </w:sectPr>
      </w:pPr>
    </w:p>
    <w:p>
      <w:pPr>
        <w:pStyle w:val="BodyText"/>
        <w:spacing w:before="6"/>
        <w:rPr>
          <w:b/>
          <w:sz w:val="16"/>
        </w:rPr>
      </w:pPr>
    </w:p>
    <w:p>
      <w:pPr>
        <w:pStyle w:val="Heading2"/>
        <w:spacing w:before="69"/>
        <w:jc w:val="both"/>
      </w:pPr>
      <w:r>
        <w:rPr>
          <w:color w:val="333333"/>
        </w:rPr>
        <w:t>Artículo 3 completo</w:t>
      </w:r>
    </w:p>
    <w:p>
      <w:pPr>
        <w:pStyle w:val="BodyText"/>
        <w:rPr>
          <w:b/>
        </w:rPr>
      </w:pPr>
    </w:p>
    <w:p>
      <w:pPr>
        <w:pStyle w:val="BodyText"/>
        <w:spacing w:before="1"/>
        <w:rPr>
          <w:b/>
          <w:sz w:val="35"/>
        </w:rPr>
      </w:pPr>
    </w:p>
    <w:p>
      <w:pPr>
        <w:spacing w:line="276" w:lineRule="auto" w:before="0"/>
        <w:ind w:left="2303" w:right="387" w:hanging="937"/>
        <w:jc w:val="left"/>
        <w:rPr>
          <w:b/>
          <w:sz w:val="24"/>
        </w:rPr>
      </w:pPr>
      <w:r>
        <w:rPr>
          <w:b/>
          <w:color w:val="333333"/>
          <w:sz w:val="24"/>
        </w:rPr>
        <w:t>Perfil microbiano de líneas de agua de unidades dentales Microbial profile of dental unit waterlines</w:t>
      </w:r>
    </w:p>
    <w:p>
      <w:pPr>
        <w:pStyle w:val="BodyText"/>
        <w:rPr>
          <w:b/>
        </w:rPr>
      </w:pPr>
    </w:p>
    <w:p>
      <w:pPr>
        <w:pStyle w:val="BodyText"/>
        <w:spacing w:before="6"/>
        <w:rPr>
          <w:b/>
          <w:sz w:val="28"/>
        </w:rPr>
      </w:pPr>
    </w:p>
    <w:p>
      <w:pPr>
        <w:pStyle w:val="BodyText"/>
        <w:spacing w:line="244" w:lineRule="auto"/>
        <w:ind w:left="219" w:right="215"/>
        <w:jc w:val="both"/>
      </w:pPr>
      <w:r>
        <w:rPr>
          <w:color w:val="333333"/>
        </w:rPr>
        <w:t>Gauddy Lizeth Manzanares Leal</w:t>
      </w:r>
      <w:r>
        <w:rPr>
          <w:color w:val="333333"/>
          <w:position w:val="11"/>
          <w:sz w:val="16"/>
        </w:rPr>
        <w:t>a</w:t>
      </w:r>
      <w:r>
        <w:rPr>
          <w:color w:val="333333"/>
        </w:rPr>
        <w:t>, Norma Margarita Montiel Bastida</w:t>
      </w:r>
      <w:r>
        <w:rPr>
          <w:color w:val="333333"/>
          <w:position w:val="11"/>
          <w:sz w:val="16"/>
        </w:rPr>
        <w:t>b</w:t>
      </w:r>
      <w:r>
        <w:rPr>
          <w:color w:val="333333"/>
        </w:rPr>
        <w:t>, Sara Gabriela María Eugenia del Real Sánchez</w:t>
      </w:r>
      <w:r>
        <w:rPr>
          <w:color w:val="333333"/>
          <w:position w:val="11"/>
          <w:sz w:val="16"/>
        </w:rPr>
        <w:t>c</w:t>
      </w:r>
      <w:r>
        <w:rPr>
          <w:color w:val="333333"/>
        </w:rPr>
        <w:t>, Rosa Isela Flores</w:t>
      </w:r>
      <w:r>
        <w:rPr>
          <w:color w:val="333333"/>
          <w:spacing w:val="-23"/>
        </w:rPr>
        <w:t> </w:t>
      </w:r>
      <w:r>
        <w:rPr>
          <w:color w:val="333333"/>
        </w:rPr>
        <w:t>Chávez</w:t>
      </w:r>
      <w:r>
        <w:rPr>
          <w:color w:val="333333"/>
          <w:position w:val="11"/>
          <w:sz w:val="16"/>
        </w:rPr>
        <w:t>d</w:t>
      </w:r>
      <w:r>
        <w:rPr>
          <w:color w:val="333333"/>
        </w:rPr>
        <w:t>.</w:t>
      </w:r>
    </w:p>
    <w:p>
      <w:pPr>
        <w:pStyle w:val="BodyText"/>
        <w:spacing w:before="11"/>
        <w:rPr>
          <w:sz w:val="30"/>
        </w:rPr>
      </w:pPr>
    </w:p>
    <w:p>
      <w:pPr>
        <w:pStyle w:val="BodyText"/>
        <w:spacing w:line="276" w:lineRule="auto"/>
        <w:ind w:left="219" w:right="219"/>
        <w:jc w:val="both"/>
      </w:pPr>
      <w:r>
        <w:rPr>
          <w:color w:val="333333"/>
        </w:rPr>
        <w:t>a: Cirujano dentista, estudiante de segundo año de la maestría en ciencias odontológicas, Centro de investigación y estudios avanzados en odontología, Facultad de Odontología, Universidad Autónoma del Estado de México. Jesús Carranza colonia universidad, Toluca, Estado de México, México. C.P. 50130</w:t>
      </w:r>
    </w:p>
    <w:p>
      <w:pPr>
        <w:pStyle w:val="BodyText"/>
        <w:spacing w:line="276" w:lineRule="auto"/>
        <w:ind w:left="219" w:right="227"/>
        <w:jc w:val="both"/>
      </w:pPr>
      <w:r>
        <w:rPr>
          <w:color w:val="333333"/>
        </w:rPr>
        <w:t>b: Doctora en odontología, coordinadora de planeación de la Facultad de Odontología de la UAEM, investigadora del centro de investigación y estudios avanzados en odontología, UAEM.</w:t>
      </w:r>
    </w:p>
    <w:p>
      <w:pPr>
        <w:pStyle w:val="BodyText"/>
        <w:spacing w:line="280" w:lineRule="auto" w:before="1"/>
        <w:ind w:left="219" w:right="230"/>
        <w:jc w:val="both"/>
      </w:pPr>
      <w:r>
        <w:rPr>
          <w:color w:val="333333"/>
        </w:rPr>
        <w:t>c: Maestra en ciencias de la salud, coordinadora de posgrado del centro de investigación y estudios avanzados en odontología, UAEM.</w:t>
      </w:r>
    </w:p>
    <w:p>
      <w:pPr>
        <w:pStyle w:val="BodyText"/>
        <w:spacing w:line="276" w:lineRule="auto"/>
        <w:ind w:left="219" w:right="229"/>
        <w:jc w:val="both"/>
      </w:pPr>
      <w:r>
        <w:rPr>
          <w:color w:val="333333"/>
        </w:rPr>
        <w:t>d: Maestra en Docencia y Administración en la Educación Superior, jefa del departamento de RPBI, Facultad de Odontología, UAEM.</w:t>
      </w:r>
    </w:p>
    <w:p>
      <w:pPr>
        <w:spacing w:after="0" w:line="276" w:lineRule="auto"/>
        <w:jc w:val="both"/>
        <w:sectPr>
          <w:footerReference w:type="default" r:id="rId66"/>
          <w:pgSz w:w="12240" w:h="15840"/>
          <w:pgMar w:footer="1012" w:header="731" w:top="1160" w:bottom="1200" w:left="1480" w:right="1480"/>
        </w:sectPr>
      </w:pPr>
    </w:p>
    <w:p>
      <w:pPr>
        <w:pStyle w:val="BodyText"/>
        <w:spacing w:before="6"/>
        <w:rPr>
          <w:sz w:val="16"/>
        </w:rPr>
      </w:pPr>
    </w:p>
    <w:p>
      <w:pPr>
        <w:pStyle w:val="Heading2"/>
        <w:spacing w:before="69"/>
        <w:jc w:val="both"/>
      </w:pPr>
      <w:r>
        <w:rPr>
          <w:color w:val="333333"/>
        </w:rPr>
        <w:t>Resumen</w:t>
      </w:r>
    </w:p>
    <w:p>
      <w:pPr>
        <w:pStyle w:val="BodyText"/>
        <w:spacing w:before="11"/>
        <w:rPr>
          <w:b/>
          <w:sz w:val="31"/>
        </w:rPr>
      </w:pPr>
    </w:p>
    <w:p>
      <w:pPr>
        <w:pStyle w:val="BodyText"/>
        <w:spacing w:line="276" w:lineRule="auto"/>
        <w:ind w:left="219" w:right="219"/>
        <w:jc w:val="both"/>
      </w:pPr>
      <w:r>
        <w:rPr>
          <w:color w:val="333333"/>
        </w:rPr>
        <w:t>Con el uso de piezas de mano de alta velocidad y aparatos ultrasónicos que utilizan agua para su refrigeración y que poseen el potencial de retrosucción de saliva existe la posibilidad de contaminación de las líneas de agua de las unidades dentales. Ya que la flora microbiana es distinta de acuerdo a los estados de salud o enfermedad, a los sitios de la boca y a los tratamientos otorgados, teóricamente la colonización de las líneas de agua también debería depender de estas condiciones. Debido a ello, el propósito del presente estudio fue conocer </w:t>
      </w:r>
      <w:r>
        <w:rPr>
          <w:color w:val="333333"/>
          <w:spacing w:val="-3"/>
        </w:rPr>
        <w:t>si </w:t>
      </w:r>
      <w:r>
        <w:rPr>
          <w:color w:val="333333"/>
        </w:rPr>
        <w:t>existe alguna diferencia en cuanto al tipo de microorganismos que contaminan dichas mangueras dependiendo del tratamiento que se lleva a cabo en cada unidad dental, para ello se evaluó la biopelícula presente en 36 líneas de agua de alta velocidad de unidades dentales de tres clínicas odontológicas pertenecientes a  las áreas de endodoncia, odontopediatría y operatoria dental. Las muestras fueron sembradas en distintos medios de cultivo, posteriormente se contaron Unidades Formadoras de Colonias por mililitro (UFC/ml) y se identificaron  colonias  típicas las cuales fueron caracterizadas por análisis morfológico macroscópico y microscópico así como bioquímico. Fue aplicada una prueba de ANOVA. Los resultados mostraron diferencias en el tipo de microorganismos presentes por clínica. Por tanto, podemos corroborar que aunque hay una microflora propia de las biopelículas de líneas de agua de alta velocidad de unidades dentales ampliamente documentada, también existen algunas diferencias dependientes del tipo de tratamiento que se realiza en cada unidad</w:t>
      </w:r>
      <w:r>
        <w:rPr>
          <w:color w:val="333333"/>
          <w:spacing w:val="-23"/>
        </w:rPr>
        <w:t> </w:t>
      </w:r>
      <w:r>
        <w:rPr>
          <w:color w:val="333333"/>
        </w:rPr>
        <w:t>dental</w:t>
      </w:r>
    </w:p>
    <w:p>
      <w:pPr>
        <w:pStyle w:val="BodyText"/>
        <w:spacing w:before="6"/>
        <w:rPr>
          <w:sz w:val="27"/>
        </w:rPr>
      </w:pPr>
    </w:p>
    <w:p>
      <w:pPr>
        <w:pStyle w:val="BodyText"/>
        <w:spacing w:before="1"/>
        <w:ind w:left="219"/>
        <w:jc w:val="both"/>
      </w:pPr>
      <w:r>
        <w:rPr>
          <w:color w:val="333333"/>
        </w:rPr>
        <w:t>Palabras clave: Biopelícula, salud ocupacional, DUWS</w:t>
      </w:r>
    </w:p>
    <w:p>
      <w:pPr>
        <w:pStyle w:val="BodyText"/>
      </w:pPr>
    </w:p>
    <w:p>
      <w:pPr>
        <w:pStyle w:val="BodyText"/>
        <w:spacing w:before="1"/>
        <w:rPr>
          <w:sz w:val="35"/>
        </w:rPr>
      </w:pPr>
    </w:p>
    <w:p>
      <w:pPr>
        <w:pStyle w:val="BodyText"/>
        <w:ind w:left="219"/>
        <w:jc w:val="both"/>
      </w:pPr>
      <w:r>
        <w:rPr>
          <w:color w:val="333333"/>
        </w:rPr>
        <w:t>Introducción</w:t>
      </w:r>
    </w:p>
    <w:p>
      <w:pPr>
        <w:pStyle w:val="BodyText"/>
        <w:spacing w:line="276" w:lineRule="auto" w:before="41"/>
        <w:ind w:left="219" w:right="217"/>
        <w:jc w:val="both"/>
      </w:pPr>
      <w:r>
        <w:rPr>
          <w:color w:val="333333"/>
        </w:rPr>
        <w:t>La boca es una cavidad de tipo virtual, constituida por órganos asociados que realizan múltiples funciones específicas tales como la masticación, absorción, gustación, fonación y lenguaje articulado, es normal entonces que la microflora residente sea diversa debido al hecho de que en la cavidad oral coexisten hábitats variados, abastecidos con diversos nutrientes. Las comunidades microbianas en cada sitio de la boca han sido detalladas por diversos autores (Marsh et al., 2011, Liébana, 2002), </w:t>
      </w:r>
      <w:r>
        <w:rPr>
          <w:color w:val="333333"/>
          <w:spacing w:val="-2"/>
        </w:rPr>
        <w:t>mismos </w:t>
      </w:r>
      <w:r>
        <w:rPr>
          <w:color w:val="333333"/>
        </w:rPr>
        <w:t>que describen los tipos y propiedades de los organismos encontrados comúnmente en los procesos de salud-enfermedad bucal. Esta condición es de gran importancia, </w:t>
      </w:r>
      <w:r>
        <w:rPr>
          <w:color w:val="333333"/>
          <w:spacing w:val="-3"/>
        </w:rPr>
        <w:t>ya </w:t>
      </w:r>
      <w:r>
        <w:rPr>
          <w:color w:val="333333"/>
        </w:rPr>
        <w:t>que en el quehacer odontológico diario </w:t>
      </w:r>
      <w:r>
        <w:rPr>
          <w:color w:val="333333"/>
          <w:spacing w:val="-3"/>
        </w:rPr>
        <w:t>se </w:t>
      </w:r>
      <w:r>
        <w:rPr>
          <w:color w:val="333333"/>
        </w:rPr>
        <w:t>labora bajo situaciones que favorecen la exposición a microorganismos  patógenos. En específico, la saliva es el principal fluido con el que se tiene contacto, siendo un punto crítico el uso de piezas de mano de alta velocidad y aparatos ultrasónicos  que  utilizan  agua  para  su  refrigeración  y  que  poseen</w:t>
      </w:r>
      <w:r>
        <w:rPr>
          <w:color w:val="333333"/>
          <w:spacing w:val="8"/>
        </w:rPr>
        <w:t> </w:t>
      </w:r>
      <w:r>
        <w:rPr>
          <w:color w:val="333333"/>
        </w:rPr>
        <w:t>el</w:t>
      </w:r>
    </w:p>
    <w:p>
      <w:pPr>
        <w:spacing w:after="0" w:line="276" w:lineRule="auto"/>
        <w:jc w:val="both"/>
        <w:sectPr>
          <w:footerReference w:type="default" r:id="rId67"/>
          <w:pgSz w:w="12240" w:h="15840"/>
          <w:pgMar w:footer="1012" w:header="731" w:top="1160" w:bottom="1200" w:left="1480" w:right="1480"/>
          <w:pgNumType w:start="81"/>
        </w:sectPr>
      </w:pPr>
    </w:p>
    <w:p>
      <w:pPr>
        <w:pStyle w:val="BodyText"/>
        <w:spacing w:before="11"/>
        <w:rPr>
          <w:sz w:val="16"/>
        </w:rPr>
      </w:pPr>
    </w:p>
    <w:p>
      <w:pPr>
        <w:pStyle w:val="BodyText"/>
        <w:spacing w:line="276" w:lineRule="auto" w:before="69"/>
        <w:ind w:left="219" w:right="216"/>
        <w:jc w:val="both"/>
      </w:pPr>
      <w:r>
        <w:rPr>
          <w:color w:val="333333"/>
        </w:rPr>
        <w:t>potencial de retrosucción de saliva contaminada con sangre, placa dentobacteriana, restos de tejido dental cariado y microorganismos provenientes de los distintos tratamientos en los que intervienen. Este efecto mecánico que sucede invariablemente al dejar de accionar el reóstato, contamina las líneas de agua de las unidades dentales al promover la colonización de la biopelícula normalmente presente en este ecosistema acuático, lo cual conlleva un potencial riesgo de transmisión de microorganismos por aerosolización de un paciente a  otro y del paciente al personal de atención</w:t>
      </w:r>
      <w:r>
        <w:rPr>
          <w:color w:val="333333"/>
          <w:spacing w:val="-23"/>
        </w:rPr>
        <w:t> </w:t>
      </w:r>
      <w:r>
        <w:rPr>
          <w:color w:val="333333"/>
        </w:rPr>
        <w:t>odontológica.</w:t>
      </w:r>
    </w:p>
    <w:p>
      <w:pPr>
        <w:pStyle w:val="BodyText"/>
        <w:spacing w:line="276" w:lineRule="auto"/>
        <w:ind w:left="219" w:right="217"/>
        <w:jc w:val="both"/>
      </w:pPr>
      <w:r>
        <w:rPr>
          <w:color w:val="333333"/>
        </w:rPr>
        <w:t>Se ha demostrado de manera general, la presencia de patógenos oportunistas (Szymanka, 2003; Percival, et al., 2009), sin embargo, ya que la flora microbiana es distinta de acuerdo a los estados de salud o enfermedad, a los sitios de la boca y a los tratamientos otorgados, teóricamente la colonización de las líneas de agua también debería depender de estas condiciones. Por tanto, el presente estudio tuvo como objetivo conocer el perfil microbiano de las líneas de agua de alta velocidad para Identificar diferencias en el tipo de microorganismos presentes cuando se atienden pacientes odontopediátricos, pacientes con afecciones endodónticas y pacientes de operatoria dental.</w:t>
      </w:r>
    </w:p>
    <w:p>
      <w:pPr>
        <w:pStyle w:val="BodyText"/>
        <w:rPr>
          <w:sz w:val="28"/>
        </w:rPr>
      </w:pPr>
    </w:p>
    <w:p>
      <w:pPr>
        <w:pStyle w:val="BodyText"/>
        <w:ind w:left="219"/>
        <w:jc w:val="both"/>
      </w:pPr>
      <w:r>
        <w:rPr>
          <w:color w:val="333333"/>
        </w:rPr>
        <w:t>Metodología</w:t>
      </w:r>
    </w:p>
    <w:p>
      <w:pPr>
        <w:pStyle w:val="BodyText"/>
        <w:spacing w:line="276" w:lineRule="auto" w:before="41"/>
        <w:ind w:left="219" w:right="215"/>
        <w:jc w:val="both"/>
      </w:pPr>
      <w:r>
        <w:rPr>
          <w:color w:val="333333"/>
        </w:rPr>
        <w:t>Fue evaluada la biopelícula presente en 36 líneas de agua de alta velocidad de unidades dentales de tres clínicas odontológicas de la Facultad de Odontología de la Universidad Autónoma del Estado de México: doce líneas pertenecientes a la clínica de posgrado de endodoncia, doce de la clínica de posgrado de odontopediatría y doce de la clínica de pregrado de operatoria dental a las cuales se les colocaron mangueras nuevas, libres de biopelícula y que de esta manera trabajaron por un periodo de cuatro semanas siguiendo lo establecido por la Organización para la Seguridad, Asepsia y Prevención (OSAP), es decir, con  purga de las líneas de agua tres minutos al inicio y tres minutos al final de la  misma así como treinta segundos entre cada paciente y utilizando agua purificada para el abastecimiento de las unidades dentales proveniente de los filtros instalados en la Facultad de Odontología y que cumplen con los requerimientos de la </w:t>
      </w:r>
      <w:r>
        <w:rPr>
          <w:color w:val="333333"/>
          <w:spacing w:val="-3"/>
        </w:rPr>
        <w:t>Norma </w:t>
      </w:r>
      <w:r>
        <w:rPr>
          <w:color w:val="333333"/>
        </w:rPr>
        <w:t>Oficial Mexicana 127-SSA1-1994 del agua para uso y consumo humano. Posterior a las cuatro semanas de uso, las líneas de agua fueron quitadas de las unidades dentales previa asepsia externa y colocadas en bolsas plásticas estériles para ser llevadas a laboratorio donde en un medio aséptico fueron incididas longitudinalmente para acceder al lumen y por medio de un hisopo estéril se obtuvo una muestra de biopelícula previo enjuague con solución fisiológica para eliminar bacterias planctónicas. Los hisopos fueron inoculados en solución fisiológica y se realizaron tres diluciones para conseguir crecimientos menores a 300 Unidades Formadoras de Colonias por mililitro (UFC/ml), de esta solución se tomó</w:t>
      </w:r>
      <w:r>
        <w:rPr>
          <w:color w:val="333333"/>
          <w:spacing w:val="23"/>
        </w:rPr>
        <w:t> </w:t>
      </w:r>
      <w:r>
        <w:rPr>
          <w:color w:val="333333"/>
        </w:rPr>
        <w:t>0.1ml</w:t>
      </w:r>
      <w:r>
        <w:rPr>
          <w:color w:val="333333"/>
          <w:spacing w:val="26"/>
        </w:rPr>
        <w:t> </w:t>
      </w:r>
      <w:r>
        <w:rPr>
          <w:color w:val="333333"/>
        </w:rPr>
        <w:t>que</w:t>
      </w:r>
      <w:r>
        <w:rPr>
          <w:color w:val="333333"/>
          <w:spacing w:val="23"/>
        </w:rPr>
        <w:t> </w:t>
      </w:r>
      <w:r>
        <w:rPr>
          <w:color w:val="333333"/>
        </w:rPr>
        <w:t>fue</w:t>
      </w:r>
      <w:r>
        <w:rPr>
          <w:color w:val="333333"/>
          <w:spacing w:val="23"/>
        </w:rPr>
        <w:t> </w:t>
      </w:r>
      <w:r>
        <w:rPr>
          <w:color w:val="333333"/>
        </w:rPr>
        <w:t>sembrado</w:t>
      </w:r>
      <w:r>
        <w:rPr>
          <w:color w:val="333333"/>
          <w:spacing w:val="23"/>
        </w:rPr>
        <w:t> </w:t>
      </w:r>
      <w:r>
        <w:rPr>
          <w:color w:val="333333"/>
        </w:rPr>
        <w:t>en</w:t>
      </w:r>
      <w:r>
        <w:rPr>
          <w:color w:val="333333"/>
          <w:spacing w:val="23"/>
        </w:rPr>
        <w:t> </w:t>
      </w:r>
      <w:r>
        <w:rPr>
          <w:color w:val="333333"/>
        </w:rPr>
        <w:t>agar</w:t>
      </w:r>
      <w:r>
        <w:rPr>
          <w:color w:val="333333"/>
          <w:spacing w:val="23"/>
        </w:rPr>
        <w:t> </w:t>
      </w:r>
      <w:r>
        <w:rPr>
          <w:color w:val="333333"/>
        </w:rPr>
        <w:t>nutritivo</w:t>
      </w:r>
      <w:r>
        <w:rPr>
          <w:color w:val="333333"/>
          <w:spacing w:val="22"/>
        </w:rPr>
        <w:t> </w:t>
      </w:r>
      <w:r>
        <w:rPr>
          <w:color w:val="333333"/>
        </w:rPr>
        <w:t>y</w:t>
      </w:r>
      <w:r>
        <w:rPr>
          <w:color w:val="333333"/>
          <w:spacing w:val="22"/>
        </w:rPr>
        <w:t> </w:t>
      </w:r>
      <w:r>
        <w:rPr>
          <w:color w:val="333333"/>
        </w:rPr>
        <w:t>se</w:t>
      </w:r>
      <w:r>
        <w:rPr>
          <w:color w:val="333333"/>
          <w:spacing w:val="23"/>
        </w:rPr>
        <w:t> </w:t>
      </w:r>
      <w:r>
        <w:rPr>
          <w:color w:val="333333"/>
        </w:rPr>
        <w:t>llevó</w:t>
      </w:r>
      <w:r>
        <w:rPr>
          <w:color w:val="333333"/>
          <w:spacing w:val="23"/>
        </w:rPr>
        <w:t> </w:t>
      </w:r>
      <w:r>
        <w:rPr>
          <w:color w:val="333333"/>
        </w:rPr>
        <w:t>a</w:t>
      </w:r>
      <w:r>
        <w:rPr>
          <w:color w:val="333333"/>
          <w:spacing w:val="18"/>
        </w:rPr>
        <w:t> </w:t>
      </w:r>
      <w:r>
        <w:rPr>
          <w:color w:val="333333"/>
        </w:rPr>
        <w:t>incubar</w:t>
      </w:r>
      <w:r>
        <w:rPr>
          <w:color w:val="333333"/>
          <w:spacing w:val="23"/>
        </w:rPr>
        <w:t> </w:t>
      </w:r>
      <w:r>
        <w:rPr>
          <w:color w:val="333333"/>
        </w:rPr>
        <w:t>por</w:t>
      </w:r>
      <w:r>
        <w:rPr>
          <w:color w:val="333333"/>
          <w:spacing w:val="23"/>
        </w:rPr>
        <w:t> </w:t>
      </w:r>
      <w:r>
        <w:rPr>
          <w:color w:val="333333"/>
        </w:rPr>
        <w:t>24</w:t>
      </w:r>
      <w:r>
        <w:rPr>
          <w:color w:val="333333"/>
          <w:spacing w:val="23"/>
        </w:rPr>
        <w:t> </w:t>
      </w:r>
      <w:r>
        <w:rPr>
          <w:color w:val="333333"/>
        </w:rPr>
        <w:t>hrs</w:t>
      </w:r>
      <w:r>
        <w:rPr>
          <w:color w:val="333333"/>
          <w:spacing w:val="17"/>
        </w:rPr>
        <w:t> </w:t>
      </w:r>
      <w:r>
        <w:rPr>
          <w:color w:val="333333"/>
        </w:rPr>
        <w:t>a</w:t>
      </w:r>
    </w:p>
    <w:p>
      <w:pPr>
        <w:spacing w:after="0" w:line="276" w:lineRule="auto"/>
        <w:jc w:val="both"/>
        <w:sectPr>
          <w:pgSz w:w="12240" w:h="15840"/>
          <w:pgMar w:header="731" w:footer="1012" w:top="1160" w:bottom="1200" w:left="1480" w:right="1480"/>
        </w:sectPr>
      </w:pPr>
    </w:p>
    <w:p>
      <w:pPr>
        <w:pStyle w:val="BodyText"/>
        <w:spacing w:before="11"/>
        <w:rPr>
          <w:sz w:val="16"/>
        </w:rPr>
      </w:pPr>
    </w:p>
    <w:p>
      <w:pPr>
        <w:pStyle w:val="BodyText"/>
        <w:spacing w:line="276" w:lineRule="auto" w:before="69"/>
        <w:ind w:left="219" w:right="224"/>
        <w:jc w:val="both"/>
      </w:pPr>
      <w:r>
        <w:rPr>
          <w:color w:val="333333"/>
        </w:rPr>
        <w:t>36°C. Una vez transcurrido dicho periodo se contaron Unidades Formadoras de Colonias por mililitro UFC/ml y se identificaron colonias típicas las cuales fueron caracterizadas por análisis morfológico macroscópico y microscópico así </w:t>
      </w:r>
      <w:r>
        <w:rPr>
          <w:color w:val="333333"/>
          <w:spacing w:val="-4"/>
        </w:rPr>
        <w:t>como</w:t>
      </w:r>
      <w:r>
        <w:rPr>
          <w:color w:val="333333"/>
          <w:spacing w:val="58"/>
        </w:rPr>
        <w:t> </w:t>
      </w:r>
      <w:r>
        <w:rPr>
          <w:color w:val="333333"/>
        </w:rPr>
        <w:t>bioquímico. Para tal efecto se utilizó tinción de Gram, cultivos secundarios en agar dextrosa Sabouread, agar BCYEα, agar sangre y pruebas bioquímicas de  catalasa, coagulasa e</w:t>
      </w:r>
      <w:r>
        <w:rPr>
          <w:color w:val="333333"/>
          <w:spacing w:val="-7"/>
        </w:rPr>
        <w:t> </w:t>
      </w:r>
      <w:r>
        <w:rPr>
          <w:color w:val="333333"/>
        </w:rPr>
        <w:t>indol.</w:t>
      </w:r>
    </w:p>
    <w:p>
      <w:pPr>
        <w:pStyle w:val="BodyText"/>
      </w:pPr>
    </w:p>
    <w:p>
      <w:pPr>
        <w:pStyle w:val="BodyText"/>
        <w:spacing w:before="2"/>
        <w:rPr>
          <w:sz w:val="31"/>
        </w:rPr>
      </w:pPr>
    </w:p>
    <w:p>
      <w:pPr>
        <w:pStyle w:val="BodyText"/>
        <w:ind w:left="219"/>
        <w:jc w:val="both"/>
      </w:pPr>
      <w:r>
        <w:rPr>
          <w:color w:val="333333"/>
        </w:rPr>
        <w:t>Resultados</w:t>
      </w:r>
    </w:p>
    <w:p>
      <w:pPr>
        <w:pStyle w:val="BodyText"/>
        <w:spacing w:line="276" w:lineRule="auto" w:before="41"/>
        <w:ind w:left="219" w:right="228"/>
        <w:jc w:val="both"/>
      </w:pPr>
      <w:r>
        <w:rPr>
          <w:color w:val="333333"/>
        </w:rPr>
        <w:t>Fueron evaluadas 36 líneas de agua, no fue eliminada ninguna unidad dental del estudio. El número de UFC/ml se resume en la tabla I. A pesar de las diferencias encontradas en el número de colonias presentes por clínicas, donde se observa una cantidad menor en la clínica de operatoria dental, dichas diferencias no fueron estadísticamente significativas al aplicar una prueba de ANOVA.</w:t>
      </w:r>
    </w:p>
    <w:p>
      <w:pPr>
        <w:pStyle w:val="BodyText"/>
        <w:spacing w:line="276" w:lineRule="auto"/>
        <w:ind w:left="219" w:right="226"/>
        <w:jc w:val="both"/>
      </w:pPr>
      <w:r>
        <w:rPr>
          <w:color w:val="333333"/>
        </w:rPr>
        <w:t>Los microorganismos encontrados de manera general fueron Pseudomona aeruginosa, Lactobacillus spp., Escherichia coli, Staphylococcus aureus,  Legionella pneumophila, Streptococcus spp., Candida albicans y hongos filamentosos. En cuanto a la presencia de estos microorganismos por clínica, en la especialidad de endodoncia se encontró Pseudomona aeruginosa en tres de las doce muestras tomadas, representando el 25% de las unidades dentales, siendo la única clínica con dicho microorganismo patógeno oportunista (Figura</w:t>
      </w:r>
      <w:r>
        <w:rPr>
          <w:color w:val="333333"/>
          <w:spacing w:val="-27"/>
        </w:rPr>
        <w:t> </w:t>
      </w:r>
      <w:r>
        <w:rPr>
          <w:color w:val="333333"/>
        </w:rPr>
        <w:t>1).</w:t>
      </w:r>
    </w:p>
    <w:p>
      <w:pPr>
        <w:pStyle w:val="BodyText"/>
        <w:spacing w:line="276" w:lineRule="auto"/>
        <w:ind w:left="219" w:right="220"/>
        <w:jc w:val="both"/>
      </w:pPr>
      <w:r>
        <w:rPr>
          <w:color w:val="333333"/>
        </w:rPr>
        <w:t>En cuanto a la especialidad de odontopediatría, ésta se caracterizó por una menor proporción de unidades dentales contaminadas con Legionella pneumophila respecto a las otras dos clínicas pero fue la única que mostró crecimiento de hongos filamentosos, los cuales fueron hallados en un 25% de las unidades dentales (Figura I)</w:t>
      </w:r>
    </w:p>
    <w:p>
      <w:pPr>
        <w:pStyle w:val="BodyText"/>
        <w:spacing w:line="276" w:lineRule="auto" w:before="1"/>
        <w:ind w:left="219" w:right="218"/>
        <w:jc w:val="both"/>
      </w:pPr>
      <w:r>
        <w:rPr>
          <w:color w:val="333333"/>
        </w:rPr>
        <w:t>En la clínica de operatoria dental no se descubrió Pseudomona aeruginosa ni hongos pero tuvo una mayor proporción de Escherichia coli respecto a las otras dos clínicas odontológicas evaluadas y fue la única en la que se localizó Candida albicans (Figura I).</w:t>
      </w:r>
    </w:p>
    <w:p>
      <w:pPr>
        <w:pStyle w:val="BodyText"/>
      </w:pPr>
    </w:p>
    <w:p>
      <w:pPr>
        <w:pStyle w:val="BodyText"/>
        <w:spacing w:before="2"/>
        <w:rPr>
          <w:sz w:val="31"/>
        </w:rPr>
      </w:pPr>
    </w:p>
    <w:p>
      <w:pPr>
        <w:pStyle w:val="BodyText"/>
        <w:ind w:left="219"/>
        <w:jc w:val="both"/>
      </w:pPr>
      <w:r>
        <w:rPr>
          <w:color w:val="333333"/>
        </w:rPr>
        <w:t>Discusión</w:t>
      </w:r>
    </w:p>
    <w:p>
      <w:pPr>
        <w:pStyle w:val="BodyText"/>
        <w:spacing w:line="276" w:lineRule="auto" w:before="41"/>
        <w:ind w:left="219" w:right="214"/>
        <w:jc w:val="both"/>
      </w:pPr>
      <w:r>
        <w:rPr>
          <w:color w:val="333333"/>
        </w:rPr>
        <w:t>El análisis de los resultados obtenidos mediante el presente trabajo, nos lleva a definir algunas diferencias en la microflora presente en líneas de agua de alta velocidad de unidades dentales. En primer lugar, el número promedio de Unidades Formadoras de Colonias por mililitro (UFC/ml) reportado por autores como O´Donell, et al. (O´Donell, et al., 2007) así como Singh, et al., (Singh et al., 2003), muestran alrededor de 104 UFC/ml y 108 UFC/ml cuando se utiliza agua sin antimicrobianos, muy superior a los resultados obtenidos en la presente investigación, lo cual podría deberse principalmente a la utilización en la   Facultad</w:t>
      </w:r>
    </w:p>
    <w:p>
      <w:pPr>
        <w:spacing w:after="0" w:line="276" w:lineRule="auto"/>
        <w:jc w:val="both"/>
        <w:sectPr>
          <w:pgSz w:w="12240" w:h="15840"/>
          <w:pgMar w:header="731" w:footer="1012" w:top="1160" w:bottom="1200" w:left="1480" w:right="1480"/>
        </w:sectPr>
      </w:pPr>
    </w:p>
    <w:p>
      <w:pPr>
        <w:pStyle w:val="BodyText"/>
        <w:spacing w:before="11"/>
        <w:rPr>
          <w:sz w:val="16"/>
        </w:rPr>
      </w:pPr>
    </w:p>
    <w:p>
      <w:pPr>
        <w:pStyle w:val="BodyText"/>
        <w:spacing w:line="276" w:lineRule="auto" w:before="69"/>
        <w:ind w:left="219" w:right="214"/>
        <w:jc w:val="both"/>
      </w:pPr>
      <w:r>
        <w:rPr>
          <w:color w:val="333333"/>
        </w:rPr>
        <w:t>de Odontología, de agua purificada obtenida de los filtros colocados para tal tarea y que cumplen con la NOM 127-SSA1-1994 (NOM, 1994) del agua para uso y consumo humano. Es notorio que la clínica de pregrado de operatoria dental mostró una menor cantidad de UFC/ml respecto a las clínicas de odontopediatría y endodoncia: -111UFC/ml y -211UFC/ml respectivamente, aunque dichas diferencias no fueron estadísticamente significativas. Estos datos nos podrían revelar la intervención de algunas variables </w:t>
      </w:r>
      <w:r>
        <w:rPr>
          <w:color w:val="333333"/>
          <w:spacing w:val="5"/>
        </w:rPr>
        <w:t>no </w:t>
      </w:r>
      <w:r>
        <w:rPr>
          <w:color w:val="333333"/>
        </w:rPr>
        <w:t>consideradas como el uso de antiséptico (enjuague bucal) por parte de los pacientes antes de las intervenciones o un mayor o menor uso de las líneas de agua y con ello un menor o mayor estancamiento de agua en las mangueras, que promovería el desarrollo de biopelículas con mayor carga microbiana, aunque las diferencias no fueron significativas, se proporciona un dato útil para estudiar los factores que pudieron intervenir en dicho</w:t>
      </w:r>
      <w:r>
        <w:rPr>
          <w:color w:val="333333"/>
          <w:spacing w:val="-11"/>
        </w:rPr>
        <w:t> </w:t>
      </w:r>
      <w:r>
        <w:rPr>
          <w:color w:val="333333"/>
        </w:rPr>
        <w:t>resultado.</w:t>
      </w:r>
    </w:p>
    <w:p>
      <w:pPr>
        <w:pStyle w:val="BodyText"/>
        <w:spacing w:before="6"/>
        <w:rPr>
          <w:sz w:val="27"/>
        </w:rPr>
      </w:pPr>
    </w:p>
    <w:p>
      <w:pPr>
        <w:pStyle w:val="BodyText"/>
        <w:spacing w:line="276" w:lineRule="auto" w:before="1"/>
        <w:ind w:left="219" w:right="218"/>
        <w:jc w:val="both"/>
      </w:pPr>
      <w:r>
        <w:rPr>
          <w:color w:val="333333"/>
        </w:rPr>
        <w:t>En cuanto al tipo de microorganismos encontrados, de manera general concordamos con diversos estudios (Szymanska, 2003; Pankhurst et al., 2007; Percival et al., 2009) en los que se demuestra la presencia de Pseudomona aeruginosa, Lactobacillus spp., Escherichia coli, Staphylococcus spp., Legionella pneumophila, Streptococcus spp., Hongos y Candida albicans. Diferimos en cuanto a la presencia de Mycobacterium spp., amibas y protozoarios reportados por Singh (Singh et al., 2003) y Walker (Walker et al., 2004) ya que en el presente trabajo no fueron identificados, deducimos que dichos resultados se derivan del tiempo de uso de las líneas de agua y debemos tomar en cuenta que  este proyecto abarcó solamente cuatro semanas de trabajo en clínica, lo cual puede propiciar que en comunidades bacterianas </w:t>
      </w:r>
      <w:r>
        <w:rPr>
          <w:color w:val="333333"/>
          <w:spacing w:val="-3"/>
        </w:rPr>
        <w:t>más </w:t>
      </w:r>
      <w:r>
        <w:rPr>
          <w:color w:val="333333"/>
        </w:rPr>
        <w:t>maduras exista una mayor cantidad de microorganismos y una aumentada diversidad de especies, lo cual da la pauta para siguientes investigaciones al</w:t>
      </w:r>
      <w:r>
        <w:rPr>
          <w:color w:val="333333"/>
          <w:spacing w:val="-23"/>
        </w:rPr>
        <w:t> </w:t>
      </w:r>
      <w:r>
        <w:rPr>
          <w:color w:val="333333"/>
        </w:rPr>
        <w:t>respecto.</w:t>
      </w:r>
    </w:p>
    <w:p>
      <w:pPr>
        <w:pStyle w:val="BodyText"/>
        <w:spacing w:line="276" w:lineRule="auto" w:before="5"/>
        <w:ind w:left="219" w:right="215"/>
        <w:jc w:val="both"/>
      </w:pPr>
      <w:r>
        <w:rPr>
          <w:color w:val="333333"/>
        </w:rPr>
        <w:t>Como ya se mencionó, la calidad microbiológica del agua de las unidades  dentales </w:t>
      </w:r>
      <w:r>
        <w:rPr>
          <w:color w:val="333333"/>
          <w:spacing w:val="-3"/>
        </w:rPr>
        <w:t>se </w:t>
      </w:r>
      <w:r>
        <w:rPr>
          <w:color w:val="333333"/>
        </w:rPr>
        <w:t>considera de gran importancia porque los pacientes y personal dental están expuestos regularmente al agua y aerosoles generados a  partir  de  unidades dentales. La presencia de patógenos oportunistas como Pseudomonas, Legionellas y Candida es importante ya que pueden ser dispersados por el aire o inocularse a través de consultas subsecuentes a todo aquel que se involucre en el medio ambiente odontológico. En específico la presencia de Pseudomona aeruginosa, debe tomarse en consideración ya que es un patógeno oportunista, con gran capacidad de crecimiento en todos los ambientes, con alta virulencia y resistencia a antibióticos. A pesar de que diversas investigaciones (Pankhurst C, Coulter </w:t>
      </w:r>
      <w:r>
        <w:rPr>
          <w:color w:val="333333"/>
          <w:spacing w:val="4"/>
        </w:rPr>
        <w:t>W, </w:t>
      </w:r>
      <w:r>
        <w:rPr>
          <w:color w:val="333333"/>
        </w:rPr>
        <w:t>2007; Chacon et al., 2010), demuestran la colonización de P. aeruginosa en muestras de agua proveniente de unidades dentales públicas y privadas, en los resultados aquí presentados es notorio que esta bacteria fue localizada única y exclusivamente en la clínica de endodoncia. Sabemos que   </w:t>
      </w:r>
      <w:r>
        <w:rPr>
          <w:color w:val="333333"/>
          <w:spacing w:val="28"/>
        </w:rPr>
        <w:t> </w:t>
      </w:r>
      <w:r>
        <w:rPr>
          <w:color w:val="333333"/>
        </w:rPr>
        <w:t>los</w:t>
      </w:r>
    </w:p>
    <w:p>
      <w:pPr>
        <w:spacing w:after="0" w:line="276" w:lineRule="auto"/>
        <w:jc w:val="both"/>
        <w:sectPr>
          <w:pgSz w:w="12240" w:h="15840"/>
          <w:pgMar w:header="731" w:footer="1012" w:top="1160" w:bottom="1200" w:left="1480" w:right="1480"/>
        </w:sectPr>
      </w:pPr>
    </w:p>
    <w:p>
      <w:pPr>
        <w:pStyle w:val="BodyText"/>
        <w:spacing w:before="11"/>
        <w:rPr>
          <w:sz w:val="16"/>
        </w:rPr>
      </w:pPr>
    </w:p>
    <w:p>
      <w:pPr>
        <w:pStyle w:val="BodyText"/>
        <w:spacing w:line="276" w:lineRule="auto" w:before="69"/>
        <w:ind w:left="219" w:right="217"/>
        <w:jc w:val="both"/>
      </w:pPr>
      <w:r>
        <w:rPr>
          <w:color w:val="333333"/>
        </w:rPr>
        <w:t>procedimientos endodónticos de rutina (tratamiento de infecciones </w:t>
      </w:r>
      <w:r>
        <w:rPr>
          <w:color w:val="333333"/>
          <w:spacing w:val="-3"/>
        </w:rPr>
        <w:t>del </w:t>
      </w:r>
      <w:r>
        <w:rPr>
          <w:color w:val="333333"/>
        </w:rPr>
        <w:t>canal radicular) implican la remoción de tejido infectado y muerto mecánicamente lo cual involucra una amplia gama de bacterias por lo tanto, la microflora total que generalmente es encontrada es similar en naturaleza a aquella presente en abscesos dentoalveolares agudos (Dinatale, 2000; Jímenez et al., 2004), lo cual nos lleva a comprender la presencia de P. aeruginosa en este medio en  específico, al ser parte de la microflora que compone procesos infecciosos. Como ya fue mencionado, esta bacteria </w:t>
      </w:r>
      <w:r>
        <w:rPr>
          <w:color w:val="333333"/>
          <w:spacing w:val="3"/>
        </w:rPr>
        <w:t>es </w:t>
      </w:r>
      <w:r>
        <w:rPr>
          <w:color w:val="333333"/>
        </w:rPr>
        <w:t>considerada patógena oportunista y representa un factor de riesgo importante para el personal y los pacientes odontológicos. A éste respecto, Mills (Mills, 2003) reporta dos casos de infección por P. aeruginosa luego del tratamiento dental de rutina en pacientes que recibían quimioterapia. Se sugiere monitorear la calidad bacteriológica del agua de esta clínica para mantenerla libre de este tipo de microorganismos y así disminuir el riesgo de contaminación</w:t>
      </w:r>
      <w:r>
        <w:rPr>
          <w:color w:val="333333"/>
          <w:spacing w:val="-13"/>
        </w:rPr>
        <w:t> </w:t>
      </w:r>
      <w:r>
        <w:rPr>
          <w:color w:val="333333"/>
        </w:rPr>
        <w:t>cruzada.</w:t>
      </w:r>
    </w:p>
    <w:p>
      <w:pPr>
        <w:pStyle w:val="BodyText"/>
        <w:spacing w:before="6"/>
        <w:rPr>
          <w:sz w:val="27"/>
        </w:rPr>
      </w:pPr>
    </w:p>
    <w:p>
      <w:pPr>
        <w:pStyle w:val="BodyText"/>
        <w:spacing w:line="276" w:lineRule="auto" w:before="1"/>
        <w:ind w:left="219" w:right="216"/>
        <w:jc w:val="both"/>
      </w:pPr>
      <w:r>
        <w:rPr>
          <w:color w:val="333333"/>
        </w:rPr>
        <w:t>En cuanto al crecimiento de Candida albicans en los resultados que presentamos, ésta solo fue encontrada en la clínica de operatoria dental, coincidiendo con algunos autores (Genc et al., 1997;  Walker et al., 2004; y  Szymanska, 2005),   que reportan la presencia de esta levadura sin especificar el tipo de clínica analizada. Es probable que dicha contaminación se deba a la presencia de candidiasis en alguno de los pacientes atendidos en esa unidad dental, con lo que se puede pensar en la posibilidad real de que a través de la retrosucción el microorganismo haya contaminado la manguera, con lo que se hace patente la necesidad de un mejor método </w:t>
      </w:r>
      <w:r>
        <w:rPr>
          <w:color w:val="333333"/>
          <w:spacing w:val="-3"/>
        </w:rPr>
        <w:t>más </w:t>
      </w:r>
      <w:r>
        <w:rPr>
          <w:color w:val="333333"/>
        </w:rPr>
        <w:t>allá de la purga para eliminar los microorganismos que colonizan la biopelícula presente en estos sistemas y así evitar el riesgo latente de inocularlos de un paciente a otro o de los pacientes al personal</w:t>
      </w:r>
      <w:r>
        <w:rPr>
          <w:color w:val="333333"/>
          <w:spacing w:val="-9"/>
        </w:rPr>
        <w:t> </w:t>
      </w:r>
      <w:r>
        <w:rPr>
          <w:color w:val="333333"/>
        </w:rPr>
        <w:t>odontológico.</w:t>
      </w:r>
    </w:p>
    <w:p>
      <w:pPr>
        <w:pStyle w:val="BodyText"/>
        <w:rPr>
          <w:sz w:val="28"/>
        </w:rPr>
      </w:pPr>
    </w:p>
    <w:p>
      <w:pPr>
        <w:pStyle w:val="BodyText"/>
        <w:spacing w:line="276" w:lineRule="auto"/>
        <w:ind w:left="219" w:right="215"/>
        <w:jc w:val="both"/>
      </w:pPr>
      <w:r>
        <w:rPr>
          <w:i/>
          <w:color w:val="333333"/>
        </w:rPr>
        <w:t>Escherichia coli</w:t>
      </w:r>
      <w:r>
        <w:rPr>
          <w:color w:val="333333"/>
        </w:rPr>
        <w:t>, fue encontrada en las tres clínicas evaluadas coincidiendo con lo reportado por Panagakos y colaboradores (Panagakos et al., 2001), sin embargo, la clínica de operatoria dental fue la que tuvo un mayor número de unidades dentales contaminadas. Es bien conocido y frecuentemente reportado por la literatura que la transmisión de E. coli, un microorganismos propio del sistema digestivo y patógeno oportunista de gran consideración en países en desarrollo, es uno de los responsables de infecciones diarréicas que según la Organización Mundial de la Salud provocan la muerte de un menor cada 15 segundos alrededor del mundo (Vidal-Graniel, 2003). Su transmisión </w:t>
      </w:r>
      <w:r>
        <w:rPr>
          <w:color w:val="333333"/>
          <w:spacing w:val="-3"/>
        </w:rPr>
        <w:t>se </w:t>
      </w:r>
      <w:r>
        <w:rPr>
          <w:color w:val="333333"/>
        </w:rPr>
        <w:t>lleva a cabo por la vía oro- fecal y en países en vías de desarrollo la principal vía de transmisión es el agua contaminada. Se ha demostrado que en los países industrializados la transmisión por alimentos es la principal causa de la enfermedad, se considera también </w:t>
      </w:r>
      <w:r>
        <w:rPr>
          <w:color w:val="333333"/>
          <w:spacing w:val="3"/>
        </w:rPr>
        <w:t>que </w:t>
      </w:r>
      <w:r>
        <w:rPr>
          <w:color w:val="333333"/>
        </w:rPr>
        <w:t>el aire  mediante la formación de aerosoles, podría ser una forma de diseminación</w:t>
      </w:r>
      <w:r>
        <w:rPr>
          <w:color w:val="333333"/>
          <w:spacing w:val="-30"/>
        </w:rPr>
        <w:t> </w:t>
      </w:r>
      <w:r>
        <w:rPr>
          <w:color w:val="333333"/>
        </w:rPr>
        <w:t>de</w:t>
      </w:r>
    </w:p>
    <w:p>
      <w:pPr>
        <w:spacing w:after="0" w:line="276" w:lineRule="auto"/>
        <w:jc w:val="both"/>
        <w:sectPr>
          <w:pgSz w:w="12240" w:h="15840"/>
          <w:pgMar w:header="731" w:footer="1012" w:top="1160" w:bottom="1200" w:left="1480" w:right="1480"/>
        </w:sectPr>
      </w:pPr>
    </w:p>
    <w:p>
      <w:pPr>
        <w:pStyle w:val="BodyText"/>
        <w:spacing w:before="11"/>
        <w:rPr>
          <w:sz w:val="16"/>
        </w:rPr>
      </w:pPr>
    </w:p>
    <w:p>
      <w:pPr>
        <w:pStyle w:val="BodyText"/>
        <w:spacing w:line="276" w:lineRule="auto" w:before="69"/>
        <w:ind w:left="219" w:right="219"/>
        <w:jc w:val="both"/>
      </w:pPr>
      <w:r>
        <w:rPr>
          <w:color w:val="333333"/>
        </w:rPr>
        <w:t>la bacteria. Los reservorios incluyen principalmente a niños y adultos que en ocasiones son portadores asintomáticos y a personas que manejan infantes  (Alper, 2003; Nataro et al., 1998). Al respecto, consideramos que la contaminación por E. coli que obtuvimos en este trabajo, podría deberse a las malas condiciones de higiene bucal de los pacientes atendidos, ya que de estar relacionado con la contaminación del agua de abastecimiento de las unidades dentales, es probable que la mayoría de ellas estuvieran infectadas y no sólo una proporción menor al 50% como la que reportamos. Se propone el uso de antisépticos bucales antes de las intervenciones odontológicas que coadyuve a disminuir la carga microbiana propia de la boca de los pacientes para de esta forma contribuir a disminuir la contaminación de las líneas de</w:t>
      </w:r>
      <w:r>
        <w:rPr>
          <w:color w:val="333333"/>
          <w:spacing w:val="-16"/>
        </w:rPr>
        <w:t> </w:t>
      </w:r>
      <w:r>
        <w:rPr>
          <w:color w:val="333333"/>
        </w:rPr>
        <w:t>agua.</w:t>
      </w:r>
    </w:p>
    <w:p>
      <w:pPr>
        <w:pStyle w:val="BodyText"/>
        <w:spacing w:before="7"/>
        <w:rPr>
          <w:sz w:val="27"/>
        </w:rPr>
      </w:pPr>
    </w:p>
    <w:p>
      <w:pPr>
        <w:pStyle w:val="BodyText"/>
        <w:spacing w:line="276" w:lineRule="auto"/>
        <w:ind w:left="219" w:right="217"/>
        <w:jc w:val="both"/>
      </w:pPr>
      <w:r>
        <w:rPr>
          <w:color w:val="333333"/>
        </w:rPr>
        <w:t>En cuanto a la clínica de odontopediatría, ésta coincidió con la mayoría de los microorganismos reportados en las otras dos clínicas, sin embargo se debe observar que fue la única clínica donde </w:t>
      </w:r>
      <w:r>
        <w:rPr>
          <w:color w:val="333333"/>
          <w:spacing w:val="-3"/>
        </w:rPr>
        <w:t>se </w:t>
      </w:r>
      <w:r>
        <w:rPr>
          <w:color w:val="333333"/>
        </w:rPr>
        <w:t>encontró la presencia de hongos filamentosos, esto es de gran importancia ya que  existen  diversos  estudios  sobre los altos niveles de contaminación bacteriana, pero poco se sabe acerca de la contaminación fúngica en líneas de agua de unidades dentales. En este trabajo coincidimos con lo obtenido por Goksay y por Araujo y Contreras (Goksay et al., 2008; Araujo, Contreras, 2004) que reportan hongos filamentosos </w:t>
      </w:r>
      <w:r>
        <w:rPr>
          <w:color w:val="333333"/>
          <w:spacing w:val="6"/>
        </w:rPr>
        <w:t>en </w:t>
      </w:r>
      <w:r>
        <w:rPr>
          <w:color w:val="333333"/>
        </w:rPr>
        <w:t>muestras de agua de unidades dentales. Aspergillus y Penicillium son los géneros prevalentes que se han aislado en estos sistemas (Szymanska, 2005ª; Szymanska 2006). Se sabe que las esporas de estos miembros pueden causar reacciones alérgicas, asma y otros problemas respiratorios. La literatura ha sugerido que las esporas de hongos y fragmentos de hifas pueden ser aerosolizadas cuando el agua contaminada pasa a través de equipos dentales. Además, varios hongos filamentosos también son potenciales productores de toxinas, y la exposición a pequeñas cantidades de estas durante varios años puede tener efectos negativos sobre el sistema inmunológico, por lo que estos resultados muestran nuevos datos de utilidad para establecer estrategias dirigidas no solo al control bacteriano sino micológico de los sistemas</w:t>
      </w:r>
      <w:r>
        <w:rPr>
          <w:color w:val="333333"/>
          <w:spacing w:val="-10"/>
        </w:rPr>
        <w:t> </w:t>
      </w:r>
      <w:r>
        <w:rPr>
          <w:color w:val="333333"/>
        </w:rPr>
        <w:t>estudiados.</w:t>
      </w:r>
    </w:p>
    <w:p>
      <w:pPr>
        <w:pStyle w:val="BodyText"/>
        <w:spacing w:before="7"/>
        <w:rPr>
          <w:sz w:val="27"/>
        </w:rPr>
      </w:pPr>
    </w:p>
    <w:p>
      <w:pPr>
        <w:pStyle w:val="BodyText"/>
        <w:spacing w:line="276" w:lineRule="auto"/>
        <w:ind w:left="219" w:right="214"/>
        <w:jc w:val="both"/>
      </w:pPr>
      <w:r>
        <w:rPr>
          <w:color w:val="333333"/>
        </w:rPr>
        <w:t>Por último, de manera general se descubrió en todas las unidades dentales la presencia de Legionella pneumophila, importante patógeno oportunista productor de la enfermedad del Legionario, </w:t>
      </w:r>
      <w:r>
        <w:rPr>
          <w:color w:val="333333"/>
          <w:spacing w:val="3"/>
        </w:rPr>
        <w:t>la </w:t>
      </w:r>
      <w:r>
        <w:rPr>
          <w:color w:val="333333"/>
        </w:rPr>
        <w:t>cual cursa con neumonía lobular atípica grave con síntomas polisistémicos y con una tasa de muerte de entre el 5% y el 30%. y productor también de Fiebre de Pontiac, condición parecida a la gripe, pero que puede progresar a enfermedades respiratorias graves como neumonía. La presencia de esta bacteria, esta vagamente estudiada y reportada en la mayoría de los países de América, siendo este resultado un punto importante a tratar para estudiar</w:t>
      </w:r>
      <w:r>
        <w:rPr>
          <w:color w:val="333333"/>
          <w:spacing w:val="27"/>
        </w:rPr>
        <w:t> </w:t>
      </w:r>
      <w:r>
        <w:rPr>
          <w:color w:val="333333"/>
        </w:rPr>
        <w:t>el</w:t>
      </w:r>
      <w:r>
        <w:rPr>
          <w:color w:val="333333"/>
          <w:spacing w:val="30"/>
        </w:rPr>
        <w:t> </w:t>
      </w:r>
      <w:r>
        <w:rPr>
          <w:color w:val="333333"/>
        </w:rPr>
        <w:t>método</w:t>
      </w:r>
      <w:r>
        <w:rPr>
          <w:color w:val="333333"/>
          <w:spacing w:val="26"/>
        </w:rPr>
        <w:t> </w:t>
      </w:r>
      <w:r>
        <w:rPr>
          <w:color w:val="333333"/>
        </w:rPr>
        <w:t>eficaz</w:t>
      </w:r>
      <w:r>
        <w:rPr>
          <w:color w:val="333333"/>
          <w:spacing w:val="26"/>
        </w:rPr>
        <w:t> </w:t>
      </w:r>
      <w:r>
        <w:rPr>
          <w:color w:val="333333"/>
        </w:rPr>
        <w:t>para</w:t>
      </w:r>
      <w:r>
        <w:rPr>
          <w:color w:val="333333"/>
          <w:spacing w:val="26"/>
        </w:rPr>
        <w:t> </w:t>
      </w:r>
      <w:r>
        <w:rPr>
          <w:color w:val="333333"/>
        </w:rPr>
        <w:t>su</w:t>
      </w:r>
      <w:r>
        <w:rPr>
          <w:color w:val="333333"/>
          <w:spacing w:val="26"/>
        </w:rPr>
        <w:t> </w:t>
      </w:r>
      <w:r>
        <w:rPr>
          <w:color w:val="333333"/>
        </w:rPr>
        <w:t>control</w:t>
      </w:r>
      <w:r>
        <w:rPr>
          <w:color w:val="333333"/>
          <w:spacing w:val="30"/>
        </w:rPr>
        <w:t> </w:t>
      </w:r>
      <w:r>
        <w:rPr>
          <w:color w:val="333333"/>
        </w:rPr>
        <w:t>y</w:t>
      </w:r>
      <w:r>
        <w:rPr>
          <w:color w:val="333333"/>
          <w:spacing w:val="22"/>
        </w:rPr>
        <w:t> </w:t>
      </w:r>
      <w:r>
        <w:rPr>
          <w:color w:val="333333"/>
        </w:rPr>
        <w:t>eliminación.</w:t>
      </w:r>
      <w:r>
        <w:rPr>
          <w:color w:val="333333"/>
          <w:spacing w:val="26"/>
        </w:rPr>
        <w:t> </w:t>
      </w:r>
      <w:r>
        <w:rPr>
          <w:color w:val="333333"/>
        </w:rPr>
        <w:t>Aun</w:t>
      </w:r>
      <w:r>
        <w:rPr>
          <w:color w:val="333333"/>
          <w:spacing w:val="26"/>
        </w:rPr>
        <w:t> </w:t>
      </w:r>
      <w:r>
        <w:rPr>
          <w:color w:val="333333"/>
        </w:rPr>
        <w:t>cuando</w:t>
      </w:r>
      <w:r>
        <w:rPr>
          <w:color w:val="333333"/>
          <w:spacing w:val="26"/>
        </w:rPr>
        <w:t> </w:t>
      </w:r>
      <w:r>
        <w:rPr>
          <w:color w:val="333333"/>
          <w:spacing w:val="6"/>
        </w:rPr>
        <w:t>los</w:t>
      </w:r>
      <w:r>
        <w:rPr>
          <w:color w:val="333333"/>
          <w:spacing w:val="26"/>
        </w:rPr>
        <w:t> </w:t>
      </w:r>
      <w:r>
        <w:rPr>
          <w:color w:val="333333"/>
        </w:rPr>
        <w:t>conteos</w:t>
      </w:r>
    </w:p>
    <w:p>
      <w:pPr>
        <w:spacing w:after="0" w:line="276" w:lineRule="auto"/>
        <w:jc w:val="both"/>
        <w:sectPr>
          <w:pgSz w:w="12240" w:h="15840"/>
          <w:pgMar w:header="731" w:footer="1012" w:top="1160" w:bottom="1200" w:left="1480" w:right="1480"/>
        </w:sectPr>
      </w:pPr>
    </w:p>
    <w:p>
      <w:pPr>
        <w:pStyle w:val="BodyText"/>
        <w:spacing w:before="11"/>
        <w:rPr>
          <w:sz w:val="16"/>
        </w:rPr>
      </w:pPr>
    </w:p>
    <w:p>
      <w:pPr>
        <w:pStyle w:val="BodyText"/>
        <w:spacing w:line="276" w:lineRule="auto" w:before="69"/>
        <w:ind w:left="219" w:right="229"/>
        <w:jc w:val="both"/>
      </w:pPr>
      <w:r>
        <w:rPr>
          <w:color w:val="333333"/>
        </w:rPr>
        <w:t>fueron menores a 100UFC/L, lo cual nos sugiere que su presencia  no limita el  uso del agua (Real decreto, 2003), </w:t>
      </w:r>
      <w:r>
        <w:rPr>
          <w:color w:val="333333"/>
          <w:spacing w:val="-3"/>
        </w:rPr>
        <w:t>se </w:t>
      </w:r>
      <w:r>
        <w:rPr>
          <w:color w:val="333333"/>
        </w:rPr>
        <w:t>propone que se mantenga un monitoreo anual para realizar las correcciones oportunas que eviten el aumento  de  la misma.</w:t>
      </w:r>
    </w:p>
    <w:p>
      <w:pPr>
        <w:pStyle w:val="BodyText"/>
        <w:spacing w:before="6"/>
        <w:rPr>
          <w:sz w:val="27"/>
        </w:rPr>
      </w:pPr>
    </w:p>
    <w:p>
      <w:pPr>
        <w:pStyle w:val="BodyText"/>
        <w:spacing w:before="1"/>
        <w:ind w:left="219"/>
        <w:jc w:val="both"/>
      </w:pPr>
      <w:r>
        <w:rPr>
          <w:color w:val="333333"/>
        </w:rPr>
        <w:t>Conclusión</w:t>
      </w:r>
    </w:p>
    <w:p>
      <w:pPr>
        <w:pStyle w:val="BodyText"/>
        <w:spacing w:before="1"/>
        <w:rPr>
          <w:sz w:val="31"/>
        </w:rPr>
      </w:pPr>
    </w:p>
    <w:p>
      <w:pPr>
        <w:pStyle w:val="ListParagraph"/>
        <w:numPr>
          <w:ilvl w:val="0"/>
          <w:numId w:val="11"/>
        </w:numPr>
        <w:tabs>
          <w:tab w:pos="926" w:val="left" w:leader="none"/>
        </w:tabs>
        <w:spacing w:line="276" w:lineRule="auto" w:before="0" w:after="0"/>
        <w:ind w:left="219" w:right="227" w:firstLine="0"/>
        <w:jc w:val="both"/>
        <w:rPr>
          <w:sz w:val="24"/>
        </w:rPr>
      </w:pPr>
      <w:r>
        <w:rPr>
          <w:color w:val="333333"/>
          <w:sz w:val="24"/>
        </w:rPr>
        <w:t>Gracias a los presentes resultados podemos corroborar que aunque hay una microflora propia de las biopelículas de líneas de agua de alta velocidad ampliamente documentada, también existen algunas diferencias dependientes del tipo de tratamiento que se realiza en cada unidad</w:t>
      </w:r>
      <w:r>
        <w:rPr>
          <w:color w:val="333333"/>
          <w:spacing w:val="-20"/>
          <w:sz w:val="24"/>
        </w:rPr>
        <w:t> </w:t>
      </w:r>
      <w:r>
        <w:rPr>
          <w:color w:val="333333"/>
          <w:sz w:val="24"/>
        </w:rPr>
        <w:t>dental.</w:t>
      </w:r>
    </w:p>
    <w:p>
      <w:pPr>
        <w:pStyle w:val="ListParagraph"/>
        <w:numPr>
          <w:ilvl w:val="0"/>
          <w:numId w:val="11"/>
        </w:numPr>
        <w:tabs>
          <w:tab w:pos="926" w:val="left" w:leader="none"/>
        </w:tabs>
        <w:spacing w:line="276" w:lineRule="auto" w:before="0" w:after="0"/>
        <w:ind w:left="219" w:right="222" w:firstLine="0"/>
        <w:jc w:val="both"/>
        <w:rPr>
          <w:sz w:val="24"/>
        </w:rPr>
      </w:pPr>
      <w:r>
        <w:rPr>
          <w:color w:val="333333"/>
          <w:sz w:val="24"/>
        </w:rPr>
        <w:t>Se propone reforzar el control de infecciones de acuerdo a lo establecido por la Organización para la Seguridad, Asepsia y Prevención (OSAP), que establece que además de la purga de las líneas de agua, para eliminar la biopelícula, </w:t>
      </w:r>
      <w:r>
        <w:rPr>
          <w:color w:val="333333"/>
          <w:spacing w:val="-3"/>
          <w:sz w:val="24"/>
        </w:rPr>
        <w:t>se </w:t>
      </w:r>
      <w:r>
        <w:rPr>
          <w:color w:val="333333"/>
          <w:sz w:val="24"/>
        </w:rPr>
        <w:t>agregue un antimicrobiano al agua de abastecimiento de la unidad dental, capaz de eliminar los microorganismos introducidos por</w:t>
      </w:r>
      <w:r>
        <w:rPr>
          <w:color w:val="333333"/>
          <w:spacing w:val="-36"/>
          <w:sz w:val="24"/>
        </w:rPr>
        <w:t> </w:t>
      </w:r>
      <w:r>
        <w:rPr>
          <w:color w:val="333333"/>
          <w:sz w:val="24"/>
        </w:rPr>
        <w:t>retrosucción.</w:t>
      </w:r>
    </w:p>
    <w:p>
      <w:pPr>
        <w:pStyle w:val="ListParagraph"/>
        <w:numPr>
          <w:ilvl w:val="0"/>
          <w:numId w:val="11"/>
        </w:numPr>
        <w:tabs>
          <w:tab w:pos="926" w:val="left" w:leader="none"/>
        </w:tabs>
        <w:spacing w:line="278" w:lineRule="auto" w:before="0" w:after="0"/>
        <w:ind w:left="219" w:right="218" w:firstLine="0"/>
        <w:jc w:val="both"/>
        <w:rPr>
          <w:sz w:val="24"/>
        </w:rPr>
      </w:pPr>
      <w:r>
        <w:rPr>
          <w:color w:val="333333"/>
          <w:sz w:val="24"/>
        </w:rPr>
        <w:t>Para tal efecto, sugerimos el uso de plata coloidal como un bactericida que puede utilizarse de manera diaria y continua, sin ser tóxico para los pacientes, además de ser económico y de alta</w:t>
      </w:r>
      <w:r>
        <w:rPr>
          <w:color w:val="333333"/>
          <w:spacing w:val="-20"/>
          <w:sz w:val="24"/>
        </w:rPr>
        <w:t> </w:t>
      </w:r>
      <w:r>
        <w:rPr>
          <w:color w:val="333333"/>
          <w:sz w:val="24"/>
        </w:rPr>
        <w:t>disponibilidad.</w:t>
      </w:r>
    </w:p>
    <w:p>
      <w:pPr>
        <w:pStyle w:val="BodyText"/>
        <w:spacing w:before="4"/>
        <w:rPr>
          <w:sz w:val="27"/>
        </w:rPr>
      </w:pPr>
    </w:p>
    <w:p>
      <w:pPr>
        <w:pStyle w:val="BodyText"/>
        <w:ind w:left="219"/>
        <w:jc w:val="both"/>
      </w:pPr>
      <w:r>
        <w:rPr>
          <w:color w:val="333333"/>
        </w:rPr>
        <w:t>Referencias</w:t>
      </w:r>
    </w:p>
    <w:p>
      <w:pPr>
        <w:pStyle w:val="BodyText"/>
        <w:spacing w:before="4"/>
        <w:rPr>
          <w:sz w:val="27"/>
        </w:rPr>
      </w:pPr>
    </w:p>
    <w:p>
      <w:pPr>
        <w:pStyle w:val="ListParagraph"/>
        <w:numPr>
          <w:ilvl w:val="0"/>
          <w:numId w:val="12"/>
        </w:numPr>
        <w:tabs>
          <w:tab w:pos="926" w:val="left" w:leader="none"/>
        </w:tabs>
        <w:spacing w:line="242" w:lineRule="auto" w:before="0" w:after="0"/>
        <w:ind w:left="219" w:right="228" w:firstLine="0"/>
        <w:jc w:val="both"/>
        <w:rPr>
          <w:sz w:val="24"/>
        </w:rPr>
      </w:pPr>
      <w:r>
        <w:rPr>
          <w:color w:val="333333"/>
          <w:sz w:val="24"/>
        </w:rPr>
        <w:t>Alper, </w:t>
      </w:r>
      <w:r>
        <w:rPr>
          <w:color w:val="333333"/>
          <w:spacing w:val="-3"/>
          <w:sz w:val="24"/>
        </w:rPr>
        <w:t>J. </w:t>
      </w:r>
      <w:r>
        <w:rPr>
          <w:color w:val="333333"/>
          <w:sz w:val="24"/>
        </w:rPr>
        <w:t>Data Gaps Need Bridging To Assess Infectious Gastrointestinal Diseases. ASM News. 2003;</w:t>
      </w:r>
      <w:r>
        <w:rPr>
          <w:color w:val="333333"/>
          <w:spacing w:val="-10"/>
          <w:sz w:val="24"/>
        </w:rPr>
        <w:t> </w:t>
      </w:r>
      <w:r>
        <w:rPr>
          <w:color w:val="333333"/>
          <w:sz w:val="24"/>
        </w:rPr>
        <w:t>69:65-68</w:t>
      </w:r>
    </w:p>
    <w:p>
      <w:pPr>
        <w:pStyle w:val="ListParagraph"/>
        <w:numPr>
          <w:ilvl w:val="0"/>
          <w:numId w:val="12"/>
        </w:numPr>
        <w:tabs>
          <w:tab w:pos="926" w:val="left" w:leader="none"/>
        </w:tabs>
        <w:spacing w:line="240" w:lineRule="auto" w:before="0" w:after="0"/>
        <w:ind w:left="219" w:right="214" w:firstLine="0"/>
        <w:jc w:val="both"/>
        <w:rPr>
          <w:sz w:val="24"/>
        </w:rPr>
      </w:pPr>
      <w:r>
        <w:rPr>
          <w:color w:val="333333"/>
          <w:sz w:val="24"/>
        </w:rPr>
        <w:t>Araujo R, Contreras N. Microbiological contamination of dental unit water systems in general practices from Barcelona (Spain) Water </w:t>
      </w:r>
      <w:r>
        <w:rPr>
          <w:color w:val="333333"/>
          <w:spacing w:val="-3"/>
          <w:sz w:val="24"/>
        </w:rPr>
        <w:t>Sci </w:t>
      </w:r>
      <w:r>
        <w:rPr>
          <w:color w:val="333333"/>
          <w:sz w:val="24"/>
        </w:rPr>
        <w:t>Technol. 2004;4:1– 5</w:t>
      </w:r>
    </w:p>
    <w:p>
      <w:pPr>
        <w:pStyle w:val="ListParagraph"/>
        <w:numPr>
          <w:ilvl w:val="0"/>
          <w:numId w:val="12"/>
        </w:numPr>
        <w:tabs>
          <w:tab w:pos="926" w:val="left" w:leader="none"/>
        </w:tabs>
        <w:spacing w:line="240" w:lineRule="auto" w:before="3" w:after="0"/>
        <w:ind w:left="219" w:right="222" w:firstLine="0"/>
        <w:jc w:val="both"/>
        <w:rPr>
          <w:sz w:val="24"/>
        </w:rPr>
      </w:pPr>
      <w:r>
        <w:rPr>
          <w:color w:val="333333"/>
          <w:sz w:val="24"/>
        </w:rPr>
        <w:t>Chacón CH. Isvelia </w:t>
      </w:r>
      <w:r>
        <w:rPr>
          <w:color w:val="333333"/>
          <w:spacing w:val="-2"/>
          <w:sz w:val="24"/>
        </w:rPr>
        <w:t>MA, </w:t>
      </w:r>
      <w:r>
        <w:rPr>
          <w:color w:val="333333"/>
          <w:sz w:val="24"/>
        </w:rPr>
        <w:t>Yépez G, Jenair del VA, Castillo C, José LB, Urdaneta P, Leonidas EC, Chidiak T, Soleyd, Jarpa R, Patricio JE, Ballester LF. Aislamiento de especies de pseudomonas de las líneas de agua de las unidades odontológicas, act odont ven, 2010; 48:</w:t>
      </w:r>
      <w:r>
        <w:rPr>
          <w:color w:val="333333"/>
          <w:spacing w:val="-22"/>
          <w:sz w:val="24"/>
        </w:rPr>
        <w:t> </w:t>
      </w:r>
      <w:r>
        <w:rPr>
          <w:color w:val="333333"/>
          <w:sz w:val="24"/>
        </w:rPr>
        <w:t>1</w:t>
      </w:r>
    </w:p>
    <w:p>
      <w:pPr>
        <w:pStyle w:val="ListParagraph"/>
        <w:numPr>
          <w:ilvl w:val="0"/>
          <w:numId w:val="12"/>
        </w:numPr>
        <w:tabs>
          <w:tab w:pos="926" w:val="left" w:leader="none"/>
        </w:tabs>
        <w:spacing w:line="274" w:lineRule="exact" w:before="8" w:after="0"/>
        <w:ind w:left="219" w:right="220" w:firstLine="0"/>
        <w:jc w:val="both"/>
        <w:rPr>
          <w:sz w:val="24"/>
        </w:rPr>
      </w:pPr>
      <w:r>
        <w:rPr>
          <w:color w:val="333333"/>
          <w:sz w:val="24"/>
        </w:rPr>
        <w:t>Dinatale P E, diseminación de la infección odontogénica. Act odont ven, 2000;38:1</w:t>
      </w:r>
    </w:p>
    <w:p>
      <w:pPr>
        <w:pStyle w:val="ListParagraph"/>
        <w:numPr>
          <w:ilvl w:val="0"/>
          <w:numId w:val="12"/>
        </w:numPr>
        <w:tabs>
          <w:tab w:pos="926" w:val="left" w:leader="none"/>
        </w:tabs>
        <w:spacing w:line="240" w:lineRule="auto" w:before="0" w:after="0"/>
        <w:ind w:left="219" w:right="229" w:firstLine="0"/>
        <w:jc w:val="both"/>
        <w:rPr>
          <w:sz w:val="24"/>
        </w:rPr>
      </w:pPr>
      <w:r>
        <w:rPr>
          <w:color w:val="333333"/>
          <w:sz w:val="24"/>
        </w:rPr>
        <w:t>Genc A, Kadir T, Ercalik S, Erdem H, Demirbas B. The probability of microbial contamination by the internal water/air lines of turbines. Turkish Dental Association IV International Dental Congress; Istanbul, TR. 1997. p.</w:t>
      </w:r>
      <w:r>
        <w:rPr>
          <w:color w:val="333333"/>
          <w:spacing w:val="-31"/>
          <w:sz w:val="24"/>
        </w:rPr>
        <w:t> </w:t>
      </w:r>
      <w:r>
        <w:rPr>
          <w:color w:val="333333"/>
          <w:sz w:val="24"/>
        </w:rPr>
        <w:t>131</w:t>
      </w:r>
    </w:p>
    <w:p>
      <w:pPr>
        <w:pStyle w:val="ListParagraph"/>
        <w:numPr>
          <w:ilvl w:val="0"/>
          <w:numId w:val="12"/>
        </w:numPr>
        <w:tabs>
          <w:tab w:pos="926" w:val="left" w:leader="none"/>
        </w:tabs>
        <w:spacing w:line="242" w:lineRule="auto" w:before="0" w:after="0"/>
        <w:ind w:left="219" w:right="225" w:firstLine="0"/>
        <w:jc w:val="both"/>
        <w:rPr>
          <w:sz w:val="24"/>
        </w:rPr>
      </w:pPr>
      <w:r>
        <w:rPr>
          <w:color w:val="333333"/>
          <w:sz w:val="24"/>
        </w:rPr>
        <w:t>Göksay D, Çotuk A, Zeybek Z. Microbial contamination of dental unit waterlines in Istanbul, Turkey. Environ Monit Assess.</w:t>
      </w:r>
      <w:r>
        <w:rPr>
          <w:color w:val="333333"/>
          <w:spacing w:val="-21"/>
          <w:sz w:val="24"/>
        </w:rPr>
        <w:t> </w:t>
      </w:r>
      <w:r>
        <w:rPr>
          <w:color w:val="333333"/>
          <w:sz w:val="24"/>
        </w:rPr>
        <w:t>2008;147:265–269.</w:t>
      </w:r>
    </w:p>
    <w:p>
      <w:pPr>
        <w:pStyle w:val="ListParagraph"/>
        <w:numPr>
          <w:ilvl w:val="0"/>
          <w:numId w:val="12"/>
        </w:numPr>
        <w:tabs>
          <w:tab w:pos="926" w:val="left" w:leader="none"/>
        </w:tabs>
        <w:spacing w:line="240" w:lineRule="auto" w:before="0" w:after="0"/>
        <w:ind w:left="219" w:right="222" w:firstLine="0"/>
        <w:jc w:val="both"/>
        <w:rPr>
          <w:sz w:val="24"/>
        </w:rPr>
      </w:pPr>
      <w:r>
        <w:rPr>
          <w:color w:val="333333"/>
          <w:sz w:val="24"/>
        </w:rPr>
        <w:t>Jimenez Y, Bagan J V, Murillo J, Poveda R, Infecciones odontogénicas. Complicaciones. Manifestaciones sistémicas. Med Oral Patol Oral Cir Bucal  2004;9</w:t>
      </w:r>
      <w:r>
        <w:rPr>
          <w:color w:val="333333"/>
          <w:spacing w:val="-3"/>
          <w:sz w:val="24"/>
        </w:rPr>
        <w:t> </w:t>
      </w:r>
      <w:r>
        <w:rPr>
          <w:color w:val="333333"/>
          <w:sz w:val="24"/>
        </w:rPr>
        <w:t>suppl:s139-47</w:t>
      </w:r>
    </w:p>
    <w:p>
      <w:pPr>
        <w:pStyle w:val="ListParagraph"/>
        <w:numPr>
          <w:ilvl w:val="0"/>
          <w:numId w:val="12"/>
        </w:numPr>
        <w:tabs>
          <w:tab w:pos="926" w:val="left" w:leader="none"/>
        </w:tabs>
        <w:spacing w:line="275" w:lineRule="exact" w:before="2" w:after="0"/>
        <w:ind w:left="925" w:right="0" w:hanging="706"/>
        <w:jc w:val="both"/>
        <w:rPr>
          <w:sz w:val="24"/>
        </w:rPr>
      </w:pPr>
      <w:r>
        <w:rPr>
          <w:color w:val="333333"/>
          <w:sz w:val="24"/>
        </w:rPr>
        <w:t>Liébana UJ, Microbiología oral, McGraw Hill,</w:t>
      </w:r>
      <w:r>
        <w:rPr>
          <w:color w:val="333333"/>
          <w:spacing w:val="-23"/>
          <w:sz w:val="24"/>
        </w:rPr>
        <w:t> </w:t>
      </w:r>
      <w:r>
        <w:rPr>
          <w:color w:val="333333"/>
          <w:sz w:val="24"/>
        </w:rPr>
        <w:t>2002;2aed:650</w:t>
      </w:r>
    </w:p>
    <w:p>
      <w:pPr>
        <w:pStyle w:val="ListParagraph"/>
        <w:numPr>
          <w:ilvl w:val="0"/>
          <w:numId w:val="12"/>
        </w:numPr>
        <w:tabs>
          <w:tab w:pos="926" w:val="left" w:leader="none"/>
        </w:tabs>
        <w:spacing w:line="275" w:lineRule="exact" w:before="0" w:after="0"/>
        <w:ind w:left="925" w:right="0" w:hanging="706"/>
        <w:jc w:val="both"/>
        <w:rPr>
          <w:sz w:val="24"/>
        </w:rPr>
      </w:pPr>
      <w:r>
        <w:rPr>
          <w:color w:val="333333"/>
          <w:sz w:val="24"/>
        </w:rPr>
        <w:t>Marsh DP, Martin </w:t>
      </w:r>
      <w:r>
        <w:rPr>
          <w:color w:val="333333"/>
          <w:spacing w:val="-2"/>
          <w:sz w:val="24"/>
        </w:rPr>
        <w:t>VM, </w:t>
      </w:r>
      <w:r>
        <w:rPr>
          <w:color w:val="333333"/>
          <w:sz w:val="24"/>
        </w:rPr>
        <w:t>microbiología oral. Amolca, 2011;5a</w:t>
      </w:r>
      <w:r>
        <w:rPr>
          <w:color w:val="333333"/>
          <w:spacing w:val="-23"/>
          <w:sz w:val="24"/>
        </w:rPr>
        <w:t> </w:t>
      </w:r>
      <w:r>
        <w:rPr>
          <w:color w:val="333333"/>
          <w:sz w:val="24"/>
        </w:rPr>
        <w:t>ed:215</w:t>
      </w:r>
    </w:p>
    <w:p>
      <w:pPr>
        <w:spacing w:after="0" w:line="275" w:lineRule="exact"/>
        <w:jc w:val="both"/>
        <w:rPr>
          <w:sz w:val="24"/>
        </w:rPr>
        <w:sectPr>
          <w:pgSz w:w="12240" w:h="15840"/>
          <w:pgMar w:header="731" w:footer="1012" w:top="1160" w:bottom="1200" w:left="1480" w:right="1480"/>
        </w:sectPr>
      </w:pPr>
    </w:p>
    <w:p>
      <w:pPr>
        <w:pStyle w:val="BodyText"/>
        <w:spacing w:before="11"/>
        <w:rPr>
          <w:sz w:val="16"/>
        </w:rPr>
      </w:pPr>
    </w:p>
    <w:p>
      <w:pPr>
        <w:pStyle w:val="ListParagraph"/>
        <w:numPr>
          <w:ilvl w:val="0"/>
          <w:numId w:val="12"/>
        </w:numPr>
        <w:tabs>
          <w:tab w:pos="926" w:val="left" w:leader="none"/>
        </w:tabs>
        <w:spacing w:line="242" w:lineRule="auto" w:before="69" w:after="0"/>
        <w:ind w:left="219" w:right="223" w:firstLine="0"/>
        <w:jc w:val="both"/>
        <w:rPr>
          <w:sz w:val="24"/>
        </w:rPr>
      </w:pPr>
      <w:r>
        <w:rPr>
          <w:color w:val="333333"/>
          <w:sz w:val="24"/>
        </w:rPr>
        <w:t>Mills S. Waterborne pathogens and dental waterlines. Dent Clin North Am. 2003;47:545-557</w:t>
      </w:r>
    </w:p>
    <w:p>
      <w:pPr>
        <w:pStyle w:val="ListParagraph"/>
        <w:numPr>
          <w:ilvl w:val="0"/>
          <w:numId w:val="12"/>
        </w:numPr>
        <w:tabs>
          <w:tab w:pos="926" w:val="left" w:leader="none"/>
        </w:tabs>
        <w:spacing w:line="242" w:lineRule="auto" w:before="0" w:after="0"/>
        <w:ind w:left="219" w:right="234" w:firstLine="0"/>
        <w:jc w:val="both"/>
        <w:rPr>
          <w:sz w:val="24"/>
        </w:rPr>
      </w:pPr>
      <w:r>
        <w:rPr>
          <w:color w:val="333333"/>
          <w:sz w:val="24"/>
        </w:rPr>
        <w:t>Nataro JP, and JB Kaper. Diarrheagenic Escherichia coli. Clin Microbiol  Rev. 1998;</w:t>
      </w:r>
      <w:r>
        <w:rPr>
          <w:color w:val="333333"/>
          <w:spacing w:val="-3"/>
          <w:sz w:val="24"/>
        </w:rPr>
        <w:t> </w:t>
      </w:r>
      <w:r>
        <w:rPr>
          <w:color w:val="333333"/>
          <w:sz w:val="24"/>
        </w:rPr>
        <w:t>11:142-201.</w:t>
      </w:r>
    </w:p>
    <w:p>
      <w:pPr>
        <w:pStyle w:val="ListParagraph"/>
        <w:numPr>
          <w:ilvl w:val="0"/>
          <w:numId w:val="12"/>
        </w:numPr>
        <w:tabs>
          <w:tab w:pos="926" w:val="left" w:leader="none"/>
        </w:tabs>
        <w:spacing w:line="240" w:lineRule="auto" w:before="0" w:after="0"/>
        <w:ind w:left="219" w:right="215" w:firstLine="0"/>
        <w:jc w:val="both"/>
        <w:rPr>
          <w:sz w:val="24"/>
        </w:rPr>
      </w:pPr>
      <w:r>
        <w:rPr>
          <w:color w:val="333333"/>
          <w:sz w:val="24"/>
        </w:rPr>
        <w:t>O'Donnell MJ, Shore AC, Russell RJ, Coleman DC, Optimisation of the long- term efficacy of dental chair waterline disinfection by the identification and rectification of factors associated with waterline disinfection failure. J Dent. 2007 May;35(5):438-51.</w:t>
      </w:r>
    </w:p>
    <w:p>
      <w:pPr>
        <w:pStyle w:val="ListParagraph"/>
        <w:numPr>
          <w:ilvl w:val="0"/>
          <w:numId w:val="12"/>
        </w:numPr>
        <w:tabs>
          <w:tab w:pos="926" w:val="left" w:leader="none"/>
        </w:tabs>
        <w:spacing w:line="242" w:lineRule="auto" w:before="0" w:after="0"/>
        <w:ind w:left="219" w:right="236" w:firstLine="0"/>
        <w:jc w:val="both"/>
        <w:rPr>
          <w:sz w:val="24"/>
        </w:rPr>
      </w:pPr>
      <w:r>
        <w:rPr>
          <w:color w:val="333333"/>
          <w:sz w:val="24"/>
        </w:rPr>
        <w:t>Panagakos FS1, Lassiter T, Kumar E. Dental unit waterlines: review and product evaluation. J N J Dent Assoc. 2001 Spring;72(2):20-5,</w:t>
      </w:r>
      <w:r>
        <w:rPr>
          <w:color w:val="333333"/>
          <w:spacing w:val="-16"/>
          <w:sz w:val="24"/>
        </w:rPr>
        <w:t> </w:t>
      </w:r>
      <w:r>
        <w:rPr>
          <w:color w:val="333333"/>
          <w:sz w:val="24"/>
        </w:rPr>
        <w:t>38.</w:t>
      </w:r>
    </w:p>
    <w:p>
      <w:pPr>
        <w:pStyle w:val="ListParagraph"/>
        <w:numPr>
          <w:ilvl w:val="0"/>
          <w:numId w:val="12"/>
        </w:numPr>
        <w:tabs>
          <w:tab w:pos="926" w:val="left" w:leader="none"/>
        </w:tabs>
        <w:spacing w:line="242" w:lineRule="auto" w:before="0" w:after="0"/>
        <w:ind w:left="219" w:right="226" w:firstLine="0"/>
        <w:jc w:val="both"/>
        <w:rPr>
          <w:sz w:val="24"/>
        </w:rPr>
      </w:pPr>
      <w:r>
        <w:rPr>
          <w:color w:val="333333"/>
          <w:sz w:val="24"/>
        </w:rPr>
        <w:t>Pankhurst C. y Coulter, </w:t>
      </w:r>
      <w:r>
        <w:rPr>
          <w:color w:val="333333"/>
          <w:spacing w:val="4"/>
          <w:sz w:val="24"/>
        </w:rPr>
        <w:t>W. </w:t>
      </w:r>
      <w:r>
        <w:rPr>
          <w:color w:val="333333"/>
          <w:sz w:val="24"/>
        </w:rPr>
        <w:t>Do contaminated dental unit waterlines pose a risk of infection?. J Dent.,</w:t>
      </w:r>
      <w:r>
        <w:rPr>
          <w:color w:val="333333"/>
          <w:spacing w:val="-12"/>
          <w:sz w:val="24"/>
        </w:rPr>
        <w:t> </w:t>
      </w:r>
      <w:r>
        <w:rPr>
          <w:color w:val="333333"/>
          <w:sz w:val="24"/>
        </w:rPr>
        <w:t>2007;35:712-720.</w:t>
      </w:r>
    </w:p>
    <w:p>
      <w:pPr>
        <w:pStyle w:val="ListParagraph"/>
        <w:numPr>
          <w:ilvl w:val="0"/>
          <w:numId w:val="12"/>
        </w:numPr>
        <w:tabs>
          <w:tab w:pos="926" w:val="left" w:leader="none"/>
        </w:tabs>
        <w:spacing w:line="240" w:lineRule="auto" w:before="0" w:after="0"/>
        <w:ind w:left="219" w:right="217" w:firstLine="0"/>
        <w:jc w:val="both"/>
        <w:rPr>
          <w:sz w:val="24"/>
        </w:rPr>
      </w:pPr>
      <w:r>
        <w:rPr>
          <w:color w:val="333333"/>
          <w:sz w:val="24"/>
        </w:rPr>
        <w:t>Percival RS, Devine DA, Nattless B, et all.: Control of microbial contamination in dental unit water systems using EDTA. Journal of applied Microbiology.2009;107:1081-1088.</w:t>
      </w:r>
    </w:p>
    <w:p>
      <w:pPr>
        <w:pStyle w:val="ListParagraph"/>
        <w:numPr>
          <w:ilvl w:val="0"/>
          <w:numId w:val="12"/>
        </w:numPr>
        <w:tabs>
          <w:tab w:pos="926" w:val="left" w:leader="none"/>
        </w:tabs>
        <w:spacing w:line="240" w:lineRule="auto" w:before="2" w:after="0"/>
        <w:ind w:left="219" w:right="224" w:firstLine="0"/>
        <w:jc w:val="both"/>
        <w:rPr>
          <w:sz w:val="24"/>
        </w:rPr>
      </w:pPr>
      <w:r>
        <w:rPr>
          <w:color w:val="333333"/>
          <w:sz w:val="24"/>
        </w:rPr>
        <w:t>Real Decreto 865/2003, de 4.7 (M. San. y Cons., BOE 18.7.2003), por el que se establecen los criterios higiénico - sanitarios para la prevención y el control de la</w:t>
      </w:r>
      <w:r>
        <w:rPr>
          <w:color w:val="333333"/>
          <w:spacing w:val="-6"/>
          <w:sz w:val="24"/>
        </w:rPr>
        <w:t> </w:t>
      </w:r>
      <w:r>
        <w:rPr>
          <w:color w:val="333333"/>
          <w:sz w:val="24"/>
        </w:rPr>
        <w:t>legionelosis.</w:t>
      </w:r>
    </w:p>
    <w:p>
      <w:pPr>
        <w:pStyle w:val="ListParagraph"/>
        <w:numPr>
          <w:ilvl w:val="0"/>
          <w:numId w:val="12"/>
        </w:numPr>
        <w:tabs>
          <w:tab w:pos="926" w:val="left" w:leader="none"/>
        </w:tabs>
        <w:spacing w:line="240" w:lineRule="auto" w:before="0" w:after="0"/>
        <w:ind w:left="219" w:right="225" w:firstLine="0"/>
        <w:jc w:val="both"/>
        <w:rPr>
          <w:sz w:val="24"/>
        </w:rPr>
      </w:pPr>
      <w:r>
        <w:rPr>
          <w:color w:val="333333"/>
          <w:sz w:val="24"/>
        </w:rPr>
        <w:t>Singh R, Stine OC, Smith DL, Jr Spitznagel J.K., Labib </w:t>
      </w:r>
      <w:r>
        <w:rPr>
          <w:color w:val="333333"/>
          <w:spacing w:val="-2"/>
          <w:sz w:val="24"/>
        </w:rPr>
        <w:t>ME. </w:t>
      </w:r>
      <w:r>
        <w:rPr>
          <w:color w:val="333333"/>
          <w:sz w:val="24"/>
        </w:rPr>
        <w:t>Microbial Diversity of Biofilms in Dental Unit Water Systems. Appl Environ Microbiol 2003; 69:</w:t>
      </w:r>
      <w:r>
        <w:rPr>
          <w:color w:val="333333"/>
          <w:spacing w:val="-6"/>
          <w:sz w:val="24"/>
        </w:rPr>
        <w:t> </w:t>
      </w:r>
      <w:r>
        <w:rPr>
          <w:color w:val="333333"/>
          <w:sz w:val="24"/>
        </w:rPr>
        <w:t>3412-3420.</w:t>
      </w:r>
    </w:p>
    <w:p>
      <w:pPr>
        <w:pStyle w:val="ListParagraph"/>
        <w:numPr>
          <w:ilvl w:val="0"/>
          <w:numId w:val="12"/>
        </w:numPr>
        <w:tabs>
          <w:tab w:pos="926" w:val="left" w:leader="none"/>
        </w:tabs>
        <w:spacing w:line="274" w:lineRule="exact" w:before="8" w:after="0"/>
        <w:ind w:left="219" w:right="231" w:firstLine="0"/>
        <w:jc w:val="both"/>
        <w:rPr>
          <w:sz w:val="24"/>
        </w:rPr>
      </w:pPr>
      <w:r>
        <w:rPr>
          <w:color w:val="333333"/>
          <w:sz w:val="24"/>
        </w:rPr>
        <w:t>Szymanska J. Antifungal efficacy of hydrogen peroxide in dental unit waterline disinfection. Ann Agric Environ Med.</w:t>
      </w:r>
      <w:r>
        <w:rPr>
          <w:color w:val="333333"/>
          <w:spacing w:val="-22"/>
          <w:sz w:val="24"/>
        </w:rPr>
        <w:t> </w:t>
      </w:r>
      <w:r>
        <w:rPr>
          <w:color w:val="333333"/>
          <w:sz w:val="24"/>
        </w:rPr>
        <w:t>2006;13:313–317</w:t>
      </w:r>
    </w:p>
    <w:p>
      <w:pPr>
        <w:pStyle w:val="ListParagraph"/>
        <w:numPr>
          <w:ilvl w:val="0"/>
          <w:numId w:val="12"/>
        </w:numPr>
        <w:tabs>
          <w:tab w:pos="926" w:val="left" w:leader="none"/>
        </w:tabs>
        <w:spacing w:line="274" w:lineRule="exact" w:before="4" w:after="0"/>
        <w:ind w:left="219" w:right="227" w:firstLine="0"/>
        <w:jc w:val="both"/>
        <w:rPr>
          <w:sz w:val="24"/>
        </w:rPr>
      </w:pPr>
      <w:r>
        <w:rPr>
          <w:color w:val="333333"/>
          <w:sz w:val="24"/>
        </w:rPr>
        <w:t>Szymanska J. Control methods of the microbial water quality in dental unit water lines” Ann Agric Environ Med</w:t>
      </w:r>
      <w:r>
        <w:rPr>
          <w:color w:val="333333"/>
          <w:spacing w:val="-18"/>
          <w:sz w:val="24"/>
        </w:rPr>
        <w:t> </w:t>
      </w:r>
      <w:r>
        <w:rPr>
          <w:color w:val="333333"/>
          <w:sz w:val="24"/>
        </w:rPr>
        <w:t>.2003</w:t>
      </w:r>
    </w:p>
    <w:p>
      <w:pPr>
        <w:pStyle w:val="ListParagraph"/>
        <w:numPr>
          <w:ilvl w:val="0"/>
          <w:numId w:val="12"/>
        </w:numPr>
        <w:tabs>
          <w:tab w:pos="926" w:val="left" w:leader="none"/>
        </w:tabs>
        <w:spacing w:line="274" w:lineRule="exact" w:before="5" w:after="0"/>
        <w:ind w:left="219" w:right="226" w:firstLine="0"/>
        <w:jc w:val="both"/>
        <w:rPr>
          <w:sz w:val="24"/>
        </w:rPr>
      </w:pPr>
      <w:r>
        <w:rPr>
          <w:color w:val="333333"/>
          <w:sz w:val="24"/>
        </w:rPr>
        <w:t>Szymanska J. Evaluation of mycological contamination of dental unit waterlines. Ann Agric Environ Med.</w:t>
      </w:r>
      <w:r>
        <w:rPr>
          <w:color w:val="333333"/>
          <w:spacing w:val="-19"/>
          <w:sz w:val="24"/>
        </w:rPr>
        <w:t> </w:t>
      </w:r>
      <w:r>
        <w:rPr>
          <w:color w:val="333333"/>
          <w:sz w:val="24"/>
        </w:rPr>
        <w:t>2005a;12:153–155.</w:t>
      </w:r>
    </w:p>
    <w:p>
      <w:pPr>
        <w:pStyle w:val="ListParagraph"/>
        <w:numPr>
          <w:ilvl w:val="0"/>
          <w:numId w:val="12"/>
        </w:numPr>
        <w:tabs>
          <w:tab w:pos="926" w:val="left" w:leader="none"/>
        </w:tabs>
        <w:spacing w:line="274" w:lineRule="exact" w:before="4" w:after="0"/>
        <w:ind w:left="219" w:right="229" w:firstLine="0"/>
        <w:jc w:val="both"/>
        <w:rPr>
          <w:sz w:val="24"/>
        </w:rPr>
      </w:pPr>
      <w:r>
        <w:rPr>
          <w:color w:val="333333"/>
          <w:sz w:val="24"/>
        </w:rPr>
        <w:t>Vidal-Graniel JE. Escherichia coli enteropatógena (EPEC): Una causa frecuente de diarrea infantil. Salud en Tabasco</w:t>
      </w:r>
      <w:r>
        <w:rPr>
          <w:color w:val="333333"/>
          <w:spacing w:val="-20"/>
          <w:sz w:val="24"/>
        </w:rPr>
        <w:t> </w:t>
      </w:r>
      <w:r>
        <w:rPr>
          <w:color w:val="333333"/>
          <w:sz w:val="24"/>
        </w:rPr>
        <w:t>2003;9:188-193,</w:t>
      </w:r>
    </w:p>
    <w:p>
      <w:pPr>
        <w:pStyle w:val="ListParagraph"/>
        <w:numPr>
          <w:ilvl w:val="0"/>
          <w:numId w:val="12"/>
        </w:numPr>
        <w:tabs>
          <w:tab w:pos="926" w:val="left" w:leader="none"/>
        </w:tabs>
        <w:spacing w:line="240" w:lineRule="auto" w:before="0" w:after="0"/>
        <w:ind w:left="219" w:right="219" w:firstLine="0"/>
        <w:jc w:val="both"/>
        <w:rPr>
          <w:sz w:val="24"/>
        </w:rPr>
      </w:pPr>
      <w:r>
        <w:rPr>
          <w:color w:val="333333"/>
          <w:sz w:val="24"/>
        </w:rPr>
        <w:t>Walker JT, Bradshaw DJ, Finney M, Fulford MR, Frandsen E, Qstergaard E, Ten Cate JM, Moorer </w:t>
      </w:r>
      <w:r>
        <w:rPr>
          <w:color w:val="333333"/>
          <w:spacing w:val="2"/>
          <w:sz w:val="24"/>
        </w:rPr>
        <w:t>WR, </w:t>
      </w:r>
      <w:r>
        <w:rPr>
          <w:color w:val="333333"/>
          <w:sz w:val="24"/>
        </w:rPr>
        <w:t>Schel AJ, Mavridou A, Kamma JJ, Mandilara G, Stösser L, Kneist S, Araujo R, Contreras N, Goroncy-Bermes P, Q’Mullane D, Burke F, Forde A, Q’Sullivan M, Marsh PD. Microbiological evaluation of dental unit water systems in general dental practice in Europe. Eur J Oral Sci.</w:t>
      </w:r>
      <w:r>
        <w:rPr>
          <w:color w:val="333333"/>
          <w:spacing w:val="-28"/>
          <w:sz w:val="24"/>
        </w:rPr>
        <w:t> </w:t>
      </w:r>
      <w:r>
        <w:rPr>
          <w:color w:val="333333"/>
          <w:sz w:val="24"/>
        </w:rPr>
        <w:t>2004;112:412–418.</w:t>
      </w:r>
    </w:p>
    <w:p>
      <w:pPr>
        <w:spacing w:after="0" w:line="240" w:lineRule="auto"/>
        <w:jc w:val="both"/>
        <w:rPr>
          <w:sz w:val="24"/>
        </w:rPr>
        <w:sectPr>
          <w:pgSz w:w="12240" w:h="15840"/>
          <w:pgMar w:header="731" w:footer="1012" w:top="1160" w:bottom="1200" w:left="1480" w:right="1480"/>
        </w:sectPr>
      </w:pPr>
    </w:p>
    <w:p>
      <w:pPr>
        <w:pStyle w:val="BodyText"/>
        <w:spacing w:before="6"/>
        <w:rPr>
          <w:sz w:val="16"/>
        </w:rPr>
      </w:pPr>
    </w:p>
    <w:p>
      <w:pPr>
        <w:pStyle w:val="Heading2"/>
        <w:spacing w:before="69"/>
        <w:ind w:left="239" w:right="355"/>
      </w:pPr>
      <w:r>
        <w:rPr>
          <w:color w:val="333333"/>
        </w:rPr>
        <w:t>Tablas</w:t>
      </w:r>
    </w:p>
    <w:p>
      <w:pPr>
        <w:pStyle w:val="BodyText"/>
        <w:rPr>
          <w:b/>
        </w:rPr>
      </w:pPr>
    </w:p>
    <w:p>
      <w:pPr>
        <w:pStyle w:val="BodyText"/>
        <w:rPr>
          <w:b/>
        </w:rPr>
      </w:pPr>
    </w:p>
    <w:p>
      <w:pPr>
        <w:pStyle w:val="BodyText"/>
        <w:spacing w:before="4"/>
        <w:rPr>
          <w:b/>
        </w:rPr>
      </w:pPr>
    </w:p>
    <w:p>
      <w:pPr>
        <w:spacing w:before="0" w:after="6"/>
        <w:ind w:left="4379" w:right="355" w:hanging="4006"/>
        <w:jc w:val="left"/>
        <w:rPr>
          <w:sz w:val="20"/>
        </w:rPr>
      </w:pPr>
      <w:r>
        <w:rPr>
          <w:sz w:val="20"/>
        </w:rPr>
        <w:t>Tabla I Estadísticos descriptivos de UFC/ml encontradas en líneas de agua de alta velocidad por clínica</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79"/>
        <w:gridCol w:w="733"/>
        <w:gridCol w:w="1309"/>
        <w:gridCol w:w="1464"/>
        <w:gridCol w:w="1196"/>
        <w:gridCol w:w="1119"/>
        <w:gridCol w:w="1162"/>
      </w:tblGrid>
      <w:tr>
        <w:trPr>
          <w:trHeight w:val="269" w:hRule="exact"/>
        </w:trPr>
        <w:tc>
          <w:tcPr>
            <w:tcW w:w="2079" w:type="dxa"/>
            <w:vMerge w:val="restart"/>
            <w:tcBorders>
              <w:top w:val="single" w:sz="23" w:space="0" w:color="9BBA58"/>
              <w:right w:val="single" w:sz="8" w:space="0" w:color="9BBA58"/>
            </w:tcBorders>
          </w:tcPr>
          <w:p>
            <w:pPr>
              <w:pStyle w:val="TableParagraph"/>
              <w:spacing w:line="240" w:lineRule="auto" w:before="9"/>
              <w:rPr>
                <w:sz w:val="20"/>
              </w:rPr>
            </w:pPr>
          </w:p>
          <w:p>
            <w:pPr>
              <w:pStyle w:val="TableParagraph"/>
              <w:spacing w:line="470" w:lineRule="auto"/>
              <w:ind w:left="336" w:firstLine="403"/>
              <w:rPr>
                <w:sz w:val="20"/>
              </w:rPr>
            </w:pPr>
            <w:r>
              <w:rPr>
                <w:sz w:val="20"/>
              </w:rPr>
              <w:t>Clínica Endodoncia</w:t>
            </w:r>
          </w:p>
          <w:p>
            <w:pPr>
              <w:pStyle w:val="TableParagraph"/>
              <w:spacing w:line="240" w:lineRule="auto" w:before="88"/>
              <w:ind w:left="336"/>
              <w:rPr>
                <w:sz w:val="20"/>
              </w:rPr>
            </w:pPr>
            <w:r>
              <w:rPr>
                <w:sz w:val="20"/>
              </w:rPr>
              <w:t>Odontopediatría</w:t>
            </w:r>
          </w:p>
          <w:p>
            <w:pPr>
              <w:pStyle w:val="TableParagraph"/>
              <w:spacing w:line="240" w:lineRule="auto" w:before="10"/>
              <w:rPr>
                <w:sz w:val="25"/>
              </w:rPr>
            </w:pPr>
          </w:p>
          <w:p>
            <w:pPr>
              <w:pStyle w:val="TableParagraph"/>
              <w:spacing w:line="276" w:lineRule="auto"/>
              <w:ind w:left="398" w:right="706"/>
              <w:rPr>
                <w:sz w:val="20"/>
              </w:rPr>
            </w:pPr>
            <w:r>
              <w:rPr>
                <w:sz w:val="20"/>
              </w:rPr>
              <w:t>Operatoria Dental</w:t>
            </w:r>
          </w:p>
        </w:tc>
        <w:tc>
          <w:tcPr>
            <w:tcW w:w="733" w:type="dxa"/>
            <w:tcBorders>
              <w:top w:val="single" w:sz="23" w:space="0" w:color="9BBA58"/>
              <w:left w:val="single" w:sz="8" w:space="0" w:color="9BBA58"/>
            </w:tcBorders>
          </w:tcPr>
          <w:p>
            <w:pPr/>
          </w:p>
        </w:tc>
        <w:tc>
          <w:tcPr>
            <w:tcW w:w="1309" w:type="dxa"/>
            <w:tcBorders>
              <w:top w:val="single" w:sz="23" w:space="0" w:color="9BBA58"/>
            </w:tcBorders>
          </w:tcPr>
          <w:p>
            <w:pPr/>
          </w:p>
        </w:tc>
        <w:tc>
          <w:tcPr>
            <w:tcW w:w="1464" w:type="dxa"/>
            <w:tcBorders>
              <w:top w:val="single" w:sz="23" w:space="0" w:color="9BBA58"/>
            </w:tcBorders>
          </w:tcPr>
          <w:p>
            <w:pPr>
              <w:pStyle w:val="TableParagraph"/>
              <w:spacing w:line="230" w:lineRule="exact"/>
              <w:ind w:left="221" w:right="224"/>
              <w:jc w:val="center"/>
              <w:rPr>
                <w:sz w:val="20"/>
              </w:rPr>
            </w:pPr>
            <w:r>
              <w:rPr>
                <w:sz w:val="20"/>
              </w:rPr>
              <w:t>Desviación</w:t>
            </w:r>
          </w:p>
        </w:tc>
        <w:tc>
          <w:tcPr>
            <w:tcW w:w="1196" w:type="dxa"/>
            <w:tcBorders>
              <w:top w:val="single" w:sz="23" w:space="0" w:color="9BBA58"/>
            </w:tcBorders>
          </w:tcPr>
          <w:p>
            <w:pPr>
              <w:pStyle w:val="TableParagraph"/>
              <w:spacing w:line="230" w:lineRule="exact"/>
              <w:ind w:left="223" w:right="206"/>
              <w:jc w:val="center"/>
              <w:rPr>
                <w:sz w:val="20"/>
              </w:rPr>
            </w:pPr>
            <w:r>
              <w:rPr>
                <w:sz w:val="20"/>
              </w:rPr>
              <w:t>Error</w:t>
            </w:r>
          </w:p>
        </w:tc>
        <w:tc>
          <w:tcPr>
            <w:tcW w:w="1119" w:type="dxa"/>
            <w:tcBorders>
              <w:top w:val="single" w:sz="23" w:space="0" w:color="9BBA58"/>
            </w:tcBorders>
          </w:tcPr>
          <w:p>
            <w:pPr/>
          </w:p>
        </w:tc>
        <w:tc>
          <w:tcPr>
            <w:tcW w:w="1162" w:type="dxa"/>
            <w:tcBorders>
              <w:top w:val="single" w:sz="23" w:space="0" w:color="9BBA58"/>
              <w:right w:val="single" w:sz="8" w:space="0" w:color="9BBA58"/>
            </w:tcBorders>
          </w:tcPr>
          <w:p>
            <w:pPr/>
          </w:p>
        </w:tc>
      </w:tr>
      <w:tr>
        <w:trPr>
          <w:trHeight w:val="346" w:hRule="exact"/>
        </w:trPr>
        <w:tc>
          <w:tcPr>
            <w:tcW w:w="2079" w:type="dxa"/>
            <w:vMerge/>
            <w:tcBorders>
              <w:right w:val="single" w:sz="8" w:space="0" w:color="9BBA58"/>
            </w:tcBorders>
          </w:tcPr>
          <w:p>
            <w:pPr/>
          </w:p>
        </w:tc>
        <w:tc>
          <w:tcPr>
            <w:tcW w:w="733" w:type="dxa"/>
            <w:tcBorders>
              <w:left w:val="single" w:sz="8" w:space="0" w:color="9BBA58"/>
            </w:tcBorders>
          </w:tcPr>
          <w:p>
            <w:pPr>
              <w:pStyle w:val="TableParagraph"/>
              <w:spacing w:line="220" w:lineRule="exact"/>
              <w:ind w:right="38"/>
              <w:jc w:val="center"/>
              <w:rPr>
                <w:sz w:val="20"/>
              </w:rPr>
            </w:pPr>
            <w:r>
              <w:rPr>
                <w:w w:val="100"/>
                <w:sz w:val="20"/>
              </w:rPr>
              <w:t>N</w:t>
            </w:r>
          </w:p>
        </w:tc>
        <w:tc>
          <w:tcPr>
            <w:tcW w:w="1309" w:type="dxa"/>
          </w:tcPr>
          <w:p>
            <w:pPr>
              <w:pStyle w:val="TableParagraph"/>
              <w:spacing w:line="220" w:lineRule="exact"/>
              <w:ind w:left="164" w:right="217"/>
              <w:jc w:val="center"/>
              <w:rPr>
                <w:sz w:val="20"/>
              </w:rPr>
            </w:pPr>
            <w:r>
              <w:rPr>
                <w:sz w:val="20"/>
              </w:rPr>
              <w:t>Media</w:t>
            </w:r>
          </w:p>
        </w:tc>
        <w:tc>
          <w:tcPr>
            <w:tcW w:w="1464" w:type="dxa"/>
          </w:tcPr>
          <w:p>
            <w:pPr>
              <w:pStyle w:val="TableParagraph"/>
              <w:spacing w:line="220" w:lineRule="exact"/>
              <w:ind w:left="221" w:right="223"/>
              <w:jc w:val="center"/>
              <w:rPr>
                <w:sz w:val="20"/>
              </w:rPr>
            </w:pPr>
            <w:r>
              <w:rPr>
                <w:sz w:val="20"/>
              </w:rPr>
              <w:t>típica</w:t>
            </w:r>
          </w:p>
        </w:tc>
        <w:tc>
          <w:tcPr>
            <w:tcW w:w="1196" w:type="dxa"/>
          </w:tcPr>
          <w:p>
            <w:pPr>
              <w:pStyle w:val="TableParagraph"/>
              <w:spacing w:line="220" w:lineRule="exact"/>
              <w:ind w:left="223" w:right="209"/>
              <w:jc w:val="center"/>
              <w:rPr>
                <w:sz w:val="20"/>
              </w:rPr>
            </w:pPr>
            <w:r>
              <w:rPr>
                <w:sz w:val="20"/>
              </w:rPr>
              <w:t>típico</w:t>
            </w:r>
          </w:p>
        </w:tc>
        <w:tc>
          <w:tcPr>
            <w:tcW w:w="1119" w:type="dxa"/>
          </w:tcPr>
          <w:p>
            <w:pPr>
              <w:pStyle w:val="TableParagraph"/>
              <w:spacing w:line="220" w:lineRule="exact"/>
              <w:ind w:left="213" w:right="209"/>
              <w:jc w:val="center"/>
              <w:rPr>
                <w:sz w:val="20"/>
              </w:rPr>
            </w:pPr>
            <w:r>
              <w:rPr>
                <w:sz w:val="20"/>
              </w:rPr>
              <w:t>Mínimo</w:t>
            </w:r>
          </w:p>
        </w:tc>
        <w:tc>
          <w:tcPr>
            <w:tcW w:w="1162" w:type="dxa"/>
            <w:tcBorders>
              <w:right w:val="single" w:sz="8" w:space="0" w:color="9BBA58"/>
            </w:tcBorders>
          </w:tcPr>
          <w:p>
            <w:pPr>
              <w:pStyle w:val="TableParagraph"/>
              <w:spacing w:line="220" w:lineRule="exact"/>
              <w:ind w:right="218"/>
              <w:jc w:val="right"/>
              <w:rPr>
                <w:sz w:val="20"/>
              </w:rPr>
            </w:pPr>
            <w:r>
              <w:rPr>
                <w:sz w:val="20"/>
              </w:rPr>
              <w:t>máximo</w:t>
            </w:r>
          </w:p>
        </w:tc>
      </w:tr>
      <w:tr>
        <w:trPr>
          <w:trHeight w:val="497" w:hRule="exact"/>
        </w:trPr>
        <w:tc>
          <w:tcPr>
            <w:tcW w:w="2079" w:type="dxa"/>
            <w:vMerge/>
            <w:tcBorders>
              <w:right w:val="single" w:sz="8" w:space="0" w:color="9BBA58"/>
            </w:tcBorders>
          </w:tcPr>
          <w:p>
            <w:pPr/>
          </w:p>
        </w:tc>
        <w:tc>
          <w:tcPr>
            <w:tcW w:w="733" w:type="dxa"/>
            <w:tcBorders>
              <w:left w:val="single" w:sz="8" w:space="0" w:color="9BBA58"/>
            </w:tcBorders>
          </w:tcPr>
          <w:p>
            <w:pPr>
              <w:pStyle w:val="TableParagraph"/>
              <w:spacing w:line="240" w:lineRule="auto" w:before="105"/>
              <w:ind w:left="243" w:right="218"/>
              <w:jc w:val="center"/>
              <w:rPr>
                <w:sz w:val="20"/>
              </w:rPr>
            </w:pPr>
            <w:r>
              <w:rPr>
                <w:sz w:val="20"/>
              </w:rPr>
              <w:t>12</w:t>
            </w:r>
          </w:p>
        </w:tc>
        <w:tc>
          <w:tcPr>
            <w:tcW w:w="1309" w:type="dxa"/>
          </w:tcPr>
          <w:p>
            <w:pPr>
              <w:pStyle w:val="TableParagraph"/>
              <w:spacing w:line="240" w:lineRule="auto" w:before="105"/>
              <w:ind w:left="217" w:right="217"/>
              <w:jc w:val="center"/>
              <w:rPr>
                <w:sz w:val="20"/>
              </w:rPr>
            </w:pPr>
            <w:r>
              <w:rPr>
                <w:sz w:val="20"/>
              </w:rPr>
              <w:t>1001.417</w:t>
            </w:r>
          </w:p>
        </w:tc>
        <w:tc>
          <w:tcPr>
            <w:tcW w:w="1464" w:type="dxa"/>
          </w:tcPr>
          <w:p>
            <w:pPr>
              <w:pStyle w:val="TableParagraph"/>
              <w:spacing w:line="240" w:lineRule="auto" w:before="105"/>
              <w:ind w:left="217" w:right="224"/>
              <w:jc w:val="center"/>
              <w:rPr>
                <w:sz w:val="20"/>
              </w:rPr>
            </w:pPr>
            <w:r>
              <w:rPr>
                <w:sz w:val="20"/>
              </w:rPr>
              <w:t>3.0588</w:t>
            </w:r>
          </w:p>
        </w:tc>
        <w:tc>
          <w:tcPr>
            <w:tcW w:w="1196" w:type="dxa"/>
          </w:tcPr>
          <w:p>
            <w:pPr>
              <w:pStyle w:val="TableParagraph"/>
              <w:spacing w:line="240" w:lineRule="auto" w:before="105"/>
              <w:ind w:left="223" w:right="209"/>
              <w:jc w:val="center"/>
              <w:rPr>
                <w:sz w:val="20"/>
              </w:rPr>
            </w:pPr>
            <w:r>
              <w:rPr>
                <w:sz w:val="20"/>
              </w:rPr>
              <w:t>.8830</w:t>
            </w:r>
          </w:p>
        </w:tc>
        <w:tc>
          <w:tcPr>
            <w:tcW w:w="1119" w:type="dxa"/>
          </w:tcPr>
          <w:p>
            <w:pPr>
              <w:pStyle w:val="TableParagraph"/>
              <w:spacing w:line="240" w:lineRule="auto" w:before="105"/>
              <w:ind w:left="213" w:right="208"/>
              <w:jc w:val="center"/>
              <w:rPr>
                <w:sz w:val="20"/>
              </w:rPr>
            </w:pPr>
            <w:r>
              <w:rPr>
                <w:sz w:val="20"/>
              </w:rPr>
              <w:t>998.0</w:t>
            </w:r>
          </w:p>
        </w:tc>
        <w:tc>
          <w:tcPr>
            <w:tcW w:w="1162" w:type="dxa"/>
            <w:tcBorders>
              <w:right w:val="single" w:sz="8" w:space="0" w:color="9BBA58"/>
            </w:tcBorders>
          </w:tcPr>
          <w:p>
            <w:pPr>
              <w:pStyle w:val="TableParagraph"/>
              <w:spacing w:line="240" w:lineRule="auto" w:before="105"/>
              <w:ind w:right="265"/>
              <w:jc w:val="right"/>
              <w:rPr>
                <w:sz w:val="20"/>
              </w:rPr>
            </w:pPr>
            <w:r>
              <w:rPr>
                <w:sz w:val="20"/>
              </w:rPr>
              <w:t>1010.0</w:t>
            </w:r>
          </w:p>
        </w:tc>
      </w:tr>
      <w:tr>
        <w:trPr>
          <w:trHeight w:val="530" w:hRule="exact"/>
        </w:trPr>
        <w:tc>
          <w:tcPr>
            <w:tcW w:w="2079" w:type="dxa"/>
            <w:vMerge/>
            <w:tcBorders>
              <w:right w:val="single" w:sz="8" w:space="0" w:color="9BBA58"/>
            </w:tcBorders>
          </w:tcPr>
          <w:p>
            <w:pPr/>
          </w:p>
        </w:tc>
        <w:tc>
          <w:tcPr>
            <w:tcW w:w="733" w:type="dxa"/>
            <w:tcBorders>
              <w:left w:val="single" w:sz="8" w:space="0" w:color="9BBA58"/>
            </w:tcBorders>
          </w:tcPr>
          <w:p>
            <w:pPr>
              <w:pStyle w:val="TableParagraph"/>
              <w:spacing w:line="240" w:lineRule="auto" w:before="141"/>
              <w:ind w:left="243" w:right="218"/>
              <w:jc w:val="center"/>
              <w:rPr>
                <w:sz w:val="20"/>
              </w:rPr>
            </w:pPr>
            <w:r>
              <w:rPr>
                <w:sz w:val="20"/>
              </w:rPr>
              <w:t>11</w:t>
            </w:r>
          </w:p>
        </w:tc>
        <w:tc>
          <w:tcPr>
            <w:tcW w:w="1309" w:type="dxa"/>
          </w:tcPr>
          <w:p>
            <w:pPr>
              <w:pStyle w:val="TableParagraph"/>
              <w:spacing w:line="240" w:lineRule="auto" w:before="141"/>
              <w:ind w:left="217" w:right="215"/>
              <w:jc w:val="center"/>
              <w:rPr>
                <w:sz w:val="20"/>
              </w:rPr>
            </w:pPr>
            <w:r>
              <w:rPr>
                <w:sz w:val="20"/>
              </w:rPr>
              <w:t>901.000</w:t>
            </w:r>
          </w:p>
        </w:tc>
        <w:tc>
          <w:tcPr>
            <w:tcW w:w="1464" w:type="dxa"/>
          </w:tcPr>
          <w:p>
            <w:pPr>
              <w:pStyle w:val="TableParagraph"/>
              <w:spacing w:line="240" w:lineRule="auto" w:before="141"/>
              <w:ind w:left="217" w:right="224"/>
              <w:jc w:val="center"/>
              <w:rPr>
                <w:sz w:val="20"/>
              </w:rPr>
            </w:pPr>
            <w:r>
              <w:rPr>
                <w:sz w:val="20"/>
              </w:rPr>
              <w:t>224.1767</w:t>
            </w:r>
          </w:p>
        </w:tc>
        <w:tc>
          <w:tcPr>
            <w:tcW w:w="1196" w:type="dxa"/>
          </w:tcPr>
          <w:p>
            <w:pPr>
              <w:pStyle w:val="TableParagraph"/>
              <w:spacing w:line="240" w:lineRule="auto" w:before="141"/>
              <w:ind w:left="223" w:right="209"/>
              <w:jc w:val="center"/>
              <w:rPr>
                <w:sz w:val="20"/>
              </w:rPr>
            </w:pPr>
            <w:r>
              <w:rPr>
                <w:sz w:val="20"/>
              </w:rPr>
              <w:t>67.5918</w:t>
            </w:r>
          </w:p>
        </w:tc>
        <w:tc>
          <w:tcPr>
            <w:tcW w:w="1119" w:type="dxa"/>
          </w:tcPr>
          <w:p>
            <w:pPr>
              <w:pStyle w:val="TableParagraph"/>
              <w:spacing w:line="240" w:lineRule="auto" w:before="141"/>
              <w:ind w:left="213" w:right="208"/>
              <w:jc w:val="center"/>
              <w:rPr>
                <w:sz w:val="20"/>
              </w:rPr>
            </w:pPr>
            <w:r>
              <w:rPr>
                <w:sz w:val="20"/>
              </w:rPr>
              <w:t>400.0</w:t>
            </w:r>
          </w:p>
        </w:tc>
        <w:tc>
          <w:tcPr>
            <w:tcW w:w="1162" w:type="dxa"/>
            <w:tcBorders>
              <w:right w:val="single" w:sz="8" w:space="0" w:color="9BBA58"/>
            </w:tcBorders>
          </w:tcPr>
          <w:p>
            <w:pPr>
              <w:pStyle w:val="TableParagraph"/>
              <w:spacing w:line="240" w:lineRule="auto" w:before="141"/>
              <w:ind w:right="265"/>
              <w:jc w:val="right"/>
              <w:rPr>
                <w:sz w:val="20"/>
              </w:rPr>
            </w:pPr>
            <w:r>
              <w:rPr>
                <w:sz w:val="20"/>
              </w:rPr>
              <w:t>1015.0</w:t>
            </w:r>
          </w:p>
        </w:tc>
      </w:tr>
      <w:tr>
        <w:trPr>
          <w:trHeight w:val="668" w:hRule="exact"/>
        </w:trPr>
        <w:tc>
          <w:tcPr>
            <w:tcW w:w="2079" w:type="dxa"/>
            <w:vMerge/>
            <w:tcBorders>
              <w:right w:val="single" w:sz="8" w:space="0" w:color="9BBA58"/>
            </w:tcBorders>
          </w:tcPr>
          <w:p>
            <w:pPr/>
          </w:p>
        </w:tc>
        <w:tc>
          <w:tcPr>
            <w:tcW w:w="733" w:type="dxa"/>
            <w:tcBorders>
              <w:left w:val="single" w:sz="8" w:space="0" w:color="9BBA58"/>
            </w:tcBorders>
          </w:tcPr>
          <w:p>
            <w:pPr>
              <w:pStyle w:val="TableParagraph"/>
              <w:spacing w:line="240" w:lineRule="auto" w:before="139"/>
              <w:ind w:left="243" w:right="218"/>
              <w:jc w:val="center"/>
              <w:rPr>
                <w:sz w:val="20"/>
              </w:rPr>
            </w:pPr>
            <w:r>
              <w:rPr>
                <w:sz w:val="20"/>
              </w:rPr>
              <w:t>12</w:t>
            </w:r>
          </w:p>
        </w:tc>
        <w:tc>
          <w:tcPr>
            <w:tcW w:w="1309" w:type="dxa"/>
          </w:tcPr>
          <w:p>
            <w:pPr>
              <w:pStyle w:val="TableParagraph"/>
              <w:spacing w:line="240" w:lineRule="auto" w:before="139"/>
              <w:ind w:left="217" w:right="215"/>
              <w:jc w:val="center"/>
              <w:rPr>
                <w:sz w:val="20"/>
              </w:rPr>
            </w:pPr>
            <w:r>
              <w:rPr>
                <w:sz w:val="20"/>
              </w:rPr>
              <w:t>790.917</w:t>
            </w:r>
          </w:p>
        </w:tc>
        <w:tc>
          <w:tcPr>
            <w:tcW w:w="1464" w:type="dxa"/>
          </w:tcPr>
          <w:p>
            <w:pPr>
              <w:pStyle w:val="TableParagraph"/>
              <w:spacing w:line="240" w:lineRule="auto" w:before="139"/>
              <w:ind w:left="217" w:right="224"/>
              <w:jc w:val="center"/>
              <w:rPr>
                <w:sz w:val="20"/>
              </w:rPr>
            </w:pPr>
            <w:r>
              <w:rPr>
                <w:sz w:val="20"/>
              </w:rPr>
              <w:t>267.1103</w:t>
            </w:r>
          </w:p>
        </w:tc>
        <w:tc>
          <w:tcPr>
            <w:tcW w:w="1196" w:type="dxa"/>
          </w:tcPr>
          <w:p>
            <w:pPr>
              <w:pStyle w:val="TableParagraph"/>
              <w:spacing w:line="240" w:lineRule="auto" w:before="139"/>
              <w:ind w:left="223" w:right="209"/>
              <w:jc w:val="center"/>
              <w:rPr>
                <w:sz w:val="20"/>
              </w:rPr>
            </w:pPr>
            <w:r>
              <w:rPr>
                <w:sz w:val="20"/>
              </w:rPr>
              <w:t>77.1081</w:t>
            </w:r>
          </w:p>
        </w:tc>
        <w:tc>
          <w:tcPr>
            <w:tcW w:w="1119" w:type="dxa"/>
          </w:tcPr>
          <w:p>
            <w:pPr>
              <w:pStyle w:val="TableParagraph"/>
              <w:spacing w:line="240" w:lineRule="auto" w:before="139"/>
              <w:ind w:left="213" w:right="208"/>
              <w:jc w:val="center"/>
              <w:rPr>
                <w:sz w:val="20"/>
              </w:rPr>
            </w:pPr>
            <w:r>
              <w:rPr>
                <w:sz w:val="20"/>
              </w:rPr>
              <w:t>400.0</w:t>
            </w:r>
          </w:p>
        </w:tc>
        <w:tc>
          <w:tcPr>
            <w:tcW w:w="1162" w:type="dxa"/>
            <w:tcBorders>
              <w:right w:val="single" w:sz="8" w:space="0" w:color="9BBA58"/>
            </w:tcBorders>
          </w:tcPr>
          <w:p>
            <w:pPr>
              <w:pStyle w:val="TableParagraph"/>
              <w:spacing w:line="240" w:lineRule="auto" w:before="139"/>
              <w:ind w:right="265"/>
              <w:jc w:val="right"/>
              <w:rPr>
                <w:sz w:val="20"/>
              </w:rPr>
            </w:pPr>
            <w:r>
              <w:rPr>
                <w:sz w:val="20"/>
              </w:rPr>
              <w:t>1013.0</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p>
    <w:p>
      <w:pPr>
        <w:pStyle w:val="Heading2"/>
        <w:spacing w:before="69"/>
        <w:ind w:left="239" w:right="355"/>
      </w:pPr>
      <w:r>
        <w:rPr>
          <w:color w:val="333333"/>
        </w:rPr>
        <w:t>Figuras</w:t>
      </w:r>
    </w:p>
    <w:p>
      <w:pPr>
        <w:pStyle w:val="BodyText"/>
        <w:spacing w:before="46"/>
        <w:ind w:left="239" w:right="355"/>
      </w:pPr>
      <w:r>
        <w:rPr>
          <w:color w:val="333333"/>
        </w:rPr>
        <w:t>Título de la figura 1</w:t>
      </w:r>
    </w:p>
    <w:p>
      <w:pPr>
        <w:pStyle w:val="BodyText"/>
        <w:spacing w:before="1"/>
        <w:rPr>
          <w:sz w:val="31"/>
        </w:rPr>
      </w:pPr>
    </w:p>
    <w:p>
      <w:pPr>
        <w:pStyle w:val="BodyText"/>
        <w:spacing w:line="276" w:lineRule="auto"/>
        <w:ind w:left="239" w:right="355"/>
      </w:pPr>
      <w:r>
        <w:rPr>
          <w:color w:val="333333"/>
        </w:rPr>
        <w:t>Porcentaje de microorganismos encontrado en líneas de agua de alta velocidad por</w:t>
      </w:r>
      <w:r>
        <w:rPr>
          <w:color w:val="333333"/>
          <w:spacing w:val="-1"/>
        </w:rPr>
        <w:t> </w:t>
      </w:r>
      <w:r>
        <w:rPr>
          <w:color w:val="333333"/>
        </w:rPr>
        <w:t>clínicas.</w:t>
      </w:r>
    </w:p>
    <w:p>
      <w:pPr>
        <w:pStyle w:val="BodyText"/>
      </w:pPr>
    </w:p>
    <w:p>
      <w:pPr>
        <w:pStyle w:val="BodyText"/>
      </w:pPr>
    </w:p>
    <w:p>
      <w:pPr>
        <w:pStyle w:val="BodyText"/>
        <w:spacing w:before="8"/>
        <w:rPr>
          <w:sz w:val="34"/>
        </w:rPr>
      </w:pPr>
    </w:p>
    <w:p>
      <w:pPr>
        <w:pStyle w:val="Heading2"/>
        <w:ind w:left="239" w:right="355"/>
      </w:pPr>
      <w:r>
        <w:rPr>
          <w:color w:val="333333"/>
        </w:rPr>
        <w:t>Figura 1</w:t>
      </w:r>
    </w:p>
    <w:p>
      <w:pPr>
        <w:pStyle w:val="BodyText"/>
        <w:spacing w:before="3"/>
        <w:rPr>
          <w:b/>
          <w:sz w:val="28"/>
        </w:rPr>
      </w:pPr>
      <w:r>
        <w:rPr/>
        <w:drawing>
          <wp:anchor distT="0" distB="0" distL="0" distR="0" allowOverlap="1" layoutInCell="1" locked="0" behindDoc="0" simplePos="0" relativeHeight="2824">
            <wp:simplePos x="0" y="0"/>
            <wp:positionH relativeFrom="page">
              <wp:posOffset>1080135</wp:posOffset>
            </wp:positionH>
            <wp:positionV relativeFrom="paragraph">
              <wp:posOffset>231229</wp:posOffset>
            </wp:positionV>
            <wp:extent cx="5278655" cy="2737104"/>
            <wp:effectExtent l="0" t="0" r="0" b="0"/>
            <wp:wrapTopAndBottom/>
            <wp:docPr id="23" name="image43.jpeg" descr=""/>
            <wp:cNvGraphicFramePr>
              <a:graphicFrameLocks noChangeAspect="1"/>
            </wp:cNvGraphicFramePr>
            <a:graphic>
              <a:graphicData uri="http://schemas.openxmlformats.org/drawingml/2006/picture">
                <pic:pic>
                  <pic:nvPicPr>
                    <pic:cNvPr id="24" name="image43.jpeg"/>
                    <pic:cNvPicPr/>
                  </pic:nvPicPr>
                  <pic:blipFill>
                    <a:blip r:embed="rId68" cstate="print"/>
                    <a:stretch>
                      <a:fillRect/>
                    </a:stretch>
                  </pic:blipFill>
                  <pic:spPr>
                    <a:xfrm>
                      <a:off x="0" y="0"/>
                      <a:ext cx="5278655" cy="2737104"/>
                    </a:xfrm>
                    <a:prstGeom prst="rect">
                      <a:avLst/>
                    </a:prstGeom>
                  </pic:spPr>
                </pic:pic>
              </a:graphicData>
            </a:graphic>
          </wp:anchor>
        </w:drawing>
      </w:r>
    </w:p>
    <w:p>
      <w:pPr>
        <w:spacing w:after="0"/>
        <w:rPr>
          <w:sz w:val="28"/>
        </w:rPr>
        <w:sectPr>
          <w:pgSz w:w="12240" w:h="15840"/>
          <w:pgMar w:header="731" w:footer="1012" w:top="1160" w:bottom="1200" w:left="1460" w:right="1460"/>
        </w:sectPr>
      </w:pPr>
    </w:p>
    <w:p>
      <w:pPr>
        <w:pStyle w:val="BodyText"/>
        <w:spacing w:before="1"/>
        <w:rPr>
          <w:b/>
          <w:sz w:val="16"/>
        </w:rPr>
      </w:pPr>
    </w:p>
    <w:p>
      <w:pPr>
        <w:pStyle w:val="Heading2"/>
        <w:numPr>
          <w:ilvl w:val="0"/>
          <w:numId w:val="8"/>
        </w:numPr>
        <w:tabs>
          <w:tab w:pos="941" w:val="left" w:leader="none"/>
        </w:tabs>
        <w:spacing w:line="240" w:lineRule="auto" w:before="70" w:after="0"/>
        <w:ind w:left="940" w:right="0" w:hanging="360"/>
        <w:jc w:val="left"/>
      </w:pPr>
      <w:r>
        <w:rPr/>
        <w:t>Resultados Generales del</w:t>
      </w:r>
      <w:r>
        <w:rPr>
          <w:spacing w:val="-15"/>
        </w:rPr>
        <w:t> </w:t>
      </w:r>
      <w:r>
        <w:rPr/>
        <w:t>Proyecto</w:t>
      </w:r>
    </w:p>
    <w:p>
      <w:pPr>
        <w:pStyle w:val="BodyText"/>
        <w:spacing w:before="3"/>
        <w:rPr>
          <w:b/>
          <w:sz w:val="30"/>
        </w:rPr>
      </w:pPr>
    </w:p>
    <w:p>
      <w:pPr>
        <w:pStyle w:val="BodyText"/>
        <w:spacing w:line="360" w:lineRule="auto"/>
        <w:ind w:left="219" w:right="224"/>
        <w:jc w:val="both"/>
      </w:pPr>
      <w:r>
        <w:rPr/>
        <w:t>Fueron evaluadas 12 líneas de agua de alta velocidad de la clínica de endodoncia, 12 de la clínica de odontopediatría y 11 de la clínica de operatoria dental para conformar una muestra de 35 líneas de agua de alta velocidad. Cada procedimiento fue valorado después de cuatro semanas de uso.</w:t>
      </w:r>
    </w:p>
    <w:p>
      <w:pPr>
        <w:pStyle w:val="BodyText"/>
        <w:spacing w:line="360" w:lineRule="auto" w:before="209"/>
        <w:ind w:left="219" w:right="218"/>
        <w:jc w:val="both"/>
      </w:pPr>
      <w:r>
        <w:rPr/>
        <w:t>La primera fase, correspondiente al uso de agua filtrada y purga, mostró en las  tres porciones analizadas medias superiores a 800 UFC/ml </w:t>
      </w:r>
      <w:r>
        <w:rPr>
          <w:spacing w:val="2"/>
        </w:rPr>
        <w:t>(Tabla </w:t>
      </w:r>
      <w:r>
        <w:rPr/>
        <w:t>1). El tratamiento con plata coloidal logró una marcada reducción ya que expuso medias inferiores a 45UFC/ml (tabla1), los valores máximos corresponden a una unidad dental y los valores mínimos a 26 unidades dentales. En cuanto al tratamiento con gluconato de clorhexidina se observó una reducción de aproximadamente el 50% respecto al tratamiento basal ya que se obtuvieron medias por debajo de 450 UFC/ml (tabla 1), los valores mínimos se encontraron en siete unidades dentales y los valores máximos en una unidad</w:t>
      </w:r>
      <w:r>
        <w:rPr>
          <w:spacing w:val="-10"/>
        </w:rPr>
        <w:t> </w:t>
      </w:r>
      <w:r>
        <w:rPr/>
        <w:t>dental.</w:t>
      </w:r>
    </w:p>
    <w:p>
      <w:pPr>
        <w:spacing w:line="360" w:lineRule="auto" w:before="209"/>
        <w:ind w:left="219" w:right="224" w:firstLine="0"/>
        <w:jc w:val="both"/>
        <w:rPr>
          <w:sz w:val="24"/>
        </w:rPr>
      </w:pPr>
      <w:r>
        <w:rPr>
          <w:sz w:val="24"/>
        </w:rPr>
        <w:t>En cuanto al tipo de microorganismos presentes en la medición basal, es decir en aquellas mangueras tratadas con agua filtrada, los que se encontraron fueron por orden de frecuencia: </w:t>
      </w:r>
      <w:r>
        <w:rPr>
          <w:i/>
          <w:sz w:val="24"/>
        </w:rPr>
        <w:t>Streptococcus spp , Legionella pneumophila, Staphylococcus </w:t>
      </w:r>
      <w:r>
        <w:rPr>
          <w:i/>
          <w:sz w:val="24"/>
        </w:rPr>
        <w:t>spp, Lactobacillus spp, Escherichia coli, Pseudomona aeruginosa, Candida albicans, bacilos esporulados, sarcinas y micrococcus  </w:t>
      </w:r>
      <w:r>
        <w:rPr>
          <w:sz w:val="24"/>
        </w:rPr>
        <w:t>(Figura I).</w:t>
      </w:r>
    </w:p>
    <w:p>
      <w:pPr>
        <w:spacing w:line="360" w:lineRule="auto" w:before="209"/>
        <w:ind w:left="219" w:right="214" w:firstLine="0"/>
        <w:jc w:val="both"/>
        <w:rPr>
          <w:sz w:val="24"/>
        </w:rPr>
      </w:pPr>
      <w:r>
        <w:rPr>
          <w:sz w:val="24"/>
        </w:rPr>
        <w:t>En cuanto al procedimiento con Gluconato de clorhexidina, se alcanzó la eliminación de </w:t>
      </w:r>
      <w:r>
        <w:rPr>
          <w:i/>
          <w:sz w:val="24"/>
        </w:rPr>
        <w:t>Escherichia coli y Pseudomona aeruginosa</w:t>
      </w:r>
      <w:r>
        <w:rPr>
          <w:sz w:val="24"/>
        </w:rPr>
        <w:t>, así como de </w:t>
      </w:r>
      <w:r>
        <w:rPr>
          <w:i/>
          <w:sz w:val="24"/>
        </w:rPr>
        <w:t>Candida </w:t>
      </w:r>
      <w:r>
        <w:rPr>
          <w:i/>
          <w:sz w:val="24"/>
        </w:rPr>
        <w:t>albicans</w:t>
      </w:r>
      <w:r>
        <w:rPr>
          <w:sz w:val="24"/>
        </w:rPr>
        <w:t>, no así de </w:t>
      </w:r>
      <w:r>
        <w:rPr>
          <w:i/>
          <w:sz w:val="24"/>
        </w:rPr>
        <w:t>Legionella pneumophila </w:t>
      </w:r>
      <w:r>
        <w:rPr>
          <w:sz w:val="24"/>
        </w:rPr>
        <w:t>cuya frecuencia es comparable a la encontrada en el tratamiento con agua filtrada. Hubo también una marcada reducción de la frecuencia de </w:t>
      </w:r>
      <w:r>
        <w:rPr>
          <w:i/>
          <w:sz w:val="24"/>
        </w:rPr>
        <w:t>Streptococcus spp</w:t>
      </w:r>
      <w:r>
        <w:rPr>
          <w:sz w:val="24"/>
        </w:rPr>
        <w:t>, superior a la reportada con plata coloidal. En cuanto a la presencia de </w:t>
      </w:r>
      <w:r>
        <w:rPr>
          <w:i/>
          <w:sz w:val="24"/>
        </w:rPr>
        <w:t>Staphylococcus spp y Lactobacillus spp</w:t>
      </w:r>
      <w:r>
        <w:rPr>
          <w:sz w:val="24"/>
        </w:rPr>
        <w:t>, su reducción no superó a la de la plata (Figura II).</w:t>
      </w:r>
    </w:p>
    <w:p>
      <w:pPr>
        <w:spacing w:after="0" w:line="360" w:lineRule="auto"/>
        <w:jc w:val="both"/>
        <w:rPr>
          <w:sz w:val="24"/>
        </w:rPr>
        <w:sectPr>
          <w:footerReference w:type="default" r:id="rId69"/>
          <w:pgSz w:w="12240" w:h="15840"/>
          <w:pgMar w:footer="1012" w:header="731" w:top="1160" w:bottom="1200" w:left="1480" w:right="1480"/>
        </w:sectPr>
      </w:pPr>
    </w:p>
    <w:p>
      <w:pPr>
        <w:pStyle w:val="BodyText"/>
        <w:spacing w:before="11"/>
        <w:rPr>
          <w:sz w:val="16"/>
        </w:rPr>
      </w:pPr>
    </w:p>
    <w:p>
      <w:pPr>
        <w:spacing w:line="360" w:lineRule="auto" w:before="69"/>
        <w:ind w:left="219" w:right="216" w:firstLine="67"/>
        <w:jc w:val="both"/>
        <w:rPr>
          <w:sz w:val="24"/>
        </w:rPr>
      </w:pPr>
      <w:r>
        <w:rPr>
          <w:sz w:val="24"/>
        </w:rPr>
        <w:t>Después del tratamiento con plata coloidal </w:t>
      </w:r>
      <w:r>
        <w:rPr>
          <w:spacing w:val="-3"/>
          <w:sz w:val="24"/>
        </w:rPr>
        <w:t>se </w:t>
      </w:r>
      <w:r>
        <w:rPr>
          <w:sz w:val="24"/>
        </w:rPr>
        <w:t>logró la eliminación de los patógenos oportunistas: </w:t>
      </w:r>
      <w:r>
        <w:rPr>
          <w:i/>
          <w:sz w:val="24"/>
        </w:rPr>
        <w:t>Legionella pneumophila</w:t>
      </w:r>
      <w:r>
        <w:rPr>
          <w:sz w:val="24"/>
        </w:rPr>
        <w:t>, </w:t>
      </w:r>
      <w:r>
        <w:rPr>
          <w:i/>
          <w:sz w:val="24"/>
        </w:rPr>
        <w:t>Escherichia coli, Pseudomona </w:t>
      </w:r>
      <w:r>
        <w:rPr>
          <w:i/>
          <w:sz w:val="24"/>
        </w:rPr>
        <w:t>aeruginosa</w:t>
      </w:r>
      <w:r>
        <w:rPr>
          <w:sz w:val="24"/>
        </w:rPr>
        <w:t>. Al mismo tiempo se redujo la presencia de </w:t>
      </w:r>
      <w:r>
        <w:rPr>
          <w:i/>
          <w:sz w:val="24"/>
        </w:rPr>
        <w:t>Streptococcus spp, </w:t>
      </w:r>
      <w:r>
        <w:rPr>
          <w:i/>
          <w:sz w:val="24"/>
        </w:rPr>
        <w:t>Staphylococcus spp y Lactobacillus spp. Candida albicans </w:t>
      </w:r>
      <w:r>
        <w:rPr>
          <w:sz w:val="24"/>
        </w:rPr>
        <w:t>se presentó en la misma proporción aunque en diferente unidad dental (Figura</w:t>
      </w:r>
      <w:r>
        <w:rPr>
          <w:spacing w:val="-19"/>
          <w:sz w:val="24"/>
        </w:rPr>
        <w:t> </w:t>
      </w:r>
      <w:r>
        <w:rPr>
          <w:sz w:val="24"/>
        </w:rPr>
        <w:t>III).</w:t>
      </w:r>
    </w:p>
    <w:p>
      <w:pPr>
        <w:pStyle w:val="BodyText"/>
        <w:spacing w:line="360" w:lineRule="auto" w:before="209"/>
        <w:ind w:left="219" w:right="215"/>
        <w:jc w:val="both"/>
      </w:pPr>
      <w:r>
        <w:rPr/>
        <w:t>Cabe mencionar, que en los tratamientos con agua filtrada y con plata coloidal se encontraron hongos filamentosos, cuya identificación de género y especie no se llevó a cabo por no ser parte de este estudio, sin embargo se reportan como hallazgos de esta investigación (anexos).</w:t>
      </w:r>
    </w:p>
    <w:p>
      <w:pPr>
        <w:pStyle w:val="BodyText"/>
        <w:spacing w:line="360" w:lineRule="auto" w:before="209"/>
        <w:ind w:left="219" w:right="214"/>
        <w:jc w:val="both"/>
      </w:pPr>
      <w:r>
        <w:rPr/>
        <w:t>El análisis de la presencia de microorganismos de acuerdo a la clínica donde se detectaron mostró que </w:t>
      </w:r>
      <w:r>
        <w:rPr>
          <w:i/>
        </w:rPr>
        <w:t>Pseudomona aeruginosa </w:t>
      </w:r>
      <w:r>
        <w:rPr/>
        <w:t>se presentó solamente en la clínica de endodoncia, </w:t>
      </w:r>
      <w:r>
        <w:rPr>
          <w:i/>
        </w:rPr>
        <w:t>Candida albicans </w:t>
      </w:r>
      <w:r>
        <w:rPr/>
        <w:t>soló se detectó en la clínica de  operatoria, donde también se presentó mayoritariamente </w:t>
      </w:r>
      <w:r>
        <w:rPr>
          <w:i/>
        </w:rPr>
        <w:t>Escherichia coli </w:t>
      </w:r>
      <w:r>
        <w:rPr/>
        <w:t>(70%) y el resto de los microorganismos se distribuyó de manera equitativa en las tres clínicas (Figura</w:t>
      </w:r>
      <w:r>
        <w:rPr>
          <w:spacing w:val="-3"/>
        </w:rPr>
        <w:t> </w:t>
      </w:r>
      <w:r>
        <w:rPr/>
        <w:t>IV)</w:t>
      </w:r>
    </w:p>
    <w:p>
      <w:pPr>
        <w:pStyle w:val="BodyText"/>
        <w:spacing w:line="360" w:lineRule="auto" w:before="209"/>
        <w:ind w:left="219" w:right="214"/>
        <w:jc w:val="both"/>
      </w:pPr>
      <w:r>
        <w:rPr/>
        <w:t>Para determinar la diferencia de medias, se aplicó la prueba de ANOVA, donde se expuso una diferencia estadísticamente significativa en la comparación de los tres tratamientos, por lo que de manera posterior se aplicó </w:t>
      </w:r>
      <w:r>
        <w:rPr>
          <w:spacing w:val="6"/>
        </w:rPr>
        <w:t>un </w:t>
      </w:r>
      <w:r>
        <w:rPr/>
        <w:t>test de Bonferroni para comparación de medias por pares, resultando diferencias significativas en todos los datos evaluados (Tabla</w:t>
      </w:r>
      <w:r>
        <w:rPr>
          <w:spacing w:val="-2"/>
        </w:rPr>
        <w:t> </w:t>
      </w:r>
      <w:r>
        <w:rPr/>
        <w:t>2).</w:t>
      </w:r>
    </w:p>
    <w:p>
      <w:pPr>
        <w:pStyle w:val="BodyText"/>
        <w:spacing w:line="360" w:lineRule="auto" w:before="209"/>
        <w:ind w:left="219" w:right="387"/>
      </w:pPr>
      <w:r>
        <w:rPr/>
        <w:t>El análisis de la varianza (ANOVA) de la media de UFC/ml entre las tres clínicas seleccionadas  no arrojó datos estadísticamente significativos.</w:t>
      </w:r>
    </w:p>
    <w:p>
      <w:pPr>
        <w:spacing w:after="0" w:line="360" w:lineRule="auto"/>
        <w:sectPr>
          <w:footerReference w:type="default" r:id="rId70"/>
          <w:pgSz w:w="12240" w:h="15840"/>
          <w:pgMar w:footer="1012" w:header="731" w:top="1160" w:bottom="1200" w:left="1480" w:right="1480"/>
          <w:pgNumType w:start="91"/>
        </w:sectPr>
      </w:pPr>
    </w:p>
    <w:p>
      <w:pPr>
        <w:pStyle w:val="BodyText"/>
        <w:spacing w:before="1"/>
        <w:rPr>
          <w:sz w:val="16"/>
        </w:rPr>
      </w:pPr>
    </w:p>
    <w:p>
      <w:pPr>
        <w:pStyle w:val="Heading2"/>
        <w:numPr>
          <w:ilvl w:val="0"/>
          <w:numId w:val="6"/>
        </w:numPr>
        <w:tabs>
          <w:tab w:pos="3625" w:val="left" w:leader="none"/>
        </w:tabs>
        <w:spacing w:line="240" w:lineRule="auto" w:before="70" w:after="0"/>
        <w:ind w:left="3624" w:right="0" w:hanging="287"/>
        <w:jc w:val="center"/>
      </w:pPr>
      <w:r>
        <w:rPr/>
        <w:t>TABLAS Y</w:t>
      </w:r>
      <w:r>
        <w:rPr>
          <w:spacing w:val="-3"/>
        </w:rPr>
        <w:t> </w:t>
      </w:r>
      <w:r>
        <w:rPr/>
        <w:t>FIGURAS</w:t>
      </w:r>
    </w:p>
    <w:p>
      <w:pPr>
        <w:pStyle w:val="BodyText"/>
        <w:spacing w:before="8"/>
        <w:rPr>
          <w:b/>
          <w:sz w:val="19"/>
        </w:rPr>
      </w:pPr>
      <w:r>
        <w:rPr/>
        <w:pict>
          <v:line style="position:absolute;mso-position-horizontal-relative:page;mso-position-vertical-relative:paragraph;z-index:2848;mso-wrap-distance-left:0;mso-wrap-distance-right:0" from="97.727997pt,13.777014pt" to="514.507997pt,13.777014pt" stroked="true" strokeweight=".96pt" strokecolor="#9bba58">
            <w10:wrap type="topAndBottom"/>
          </v:line>
        </w:pict>
      </w:r>
    </w:p>
    <w:p>
      <w:pPr>
        <w:spacing w:line="191" w:lineRule="exact" w:before="0"/>
        <w:ind w:left="19" w:right="0" w:firstLine="0"/>
        <w:jc w:val="center"/>
        <w:rPr>
          <w:b/>
          <w:sz w:val="20"/>
        </w:rPr>
      </w:pPr>
      <w:r>
        <w:rPr>
          <w:b/>
          <w:color w:val="76923B"/>
          <w:sz w:val="20"/>
        </w:rPr>
        <w:t>Tabla 1. Estadísticos descriptivos de UFC/ml* encontradas en líneas de agua de alta</w:t>
      </w:r>
    </w:p>
    <w:p>
      <w:pPr>
        <w:spacing w:before="116"/>
        <w:ind w:left="25" w:right="0" w:firstLine="0"/>
        <w:jc w:val="center"/>
        <w:rPr>
          <w:b/>
          <w:sz w:val="20"/>
        </w:rPr>
      </w:pPr>
      <w:r>
        <w:rPr>
          <w:b/>
          <w:color w:val="76923B"/>
          <w:sz w:val="20"/>
        </w:rPr>
        <w:t>velocidad por porción de manguera y por tratamiento</w:t>
      </w:r>
    </w:p>
    <w:p>
      <w:pPr>
        <w:pStyle w:val="BodyText"/>
        <w:spacing w:before="8"/>
        <w:rPr>
          <w:b/>
          <w:sz w:val="11"/>
        </w:rPr>
      </w:pPr>
    </w:p>
    <w:tbl>
      <w:tblPr>
        <w:tblW w:w="0" w:type="auto"/>
        <w:jc w:val="left"/>
        <w:tblInd w:w="49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71"/>
        <w:gridCol w:w="1376"/>
        <w:gridCol w:w="598"/>
        <w:gridCol w:w="1106"/>
        <w:gridCol w:w="1152"/>
        <w:gridCol w:w="967"/>
        <w:gridCol w:w="1466"/>
      </w:tblGrid>
      <w:tr>
        <w:trPr>
          <w:trHeight w:val="696" w:hRule="exact"/>
        </w:trPr>
        <w:tc>
          <w:tcPr>
            <w:tcW w:w="1671" w:type="dxa"/>
            <w:shd w:val="clear" w:color="auto" w:fill="9BBA58"/>
          </w:tcPr>
          <w:p>
            <w:pPr>
              <w:pStyle w:val="TableParagraph"/>
              <w:spacing w:line="230" w:lineRule="exact"/>
              <w:ind w:left="110"/>
              <w:rPr>
                <w:b/>
                <w:sz w:val="20"/>
              </w:rPr>
            </w:pPr>
            <w:r>
              <w:rPr>
                <w:b/>
                <w:color w:val="FFFFFF"/>
                <w:sz w:val="20"/>
              </w:rPr>
              <w:t>Tratamiento</w:t>
            </w:r>
          </w:p>
        </w:tc>
        <w:tc>
          <w:tcPr>
            <w:tcW w:w="1376" w:type="dxa"/>
            <w:shd w:val="clear" w:color="auto" w:fill="9BBA58"/>
          </w:tcPr>
          <w:p>
            <w:pPr>
              <w:pStyle w:val="TableParagraph"/>
              <w:spacing w:line="360" w:lineRule="auto"/>
              <w:ind w:left="196" w:right="165" w:hanging="39"/>
              <w:rPr>
                <w:b/>
                <w:sz w:val="20"/>
              </w:rPr>
            </w:pPr>
            <w:r>
              <w:rPr>
                <w:b/>
                <w:color w:val="FFFFFF"/>
                <w:sz w:val="20"/>
              </w:rPr>
              <w:t>Porción de manguera</w:t>
            </w:r>
          </w:p>
        </w:tc>
        <w:tc>
          <w:tcPr>
            <w:tcW w:w="598" w:type="dxa"/>
            <w:shd w:val="clear" w:color="auto" w:fill="9BBA58"/>
          </w:tcPr>
          <w:p>
            <w:pPr>
              <w:pStyle w:val="TableParagraph"/>
              <w:spacing w:line="230" w:lineRule="exact"/>
              <w:ind w:left="218"/>
              <w:rPr>
                <w:b/>
                <w:sz w:val="20"/>
              </w:rPr>
            </w:pPr>
            <w:r>
              <w:rPr>
                <w:b/>
                <w:color w:val="FFFFFF"/>
                <w:w w:val="100"/>
                <w:sz w:val="20"/>
              </w:rPr>
              <w:t>N</w:t>
            </w:r>
          </w:p>
        </w:tc>
        <w:tc>
          <w:tcPr>
            <w:tcW w:w="1106" w:type="dxa"/>
            <w:shd w:val="clear" w:color="auto" w:fill="9BBA58"/>
          </w:tcPr>
          <w:p>
            <w:pPr>
              <w:pStyle w:val="TableParagraph"/>
              <w:spacing w:line="230" w:lineRule="exact"/>
              <w:ind w:left="179" w:right="185"/>
              <w:jc w:val="center"/>
              <w:rPr>
                <w:b/>
                <w:sz w:val="20"/>
              </w:rPr>
            </w:pPr>
            <w:r>
              <w:rPr>
                <w:b/>
                <w:color w:val="FFFFFF"/>
                <w:sz w:val="20"/>
              </w:rPr>
              <w:t>Mínimo</w:t>
            </w:r>
          </w:p>
        </w:tc>
        <w:tc>
          <w:tcPr>
            <w:tcW w:w="1152" w:type="dxa"/>
            <w:shd w:val="clear" w:color="auto" w:fill="9BBA58"/>
          </w:tcPr>
          <w:p>
            <w:pPr>
              <w:pStyle w:val="TableParagraph"/>
              <w:spacing w:line="230" w:lineRule="exact"/>
              <w:ind w:left="186" w:right="181"/>
              <w:jc w:val="center"/>
              <w:rPr>
                <w:b/>
                <w:sz w:val="20"/>
              </w:rPr>
            </w:pPr>
            <w:r>
              <w:rPr>
                <w:b/>
                <w:color w:val="FFFFFF"/>
                <w:sz w:val="20"/>
              </w:rPr>
              <w:t>Máximo</w:t>
            </w:r>
          </w:p>
        </w:tc>
        <w:tc>
          <w:tcPr>
            <w:tcW w:w="967" w:type="dxa"/>
            <w:shd w:val="clear" w:color="auto" w:fill="9BBA58"/>
          </w:tcPr>
          <w:p>
            <w:pPr>
              <w:pStyle w:val="TableParagraph"/>
              <w:spacing w:line="230" w:lineRule="exact"/>
              <w:ind w:left="182" w:right="176"/>
              <w:jc w:val="center"/>
              <w:rPr>
                <w:b/>
                <w:sz w:val="20"/>
              </w:rPr>
            </w:pPr>
            <w:r>
              <w:rPr>
                <w:b/>
                <w:color w:val="FFFFFF"/>
                <w:sz w:val="20"/>
              </w:rPr>
              <w:t>Media</w:t>
            </w:r>
          </w:p>
        </w:tc>
        <w:tc>
          <w:tcPr>
            <w:tcW w:w="1466" w:type="dxa"/>
            <w:shd w:val="clear" w:color="auto" w:fill="9BBA58"/>
          </w:tcPr>
          <w:p>
            <w:pPr>
              <w:pStyle w:val="TableParagraph"/>
              <w:spacing w:line="360" w:lineRule="auto"/>
              <w:ind w:left="462" w:right="197" w:hanging="269"/>
              <w:rPr>
                <w:b/>
                <w:sz w:val="20"/>
              </w:rPr>
            </w:pPr>
            <w:r>
              <w:rPr>
                <w:b/>
                <w:color w:val="FFFFFF"/>
                <w:sz w:val="20"/>
              </w:rPr>
              <w:t>Desviación típica</w:t>
            </w:r>
          </w:p>
        </w:tc>
      </w:tr>
      <w:tr>
        <w:trPr>
          <w:trHeight w:val="346" w:hRule="exact"/>
        </w:trPr>
        <w:tc>
          <w:tcPr>
            <w:tcW w:w="1671" w:type="dxa"/>
          </w:tcPr>
          <w:p>
            <w:pPr>
              <w:pStyle w:val="TableParagraph"/>
              <w:spacing w:line="220" w:lineRule="exact"/>
              <w:ind w:left="110"/>
              <w:rPr>
                <w:b/>
                <w:sz w:val="20"/>
              </w:rPr>
            </w:pPr>
            <w:r>
              <w:rPr>
                <w:b/>
                <w:sz w:val="20"/>
              </w:rPr>
              <w:t>Agua filtrada</w:t>
            </w:r>
          </w:p>
        </w:tc>
        <w:tc>
          <w:tcPr>
            <w:tcW w:w="1376" w:type="dxa"/>
          </w:tcPr>
          <w:p>
            <w:pPr>
              <w:pStyle w:val="TableParagraph"/>
              <w:ind w:left="105" w:right="165"/>
              <w:rPr>
                <w:sz w:val="20"/>
              </w:rPr>
            </w:pPr>
            <w:r>
              <w:rPr>
                <w:sz w:val="20"/>
              </w:rPr>
              <w:t>Anterior</w:t>
            </w:r>
          </w:p>
        </w:tc>
        <w:tc>
          <w:tcPr>
            <w:tcW w:w="598" w:type="dxa"/>
          </w:tcPr>
          <w:p>
            <w:pPr>
              <w:pStyle w:val="TableParagraph"/>
              <w:ind w:left="179"/>
              <w:rPr>
                <w:sz w:val="20"/>
              </w:rPr>
            </w:pPr>
            <w:r>
              <w:rPr>
                <w:sz w:val="20"/>
              </w:rPr>
              <w:t>35</w:t>
            </w:r>
          </w:p>
        </w:tc>
        <w:tc>
          <w:tcPr>
            <w:tcW w:w="1106" w:type="dxa"/>
          </w:tcPr>
          <w:p>
            <w:pPr>
              <w:pStyle w:val="TableParagraph"/>
              <w:ind w:left="172" w:right="185"/>
              <w:jc w:val="center"/>
              <w:rPr>
                <w:sz w:val="20"/>
              </w:rPr>
            </w:pPr>
            <w:r>
              <w:rPr>
                <w:sz w:val="20"/>
              </w:rPr>
              <w:t>425</w:t>
            </w:r>
          </w:p>
        </w:tc>
        <w:tc>
          <w:tcPr>
            <w:tcW w:w="1152" w:type="dxa"/>
          </w:tcPr>
          <w:p>
            <w:pPr>
              <w:pStyle w:val="TableParagraph"/>
              <w:ind w:left="181" w:right="181"/>
              <w:jc w:val="center"/>
              <w:rPr>
                <w:sz w:val="20"/>
              </w:rPr>
            </w:pPr>
            <w:r>
              <w:rPr>
                <w:sz w:val="20"/>
              </w:rPr>
              <w:t>1120</w:t>
            </w:r>
          </w:p>
        </w:tc>
        <w:tc>
          <w:tcPr>
            <w:tcW w:w="967" w:type="dxa"/>
          </w:tcPr>
          <w:p>
            <w:pPr>
              <w:pStyle w:val="TableParagraph"/>
              <w:ind w:left="175" w:right="176"/>
              <w:jc w:val="center"/>
              <w:rPr>
                <w:sz w:val="20"/>
              </w:rPr>
            </w:pPr>
            <w:r>
              <w:rPr>
                <w:sz w:val="20"/>
              </w:rPr>
              <w:t>936</w:t>
            </w:r>
          </w:p>
        </w:tc>
        <w:tc>
          <w:tcPr>
            <w:tcW w:w="1466" w:type="dxa"/>
          </w:tcPr>
          <w:p>
            <w:pPr>
              <w:pStyle w:val="TableParagraph"/>
              <w:ind w:left="559" w:right="197"/>
              <w:rPr>
                <w:sz w:val="20"/>
              </w:rPr>
            </w:pPr>
            <w:r>
              <w:rPr>
                <w:sz w:val="20"/>
              </w:rPr>
              <w:t>177</w:t>
            </w:r>
          </w:p>
        </w:tc>
      </w:tr>
      <w:tr>
        <w:trPr>
          <w:trHeight w:val="346" w:hRule="exact"/>
        </w:trPr>
        <w:tc>
          <w:tcPr>
            <w:tcW w:w="1671" w:type="dxa"/>
          </w:tcPr>
          <w:p>
            <w:pPr/>
          </w:p>
        </w:tc>
        <w:tc>
          <w:tcPr>
            <w:tcW w:w="1376" w:type="dxa"/>
            <w:shd w:val="clear" w:color="auto" w:fill="E6EDD4"/>
          </w:tcPr>
          <w:p>
            <w:pPr>
              <w:pStyle w:val="TableParagraph"/>
              <w:ind w:left="105" w:right="165"/>
              <w:rPr>
                <w:sz w:val="20"/>
              </w:rPr>
            </w:pPr>
            <w:r>
              <w:rPr>
                <w:sz w:val="20"/>
              </w:rPr>
              <w:t>Media</w:t>
            </w:r>
          </w:p>
        </w:tc>
        <w:tc>
          <w:tcPr>
            <w:tcW w:w="598" w:type="dxa"/>
            <w:shd w:val="clear" w:color="auto" w:fill="E6EDD4"/>
          </w:tcPr>
          <w:p>
            <w:pPr>
              <w:pStyle w:val="TableParagraph"/>
              <w:ind w:left="179"/>
              <w:rPr>
                <w:sz w:val="20"/>
              </w:rPr>
            </w:pPr>
            <w:r>
              <w:rPr>
                <w:sz w:val="20"/>
              </w:rPr>
              <w:t>35</w:t>
            </w:r>
          </w:p>
        </w:tc>
        <w:tc>
          <w:tcPr>
            <w:tcW w:w="1106" w:type="dxa"/>
            <w:shd w:val="clear" w:color="auto" w:fill="E6EDD4"/>
          </w:tcPr>
          <w:p>
            <w:pPr>
              <w:pStyle w:val="TableParagraph"/>
              <w:ind w:left="172" w:right="185"/>
              <w:jc w:val="center"/>
              <w:rPr>
                <w:sz w:val="20"/>
              </w:rPr>
            </w:pPr>
            <w:r>
              <w:rPr>
                <w:sz w:val="20"/>
              </w:rPr>
              <w:t>450</w:t>
            </w:r>
          </w:p>
        </w:tc>
        <w:tc>
          <w:tcPr>
            <w:tcW w:w="1152" w:type="dxa"/>
            <w:shd w:val="clear" w:color="auto" w:fill="E6EDD4"/>
          </w:tcPr>
          <w:p>
            <w:pPr>
              <w:pStyle w:val="TableParagraph"/>
              <w:ind w:left="181" w:right="181"/>
              <w:jc w:val="center"/>
              <w:rPr>
                <w:sz w:val="20"/>
              </w:rPr>
            </w:pPr>
            <w:r>
              <w:rPr>
                <w:sz w:val="20"/>
              </w:rPr>
              <w:t>1100</w:t>
            </w:r>
          </w:p>
        </w:tc>
        <w:tc>
          <w:tcPr>
            <w:tcW w:w="967" w:type="dxa"/>
            <w:shd w:val="clear" w:color="auto" w:fill="E6EDD4"/>
          </w:tcPr>
          <w:p>
            <w:pPr>
              <w:pStyle w:val="TableParagraph"/>
              <w:ind w:left="175" w:right="176"/>
              <w:jc w:val="center"/>
              <w:rPr>
                <w:sz w:val="20"/>
              </w:rPr>
            </w:pPr>
            <w:r>
              <w:rPr>
                <w:sz w:val="20"/>
              </w:rPr>
              <w:t>986</w:t>
            </w:r>
          </w:p>
        </w:tc>
        <w:tc>
          <w:tcPr>
            <w:tcW w:w="1466" w:type="dxa"/>
            <w:shd w:val="clear" w:color="auto" w:fill="E6EDD4"/>
          </w:tcPr>
          <w:p>
            <w:pPr>
              <w:pStyle w:val="TableParagraph"/>
              <w:ind w:left="559" w:right="197"/>
              <w:rPr>
                <w:sz w:val="20"/>
              </w:rPr>
            </w:pPr>
            <w:r>
              <w:rPr>
                <w:sz w:val="20"/>
              </w:rPr>
              <w:t>101</w:t>
            </w:r>
          </w:p>
        </w:tc>
      </w:tr>
      <w:tr>
        <w:trPr>
          <w:trHeight w:val="346" w:hRule="exact"/>
        </w:trPr>
        <w:tc>
          <w:tcPr>
            <w:tcW w:w="1671" w:type="dxa"/>
          </w:tcPr>
          <w:p>
            <w:pPr/>
          </w:p>
        </w:tc>
        <w:tc>
          <w:tcPr>
            <w:tcW w:w="1376" w:type="dxa"/>
          </w:tcPr>
          <w:p>
            <w:pPr>
              <w:pStyle w:val="TableParagraph"/>
              <w:ind w:left="105" w:right="165"/>
              <w:rPr>
                <w:sz w:val="20"/>
              </w:rPr>
            </w:pPr>
            <w:r>
              <w:rPr>
                <w:sz w:val="20"/>
              </w:rPr>
              <w:t>posterior</w:t>
            </w:r>
          </w:p>
        </w:tc>
        <w:tc>
          <w:tcPr>
            <w:tcW w:w="598" w:type="dxa"/>
          </w:tcPr>
          <w:p>
            <w:pPr>
              <w:pStyle w:val="TableParagraph"/>
              <w:ind w:left="179"/>
              <w:rPr>
                <w:sz w:val="20"/>
              </w:rPr>
            </w:pPr>
            <w:r>
              <w:rPr>
                <w:sz w:val="20"/>
              </w:rPr>
              <w:t>35</w:t>
            </w:r>
          </w:p>
        </w:tc>
        <w:tc>
          <w:tcPr>
            <w:tcW w:w="1106" w:type="dxa"/>
          </w:tcPr>
          <w:p>
            <w:pPr>
              <w:pStyle w:val="TableParagraph"/>
              <w:ind w:left="172" w:right="185"/>
              <w:jc w:val="center"/>
              <w:rPr>
                <w:sz w:val="20"/>
              </w:rPr>
            </w:pPr>
            <w:r>
              <w:rPr>
                <w:sz w:val="20"/>
              </w:rPr>
              <w:t>400</w:t>
            </w:r>
          </w:p>
        </w:tc>
        <w:tc>
          <w:tcPr>
            <w:tcW w:w="1152" w:type="dxa"/>
          </w:tcPr>
          <w:p>
            <w:pPr>
              <w:pStyle w:val="TableParagraph"/>
              <w:ind w:left="181" w:right="181"/>
              <w:jc w:val="center"/>
              <w:rPr>
                <w:sz w:val="20"/>
              </w:rPr>
            </w:pPr>
            <w:r>
              <w:rPr>
                <w:sz w:val="20"/>
              </w:rPr>
              <w:t>1015</w:t>
            </w:r>
          </w:p>
        </w:tc>
        <w:tc>
          <w:tcPr>
            <w:tcW w:w="967" w:type="dxa"/>
          </w:tcPr>
          <w:p>
            <w:pPr>
              <w:pStyle w:val="TableParagraph"/>
              <w:ind w:left="175" w:right="176"/>
              <w:jc w:val="center"/>
              <w:rPr>
                <w:sz w:val="20"/>
              </w:rPr>
            </w:pPr>
            <w:r>
              <w:rPr>
                <w:sz w:val="20"/>
              </w:rPr>
              <w:t>897</w:t>
            </w:r>
          </w:p>
        </w:tc>
        <w:tc>
          <w:tcPr>
            <w:tcW w:w="1466" w:type="dxa"/>
          </w:tcPr>
          <w:p>
            <w:pPr>
              <w:pStyle w:val="TableParagraph"/>
              <w:ind w:left="559" w:right="197"/>
              <w:rPr>
                <w:sz w:val="20"/>
              </w:rPr>
            </w:pPr>
            <w:r>
              <w:rPr>
                <w:sz w:val="20"/>
              </w:rPr>
              <w:t>213</w:t>
            </w:r>
          </w:p>
        </w:tc>
      </w:tr>
      <w:tr>
        <w:trPr>
          <w:trHeight w:val="346" w:hRule="exact"/>
        </w:trPr>
        <w:tc>
          <w:tcPr>
            <w:tcW w:w="1671" w:type="dxa"/>
          </w:tcPr>
          <w:p>
            <w:pPr/>
          </w:p>
        </w:tc>
        <w:tc>
          <w:tcPr>
            <w:tcW w:w="1376" w:type="dxa"/>
          </w:tcPr>
          <w:p>
            <w:pPr/>
          </w:p>
        </w:tc>
        <w:tc>
          <w:tcPr>
            <w:tcW w:w="598" w:type="dxa"/>
          </w:tcPr>
          <w:p>
            <w:pPr/>
          </w:p>
        </w:tc>
        <w:tc>
          <w:tcPr>
            <w:tcW w:w="1106" w:type="dxa"/>
          </w:tcPr>
          <w:p>
            <w:pPr/>
          </w:p>
        </w:tc>
        <w:tc>
          <w:tcPr>
            <w:tcW w:w="1152" w:type="dxa"/>
          </w:tcPr>
          <w:p>
            <w:pPr/>
          </w:p>
        </w:tc>
        <w:tc>
          <w:tcPr>
            <w:tcW w:w="967" w:type="dxa"/>
          </w:tcPr>
          <w:p>
            <w:pPr/>
          </w:p>
        </w:tc>
        <w:tc>
          <w:tcPr>
            <w:tcW w:w="1466" w:type="dxa"/>
          </w:tcPr>
          <w:p>
            <w:pPr/>
          </w:p>
        </w:tc>
      </w:tr>
      <w:tr>
        <w:trPr>
          <w:trHeight w:val="346" w:hRule="exact"/>
        </w:trPr>
        <w:tc>
          <w:tcPr>
            <w:tcW w:w="1671" w:type="dxa"/>
          </w:tcPr>
          <w:p>
            <w:pPr/>
          </w:p>
        </w:tc>
        <w:tc>
          <w:tcPr>
            <w:tcW w:w="1376" w:type="dxa"/>
          </w:tcPr>
          <w:p>
            <w:pPr/>
          </w:p>
        </w:tc>
        <w:tc>
          <w:tcPr>
            <w:tcW w:w="598" w:type="dxa"/>
          </w:tcPr>
          <w:p>
            <w:pPr/>
          </w:p>
        </w:tc>
        <w:tc>
          <w:tcPr>
            <w:tcW w:w="1106" w:type="dxa"/>
          </w:tcPr>
          <w:p>
            <w:pPr/>
          </w:p>
        </w:tc>
        <w:tc>
          <w:tcPr>
            <w:tcW w:w="1152" w:type="dxa"/>
          </w:tcPr>
          <w:p>
            <w:pPr/>
          </w:p>
        </w:tc>
        <w:tc>
          <w:tcPr>
            <w:tcW w:w="967" w:type="dxa"/>
          </w:tcPr>
          <w:p>
            <w:pPr/>
          </w:p>
        </w:tc>
        <w:tc>
          <w:tcPr>
            <w:tcW w:w="1466" w:type="dxa"/>
          </w:tcPr>
          <w:p>
            <w:pPr/>
          </w:p>
        </w:tc>
      </w:tr>
      <w:tr>
        <w:trPr>
          <w:trHeight w:val="346" w:hRule="exact"/>
        </w:trPr>
        <w:tc>
          <w:tcPr>
            <w:tcW w:w="1671" w:type="dxa"/>
          </w:tcPr>
          <w:p>
            <w:pPr/>
          </w:p>
        </w:tc>
        <w:tc>
          <w:tcPr>
            <w:tcW w:w="1376" w:type="dxa"/>
          </w:tcPr>
          <w:p>
            <w:pPr/>
          </w:p>
        </w:tc>
        <w:tc>
          <w:tcPr>
            <w:tcW w:w="598" w:type="dxa"/>
          </w:tcPr>
          <w:p>
            <w:pPr/>
          </w:p>
        </w:tc>
        <w:tc>
          <w:tcPr>
            <w:tcW w:w="1106" w:type="dxa"/>
          </w:tcPr>
          <w:p>
            <w:pPr/>
          </w:p>
        </w:tc>
        <w:tc>
          <w:tcPr>
            <w:tcW w:w="1152" w:type="dxa"/>
          </w:tcPr>
          <w:p>
            <w:pPr/>
          </w:p>
        </w:tc>
        <w:tc>
          <w:tcPr>
            <w:tcW w:w="967" w:type="dxa"/>
          </w:tcPr>
          <w:p>
            <w:pPr/>
          </w:p>
        </w:tc>
        <w:tc>
          <w:tcPr>
            <w:tcW w:w="1466" w:type="dxa"/>
          </w:tcPr>
          <w:p>
            <w:pPr/>
          </w:p>
        </w:tc>
      </w:tr>
      <w:tr>
        <w:trPr>
          <w:trHeight w:val="341" w:hRule="exact"/>
        </w:trPr>
        <w:tc>
          <w:tcPr>
            <w:tcW w:w="1671" w:type="dxa"/>
          </w:tcPr>
          <w:p>
            <w:pPr>
              <w:pStyle w:val="TableParagraph"/>
              <w:spacing w:line="220" w:lineRule="exact"/>
              <w:ind w:left="110"/>
              <w:rPr>
                <w:b/>
                <w:sz w:val="20"/>
              </w:rPr>
            </w:pPr>
            <w:r>
              <w:rPr>
                <w:b/>
                <w:sz w:val="20"/>
              </w:rPr>
              <w:t>Gluconato de</w:t>
            </w:r>
          </w:p>
        </w:tc>
        <w:tc>
          <w:tcPr>
            <w:tcW w:w="1376" w:type="dxa"/>
          </w:tcPr>
          <w:p>
            <w:pPr>
              <w:pStyle w:val="TableParagraph"/>
              <w:ind w:left="105" w:right="165"/>
              <w:rPr>
                <w:sz w:val="20"/>
              </w:rPr>
            </w:pPr>
            <w:r>
              <w:rPr>
                <w:sz w:val="20"/>
              </w:rPr>
              <w:t>Anterior</w:t>
            </w:r>
          </w:p>
        </w:tc>
        <w:tc>
          <w:tcPr>
            <w:tcW w:w="598" w:type="dxa"/>
          </w:tcPr>
          <w:p>
            <w:pPr>
              <w:pStyle w:val="TableParagraph"/>
              <w:ind w:left="179"/>
              <w:rPr>
                <w:sz w:val="20"/>
              </w:rPr>
            </w:pPr>
            <w:r>
              <w:rPr>
                <w:sz w:val="20"/>
              </w:rPr>
              <w:t>35</w:t>
            </w:r>
          </w:p>
        </w:tc>
        <w:tc>
          <w:tcPr>
            <w:tcW w:w="1106" w:type="dxa"/>
          </w:tcPr>
          <w:p>
            <w:pPr>
              <w:pStyle w:val="TableParagraph"/>
              <w:ind w:right="2"/>
              <w:jc w:val="center"/>
              <w:rPr>
                <w:sz w:val="20"/>
              </w:rPr>
            </w:pPr>
            <w:r>
              <w:rPr>
                <w:w w:val="100"/>
                <w:sz w:val="20"/>
              </w:rPr>
              <w:t>0</w:t>
            </w:r>
          </w:p>
        </w:tc>
        <w:tc>
          <w:tcPr>
            <w:tcW w:w="1152" w:type="dxa"/>
          </w:tcPr>
          <w:p>
            <w:pPr>
              <w:pStyle w:val="TableParagraph"/>
              <w:ind w:left="176" w:right="181"/>
              <w:jc w:val="center"/>
              <w:rPr>
                <w:sz w:val="20"/>
              </w:rPr>
            </w:pPr>
            <w:r>
              <w:rPr>
                <w:sz w:val="20"/>
              </w:rPr>
              <w:t>900</w:t>
            </w:r>
          </w:p>
        </w:tc>
        <w:tc>
          <w:tcPr>
            <w:tcW w:w="967" w:type="dxa"/>
          </w:tcPr>
          <w:p>
            <w:pPr>
              <w:pStyle w:val="TableParagraph"/>
              <w:ind w:left="175" w:right="176"/>
              <w:jc w:val="center"/>
              <w:rPr>
                <w:sz w:val="20"/>
              </w:rPr>
            </w:pPr>
            <w:r>
              <w:rPr>
                <w:sz w:val="20"/>
              </w:rPr>
              <w:t>270</w:t>
            </w:r>
          </w:p>
        </w:tc>
        <w:tc>
          <w:tcPr>
            <w:tcW w:w="1466" w:type="dxa"/>
          </w:tcPr>
          <w:p>
            <w:pPr>
              <w:pStyle w:val="TableParagraph"/>
              <w:ind w:left="559" w:right="197"/>
              <w:rPr>
                <w:sz w:val="20"/>
              </w:rPr>
            </w:pPr>
            <w:r>
              <w:rPr>
                <w:sz w:val="20"/>
              </w:rPr>
              <w:t>311</w:t>
            </w:r>
          </w:p>
        </w:tc>
      </w:tr>
      <w:tr>
        <w:trPr>
          <w:trHeight w:val="346" w:hRule="exact"/>
        </w:trPr>
        <w:tc>
          <w:tcPr>
            <w:tcW w:w="1671" w:type="dxa"/>
          </w:tcPr>
          <w:p>
            <w:pPr>
              <w:pStyle w:val="TableParagraph"/>
              <w:spacing w:line="220" w:lineRule="exact"/>
              <w:ind w:left="110"/>
              <w:rPr>
                <w:b/>
                <w:sz w:val="20"/>
              </w:rPr>
            </w:pPr>
            <w:r>
              <w:rPr>
                <w:b/>
                <w:sz w:val="20"/>
              </w:rPr>
              <w:t>clorhexidina</w:t>
            </w:r>
          </w:p>
        </w:tc>
        <w:tc>
          <w:tcPr>
            <w:tcW w:w="1376" w:type="dxa"/>
            <w:shd w:val="clear" w:color="auto" w:fill="E6EDD4"/>
          </w:tcPr>
          <w:p>
            <w:pPr>
              <w:pStyle w:val="TableParagraph"/>
              <w:ind w:left="105" w:right="165"/>
              <w:rPr>
                <w:sz w:val="20"/>
              </w:rPr>
            </w:pPr>
            <w:r>
              <w:rPr>
                <w:sz w:val="20"/>
              </w:rPr>
              <w:t>Media</w:t>
            </w:r>
          </w:p>
        </w:tc>
        <w:tc>
          <w:tcPr>
            <w:tcW w:w="598" w:type="dxa"/>
            <w:shd w:val="clear" w:color="auto" w:fill="E6EDD4"/>
          </w:tcPr>
          <w:p>
            <w:pPr>
              <w:pStyle w:val="TableParagraph"/>
              <w:ind w:left="179"/>
              <w:rPr>
                <w:sz w:val="20"/>
              </w:rPr>
            </w:pPr>
            <w:r>
              <w:rPr>
                <w:sz w:val="20"/>
              </w:rPr>
              <w:t>35</w:t>
            </w:r>
          </w:p>
        </w:tc>
        <w:tc>
          <w:tcPr>
            <w:tcW w:w="1106" w:type="dxa"/>
            <w:shd w:val="clear" w:color="auto" w:fill="E6EDD4"/>
          </w:tcPr>
          <w:p>
            <w:pPr>
              <w:pStyle w:val="TableParagraph"/>
              <w:ind w:right="2"/>
              <w:jc w:val="center"/>
              <w:rPr>
                <w:sz w:val="20"/>
              </w:rPr>
            </w:pPr>
            <w:r>
              <w:rPr>
                <w:w w:val="100"/>
                <w:sz w:val="20"/>
              </w:rPr>
              <w:t>0</w:t>
            </w:r>
          </w:p>
        </w:tc>
        <w:tc>
          <w:tcPr>
            <w:tcW w:w="1152" w:type="dxa"/>
            <w:shd w:val="clear" w:color="auto" w:fill="E6EDD4"/>
          </w:tcPr>
          <w:p>
            <w:pPr>
              <w:pStyle w:val="TableParagraph"/>
              <w:ind w:left="181" w:right="181"/>
              <w:jc w:val="center"/>
              <w:rPr>
                <w:sz w:val="20"/>
              </w:rPr>
            </w:pPr>
            <w:r>
              <w:rPr>
                <w:sz w:val="20"/>
              </w:rPr>
              <w:t>1050</w:t>
            </w:r>
          </w:p>
        </w:tc>
        <w:tc>
          <w:tcPr>
            <w:tcW w:w="967" w:type="dxa"/>
            <w:shd w:val="clear" w:color="auto" w:fill="E6EDD4"/>
          </w:tcPr>
          <w:p>
            <w:pPr>
              <w:pStyle w:val="TableParagraph"/>
              <w:ind w:left="175" w:right="176"/>
              <w:jc w:val="center"/>
              <w:rPr>
                <w:sz w:val="20"/>
              </w:rPr>
            </w:pPr>
            <w:r>
              <w:rPr>
                <w:sz w:val="20"/>
              </w:rPr>
              <w:t>317</w:t>
            </w:r>
          </w:p>
        </w:tc>
        <w:tc>
          <w:tcPr>
            <w:tcW w:w="1466" w:type="dxa"/>
            <w:shd w:val="clear" w:color="auto" w:fill="E6EDD4"/>
          </w:tcPr>
          <w:p>
            <w:pPr>
              <w:pStyle w:val="TableParagraph"/>
              <w:ind w:left="559" w:right="197"/>
              <w:rPr>
                <w:sz w:val="20"/>
              </w:rPr>
            </w:pPr>
            <w:r>
              <w:rPr>
                <w:sz w:val="20"/>
              </w:rPr>
              <w:t>351</w:t>
            </w:r>
          </w:p>
        </w:tc>
      </w:tr>
      <w:tr>
        <w:trPr>
          <w:trHeight w:val="355" w:hRule="exact"/>
        </w:trPr>
        <w:tc>
          <w:tcPr>
            <w:tcW w:w="1671" w:type="dxa"/>
            <w:tcBorders>
              <w:bottom w:val="single" w:sz="8" w:space="0" w:color="9BBA58"/>
            </w:tcBorders>
          </w:tcPr>
          <w:p>
            <w:pPr/>
          </w:p>
        </w:tc>
        <w:tc>
          <w:tcPr>
            <w:tcW w:w="1376" w:type="dxa"/>
            <w:tcBorders>
              <w:bottom w:val="single" w:sz="8" w:space="0" w:color="9BBA58"/>
            </w:tcBorders>
          </w:tcPr>
          <w:p>
            <w:pPr>
              <w:pStyle w:val="TableParagraph"/>
              <w:ind w:left="105" w:right="165"/>
              <w:rPr>
                <w:sz w:val="20"/>
              </w:rPr>
            </w:pPr>
            <w:r>
              <w:rPr>
                <w:sz w:val="20"/>
              </w:rPr>
              <w:t>posterior</w:t>
            </w:r>
          </w:p>
        </w:tc>
        <w:tc>
          <w:tcPr>
            <w:tcW w:w="598" w:type="dxa"/>
            <w:tcBorders>
              <w:bottom w:val="single" w:sz="8" w:space="0" w:color="9BBA58"/>
            </w:tcBorders>
          </w:tcPr>
          <w:p>
            <w:pPr>
              <w:pStyle w:val="TableParagraph"/>
              <w:ind w:left="179"/>
              <w:rPr>
                <w:sz w:val="20"/>
              </w:rPr>
            </w:pPr>
            <w:r>
              <w:rPr>
                <w:sz w:val="20"/>
              </w:rPr>
              <w:t>35</w:t>
            </w:r>
          </w:p>
        </w:tc>
        <w:tc>
          <w:tcPr>
            <w:tcW w:w="1106" w:type="dxa"/>
            <w:tcBorders>
              <w:bottom w:val="single" w:sz="8" w:space="0" w:color="9BBA58"/>
            </w:tcBorders>
          </w:tcPr>
          <w:p>
            <w:pPr>
              <w:pStyle w:val="TableParagraph"/>
              <w:ind w:right="2"/>
              <w:jc w:val="center"/>
              <w:rPr>
                <w:sz w:val="20"/>
              </w:rPr>
            </w:pPr>
            <w:r>
              <w:rPr>
                <w:w w:val="100"/>
                <w:sz w:val="20"/>
              </w:rPr>
              <w:t>1</w:t>
            </w:r>
          </w:p>
        </w:tc>
        <w:tc>
          <w:tcPr>
            <w:tcW w:w="1152" w:type="dxa"/>
            <w:tcBorders>
              <w:bottom w:val="single" w:sz="8" w:space="0" w:color="9BBA58"/>
            </w:tcBorders>
          </w:tcPr>
          <w:p>
            <w:pPr>
              <w:pStyle w:val="TableParagraph"/>
              <w:ind w:left="181" w:right="181"/>
              <w:jc w:val="center"/>
              <w:rPr>
                <w:sz w:val="20"/>
              </w:rPr>
            </w:pPr>
            <w:r>
              <w:rPr>
                <w:sz w:val="20"/>
              </w:rPr>
              <w:t>1200</w:t>
            </w:r>
          </w:p>
        </w:tc>
        <w:tc>
          <w:tcPr>
            <w:tcW w:w="967" w:type="dxa"/>
            <w:tcBorders>
              <w:bottom w:val="single" w:sz="8" w:space="0" w:color="9BBA58"/>
            </w:tcBorders>
          </w:tcPr>
          <w:p>
            <w:pPr>
              <w:pStyle w:val="TableParagraph"/>
              <w:ind w:left="175" w:right="176"/>
              <w:jc w:val="center"/>
              <w:rPr>
                <w:sz w:val="20"/>
              </w:rPr>
            </w:pPr>
            <w:r>
              <w:rPr>
                <w:sz w:val="20"/>
              </w:rPr>
              <w:t>456</w:t>
            </w:r>
          </w:p>
        </w:tc>
        <w:tc>
          <w:tcPr>
            <w:tcW w:w="1466" w:type="dxa"/>
            <w:tcBorders>
              <w:bottom w:val="single" w:sz="8" w:space="0" w:color="9BBA58"/>
            </w:tcBorders>
          </w:tcPr>
          <w:p>
            <w:pPr>
              <w:pStyle w:val="TableParagraph"/>
              <w:ind w:left="559" w:right="197"/>
              <w:rPr>
                <w:sz w:val="20"/>
              </w:rPr>
            </w:pPr>
            <w:r>
              <w:rPr>
                <w:sz w:val="20"/>
              </w:rPr>
              <w:t>404</w:t>
            </w:r>
          </w:p>
        </w:tc>
      </w:tr>
    </w:tbl>
    <w:p>
      <w:pPr>
        <w:spacing w:line="187" w:lineRule="exact" w:before="0"/>
        <w:ind w:left="643" w:right="489" w:firstLine="0"/>
        <w:jc w:val="left"/>
        <w:rPr>
          <w:sz w:val="18"/>
        </w:rPr>
      </w:pPr>
      <w:r>
        <w:rPr/>
        <w:pict>
          <v:shape style="position:absolute;margin-left:97.727997pt;margin-top:-104.909996pt;width:416.8pt;height:51.9pt;mso-position-horizontal-relative:page;mso-position-vertical-relative:paragraph;z-index:289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71"/>
                    <w:gridCol w:w="1231"/>
                    <w:gridCol w:w="892"/>
                    <w:gridCol w:w="910"/>
                    <w:gridCol w:w="1179"/>
                    <w:gridCol w:w="1109"/>
                    <w:gridCol w:w="1343"/>
                  </w:tblGrid>
                  <w:tr>
                    <w:trPr>
                      <w:trHeight w:val="346" w:hRule="exact"/>
                    </w:trPr>
                    <w:tc>
                      <w:tcPr>
                        <w:tcW w:w="1671" w:type="dxa"/>
                        <w:shd w:val="clear" w:color="auto" w:fill="E6EDD4"/>
                      </w:tcPr>
                      <w:p>
                        <w:pPr>
                          <w:pStyle w:val="TableParagraph"/>
                          <w:spacing w:line="220" w:lineRule="exact"/>
                          <w:ind w:left="110"/>
                          <w:rPr>
                            <w:b/>
                            <w:sz w:val="20"/>
                          </w:rPr>
                        </w:pPr>
                        <w:r>
                          <w:rPr>
                            <w:b/>
                            <w:sz w:val="20"/>
                          </w:rPr>
                          <w:t>Plata coloidal</w:t>
                        </w:r>
                      </w:p>
                    </w:tc>
                    <w:tc>
                      <w:tcPr>
                        <w:tcW w:w="1231" w:type="dxa"/>
                        <w:shd w:val="clear" w:color="auto" w:fill="E6EDD4"/>
                      </w:tcPr>
                      <w:p>
                        <w:pPr>
                          <w:pStyle w:val="TableParagraph"/>
                          <w:ind w:left="105"/>
                          <w:rPr>
                            <w:sz w:val="20"/>
                          </w:rPr>
                        </w:pPr>
                        <w:r>
                          <w:rPr>
                            <w:sz w:val="20"/>
                          </w:rPr>
                          <w:t>Anterior</w:t>
                        </w:r>
                      </w:p>
                    </w:tc>
                    <w:tc>
                      <w:tcPr>
                        <w:tcW w:w="892" w:type="dxa"/>
                        <w:shd w:val="clear" w:color="auto" w:fill="E6EDD4"/>
                      </w:tcPr>
                      <w:p>
                        <w:pPr>
                          <w:pStyle w:val="TableParagraph"/>
                          <w:ind w:left="304" w:right="324"/>
                          <w:jc w:val="center"/>
                          <w:rPr>
                            <w:sz w:val="20"/>
                          </w:rPr>
                        </w:pPr>
                        <w:r>
                          <w:rPr>
                            <w:sz w:val="20"/>
                          </w:rPr>
                          <w:t>35</w:t>
                        </w:r>
                      </w:p>
                    </w:tc>
                    <w:tc>
                      <w:tcPr>
                        <w:tcW w:w="910" w:type="dxa"/>
                        <w:shd w:val="clear" w:color="auto" w:fill="E6EDD4"/>
                      </w:tcPr>
                      <w:p>
                        <w:pPr>
                          <w:pStyle w:val="TableParagraph"/>
                          <w:ind w:left="344"/>
                          <w:rPr>
                            <w:sz w:val="20"/>
                          </w:rPr>
                        </w:pPr>
                        <w:r>
                          <w:rPr>
                            <w:w w:val="100"/>
                            <w:sz w:val="20"/>
                          </w:rPr>
                          <w:t>0</w:t>
                        </w:r>
                      </w:p>
                    </w:tc>
                    <w:tc>
                      <w:tcPr>
                        <w:tcW w:w="1179" w:type="dxa"/>
                        <w:shd w:val="clear" w:color="auto" w:fill="E6EDD4"/>
                      </w:tcPr>
                      <w:p>
                        <w:pPr>
                          <w:pStyle w:val="TableParagraph"/>
                          <w:ind w:right="392"/>
                          <w:jc w:val="right"/>
                          <w:rPr>
                            <w:sz w:val="20"/>
                          </w:rPr>
                        </w:pPr>
                        <w:r>
                          <w:rPr>
                            <w:sz w:val="20"/>
                          </w:rPr>
                          <w:t>220</w:t>
                        </w:r>
                      </w:p>
                    </w:tc>
                    <w:tc>
                      <w:tcPr>
                        <w:tcW w:w="1109" w:type="dxa"/>
                        <w:shd w:val="clear" w:color="auto" w:fill="E6EDD4"/>
                      </w:tcPr>
                      <w:p>
                        <w:pPr>
                          <w:pStyle w:val="TableParagraph"/>
                          <w:ind w:left="393"/>
                          <w:rPr>
                            <w:sz w:val="20"/>
                          </w:rPr>
                        </w:pPr>
                        <w:r>
                          <w:rPr>
                            <w:sz w:val="20"/>
                          </w:rPr>
                          <w:t>30</w:t>
                        </w:r>
                      </w:p>
                    </w:tc>
                    <w:tc>
                      <w:tcPr>
                        <w:tcW w:w="1343" w:type="dxa"/>
                        <w:shd w:val="clear" w:color="auto" w:fill="E6EDD4"/>
                      </w:tcPr>
                      <w:p>
                        <w:pPr>
                          <w:pStyle w:val="TableParagraph"/>
                          <w:ind w:left="493"/>
                          <w:rPr>
                            <w:sz w:val="20"/>
                          </w:rPr>
                        </w:pPr>
                        <w:r>
                          <w:rPr>
                            <w:sz w:val="20"/>
                          </w:rPr>
                          <w:t>64</w:t>
                        </w:r>
                      </w:p>
                    </w:tc>
                  </w:tr>
                  <w:tr>
                    <w:trPr>
                      <w:trHeight w:val="346" w:hRule="exact"/>
                    </w:trPr>
                    <w:tc>
                      <w:tcPr>
                        <w:tcW w:w="1671" w:type="dxa"/>
                        <w:vMerge w:val="restart"/>
                        <w:shd w:val="clear" w:color="auto" w:fill="E6EDD4"/>
                      </w:tcPr>
                      <w:p>
                        <w:pPr/>
                      </w:p>
                    </w:tc>
                    <w:tc>
                      <w:tcPr>
                        <w:tcW w:w="1231" w:type="dxa"/>
                      </w:tcPr>
                      <w:p>
                        <w:pPr>
                          <w:pStyle w:val="TableParagraph"/>
                          <w:ind w:left="105"/>
                          <w:rPr>
                            <w:sz w:val="20"/>
                          </w:rPr>
                        </w:pPr>
                        <w:r>
                          <w:rPr>
                            <w:sz w:val="20"/>
                          </w:rPr>
                          <w:t>Media</w:t>
                        </w:r>
                      </w:p>
                    </w:tc>
                    <w:tc>
                      <w:tcPr>
                        <w:tcW w:w="892" w:type="dxa"/>
                      </w:tcPr>
                      <w:p>
                        <w:pPr>
                          <w:pStyle w:val="TableParagraph"/>
                          <w:ind w:left="304" w:right="324"/>
                          <w:jc w:val="center"/>
                          <w:rPr>
                            <w:sz w:val="20"/>
                          </w:rPr>
                        </w:pPr>
                        <w:r>
                          <w:rPr>
                            <w:sz w:val="20"/>
                          </w:rPr>
                          <w:t>35</w:t>
                        </w:r>
                      </w:p>
                    </w:tc>
                    <w:tc>
                      <w:tcPr>
                        <w:tcW w:w="910" w:type="dxa"/>
                      </w:tcPr>
                      <w:p>
                        <w:pPr>
                          <w:pStyle w:val="TableParagraph"/>
                          <w:ind w:left="344"/>
                          <w:rPr>
                            <w:sz w:val="20"/>
                          </w:rPr>
                        </w:pPr>
                        <w:r>
                          <w:rPr>
                            <w:w w:val="100"/>
                            <w:sz w:val="20"/>
                          </w:rPr>
                          <w:t>0</w:t>
                        </w:r>
                      </w:p>
                    </w:tc>
                    <w:tc>
                      <w:tcPr>
                        <w:tcW w:w="1179" w:type="dxa"/>
                      </w:tcPr>
                      <w:p>
                        <w:pPr>
                          <w:pStyle w:val="TableParagraph"/>
                          <w:ind w:right="392"/>
                          <w:jc w:val="right"/>
                          <w:rPr>
                            <w:sz w:val="20"/>
                          </w:rPr>
                        </w:pPr>
                        <w:r>
                          <w:rPr>
                            <w:sz w:val="20"/>
                          </w:rPr>
                          <w:t>250</w:t>
                        </w:r>
                      </w:p>
                    </w:tc>
                    <w:tc>
                      <w:tcPr>
                        <w:tcW w:w="1109" w:type="dxa"/>
                      </w:tcPr>
                      <w:p>
                        <w:pPr>
                          <w:pStyle w:val="TableParagraph"/>
                          <w:ind w:left="393"/>
                          <w:rPr>
                            <w:sz w:val="20"/>
                          </w:rPr>
                        </w:pPr>
                        <w:r>
                          <w:rPr>
                            <w:sz w:val="20"/>
                          </w:rPr>
                          <w:t>45</w:t>
                        </w:r>
                      </w:p>
                    </w:tc>
                    <w:tc>
                      <w:tcPr>
                        <w:tcW w:w="1343" w:type="dxa"/>
                      </w:tcPr>
                      <w:p>
                        <w:pPr>
                          <w:pStyle w:val="TableParagraph"/>
                          <w:ind w:left="493"/>
                          <w:rPr>
                            <w:sz w:val="20"/>
                          </w:rPr>
                        </w:pPr>
                        <w:r>
                          <w:rPr>
                            <w:sz w:val="20"/>
                          </w:rPr>
                          <w:t>78</w:t>
                        </w:r>
                      </w:p>
                    </w:tc>
                  </w:tr>
                  <w:tr>
                    <w:trPr>
                      <w:trHeight w:val="346" w:hRule="exact"/>
                    </w:trPr>
                    <w:tc>
                      <w:tcPr>
                        <w:tcW w:w="1671" w:type="dxa"/>
                        <w:vMerge/>
                        <w:shd w:val="clear" w:color="auto" w:fill="E6EDD4"/>
                      </w:tcPr>
                      <w:p>
                        <w:pPr/>
                      </w:p>
                    </w:tc>
                    <w:tc>
                      <w:tcPr>
                        <w:tcW w:w="1231" w:type="dxa"/>
                        <w:shd w:val="clear" w:color="auto" w:fill="E6EDD4"/>
                      </w:tcPr>
                      <w:p>
                        <w:pPr>
                          <w:pStyle w:val="TableParagraph"/>
                          <w:ind w:left="105"/>
                          <w:rPr>
                            <w:sz w:val="20"/>
                          </w:rPr>
                        </w:pPr>
                        <w:r>
                          <w:rPr>
                            <w:sz w:val="20"/>
                          </w:rPr>
                          <w:t>Posterior</w:t>
                        </w:r>
                      </w:p>
                    </w:tc>
                    <w:tc>
                      <w:tcPr>
                        <w:tcW w:w="892" w:type="dxa"/>
                        <w:shd w:val="clear" w:color="auto" w:fill="E6EDD4"/>
                      </w:tcPr>
                      <w:p>
                        <w:pPr>
                          <w:pStyle w:val="TableParagraph"/>
                          <w:ind w:left="304" w:right="324"/>
                          <w:jc w:val="center"/>
                          <w:rPr>
                            <w:sz w:val="20"/>
                          </w:rPr>
                        </w:pPr>
                        <w:r>
                          <w:rPr>
                            <w:sz w:val="20"/>
                          </w:rPr>
                          <w:t>35</w:t>
                        </w:r>
                      </w:p>
                    </w:tc>
                    <w:tc>
                      <w:tcPr>
                        <w:tcW w:w="910" w:type="dxa"/>
                        <w:shd w:val="clear" w:color="auto" w:fill="E6EDD4"/>
                      </w:tcPr>
                      <w:p>
                        <w:pPr>
                          <w:pStyle w:val="TableParagraph"/>
                          <w:ind w:left="344"/>
                          <w:rPr>
                            <w:sz w:val="20"/>
                          </w:rPr>
                        </w:pPr>
                        <w:r>
                          <w:rPr>
                            <w:w w:val="100"/>
                            <w:sz w:val="20"/>
                          </w:rPr>
                          <w:t>0</w:t>
                        </w:r>
                      </w:p>
                    </w:tc>
                    <w:tc>
                      <w:tcPr>
                        <w:tcW w:w="1179" w:type="dxa"/>
                        <w:shd w:val="clear" w:color="auto" w:fill="E6EDD4"/>
                      </w:tcPr>
                      <w:p>
                        <w:pPr>
                          <w:pStyle w:val="TableParagraph"/>
                          <w:ind w:right="392"/>
                          <w:jc w:val="right"/>
                          <w:rPr>
                            <w:sz w:val="20"/>
                          </w:rPr>
                        </w:pPr>
                        <w:r>
                          <w:rPr>
                            <w:sz w:val="20"/>
                          </w:rPr>
                          <w:t>210</w:t>
                        </w:r>
                      </w:p>
                    </w:tc>
                    <w:tc>
                      <w:tcPr>
                        <w:tcW w:w="1109" w:type="dxa"/>
                        <w:shd w:val="clear" w:color="auto" w:fill="E6EDD4"/>
                      </w:tcPr>
                      <w:p>
                        <w:pPr>
                          <w:pStyle w:val="TableParagraph"/>
                          <w:ind w:left="393"/>
                          <w:rPr>
                            <w:sz w:val="20"/>
                          </w:rPr>
                        </w:pPr>
                        <w:r>
                          <w:rPr>
                            <w:sz w:val="20"/>
                          </w:rPr>
                          <w:t>31</w:t>
                        </w:r>
                      </w:p>
                    </w:tc>
                    <w:tc>
                      <w:tcPr>
                        <w:tcW w:w="1343" w:type="dxa"/>
                        <w:shd w:val="clear" w:color="auto" w:fill="E6EDD4"/>
                      </w:tcPr>
                      <w:p>
                        <w:pPr>
                          <w:pStyle w:val="TableParagraph"/>
                          <w:ind w:left="493"/>
                          <w:rPr>
                            <w:sz w:val="20"/>
                          </w:rPr>
                        </w:pPr>
                        <w:r>
                          <w:rPr>
                            <w:sz w:val="20"/>
                          </w:rPr>
                          <w:t>62</w:t>
                        </w:r>
                      </w:p>
                    </w:tc>
                  </w:tr>
                </w:tbl>
                <w:p>
                  <w:pPr>
                    <w:pStyle w:val="BodyText"/>
                  </w:pPr>
                </w:p>
              </w:txbxContent>
            </v:textbox>
            <w10:wrap type="none"/>
          </v:shape>
        </w:pict>
      </w:r>
      <w:r>
        <w:rPr>
          <w:sz w:val="18"/>
        </w:rPr>
        <w:t>* UFC/ml: Unidades Formadoras de Colonias por mililitro.</w:t>
      </w:r>
    </w:p>
    <w:p>
      <w:pPr>
        <w:pStyle w:val="BodyText"/>
        <w:rPr>
          <w:sz w:val="20"/>
        </w:rPr>
      </w:pPr>
    </w:p>
    <w:p>
      <w:pPr>
        <w:pStyle w:val="BodyText"/>
        <w:rPr>
          <w:sz w:val="20"/>
        </w:rPr>
      </w:pPr>
    </w:p>
    <w:p>
      <w:pPr>
        <w:pStyle w:val="BodyText"/>
        <w:rPr>
          <w:sz w:val="20"/>
        </w:rPr>
      </w:pPr>
    </w:p>
    <w:p>
      <w:pPr>
        <w:pStyle w:val="BodyText"/>
        <w:spacing w:before="4"/>
        <w:rPr>
          <w:sz w:val="11"/>
        </w:rPr>
      </w:pPr>
      <w:r>
        <w:rPr/>
        <w:pict>
          <v:line style="position:absolute;mso-position-horizontal-relative:page;mso-position-vertical-relative:paragraph;z-index:2872;mso-wrap-distance-left:0;mso-wrap-distance-right:0" from="79.463997pt,8.975717pt" to="527.233997pt,8.975717pt" stroked="true" strokeweight=".95999pt" strokecolor="#9bba58">
            <w10:wrap type="topAndBottom"/>
          </v:line>
        </w:pict>
      </w:r>
    </w:p>
    <w:p>
      <w:pPr>
        <w:spacing w:before="0"/>
        <w:ind w:left="993" w:right="489" w:firstLine="0"/>
        <w:jc w:val="left"/>
        <w:rPr>
          <w:b/>
          <w:sz w:val="22"/>
        </w:rPr>
      </w:pPr>
      <w:r>
        <w:rPr>
          <w:b/>
          <w:color w:val="76923B"/>
          <w:sz w:val="22"/>
        </w:rPr>
        <w:t>Tabla 2. Test de Bonferroni para comparación de medias de UFC/ml*</w:t>
      </w:r>
    </w:p>
    <w:p>
      <w:pPr>
        <w:pStyle w:val="BodyText"/>
        <w:spacing w:before="9"/>
        <w:rPr>
          <w:b/>
          <w:sz w:val="11"/>
        </w:rPr>
      </w:pPr>
    </w:p>
    <w:tbl>
      <w:tblPr>
        <w:tblW w:w="0" w:type="auto"/>
        <w:jc w:val="left"/>
        <w:tblInd w:w="12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93"/>
        <w:gridCol w:w="2318"/>
        <w:gridCol w:w="1446"/>
        <w:gridCol w:w="1369"/>
        <w:gridCol w:w="791"/>
        <w:gridCol w:w="1543"/>
      </w:tblGrid>
      <w:tr>
        <w:trPr>
          <w:trHeight w:val="778" w:hRule="exact"/>
        </w:trPr>
        <w:tc>
          <w:tcPr>
            <w:tcW w:w="1493" w:type="dxa"/>
            <w:shd w:val="clear" w:color="auto" w:fill="9BBA58"/>
          </w:tcPr>
          <w:p>
            <w:pPr>
              <w:pStyle w:val="TableParagraph"/>
              <w:spacing w:line="250" w:lineRule="exact" w:before="16"/>
              <w:ind w:left="191" w:right="193" w:hanging="48"/>
              <w:rPr>
                <w:b/>
                <w:sz w:val="22"/>
              </w:rPr>
            </w:pPr>
            <w:r>
              <w:rPr>
                <w:b/>
                <w:color w:val="FFFFFF"/>
                <w:sz w:val="22"/>
              </w:rPr>
              <w:t>Porción de manguera</w:t>
            </w:r>
          </w:p>
        </w:tc>
        <w:tc>
          <w:tcPr>
            <w:tcW w:w="2318" w:type="dxa"/>
            <w:shd w:val="clear" w:color="auto" w:fill="9BBA58"/>
          </w:tcPr>
          <w:p>
            <w:pPr>
              <w:pStyle w:val="TableParagraph"/>
              <w:spacing w:line="250" w:lineRule="exact" w:before="16"/>
              <w:ind w:left="600" w:right="377" w:firstLine="230"/>
              <w:rPr>
                <w:b/>
                <w:sz w:val="22"/>
              </w:rPr>
            </w:pPr>
            <w:r>
              <w:rPr>
                <w:b/>
                <w:color w:val="FFFFFF"/>
                <w:sz w:val="22"/>
              </w:rPr>
              <w:t>Pares de tratamientos</w:t>
            </w:r>
          </w:p>
        </w:tc>
        <w:tc>
          <w:tcPr>
            <w:tcW w:w="1446" w:type="dxa"/>
            <w:shd w:val="clear" w:color="auto" w:fill="9BBA58"/>
          </w:tcPr>
          <w:p>
            <w:pPr>
              <w:pStyle w:val="TableParagraph"/>
              <w:spacing w:line="240" w:lineRule="auto" w:before="9"/>
              <w:ind w:left="399" w:right="162"/>
              <w:jc w:val="center"/>
              <w:rPr>
                <w:b/>
                <w:sz w:val="22"/>
              </w:rPr>
            </w:pPr>
            <w:r>
              <w:rPr>
                <w:b/>
                <w:color w:val="FFFFFF"/>
                <w:sz w:val="22"/>
              </w:rPr>
              <w:t>Diferenc ia de medias</w:t>
            </w:r>
          </w:p>
        </w:tc>
        <w:tc>
          <w:tcPr>
            <w:tcW w:w="1369" w:type="dxa"/>
            <w:shd w:val="clear" w:color="auto" w:fill="9BBA58"/>
          </w:tcPr>
          <w:p>
            <w:pPr>
              <w:pStyle w:val="TableParagraph"/>
              <w:spacing w:line="250" w:lineRule="exact" w:before="16"/>
              <w:ind w:left="293" w:right="64" w:hanging="130"/>
              <w:rPr>
                <w:b/>
                <w:sz w:val="22"/>
              </w:rPr>
            </w:pPr>
            <w:r>
              <w:rPr>
                <w:b/>
                <w:color w:val="FFFFFF"/>
                <w:sz w:val="22"/>
              </w:rPr>
              <w:t>Desviació n típica</w:t>
            </w:r>
          </w:p>
        </w:tc>
        <w:tc>
          <w:tcPr>
            <w:tcW w:w="791" w:type="dxa"/>
            <w:shd w:val="clear" w:color="auto" w:fill="9BBA58"/>
          </w:tcPr>
          <w:p>
            <w:pPr>
              <w:pStyle w:val="TableParagraph"/>
              <w:spacing w:line="240" w:lineRule="auto" w:before="9"/>
              <w:ind w:left="3"/>
              <w:jc w:val="center"/>
              <w:rPr>
                <w:b/>
                <w:sz w:val="22"/>
              </w:rPr>
            </w:pPr>
            <w:r>
              <w:rPr>
                <w:b/>
                <w:color w:val="FFFFFF"/>
                <w:w w:val="100"/>
                <w:sz w:val="22"/>
              </w:rPr>
              <w:t>t</w:t>
            </w:r>
          </w:p>
        </w:tc>
        <w:tc>
          <w:tcPr>
            <w:tcW w:w="1543" w:type="dxa"/>
            <w:shd w:val="clear" w:color="auto" w:fill="9BBA58"/>
          </w:tcPr>
          <w:p>
            <w:pPr>
              <w:pStyle w:val="TableParagraph"/>
              <w:spacing w:line="250" w:lineRule="exact" w:before="16"/>
              <w:ind w:left="222" w:right="170" w:hanging="44"/>
              <w:rPr>
                <w:b/>
                <w:sz w:val="22"/>
              </w:rPr>
            </w:pPr>
            <w:r>
              <w:rPr>
                <w:b/>
                <w:color w:val="FFFFFF"/>
                <w:sz w:val="22"/>
              </w:rPr>
              <w:t>Significanc ia bilateral</w:t>
            </w:r>
          </w:p>
        </w:tc>
      </w:tr>
      <w:tr>
        <w:trPr>
          <w:trHeight w:val="504" w:hRule="exact"/>
        </w:trPr>
        <w:tc>
          <w:tcPr>
            <w:tcW w:w="1493" w:type="dxa"/>
          </w:tcPr>
          <w:p>
            <w:pPr/>
          </w:p>
        </w:tc>
        <w:tc>
          <w:tcPr>
            <w:tcW w:w="2318" w:type="dxa"/>
          </w:tcPr>
          <w:p>
            <w:pPr>
              <w:pStyle w:val="TableParagraph"/>
              <w:spacing w:line="250" w:lineRule="exact" w:before="1"/>
              <w:ind w:left="106" w:right="834"/>
              <w:rPr>
                <w:sz w:val="22"/>
              </w:rPr>
            </w:pPr>
            <w:r>
              <w:rPr>
                <w:sz w:val="22"/>
              </w:rPr>
              <w:t>Agua filtrada Plata colloidal</w:t>
            </w:r>
          </w:p>
        </w:tc>
        <w:tc>
          <w:tcPr>
            <w:tcW w:w="1446" w:type="dxa"/>
          </w:tcPr>
          <w:p>
            <w:pPr>
              <w:pStyle w:val="TableParagraph"/>
              <w:spacing w:line="248" w:lineRule="exact"/>
              <w:ind w:right="417"/>
              <w:jc w:val="right"/>
              <w:rPr>
                <w:sz w:val="22"/>
              </w:rPr>
            </w:pPr>
            <w:r>
              <w:rPr>
                <w:sz w:val="22"/>
              </w:rPr>
              <w:t>905</w:t>
            </w:r>
          </w:p>
        </w:tc>
        <w:tc>
          <w:tcPr>
            <w:tcW w:w="1369" w:type="dxa"/>
          </w:tcPr>
          <w:p>
            <w:pPr>
              <w:pStyle w:val="TableParagraph"/>
              <w:spacing w:line="248" w:lineRule="exact"/>
              <w:ind w:left="341" w:right="64"/>
              <w:rPr>
                <w:sz w:val="22"/>
              </w:rPr>
            </w:pPr>
            <w:r>
              <w:rPr>
                <w:sz w:val="22"/>
              </w:rPr>
              <w:t>173.62</w:t>
            </w:r>
          </w:p>
        </w:tc>
        <w:tc>
          <w:tcPr>
            <w:tcW w:w="791" w:type="dxa"/>
          </w:tcPr>
          <w:p>
            <w:pPr>
              <w:pStyle w:val="TableParagraph"/>
              <w:spacing w:line="248" w:lineRule="exact"/>
              <w:ind w:left="163" w:right="159"/>
              <w:jc w:val="center"/>
              <w:rPr>
                <w:sz w:val="22"/>
              </w:rPr>
            </w:pPr>
            <w:r>
              <w:rPr>
                <w:sz w:val="22"/>
              </w:rPr>
              <w:t>30.8</w:t>
            </w:r>
          </w:p>
        </w:tc>
        <w:tc>
          <w:tcPr>
            <w:tcW w:w="1543" w:type="dxa"/>
          </w:tcPr>
          <w:p>
            <w:pPr>
              <w:pStyle w:val="TableParagraph"/>
              <w:spacing w:line="248" w:lineRule="exact"/>
              <w:ind w:left="467" w:right="170"/>
              <w:rPr>
                <w:sz w:val="22"/>
              </w:rPr>
            </w:pPr>
            <w:r>
              <w:rPr>
                <w:sz w:val="22"/>
              </w:rPr>
              <w:t>.000**</w:t>
            </w:r>
          </w:p>
        </w:tc>
      </w:tr>
      <w:tr>
        <w:trPr>
          <w:trHeight w:val="509" w:hRule="exact"/>
        </w:trPr>
        <w:tc>
          <w:tcPr>
            <w:tcW w:w="1493" w:type="dxa"/>
          </w:tcPr>
          <w:p>
            <w:pPr>
              <w:pStyle w:val="TableParagraph"/>
              <w:spacing w:line="243" w:lineRule="exact"/>
              <w:ind w:left="288" w:right="193"/>
              <w:rPr>
                <w:b/>
                <w:sz w:val="22"/>
              </w:rPr>
            </w:pPr>
            <w:r>
              <w:rPr>
                <w:b/>
                <w:sz w:val="22"/>
              </w:rPr>
              <w:t>Anterior</w:t>
            </w:r>
          </w:p>
        </w:tc>
        <w:tc>
          <w:tcPr>
            <w:tcW w:w="2318" w:type="dxa"/>
            <w:shd w:val="clear" w:color="auto" w:fill="E6EDD4"/>
          </w:tcPr>
          <w:p>
            <w:pPr>
              <w:pStyle w:val="TableParagraph"/>
              <w:spacing w:line="242" w:lineRule="auto"/>
              <w:ind w:left="106" w:right="957"/>
              <w:rPr>
                <w:sz w:val="22"/>
              </w:rPr>
            </w:pPr>
            <w:r>
              <w:rPr>
                <w:sz w:val="22"/>
              </w:rPr>
              <w:t>Agua filtrada Clorhexidina</w:t>
            </w:r>
          </w:p>
        </w:tc>
        <w:tc>
          <w:tcPr>
            <w:tcW w:w="1446" w:type="dxa"/>
            <w:shd w:val="clear" w:color="auto" w:fill="E6EDD4"/>
          </w:tcPr>
          <w:p>
            <w:pPr>
              <w:pStyle w:val="TableParagraph"/>
              <w:spacing w:line="248" w:lineRule="exact"/>
              <w:ind w:right="417"/>
              <w:jc w:val="right"/>
              <w:rPr>
                <w:sz w:val="22"/>
              </w:rPr>
            </w:pPr>
            <w:r>
              <w:rPr>
                <w:sz w:val="22"/>
              </w:rPr>
              <w:t>665</w:t>
            </w:r>
          </w:p>
        </w:tc>
        <w:tc>
          <w:tcPr>
            <w:tcW w:w="1369" w:type="dxa"/>
            <w:shd w:val="clear" w:color="auto" w:fill="E6EDD4"/>
          </w:tcPr>
          <w:p>
            <w:pPr>
              <w:pStyle w:val="TableParagraph"/>
              <w:spacing w:line="248" w:lineRule="exact"/>
              <w:ind w:left="341" w:right="64"/>
              <w:rPr>
                <w:sz w:val="22"/>
              </w:rPr>
            </w:pPr>
            <w:r>
              <w:rPr>
                <w:sz w:val="22"/>
              </w:rPr>
              <w:t>363.63</w:t>
            </w:r>
          </w:p>
        </w:tc>
        <w:tc>
          <w:tcPr>
            <w:tcW w:w="791" w:type="dxa"/>
            <w:shd w:val="clear" w:color="auto" w:fill="E6EDD4"/>
          </w:tcPr>
          <w:p>
            <w:pPr>
              <w:pStyle w:val="TableParagraph"/>
              <w:spacing w:line="248" w:lineRule="exact"/>
              <w:ind w:left="163" w:right="159"/>
              <w:jc w:val="center"/>
              <w:rPr>
                <w:sz w:val="22"/>
              </w:rPr>
            </w:pPr>
            <w:r>
              <w:rPr>
                <w:sz w:val="22"/>
              </w:rPr>
              <w:t>10.8</w:t>
            </w:r>
          </w:p>
        </w:tc>
        <w:tc>
          <w:tcPr>
            <w:tcW w:w="1543" w:type="dxa"/>
            <w:shd w:val="clear" w:color="auto" w:fill="E6EDD4"/>
          </w:tcPr>
          <w:p>
            <w:pPr>
              <w:pStyle w:val="TableParagraph"/>
              <w:spacing w:line="248" w:lineRule="exact"/>
              <w:ind w:left="467" w:right="170"/>
              <w:rPr>
                <w:sz w:val="22"/>
              </w:rPr>
            </w:pPr>
            <w:r>
              <w:rPr>
                <w:sz w:val="22"/>
              </w:rPr>
              <w:t>.000**</w:t>
            </w:r>
          </w:p>
        </w:tc>
      </w:tr>
      <w:tr>
        <w:trPr>
          <w:trHeight w:val="505" w:hRule="exact"/>
        </w:trPr>
        <w:tc>
          <w:tcPr>
            <w:tcW w:w="1493" w:type="dxa"/>
          </w:tcPr>
          <w:p>
            <w:pPr/>
          </w:p>
        </w:tc>
        <w:tc>
          <w:tcPr>
            <w:tcW w:w="2318" w:type="dxa"/>
          </w:tcPr>
          <w:p>
            <w:pPr>
              <w:pStyle w:val="TableParagraph"/>
              <w:spacing w:line="250" w:lineRule="exact" w:before="2"/>
              <w:ind w:left="106" w:right="883"/>
              <w:rPr>
                <w:sz w:val="22"/>
              </w:rPr>
            </w:pPr>
            <w:r>
              <w:rPr>
                <w:sz w:val="22"/>
              </w:rPr>
              <w:t>Plata coloidal Clorhexidina</w:t>
            </w:r>
          </w:p>
        </w:tc>
        <w:tc>
          <w:tcPr>
            <w:tcW w:w="1446" w:type="dxa"/>
          </w:tcPr>
          <w:p>
            <w:pPr>
              <w:pStyle w:val="TableParagraph"/>
              <w:spacing w:line="249" w:lineRule="exact"/>
              <w:ind w:right="376"/>
              <w:jc w:val="right"/>
              <w:rPr>
                <w:sz w:val="22"/>
              </w:rPr>
            </w:pPr>
            <w:r>
              <w:rPr>
                <w:sz w:val="22"/>
              </w:rPr>
              <w:t>-240</w:t>
            </w:r>
          </w:p>
        </w:tc>
        <w:tc>
          <w:tcPr>
            <w:tcW w:w="1369" w:type="dxa"/>
          </w:tcPr>
          <w:p>
            <w:pPr>
              <w:pStyle w:val="TableParagraph"/>
              <w:spacing w:line="249" w:lineRule="exact"/>
              <w:ind w:left="341" w:right="64"/>
              <w:rPr>
                <w:sz w:val="22"/>
              </w:rPr>
            </w:pPr>
            <w:r>
              <w:rPr>
                <w:sz w:val="22"/>
              </w:rPr>
              <w:t>323.95</w:t>
            </w:r>
          </w:p>
        </w:tc>
        <w:tc>
          <w:tcPr>
            <w:tcW w:w="791" w:type="dxa"/>
          </w:tcPr>
          <w:p>
            <w:pPr>
              <w:pStyle w:val="TableParagraph"/>
              <w:spacing w:line="249" w:lineRule="exact"/>
              <w:ind w:left="163" w:right="159"/>
              <w:jc w:val="center"/>
              <w:rPr>
                <w:sz w:val="22"/>
              </w:rPr>
            </w:pPr>
            <w:r>
              <w:rPr>
                <w:sz w:val="22"/>
              </w:rPr>
              <w:t>-4.3</w:t>
            </w:r>
          </w:p>
        </w:tc>
        <w:tc>
          <w:tcPr>
            <w:tcW w:w="1543" w:type="dxa"/>
          </w:tcPr>
          <w:p>
            <w:pPr>
              <w:pStyle w:val="TableParagraph"/>
              <w:spacing w:line="249" w:lineRule="exact"/>
              <w:ind w:left="467" w:right="170"/>
              <w:rPr>
                <w:sz w:val="22"/>
              </w:rPr>
            </w:pPr>
            <w:r>
              <w:rPr>
                <w:sz w:val="22"/>
              </w:rPr>
              <w:t>.000**</w:t>
            </w:r>
          </w:p>
        </w:tc>
      </w:tr>
      <w:tr>
        <w:trPr>
          <w:trHeight w:val="504" w:hRule="exact"/>
        </w:trPr>
        <w:tc>
          <w:tcPr>
            <w:tcW w:w="1493" w:type="dxa"/>
          </w:tcPr>
          <w:p>
            <w:pPr/>
          </w:p>
        </w:tc>
        <w:tc>
          <w:tcPr>
            <w:tcW w:w="2318" w:type="dxa"/>
          </w:tcPr>
          <w:p>
            <w:pPr/>
          </w:p>
        </w:tc>
        <w:tc>
          <w:tcPr>
            <w:tcW w:w="1446" w:type="dxa"/>
          </w:tcPr>
          <w:p>
            <w:pPr/>
          </w:p>
        </w:tc>
        <w:tc>
          <w:tcPr>
            <w:tcW w:w="1369" w:type="dxa"/>
          </w:tcPr>
          <w:p>
            <w:pPr/>
          </w:p>
        </w:tc>
        <w:tc>
          <w:tcPr>
            <w:tcW w:w="791" w:type="dxa"/>
          </w:tcPr>
          <w:p>
            <w:pPr/>
          </w:p>
        </w:tc>
        <w:tc>
          <w:tcPr>
            <w:tcW w:w="1543" w:type="dxa"/>
          </w:tcPr>
          <w:p>
            <w:pPr/>
          </w:p>
        </w:tc>
      </w:tr>
      <w:tr>
        <w:trPr>
          <w:trHeight w:val="509" w:hRule="exact"/>
        </w:trPr>
        <w:tc>
          <w:tcPr>
            <w:tcW w:w="1493" w:type="dxa"/>
          </w:tcPr>
          <w:p>
            <w:pPr/>
          </w:p>
        </w:tc>
        <w:tc>
          <w:tcPr>
            <w:tcW w:w="2318" w:type="dxa"/>
          </w:tcPr>
          <w:p>
            <w:pPr/>
          </w:p>
        </w:tc>
        <w:tc>
          <w:tcPr>
            <w:tcW w:w="1446" w:type="dxa"/>
          </w:tcPr>
          <w:p>
            <w:pPr/>
          </w:p>
        </w:tc>
        <w:tc>
          <w:tcPr>
            <w:tcW w:w="1369" w:type="dxa"/>
          </w:tcPr>
          <w:p>
            <w:pPr/>
          </w:p>
        </w:tc>
        <w:tc>
          <w:tcPr>
            <w:tcW w:w="791" w:type="dxa"/>
          </w:tcPr>
          <w:p>
            <w:pPr/>
          </w:p>
        </w:tc>
        <w:tc>
          <w:tcPr>
            <w:tcW w:w="1543" w:type="dxa"/>
          </w:tcPr>
          <w:p>
            <w:pPr/>
          </w:p>
        </w:tc>
      </w:tr>
      <w:tr>
        <w:trPr>
          <w:trHeight w:val="504" w:hRule="exact"/>
        </w:trPr>
        <w:tc>
          <w:tcPr>
            <w:tcW w:w="1493" w:type="dxa"/>
          </w:tcPr>
          <w:p>
            <w:pPr/>
          </w:p>
        </w:tc>
        <w:tc>
          <w:tcPr>
            <w:tcW w:w="2318" w:type="dxa"/>
          </w:tcPr>
          <w:p>
            <w:pPr/>
          </w:p>
        </w:tc>
        <w:tc>
          <w:tcPr>
            <w:tcW w:w="1446" w:type="dxa"/>
          </w:tcPr>
          <w:p>
            <w:pPr/>
          </w:p>
        </w:tc>
        <w:tc>
          <w:tcPr>
            <w:tcW w:w="1369" w:type="dxa"/>
          </w:tcPr>
          <w:p>
            <w:pPr/>
          </w:p>
        </w:tc>
        <w:tc>
          <w:tcPr>
            <w:tcW w:w="791" w:type="dxa"/>
          </w:tcPr>
          <w:p>
            <w:pPr/>
          </w:p>
        </w:tc>
        <w:tc>
          <w:tcPr>
            <w:tcW w:w="1543" w:type="dxa"/>
          </w:tcPr>
          <w:p>
            <w:pPr/>
          </w:p>
        </w:tc>
      </w:tr>
      <w:tr>
        <w:trPr>
          <w:trHeight w:val="509" w:hRule="exact"/>
        </w:trPr>
        <w:tc>
          <w:tcPr>
            <w:tcW w:w="1493" w:type="dxa"/>
          </w:tcPr>
          <w:p>
            <w:pPr/>
          </w:p>
        </w:tc>
        <w:tc>
          <w:tcPr>
            <w:tcW w:w="2318" w:type="dxa"/>
          </w:tcPr>
          <w:p>
            <w:pPr>
              <w:pStyle w:val="TableParagraph"/>
              <w:spacing w:line="242" w:lineRule="auto"/>
              <w:ind w:left="106" w:right="883"/>
              <w:rPr>
                <w:sz w:val="22"/>
              </w:rPr>
            </w:pPr>
            <w:r>
              <w:rPr>
                <w:sz w:val="22"/>
              </w:rPr>
              <w:t>Agua filtrada Plata coloidal</w:t>
            </w:r>
          </w:p>
        </w:tc>
        <w:tc>
          <w:tcPr>
            <w:tcW w:w="1446" w:type="dxa"/>
          </w:tcPr>
          <w:p>
            <w:pPr>
              <w:pStyle w:val="TableParagraph"/>
              <w:spacing w:line="248" w:lineRule="exact"/>
              <w:ind w:right="417"/>
              <w:jc w:val="right"/>
              <w:rPr>
                <w:sz w:val="22"/>
              </w:rPr>
            </w:pPr>
            <w:r>
              <w:rPr>
                <w:sz w:val="22"/>
              </w:rPr>
              <w:t>866</w:t>
            </w:r>
          </w:p>
        </w:tc>
        <w:tc>
          <w:tcPr>
            <w:tcW w:w="1369" w:type="dxa"/>
          </w:tcPr>
          <w:p>
            <w:pPr>
              <w:pStyle w:val="TableParagraph"/>
              <w:spacing w:line="248" w:lineRule="exact"/>
              <w:ind w:left="341" w:right="64"/>
              <w:rPr>
                <w:sz w:val="22"/>
              </w:rPr>
            </w:pPr>
            <w:r>
              <w:rPr>
                <w:sz w:val="22"/>
              </w:rPr>
              <w:t>207.11</w:t>
            </w:r>
          </w:p>
        </w:tc>
        <w:tc>
          <w:tcPr>
            <w:tcW w:w="791" w:type="dxa"/>
          </w:tcPr>
          <w:p>
            <w:pPr>
              <w:pStyle w:val="TableParagraph"/>
              <w:spacing w:line="248" w:lineRule="exact"/>
              <w:ind w:left="163" w:right="159"/>
              <w:jc w:val="center"/>
              <w:rPr>
                <w:sz w:val="22"/>
              </w:rPr>
            </w:pPr>
            <w:r>
              <w:rPr>
                <w:sz w:val="22"/>
              </w:rPr>
              <w:t>24.7</w:t>
            </w:r>
          </w:p>
        </w:tc>
        <w:tc>
          <w:tcPr>
            <w:tcW w:w="1543" w:type="dxa"/>
          </w:tcPr>
          <w:p>
            <w:pPr>
              <w:pStyle w:val="TableParagraph"/>
              <w:spacing w:line="248" w:lineRule="exact"/>
              <w:ind w:left="467" w:right="170"/>
              <w:rPr>
                <w:sz w:val="22"/>
              </w:rPr>
            </w:pPr>
            <w:r>
              <w:rPr>
                <w:sz w:val="22"/>
              </w:rPr>
              <w:t>.000**</w:t>
            </w:r>
          </w:p>
        </w:tc>
      </w:tr>
      <w:tr>
        <w:trPr>
          <w:trHeight w:val="504" w:hRule="exact"/>
        </w:trPr>
        <w:tc>
          <w:tcPr>
            <w:tcW w:w="1493" w:type="dxa"/>
          </w:tcPr>
          <w:p>
            <w:pPr>
              <w:pStyle w:val="TableParagraph"/>
              <w:spacing w:line="243" w:lineRule="exact"/>
              <w:ind w:left="235" w:right="193"/>
              <w:rPr>
                <w:b/>
                <w:sz w:val="22"/>
              </w:rPr>
            </w:pPr>
            <w:r>
              <w:rPr>
                <w:b/>
                <w:sz w:val="22"/>
              </w:rPr>
              <w:t>Posterior</w:t>
            </w:r>
          </w:p>
        </w:tc>
        <w:tc>
          <w:tcPr>
            <w:tcW w:w="2318" w:type="dxa"/>
            <w:shd w:val="clear" w:color="auto" w:fill="E6EDD4"/>
          </w:tcPr>
          <w:p>
            <w:pPr>
              <w:pStyle w:val="TableParagraph"/>
              <w:spacing w:line="250" w:lineRule="exact" w:before="1"/>
              <w:ind w:left="106" w:right="957"/>
              <w:rPr>
                <w:sz w:val="22"/>
              </w:rPr>
            </w:pPr>
            <w:r>
              <w:rPr>
                <w:sz w:val="22"/>
              </w:rPr>
              <w:t>Agua filtrada Clorhexidina</w:t>
            </w:r>
          </w:p>
        </w:tc>
        <w:tc>
          <w:tcPr>
            <w:tcW w:w="1446" w:type="dxa"/>
            <w:shd w:val="clear" w:color="auto" w:fill="E6EDD4"/>
          </w:tcPr>
          <w:p>
            <w:pPr>
              <w:pStyle w:val="TableParagraph"/>
              <w:spacing w:line="248" w:lineRule="exact"/>
              <w:ind w:right="417"/>
              <w:jc w:val="right"/>
              <w:rPr>
                <w:sz w:val="22"/>
              </w:rPr>
            </w:pPr>
            <w:r>
              <w:rPr>
                <w:sz w:val="22"/>
              </w:rPr>
              <w:t>441</w:t>
            </w:r>
          </w:p>
        </w:tc>
        <w:tc>
          <w:tcPr>
            <w:tcW w:w="1369" w:type="dxa"/>
            <w:shd w:val="clear" w:color="auto" w:fill="E6EDD4"/>
          </w:tcPr>
          <w:p>
            <w:pPr>
              <w:pStyle w:val="TableParagraph"/>
              <w:spacing w:line="248" w:lineRule="exact"/>
              <w:ind w:left="341" w:right="64"/>
              <w:rPr>
                <w:sz w:val="22"/>
              </w:rPr>
            </w:pPr>
            <w:r>
              <w:rPr>
                <w:sz w:val="22"/>
              </w:rPr>
              <w:t>460.19</w:t>
            </w:r>
          </w:p>
        </w:tc>
        <w:tc>
          <w:tcPr>
            <w:tcW w:w="791" w:type="dxa"/>
            <w:shd w:val="clear" w:color="auto" w:fill="E6EDD4"/>
          </w:tcPr>
          <w:p>
            <w:pPr>
              <w:pStyle w:val="TableParagraph"/>
              <w:spacing w:line="248" w:lineRule="exact"/>
              <w:ind w:left="163" w:right="159"/>
              <w:jc w:val="center"/>
              <w:rPr>
                <w:sz w:val="22"/>
              </w:rPr>
            </w:pPr>
            <w:r>
              <w:rPr>
                <w:sz w:val="22"/>
              </w:rPr>
              <w:t>5.67</w:t>
            </w:r>
          </w:p>
        </w:tc>
        <w:tc>
          <w:tcPr>
            <w:tcW w:w="1543" w:type="dxa"/>
            <w:shd w:val="clear" w:color="auto" w:fill="E6EDD4"/>
          </w:tcPr>
          <w:p>
            <w:pPr>
              <w:pStyle w:val="TableParagraph"/>
              <w:spacing w:line="248" w:lineRule="exact"/>
              <w:ind w:left="467" w:right="170"/>
              <w:rPr>
                <w:sz w:val="22"/>
              </w:rPr>
            </w:pPr>
            <w:r>
              <w:rPr>
                <w:sz w:val="22"/>
              </w:rPr>
              <w:t>.000**</w:t>
            </w:r>
          </w:p>
        </w:tc>
      </w:tr>
      <w:tr>
        <w:trPr>
          <w:trHeight w:val="519" w:hRule="exact"/>
        </w:trPr>
        <w:tc>
          <w:tcPr>
            <w:tcW w:w="1493" w:type="dxa"/>
            <w:tcBorders>
              <w:bottom w:val="single" w:sz="8" w:space="0" w:color="9BBA58"/>
            </w:tcBorders>
          </w:tcPr>
          <w:p>
            <w:pPr/>
          </w:p>
        </w:tc>
        <w:tc>
          <w:tcPr>
            <w:tcW w:w="2318" w:type="dxa"/>
            <w:tcBorders>
              <w:bottom w:val="single" w:sz="8" w:space="0" w:color="9BBA58"/>
            </w:tcBorders>
          </w:tcPr>
          <w:p>
            <w:pPr>
              <w:pStyle w:val="TableParagraph"/>
              <w:spacing w:line="242" w:lineRule="auto"/>
              <w:ind w:left="106" w:right="883"/>
              <w:rPr>
                <w:sz w:val="22"/>
              </w:rPr>
            </w:pPr>
            <w:r>
              <w:rPr>
                <w:sz w:val="22"/>
              </w:rPr>
              <w:t>Plata coloidal Clorhexidina</w:t>
            </w:r>
          </w:p>
        </w:tc>
        <w:tc>
          <w:tcPr>
            <w:tcW w:w="1446" w:type="dxa"/>
            <w:tcBorders>
              <w:bottom w:val="single" w:sz="8" w:space="0" w:color="9BBA58"/>
            </w:tcBorders>
          </w:tcPr>
          <w:p>
            <w:pPr>
              <w:pStyle w:val="TableParagraph"/>
              <w:spacing w:line="249" w:lineRule="exact"/>
              <w:ind w:right="376"/>
              <w:jc w:val="right"/>
              <w:rPr>
                <w:sz w:val="22"/>
              </w:rPr>
            </w:pPr>
            <w:r>
              <w:rPr>
                <w:sz w:val="22"/>
              </w:rPr>
              <w:t>-425</w:t>
            </w:r>
          </w:p>
        </w:tc>
        <w:tc>
          <w:tcPr>
            <w:tcW w:w="1369" w:type="dxa"/>
            <w:tcBorders>
              <w:bottom w:val="single" w:sz="8" w:space="0" w:color="9BBA58"/>
            </w:tcBorders>
          </w:tcPr>
          <w:p>
            <w:pPr>
              <w:pStyle w:val="TableParagraph"/>
              <w:spacing w:line="249" w:lineRule="exact"/>
              <w:ind w:left="341" w:right="64"/>
              <w:rPr>
                <w:sz w:val="22"/>
              </w:rPr>
            </w:pPr>
            <w:r>
              <w:rPr>
                <w:sz w:val="22"/>
              </w:rPr>
              <w:t>404.25</w:t>
            </w:r>
          </w:p>
        </w:tc>
        <w:tc>
          <w:tcPr>
            <w:tcW w:w="791" w:type="dxa"/>
            <w:tcBorders>
              <w:bottom w:val="single" w:sz="8" w:space="0" w:color="9BBA58"/>
            </w:tcBorders>
          </w:tcPr>
          <w:p>
            <w:pPr>
              <w:pStyle w:val="TableParagraph"/>
              <w:spacing w:line="249" w:lineRule="exact"/>
              <w:ind w:left="163" w:right="159"/>
              <w:jc w:val="center"/>
              <w:rPr>
                <w:sz w:val="22"/>
              </w:rPr>
            </w:pPr>
            <w:r>
              <w:rPr>
                <w:sz w:val="22"/>
              </w:rPr>
              <w:t>-6.2</w:t>
            </w:r>
          </w:p>
        </w:tc>
        <w:tc>
          <w:tcPr>
            <w:tcW w:w="1543" w:type="dxa"/>
            <w:tcBorders>
              <w:bottom w:val="single" w:sz="8" w:space="0" w:color="9BBA58"/>
            </w:tcBorders>
          </w:tcPr>
          <w:p>
            <w:pPr>
              <w:pStyle w:val="TableParagraph"/>
              <w:spacing w:line="249" w:lineRule="exact"/>
              <w:ind w:left="467" w:right="170"/>
              <w:rPr>
                <w:sz w:val="22"/>
              </w:rPr>
            </w:pPr>
            <w:r>
              <w:rPr>
                <w:sz w:val="22"/>
              </w:rPr>
              <w:t>.000**</w:t>
            </w:r>
          </w:p>
        </w:tc>
      </w:tr>
    </w:tbl>
    <w:p>
      <w:pPr>
        <w:spacing w:line="172" w:lineRule="exact" w:before="0"/>
        <w:ind w:left="239" w:right="489" w:firstLine="0"/>
        <w:jc w:val="left"/>
        <w:rPr>
          <w:sz w:val="16"/>
        </w:rPr>
      </w:pPr>
      <w:r>
        <w:rPr/>
        <w:pict>
          <v:shape style="position:absolute;margin-left:79.704002pt;margin-top:-153.410004pt;width:447.8pt;height:75.9pt;mso-position-horizontal-relative:page;mso-position-vertical-relative:paragraph;z-index:292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89"/>
                    <w:gridCol w:w="2177"/>
                    <w:gridCol w:w="1567"/>
                    <w:gridCol w:w="1303"/>
                    <w:gridCol w:w="1021"/>
                    <w:gridCol w:w="1398"/>
                  </w:tblGrid>
                  <w:tr>
                    <w:trPr>
                      <w:trHeight w:val="504" w:hRule="exact"/>
                    </w:trPr>
                    <w:tc>
                      <w:tcPr>
                        <w:tcW w:w="1489" w:type="dxa"/>
                        <w:vMerge w:val="restart"/>
                        <w:shd w:val="clear" w:color="auto" w:fill="E6EDD4"/>
                      </w:tcPr>
                      <w:p>
                        <w:pPr>
                          <w:pStyle w:val="TableParagraph"/>
                          <w:spacing w:line="240" w:lineRule="auto"/>
                          <w:rPr>
                            <w:sz w:val="22"/>
                          </w:rPr>
                        </w:pPr>
                      </w:p>
                      <w:p>
                        <w:pPr>
                          <w:pStyle w:val="TableParagraph"/>
                          <w:spacing w:line="240" w:lineRule="auto" w:before="11"/>
                          <w:rPr>
                            <w:sz w:val="20"/>
                          </w:rPr>
                        </w:pPr>
                      </w:p>
                      <w:p>
                        <w:pPr>
                          <w:pStyle w:val="TableParagraph"/>
                          <w:spacing w:line="240" w:lineRule="auto"/>
                          <w:ind w:left="398"/>
                          <w:rPr>
                            <w:b/>
                            <w:sz w:val="22"/>
                          </w:rPr>
                        </w:pPr>
                        <w:r>
                          <w:rPr>
                            <w:b/>
                            <w:sz w:val="22"/>
                          </w:rPr>
                          <w:t>Media</w:t>
                        </w:r>
                      </w:p>
                    </w:tc>
                    <w:tc>
                      <w:tcPr>
                        <w:tcW w:w="2177" w:type="dxa"/>
                        <w:shd w:val="clear" w:color="auto" w:fill="E6EDD4"/>
                      </w:tcPr>
                      <w:p>
                        <w:pPr>
                          <w:pStyle w:val="TableParagraph"/>
                          <w:spacing w:line="242" w:lineRule="auto"/>
                          <w:ind w:left="106" w:right="742"/>
                          <w:rPr>
                            <w:sz w:val="22"/>
                          </w:rPr>
                        </w:pPr>
                        <w:r>
                          <w:rPr>
                            <w:sz w:val="22"/>
                          </w:rPr>
                          <w:t>Agua filtrada Plata coloidal</w:t>
                        </w:r>
                      </w:p>
                    </w:tc>
                    <w:tc>
                      <w:tcPr>
                        <w:tcW w:w="1567" w:type="dxa"/>
                        <w:shd w:val="clear" w:color="auto" w:fill="E6EDD4"/>
                      </w:tcPr>
                      <w:p>
                        <w:pPr>
                          <w:pStyle w:val="TableParagraph"/>
                          <w:spacing w:line="248" w:lineRule="exact"/>
                          <w:ind w:right="399"/>
                          <w:jc w:val="right"/>
                          <w:rPr>
                            <w:sz w:val="22"/>
                          </w:rPr>
                        </w:pPr>
                        <w:r>
                          <w:rPr>
                            <w:sz w:val="22"/>
                          </w:rPr>
                          <w:t>941</w:t>
                        </w:r>
                      </w:p>
                    </w:tc>
                    <w:tc>
                      <w:tcPr>
                        <w:tcW w:w="1303" w:type="dxa"/>
                        <w:shd w:val="clear" w:color="auto" w:fill="E6EDD4"/>
                      </w:tcPr>
                      <w:p>
                        <w:pPr>
                          <w:pStyle w:val="TableParagraph"/>
                          <w:spacing w:line="248" w:lineRule="exact"/>
                          <w:ind w:right="266"/>
                          <w:jc w:val="right"/>
                          <w:rPr>
                            <w:sz w:val="22"/>
                          </w:rPr>
                        </w:pPr>
                        <w:r>
                          <w:rPr>
                            <w:sz w:val="22"/>
                          </w:rPr>
                          <w:t>121.87</w:t>
                        </w:r>
                      </w:p>
                    </w:tc>
                    <w:tc>
                      <w:tcPr>
                        <w:tcW w:w="1021" w:type="dxa"/>
                        <w:shd w:val="clear" w:color="auto" w:fill="E6EDD4"/>
                      </w:tcPr>
                      <w:p>
                        <w:pPr>
                          <w:pStyle w:val="TableParagraph"/>
                          <w:spacing w:line="248" w:lineRule="exact"/>
                          <w:ind w:left="268"/>
                          <w:rPr>
                            <w:sz w:val="22"/>
                          </w:rPr>
                        </w:pPr>
                        <w:r>
                          <w:rPr>
                            <w:sz w:val="22"/>
                          </w:rPr>
                          <w:t>45.6</w:t>
                        </w:r>
                      </w:p>
                    </w:tc>
                    <w:tc>
                      <w:tcPr>
                        <w:tcW w:w="1398" w:type="dxa"/>
                        <w:shd w:val="clear" w:color="auto" w:fill="E6EDD4"/>
                      </w:tcPr>
                      <w:p>
                        <w:pPr>
                          <w:pStyle w:val="TableParagraph"/>
                          <w:spacing w:line="248" w:lineRule="exact"/>
                          <w:ind w:left="323"/>
                          <w:rPr>
                            <w:sz w:val="22"/>
                          </w:rPr>
                        </w:pPr>
                        <w:r>
                          <w:rPr>
                            <w:sz w:val="22"/>
                          </w:rPr>
                          <w:t>.000**</w:t>
                        </w:r>
                      </w:p>
                    </w:tc>
                  </w:tr>
                  <w:tr>
                    <w:trPr>
                      <w:trHeight w:val="509" w:hRule="exact"/>
                    </w:trPr>
                    <w:tc>
                      <w:tcPr>
                        <w:tcW w:w="1489" w:type="dxa"/>
                        <w:vMerge/>
                        <w:shd w:val="clear" w:color="auto" w:fill="E6EDD4"/>
                      </w:tcPr>
                      <w:p>
                        <w:pPr/>
                      </w:p>
                    </w:tc>
                    <w:tc>
                      <w:tcPr>
                        <w:tcW w:w="2177" w:type="dxa"/>
                      </w:tcPr>
                      <w:p>
                        <w:pPr>
                          <w:pStyle w:val="TableParagraph"/>
                          <w:spacing w:line="242" w:lineRule="auto"/>
                          <w:ind w:left="106" w:right="816"/>
                          <w:rPr>
                            <w:sz w:val="22"/>
                          </w:rPr>
                        </w:pPr>
                        <w:r>
                          <w:rPr>
                            <w:sz w:val="22"/>
                          </w:rPr>
                          <w:t>Agua filtrada Clorhexidina</w:t>
                        </w:r>
                      </w:p>
                    </w:tc>
                    <w:tc>
                      <w:tcPr>
                        <w:tcW w:w="1567" w:type="dxa"/>
                      </w:tcPr>
                      <w:p>
                        <w:pPr>
                          <w:pStyle w:val="TableParagraph"/>
                          <w:spacing w:line="248" w:lineRule="exact"/>
                          <w:ind w:right="399"/>
                          <w:jc w:val="right"/>
                          <w:rPr>
                            <w:sz w:val="22"/>
                          </w:rPr>
                        </w:pPr>
                        <w:r>
                          <w:rPr>
                            <w:sz w:val="22"/>
                          </w:rPr>
                          <w:t>669</w:t>
                        </w:r>
                      </w:p>
                    </w:tc>
                    <w:tc>
                      <w:tcPr>
                        <w:tcW w:w="1303" w:type="dxa"/>
                      </w:tcPr>
                      <w:p>
                        <w:pPr>
                          <w:pStyle w:val="TableParagraph"/>
                          <w:spacing w:line="248" w:lineRule="exact"/>
                          <w:ind w:right="266"/>
                          <w:jc w:val="right"/>
                          <w:rPr>
                            <w:sz w:val="22"/>
                          </w:rPr>
                        </w:pPr>
                        <w:r>
                          <w:rPr>
                            <w:sz w:val="22"/>
                          </w:rPr>
                          <w:t>355.80</w:t>
                        </w:r>
                      </w:p>
                    </w:tc>
                    <w:tc>
                      <w:tcPr>
                        <w:tcW w:w="1021" w:type="dxa"/>
                      </w:tcPr>
                      <w:p>
                        <w:pPr>
                          <w:pStyle w:val="TableParagraph"/>
                          <w:spacing w:line="248" w:lineRule="exact"/>
                          <w:ind w:left="268"/>
                          <w:rPr>
                            <w:sz w:val="22"/>
                          </w:rPr>
                        </w:pPr>
                        <w:r>
                          <w:rPr>
                            <w:sz w:val="22"/>
                          </w:rPr>
                          <w:t>11.1</w:t>
                        </w:r>
                      </w:p>
                    </w:tc>
                    <w:tc>
                      <w:tcPr>
                        <w:tcW w:w="1398" w:type="dxa"/>
                      </w:tcPr>
                      <w:p>
                        <w:pPr>
                          <w:pStyle w:val="TableParagraph"/>
                          <w:spacing w:line="248" w:lineRule="exact"/>
                          <w:ind w:left="323"/>
                          <w:rPr>
                            <w:sz w:val="22"/>
                          </w:rPr>
                        </w:pPr>
                        <w:r>
                          <w:rPr>
                            <w:sz w:val="22"/>
                          </w:rPr>
                          <w:t>.000**</w:t>
                        </w:r>
                      </w:p>
                    </w:tc>
                  </w:tr>
                  <w:tr>
                    <w:trPr>
                      <w:trHeight w:val="504" w:hRule="exact"/>
                    </w:trPr>
                    <w:tc>
                      <w:tcPr>
                        <w:tcW w:w="1489" w:type="dxa"/>
                        <w:vMerge/>
                        <w:shd w:val="clear" w:color="auto" w:fill="E6EDD4"/>
                      </w:tcPr>
                      <w:p>
                        <w:pPr/>
                      </w:p>
                    </w:tc>
                    <w:tc>
                      <w:tcPr>
                        <w:tcW w:w="2177" w:type="dxa"/>
                        <w:shd w:val="clear" w:color="auto" w:fill="E6EDD4"/>
                      </w:tcPr>
                      <w:p>
                        <w:pPr>
                          <w:pStyle w:val="TableParagraph"/>
                          <w:spacing w:line="242" w:lineRule="auto"/>
                          <w:ind w:left="106" w:right="742"/>
                          <w:rPr>
                            <w:sz w:val="22"/>
                          </w:rPr>
                        </w:pPr>
                        <w:r>
                          <w:rPr>
                            <w:sz w:val="22"/>
                          </w:rPr>
                          <w:t>Plata coloidal Clorhexidina</w:t>
                        </w:r>
                      </w:p>
                    </w:tc>
                    <w:tc>
                      <w:tcPr>
                        <w:tcW w:w="1567" w:type="dxa"/>
                        <w:shd w:val="clear" w:color="auto" w:fill="E6EDD4"/>
                      </w:tcPr>
                      <w:p>
                        <w:pPr>
                          <w:pStyle w:val="TableParagraph"/>
                          <w:spacing w:line="249" w:lineRule="exact"/>
                          <w:ind w:right="357"/>
                          <w:jc w:val="right"/>
                          <w:rPr>
                            <w:sz w:val="22"/>
                          </w:rPr>
                        </w:pPr>
                        <w:r>
                          <w:rPr>
                            <w:sz w:val="22"/>
                          </w:rPr>
                          <w:t>-272</w:t>
                        </w:r>
                      </w:p>
                    </w:tc>
                    <w:tc>
                      <w:tcPr>
                        <w:tcW w:w="1303" w:type="dxa"/>
                        <w:shd w:val="clear" w:color="auto" w:fill="E6EDD4"/>
                      </w:tcPr>
                      <w:p>
                        <w:pPr>
                          <w:pStyle w:val="TableParagraph"/>
                          <w:spacing w:line="249" w:lineRule="exact"/>
                          <w:ind w:right="266"/>
                          <w:jc w:val="right"/>
                          <w:rPr>
                            <w:sz w:val="22"/>
                          </w:rPr>
                        </w:pPr>
                        <w:r>
                          <w:rPr>
                            <w:sz w:val="22"/>
                          </w:rPr>
                          <w:t>366.81</w:t>
                        </w:r>
                      </w:p>
                    </w:tc>
                    <w:tc>
                      <w:tcPr>
                        <w:tcW w:w="1021" w:type="dxa"/>
                        <w:shd w:val="clear" w:color="auto" w:fill="E6EDD4"/>
                      </w:tcPr>
                      <w:p>
                        <w:pPr>
                          <w:pStyle w:val="TableParagraph"/>
                          <w:spacing w:line="249" w:lineRule="exact"/>
                          <w:ind w:left="292"/>
                          <w:rPr>
                            <w:sz w:val="22"/>
                          </w:rPr>
                        </w:pPr>
                        <w:r>
                          <w:rPr>
                            <w:sz w:val="22"/>
                          </w:rPr>
                          <w:t>-4.3</w:t>
                        </w:r>
                      </w:p>
                    </w:tc>
                    <w:tc>
                      <w:tcPr>
                        <w:tcW w:w="1398" w:type="dxa"/>
                        <w:shd w:val="clear" w:color="auto" w:fill="E6EDD4"/>
                      </w:tcPr>
                      <w:p>
                        <w:pPr>
                          <w:pStyle w:val="TableParagraph"/>
                          <w:spacing w:line="249" w:lineRule="exact"/>
                          <w:ind w:left="323"/>
                          <w:rPr>
                            <w:sz w:val="22"/>
                          </w:rPr>
                        </w:pPr>
                        <w:r>
                          <w:rPr>
                            <w:sz w:val="22"/>
                          </w:rPr>
                          <w:t>.000**</w:t>
                        </w:r>
                      </w:p>
                    </w:tc>
                  </w:tr>
                </w:tbl>
                <w:p>
                  <w:pPr>
                    <w:pStyle w:val="BodyText"/>
                  </w:pPr>
                </w:p>
              </w:txbxContent>
            </v:textbox>
            <w10:wrap type="none"/>
          </v:shape>
        </w:pict>
      </w:r>
      <w:r>
        <w:rPr>
          <w:sz w:val="16"/>
        </w:rPr>
        <w:t>**p≤0.01</w:t>
      </w:r>
    </w:p>
    <w:p>
      <w:pPr>
        <w:spacing w:line="183" w:lineRule="exact" w:before="0"/>
        <w:ind w:left="239" w:right="489" w:firstLine="0"/>
        <w:jc w:val="left"/>
        <w:rPr>
          <w:sz w:val="16"/>
        </w:rPr>
      </w:pPr>
      <w:r>
        <w:rPr>
          <w:sz w:val="16"/>
        </w:rPr>
        <w:t>*Unidades formadoras de colonias por mililitro</w:t>
      </w:r>
    </w:p>
    <w:p>
      <w:pPr>
        <w:spacing w:after="0" w:line="183" w:lineRule="exact"/>
        <w:jc w:val="left"/>
        <w:rPr>
          <w:sz w:val="16"/>
        </w:rPr>
        <w:sectPr>
          <w:pgSz w:w="12240" w:h="15840"/>
          <w:pgMar w:header="731" w:footer="1012" w:top="1160" w:bottom="1200" w:left="1460" w:right="1480"/>
        </w:sectPr>
      </w:pPr>
    </w:p>
    <w:p>
      <w:pPr>
        <w:pStyle w:val="BodyText"/>
        <w:spacing w:before="3" w:after="1"/>
        <w:rPr>
          <w:sz w:val="23"/>
        </w:rPr>
      </w:pPr>
      <w:r>
        <w:rPr/>
        <w:pict>
          <v:shape style="position:absolute;margin-left:79.704002pt;margin-top:505.369995pt;width:452.85pt;height:17.3pt;mso-position-horizontal-relative:page;mso-position-vertical-relative:page;z-index:-130072" coordorigin="1594,10107" coordsize="9057,346" path="m5267,10107l4019,10107,3913,10107,3803,10107,3803,10107,1700,10107,1594,10107,1594,10453,1700,10453,3803,10453,3803,10453,3913,10453,4019,10453,5267,10453,5267,10107m5484,10107l5378,10107,5268,10107,5268,10453,5378,10453,5484,10453,5484,10107m7126,10107l7016,10107,7016,10107,5484,10107,5484,10453,7016,10453,7016,10453,7126,10453,7126,10107m8782,10107l7232,10107,7126,10107,7126,10453,7232,10453,8782,10453,8782,10107m8888,10107l8783,10107,8783,10453,8888,10453,8888,10107m10651,10107l10545,10107,10545,10107,8999,10107,8888,10107,8888,10453,8999,10453,10545,10453,10545,10453,10651,10453,10651,10107e" filled="true" fillcolor="#e6edd4" stroked="false">
            <v:path arrowok="t"/>
            <v:fill type="solid"/>
            <w10:wrap type="none"/>
          </v:shape>
        </w:pict>
      </w:r>
      <w:r>
        <w:rPr/>
        <w:pict>
          <v:shape style="position:absolute;margin-left:79.704002pt;margin-top:298.420013pt;width:452.85pt;height:51.9pt;mso-position-horizontal-relative:page;mso-position-vertical-relative:page;z-index:301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19"/>
                    <w:gridCol w:w="1238"/>
                    <w:gridCol w:w="1040"/>
                    <w:gridCol w:w="907"/>
                    <w:gridCol w:w="812"/>
                    <w:gridCol w:w="861"/>
                    <w:gridCol w:w="906"/>
                    <w:gridCol w:w="972"/>
                  </w:tblGrid>
                  <w:tr>
                    <w:trPr>
                      <w:trHeight w:val="346" w:hRule="exact"/>
                    </w:trPr>
                    <w:tc>
                      <w:tcPr>
                        <w:tcW w:w="2319" w:type="dxa"/>
                        <w:shd w:val="clear" w:color="auto" w:fill="E6EDD4"/>
                      </w:tcPr>
                      <w:p>
                        <w:pPr>
                          <w:pStyle w:val="TableParagraph"/>
                          <w:spacing w:line="220" w:lineRule="exact"/>
                          <w:ind w:left="105"/>
                          <w:rPr>
                            <w:b/>
                            <w:sz w:val="20"/>
                          </w:rPr>
                        </w:pPr>
                        <w:r>
                          <w:rPr>
                            <w:b/>
                            <w:sz w:val="20"/>
                          </w:rPr>
                          <w:t>Lactobacillus spp</w:t>
                        </w:r>
                      </w:p>
                    </w:tc>
                    <w:tc>
                      <w:tcPr>
                        <w:tcW w:w="1238" w:type="dxa"/>
                        <w:shd w:val="clear" w:color="auto" w:fill="E6EDD4"/>
                      </w:tcPr>
                      <w:p>
                        <w:pPr>
                          <w:pStyle w:val="TableParagraph"/>
                          <w:ind w:left="105"/>
                          <w:rPr>
                            <w:sz w:val="20"/>
                          </w:rPr>
                        </w:pPr>
                        <w:r>
                          <w:rPr>
                            <w:sz w:val="20"/>
                          </w:rPr>
                          <w:t>Anterior</w:t>
                        </w:r>
                      </w:p>
                    </w:tc>
                    <w:tc>
                      <w:tcPr>
                        <w:tcW w:w="1040" w:type="dxa"/>
                        <w:shd w:val="clear" w:color="auto" w:fill="E6EDD4"/>
                      </w:tcPr>
                      <w:p>
                        <w:pPr>
                          <w:pStyle w:val="TableParagraph"/>
                          <w:ind w:right="138"/>
                          <w:jc w:val="right"/>
                          <w:rPr>
                            <w:sz w:val="20"/>
                          </w:rPr>
                        </w:pPr>
                        <w:r>
                          <w:rPr>
                            <w:sz w:val="20"/>
                          </w:rPr>
                          <w:t>58.3%</w:t>
                        </w:r>
                      </w:p>
                    </w:tc>
                    <w:tc>
                      <w:tcPr>
                        <w:tcW w:w="907" w:type="dxa"/>
                        <w:shd w:val="clear" w:color="auto" w:fill="E6EDD4"/>
                      </w:tcPr>
                      <w:p>
                        <w:pPr>
                          <w:pStyle w:val="TableParagraph"/>
                          <w:ind w:left="119" w:right="112"/>
                          <w:jc w:val="center"/>
                          <w:rPr>
                            <w:sz w:val="20"/>
                          </w:rPr>
                        </w:pPr>
                        <w:r>
                          <w:rPr>
                            <w:sz w:val="20"/>
                          </w:rPr>
                          <w:t>(21/35)</w:t>
                        </w:r>
                      </w:p>
                    </w:tc>
                    <w:tc>
                      <w:tcPr>
                        <w:tcW w:w="812" w:type="dxa"/>
                        <w:shd w:val="clear" w:color="auto" w:fill="E6EDD4"/>
                      </w:tcPr>
                      <w:p>
                        <w:pPr>
                          <w:pStyle w:val="TableParagraph"/>
                          <w:ind w:left="132"/>
                          <w:rPr>
                            <w:sz w:val="20"/>
                          </w:rPr>
                        </w:pPr>
                        <w:r>
                          <w:rPr>
                            <w:sz w:val="20"/>
                          </w:rPr>
                          <w:t>14.3%</w:t>
                        </w:r>
                      </w:p>
                    </w:tc>
                    <w:tc>
                      <w:tcPr>
                        <w:tcW w:w="861" w:type="dxa"/>
                        <w:shd w:val="clear" w:color="auto" w:fill="E6EDD4"/>
                      </w:tcPr>
                      <w:p>
                        <w:pPr>
                          <w:pStyle w:val="TableParagraph"/>
                          <w:ind w:left="111"/>
                          <w:rPr>
                            <w:sz w:val="20"/>
                          </w:rPr>
                        </w:pPr>
                        <w:r>
                          <w:rPr>
                            <w:sz w:val="20"/>
                          </w:rPr>
                          <w:t>(5/35)</w:t>
                        </w:r>
                      </w:p>
                    </w:tc>
                    <w:tc>
                      <w:tcPr>
                        <w:tcW w:w="906" w:type="dxa"/>
                        <w:shd w:val="clear" w:color="auto" w:fill="E6EDD4"/>
                      </w:tcPr>
                      <w:p>
                        <w:pPr>
                          <w:pStyle w:val="TableParagraph"/>
                          <w:ind w:left="226"/>
                          <w:rPr>
                            <w:sz w:val="20"/>
                          </w:rPr>
                        </w:pPr>
                        <w:r>
                          <w:rPr>
                            <w:sz w:val="20"/>
                          </w:rPr>
                          <w:t>74.3%</w:t>
                        </w:r>
                      </w:p>
                    </w:tc>
                    <w:tc>
                      <w:tcPr>
                        <w:tcW w:w="972" w:type="dxa"/>
                        <w:shd w:val="clear" w:color="auto" w:fill="E6EDD4"/>
                      </w:tcPr>
                      <w:p>
                        <w:pPr>
                          <w:pStyle w:val="TableParagraph"/>
                          <w:ind w:left="111"/>
                          <w:rPr>
                            <w:sz w:val="20"/>
                          </w:rPr>
                        </w:pPr>
                        <w:r>
                          <w:rPr>
                            <w:sz w:val="20"/>
                          </w:rPr>
                          <w:t>(26/35)</w:t>
                        </w:r>
                      </w:p>
                    </w:tc>
                  </w:tr>
                  <w:tr>
                    <w:trPr>
                      <w:trHeight w:val="346" w:hRule="exact"/>
                    </w:trPr>
                    <w:tc>
                      <w:tcPr>
                        <w:tcW w:w="2319" w:type="dxa"/>
                        <w:vMerge w:val="restart"/>
                        <w:shd w:val="clear" w:color="auto" w:fill="E6EDD4"/>
                      </w:tcPr>
                      <w:p>
                        <w:pPr/>
                      </w:p>
                    </w:tc>
                    <w:tc>
                      <w:tcPr>
                        <w:tcW w:w="1238" w:type="dxa"/>
                      </w:tcPr>
                      <w:p>
                        <w:pPr>
                          <w:pStyle w:val="TableParagraph"/>
                          <w:ind w:left="105"/>
                          <w:rPr>
                            <w:sz w:val="20"/>
                          </w:rPr>
                        </w:pPr>
                        <w:r>
                          <w:rPr>
                            <w:sz w:val="20"/>
                          </w:rPr>
                          <w:t>Media</w:t>
                        </w:r>
                      </w:p>
                    </w:tc>
                    <w:tc>
                      <w:tcPr>
                        <w:tcW w:w="1040" w:type="dxa"/>
                      </w:tcPr>
                      <w:p>
                        <w:pPr>
                          <w:pStyle w:val="TableParagraph"/>
                          <w:ind w:right="138"/>
                          <w:jc w:val="right"/>
                          <w:rPr>
                            <w:sz w:val="20"/>
                          </w:rPr>
                        </w:pPr>
                        <w:r>
                          <w:rPr>
                            <w:sz w:val="20"/>
                          </w:rPr>
                          <w:t>44.4%</w:t>
                        </w:r>
                      </w:p>
                    </w:tc>
                    <w:tc>
                      <w:tcPr>
                        <w:tcW w:w="907" w:type="dxa"/>
                      </w:tcPr>
                      <w:p>
                        <w:pPr>
                          <w:pStyle w:val="TableParagraph"/>
                          <w:ind w:left="120" w:right="111"/>
                          <w:jc w:val="center"/>
                          <w:rPr>
                            <w:sz w:val="20"/>
                          </w:rPr>
                        </w:pPr>
                        <w:r>
                          <w:rPr>
                            <w:sz w:val="20"/>
                          </w:rPr>
                          <w:t>(16/35)</w:t>
                        </w:r>
                      </w:p>
                    </w:tc>
                    <w:tc>
                      <w:tcPr>
                        <w:tcW w:w="812" w:type="dxa"/>
                      </w:tcPr>
                      <w:p>
                        <w:pPr>
                          <w:pStyle w:val="TableParagraph"/>
                          <w:ind w:left="132"/>
                          <w:rPr>
                            <w:sz w:val="20"/>
                          </w:rPr>
                        </w:pPr>
                        <w:r>
                          <w:rPr>
                            <w:sz w:val="20"/>
                          </w:rPr>
                          <w:t>25.7%</w:t>
                        </w:r>
                      </w:p>
                    </w:tc>
                    <w:tc>
                      <w:tcPr>
                        <w:tcW w:w="861" w:type="dxa"/>
                      </w:tcPr>
                      <w:p>
                        <w:pPr>
                          <w:pStyle w:val="TableParagraph"/>
                          <w:ind w:left="111"/>
                          <w:rPr>
                            <w:sz w:val="20"/>
                          </w:rPr>
                        </w:pPr>
                        <w:r>
                          <w:rPr>
                            <w:sz w:val="20"/>
                          </w:rPr>
                          <w:t>(9/35)</w:t>
                        </w:r>
                      </w:p>
                    </w:tc>
                    <w:tc>
                      <w:tcPr>
                        <w:tcW w:w="906" w:type="dxa"/>
                      </w:tcPr>
                      <w:p>
                        <w:pPr>
                          <w:pStyle w:val="TableParagraph"/>
                          <w:ind w:left="226"/>
                          <w:rPr>
                            <w:sz w:val="20"/>
                          </w:rPr>
                        </w:pPr>
                        <w:r>
                          <w:rPr>
                            <w:sz w:val="20"/>
                          </w:rPr>
                          <w:t>80%</w:t>
                        </w:r>
                      </w:p>
                    </w:tc>
                    <w:tc>
                      <w:tcPr>
                        <w:tcW w:w="972" w:type="dxa"/>
                      </w:tcPr>
                      <w:p>
                        <w:pPr>
                          <w:pStyle w:val="TableParagraph"/>
                          <w:ind w:left="111"/>
                          <w:rPr>
                            <w:sz w:val="20"/>
                          </w:rPr>
                        </w:pPr>
                        <w:r>
                          <w:rPr>
                            <w:sz w:val="20"/>
                          </w:rPr>
                          <w:t>(28/35)</w:t>
                        </w:r>
                      </w:p>
                    </w:tc>
                  </w:tr>
                  <w:tr>
                    <w:trPr>
                      <w:trHeight w:val="346" w:hRule="exact"/>
                    </w:trPr>
                    <w:tc>
                      <w:tcPr>
                        <w:tcW w:w="2319" w:type="dxa"/>
                        <w:vMerge/>
                        <w:shd w:val="clear" w:color="auto" w:fill="E6EDD4"/>
                      </w:tcPr>
                      <w:p>
                        <w:pPr/>
                      </w:p>
                    </w:tc>
                    <w:tc>
                      <w:tcPr>
                        <w:tcW w:w="1238" w:type="dxa"/>
                        <w:shd w:val="clear" w:color="auto" w:fill="E6EDD4"/>
                      </w:tcPr>
                      <w:p>
                        <w:pPr>
                          <w:pStyle w:val="TableParagraph"/>
                          <w:ind w:left="105"/>
                          <w:rPr>
                            <w:sz w:val="20"/>
                          </w:rPr>
                        </w:pPr>
                        <w:r>
                          <w:rPr>
                            <w:sz w:val="20"/>
                          </w:rPr>
                          <w:t>Posterior</w:t>
                        </w:r>
                      </w:p>
                    </w:tc>
                    <w:tc>
                      <w:tcPr>
                        <w:tcW w:w="1040" w:type="dxa"/>
                        <w:shd w:val="clear" w:color="auto" w:fill="E6EDD4"/>
                      </w:tcPr>
                      <w:p>
                        <w:pPr>
                          <w:pStyle w:val="TableParagraph"/>
                          <w:ind w:right="138"/>
                          <w:jc w:val="right"/>
                          <w:rPr>
                            <w:sz w:val="20"/>
                          </w:rPr>
                        </w:pPr>
                        <w:r>
                          <w:rPr>
                            <w:sz w:val="20"/>
                          </w:rPr>
                          <w:t>52.8%</w:t>
                        </w:r>
                      </w:p>
                    </w:tc>
                    <w:tc>
                      <w:tcPr>
                        <w:tcW w:w="907" w:type="dxa"/>
                        <w:shd w:val="clear" w:color="auto" w:fill="E6EDD4"/>
                      </w:tcPr>
                      <w:p>
                        <w:pPr>
                          <w:pStyle w:val="TableParagraph"/>
                          <w:ind w:left="119" w:right="112"/>
                          <w:jc w:val="center"/>
                          <w:rPr>
                            <w:sz w:val="20"/>
                          </w:rPr>
                        </w:pPr>
                        <w:r>
                          <w:rPr>
                            <w:sz w:val="20"/>
                          </w:rPr>
                          <w:t>(19/35)</w:t>
                        </w:r>
                      </w:p>
                    </w:tc>
                    <w:tc>
                      <w:tcPr>
                        <w:tcW w:w="812" w:type="dxa"/>
                        <w:shd w:val="clear" w:color="auto" w:fill="E6EDD4"/>
                      </w:tcPr>
                      <w:p>
                        <w:pPr>
                          <w:pStyle w:val="TableParagraph"/>
                          <w:ind w:left="132"/>
                          <w:rPr>
                            <w:sz w:val="20"/>
                          </w:rPr>
                        </w:pPr>
                        <w:r>
                          <w:rPr>
                            <w:sz w:val="20"/>
                          </w:rPr>
                          <w:t>17.1%</w:t>
                        </w:r>
                      </w:p>
                    </w:tc>
                    <w:tc>
                      <w:tcPr>
                        <w:tcW w:w="861" w:type="dxa"/>
                        <w:shd w:val="clear" w:color="auto" w:fill="E6EDD4"/>
                      </w:tcPr>
                      <w:p>
                        <w:pPr>
                          <w:pStyle w:val="TableParagraph"/>
                          <w:ind w:left="111"/>
                          <w:rPr>
                            <w:sz w:val="20"/>
                          </w:rPr>
                        </w:pPr>
                        <w:r>
                          <w:rPr>
                            <w:sz w:val="20"/>
                          </w:rPr>
                          <w:t>(6/35)</w:t>
                        </w:r>
                      </w:p>
                    </w:tc>
                    <w:tc>
                      <w:tcPr>
                        <w:tcW w:w="906" w:type="dxa"/>
                        <w:shd w:val="clear" w:color="auto" w:fill="E6EDD4"/>
                      </w:tcPr>
                      <w:p>
                        <w:pPr>
                          <w:pStyle w:val="TableParagraph"/>
                          <w:ind w:left="226"/>
                          <w:rPr>
                            <w:sz w:val="20"/>
                          </w:rPr>
                        </w:pPr>
                        <w:r>
                          <w:rPr>
                            <w:sz w:val="20"/>
                          </w:rPr>
                          <w:t>94.3%</w:t>
                        </w:r>
                      </w:p>
                    </w:tc>
                    <w:tc>
                      <w:tcPr>
                        <w:tcW w:w="972" w:type="dxa"/>
                        <w:shd w:val="clear" w:color="auto" w:fill="E6EDD4"/>
                      </w:tcPr>
                      <w:p>
                        <w:pPr>
                          <w:pStyle w:val="TableParagraph"/>
                          <w:ind w:left="111"/>
                          <w:rPr>
                            <w:sz w:val="20"/>
                          </w:rPr>
                        </w:pPr>
                        <w:r>
                          <w:rPr>
                            <w:sz w:val="20"/>
                          </w:rPr>
                          <w:t>(33/35)</w:t>
                        </w:r>
                      </w:p>
                    </w:tc>
                  </w:tr>
                </w:tbl>
                <w:p>
                  <w:pPr>
                    <w:pStyle w:val="BodyText"/>
                  </w:pPr>
                </w:p>
              </w:txbxContent>
            </v:textbox>
            <w10:wrap type="none"/>
          </v:shape>
        </w:pict>
      </w:r>
      <w:r>
        <w:rPr/>
        <w:pict>
          <v:shape style="position:absolute;margin-left:79.704002pt;margin-top:401.880005pt;width:452.85pt;height:51.9pt;mso-position-horizontal-relative:page;mso-position-vertical-relative:page;z-index:30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19"/>
                    <w:gridCol w:w="1238"/>
                    <w:gridCol w:w="985"/>
                    <w:gridCol w:w="907"/>
                    <w:gridCol w:w="1216"/>
                    <w:gridCol w:w="2391"/>
                  </w:tblGrid>
                  <w:tr>
                    <w:trPr>
                      <w:trHeight w:val="346" w:hRule="exact"/>
                    </w:trPr>
                    <w:tc>
                      <w:tcPr>
                        <w:tcW w:w="2319" w:type="dxa"/>
                        <w:vMerge w:val="restart"/>
                        <w:shd w:val="clear" w:color="auto" w:fill="E6EDD4"/>
                      </w:tcPr>
                      <w:p>
                        <w:pPr>
                          <w:pStyle w:val="TableParagraph"/>
                          <w:spacing w:line="360" w:lineRule="auto"/>
                          <w:ind w:left="105" w:right="938"/>
                          <w:rPr>
                            <w:b/>
                            <w:sz w:val="20"/>
                          </w:rPr>
                        </w:pPr>
                        <w:r>
                          <w:rPr>
                            <w:b/>
                            <w:sz w:val="20"/>
                          </w:rPr>
                          <w:t>Pseudomona aeruginosa</w:t>
                        </w:r>
                      </w:p>
                    </w:tc>
                    <w:tc>
                      <w:tcPr>
                        <w:tcW w:w="1238" w:type="dxa"/>
                        <w:shd w:val="clear" w:color="auto" w:fill="E6EDD4"/>
                      </w:tcPr>
                      <w:p>
                        <w:pPr>
                          <w:pStyle w:val="TableParagraph"/>
                          <w:ind w:left="105"/>
                          <w:rPr>
                            <w:sz w:val="20"/>
                          </w:rPr>
                        </w:pPr>
                        <w:r>
                          <w:rPr>
                            <w:sz w:val="20"/>
                          </w:rPr>
                          <w:t>Anterior</w:t>
                        </w:r>
                      </w:p>
                    </w:tc>
                    <w:tc>
                      <w:tcPr>
                        <w:tcW w:w="985" w:type="dxa"/>
                        <w:shd w:val="clear" w:color="auto" w:fill="E6EDD4"/>
                      </w:tcPr>
                      <w:p>
                        <w:pPr>
                          <w:pStyle w:val="TableParagraph"/>
                          <w:ind w:left="331"/>
                          <w:rPr>
                            <w:sz w:val="20"/>
                          </w:rPr>
                        </w:pPr>
                        <w:r>
                          <w:rPr>
                            <w:sz w:val="20"/>
                          </w:rPr>
                          <w:t>0%</w:t>
                        </w:r>
                      </w:p>
                    </w:tc>
                    <w:tc>
                      <w:tcPr>
                        <w:tcW w:w="907" w:type="dxa"/>
                        <w:shd w:val="clear" w:color="auto" w:fill="E6EDD4"/>
                      </w:tcPr>
                      <w:p>
                        <w:pPr/>
                      </w:p>
                    </w:tc>
                    <w:tc>
                      <w:tcPr>
                        <w:tcW w:w="1216" w:type="dxa"/>
                        <w:shd w:val="clear" w:color="auto" w:fill="E6EDD4"/>
                      </w:tcPr>
                      <w:p>
                        <w:pPr>
                          <w:pStyle w:val="TableParagraph"/>
                          <w:ind w:left="187"/>
                          <w:rPr>
                            <w:sz w:val="20"/>
                          </w:rPr>
                        </w:pPr>
                        <w:r>
                          <w:rPr>
                            <w:sz w:val="20"/>
                          </w:rPr>
                          <w:t>0%</w:t>
                        </w:r>
                      </w:p>
                    </w:tc>
                    <w:tc>
                      <w:tcPr>
                        <w:tcW w:w="2391" w:type="dxa"/>
                        <w:shd w:val="clear" w:color="auto" w:fill="E6EDD4"/>
                      </w:tcPr>
                      <w:p>
                        <w:pPr>
                          <w:pStyle w:val="TableParagraph"/>
                          <w:ind w:left="738"/>
                          <w:rPr>
                            <w:sz w:val="20"/>
                          </w:rPr>
                        </w:pPr>
                        <w:r>
                          <w:rPr>
                            <w:sz w:val="20"/>
                          </w:rPr>
                          <w:t>0%</w:t>
                        </w:r>
                      </w:p>
                    </w:tc>
                  </w:tr>
                  <w:tr>
                    <w:trPr>
                      <w:trHeight w:val="346" w:hRule="exact"/>
                    </w:trPr>
                    <w:tc>
                      <w:tcPr>
                        <w:tcW w:w="2319" w:type="dxa"/>
                        <w:vMerge/>
                        <w:shd w:val="clear" w:color="auto" w:fill="E6EDD4"/>
                      </w:tcPr>
                      <w:p>
                        <w:pPr/>
                      </w:p>
                    </w:tc>
                    <w:tc>
                      <w:tcPr>
                        <w:tcW w:w="1238" w:type="dxa"/>
                      </w:tcPr>
                      <w:p>
                        <w:pPr>
                          <w:pStyle w:val="TableParagraph"/>
                          <w:ind w:left="105"/>
                          <w:rPr>
                            <w:sz w:val="20"/>
                          </w:rPr>
                        </w:pPr>
                        <w:r>
                          <w:rPr>
                            <w:sz w:val="20"/>
                          </w:rPr>
                          <w:t>Media</w:t>
                        </w:r>
                      </w:p>
                    </w:tc>
                    <w:tc>
                      <w:tcPr>
                        <w:tcW w:w="985" w:type="dxa"/>
                      </w:tcPr>
                      <w:p>
                        <w:pPr>
                          <w:pStyle w:val="TableParagraph"/>
                          <w:ind w:left="331"/>
                          <w:rPr>
                            <w:sz w:val="20"/>
                          </w:rPr>
                        </w:pPr>
                        <w:r>
                          <w:rPr>
                            <w:sz w:val="20"/>
                          </w:rPr>
                          <w:t>5.6%</w:t>
                        </w:r>
                      </w:p>
                    </w:tc>
                    <w:tc>
                      <w:tcPr>
                        <w:tcW w:w="907" w:type="dxa"/>
                      </w:tcPr>
                      <w:p>
                        <w:pPr>
                          <w:pStyle w:val="TableParagraph"/>
                          <w:ind w:left="120" w:right="113"/>
                          <w:jc w:val="center"/>
                          <w:rPr>
                            <w:sz w:val="20"/>
                          </w:rPr>
                        </w:pPr>
                        <w:r>
                          <w:rPr>
                            <w:sz w:val="20"/>
                          </w:rPr>
                          <w:t>(2/35)</w:t>
                        </w:r>
                      </w:p>
                    </w:tc>
                    <w:tc>
                      <w:tcPr>
                        <w:tcW w:w="1216" w:type="dxa"/>
                      </w:tcPr>
                      <w:p>
                        <w:pPr>
                          <w:pStyle w:val="TableParagraph"/>
                          <w:ind w:left="187"/>
                          <w:rPr>
                            <w:sz w:val="20"/>
                          </w:rPr>
                        </w:pPr>
                        <w:r>
                          <w:rPr>
                            <w:sz w:val="20"/>
                          </w:rPr>
                          <w:t>0%</w:t>
                        </w:r>
                      </w:p>
                    </w:tc>
                    <w:tc>
                      <w:tcPr>
                        <w:tcW w:w="2391" w:type="dxa"/>
                      </w:tcPr>
                      <w:p>
                        <w:pPr>
                          <w:pStyle w:val="TableParagraph"/>
                          <w:ind w:left="738"/>
                          <w:rPr>
                            <w:sz w:val="20"/>
                          </w:rPr>
                        </w:pPr>
                        <w:r>
                          <w:rPr>
                            <w:sz w:val="20"/>
                          </w:rPr>
                          <w:t>0%</w:t>
                        </w:r>
                      </w:p>
                    </w:tc>
                  </w:tr>
                  <w:tr>
                    <w:trPr>
                      <w:trHeight w:val="346" w:hRule="exact"/>
                    </w:trPr>
                    <w:tc>
                      <w:tcPr>
                        <w:tcW w:w="2319" w:type="dxa"/>
                        <w:vMerge/>
                        <w:shd w:val="clear" w:color="auto" w:fill="E6EDD4"/>
                      </w:tcPr>
                      <w:p>
                        <w:pPr/>
                      </w:p>
                    </w:tc>
                    <w:tc>
                      <w:tcPr>
                        <w:tcW w:w="1238" w:type="dxa"/>
                        <w:shd w:val="clear" w:color="auto" w:fill="E6EDD4"/>
                      </w:tcPr>
                      <w:p>
                        <w:pPr>
                          <w:pStyle w:val="TableParagraph"/>
                          <w:ind w:left="105"/>
                          <w:rPr>
                            <w:sz w:val="20"/>
                          </w:rPr>
                        </w:pPr>
                        <w:r>
                          <w:rPr>
                            <w:sz w:val="20"/>
                          </w:rPr>
                          <w:t>Posterior</w:t>
                        </w:r>
                      </w:p>
                    </w:tc>
                    <w:tc>
                      <w:tcPr>
                        <w:tcW w:w="985" w:type="dxa"/>
                        <w:shd w:val="clear" w:color="auto" w:fill="E6EDD4"/>
                      </w:tcPr>
                      <w:p>
                        <w:pPr>
                          <w:pStyle w:val="TableParagraph"/>
                          <w:ind w:left="331"/>
                          <w:rPr>
                            <w:sz w:val="20"/>
                          </w:rPr>
                        </w:pPr>
                        <w:r>
                          <w:rPr>
                            <w:sz w:val="20"/>
                          </w:rPr>
                          <w:t>2.8%</w:t>
                        </w:r>
                      </w:p>
                    </w:tc>
                    <w:tc>
                      <w:tcPr>
                        <w:tcW w:w="907" w:type="dxa"/>
                        <w:shd w:val="clear" w:color="auto" w:fill="E6EDD4"/>
                      </w:tcPr>
                      <w:p>
                        <w:pPr>
                          <w:pStyle w:val="TableParagraph"/>
                          <w:ind w:left="120" w:right="113"/>
                          <w:jc w:val="center"/>
                          <w:rPr>
                            <w:sz w:val="20"/>
                          </w:rPr>
                        </w:pPr>
                        <w:r>
                          <w:rPr>
                            <w:sz w:val="20"/>
                          </w:rPr>
                          <w:t>(1/35)</w:t>
                        </w:r>
                      </w:p>
                    </w:tc>
                    <w:tc>
                      <w:tcPr>
                        <w:tcW w:w="1216" w:type="dxa"/>
                        <w:shd w:val="clear" w:color="auto" w:fill="E6EDD4"/>
                      </w:tcPr>
                      <w:p>
                        <w:pPr>
                          <w:pStyle w:val="TableParagraph"/>
                          <w:ind w:left="187"/>
                          <w:rPr>
                            <w:sz w:val="20"/>
                          </w:rPr>
                        </w:pPr>
                        <w:r>
                          <w:rPr>
                            <w:sz w:val="20"/>
                          </w:rPr>
                          <w:t>0%</w:t>
                        </w:r>
                      </w:p>
                    </w:tc>
                    <w:tc>
                      <w:tcPr>
                        <w:tcW w:w="2391" w:type="dxa"/>
                        <w:shd w:val="clear" w:color="auto" w:fill="E6EDD4"/>
                      </w:tcPr>
                      <w:p>
                        <w:pPr>
                          <w:pStyle w:val="TableParagraph"/>
                          <w:ind w:left="738"/>
                          <w:rPr>
                            <w:sz w:val="20"/>
                          </w:rPr>
                        </w:pPr>
                        <w:r>
                          <w:rPr>
                            <w:sz w:val="20"/>
                          </w:rPr>
                          <w:t>0%</w:t>
                        </w:r>
                      </w:p>
                    </w:tc>
                  </w:tr>
                </w:tbl>
                <w:p>
                  <w:pPr>
                    <w:pStyle w:val="BodyText"/>
                  </w:pPr>
                </w:p>
              </w:txbxContent>
            </v:textbox>
            <w10:wrap type="none"/>
          </v:shape>
        </w:pict>
      </w:r>
    </w:p>
    <w:p>
      <w:pPr>
        <w:pStyle w:val="BodyText"/>
        <w:spacing w:line="20" w:lineRule="exact"/>
        <w:ind w:left="119"/>
        <w:rPr>
          <w:sz w:val="2"/>
        </w:rPr>
      </w:pPr>
      <w:r>
        <w:rPr>
          <w:sz w:val="2"/>
        </w:rPr>
        <w:pict>
          <v:group style="width:454.1pt;height:1pt;mso-position-horizontal-relative:char;mso-position-vertical-relative:line" coordorigin="0,0" coordsize="9082,20">
            <v:line style="position:absolute" from="10,10" to="9071,10" stroked="true" strokeweight=".96pt" strokecolor="#9bba58"/>
          </v:group>
        </w:pict>
      </w:r>
      <w:r>
        <w:rPr>
          <w:sz w:val="2"/>
        </w:rPr>
      </w:r>
    </w:p>
    <w:p>
      <w:pPr>
        <w:spacing w:line="355" w:lineRule="auto" w:before="0" w:after="28"/>
        <w:ind w:left="2088" w:right="250" w:hanging="1830"/>
        <w:jc w:val="left"/>
        <w:rPr>
          <w:b/>
          <w:sz w:val="20"/>
        </w:rPr>
      </w:pPr>
      <w:r>
        <w:rPr/>
        <w:pict>
          <v:shape style="position:absolute;margin-left:79.704002pt;margin-top:122.229904pt;width:452.85pt;height:51.6pt;mso-position-horizontal-relative:page;mso-position-vertical-relative:paragraph;z-index:299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19"/>
                    <w:gridCol w:w="1238"/>
                    <w:gridCol w:w="1040"/>
                    <w:gridCol w:w="907"/>
                    <w:gridCol w:w="1161"/>
                    <w:gridCol w:w="1418"/>
                    <w:gridCol w:w="972"/>
                  </w:tblGrid>
                  <w:tr>
                    <w:trPr>
                      <w:trHeight w:val="346" w:hRule="exact"/>
                    </w:trPr>
                    <w:tc>
                      <w:tcPr>
                        <w:tcW w:w="2319" w:type="dxa"/>
                        <w:vMerge w:val="restart"/>
                        <w:shd w:val="clear" w:color="auto" w:fill="E6EDD4"/>
                      </w:tcPr>
                      <w:p>
                        <w:pPr>
                          <w:pStyle w:val="TableParagraph"/>
                          <w:spacing w:line="360" w:lineRule="auto"/>
                          <w:ind w:left="105" w:right="894"/>
                          <w:rPr>
                            <w:b/>
                            <w:sz w:val="20"/>
                          </w:rPr>
                        </w:pPr>
                        <w:r>
                          <w:rPr>
                            <w:b/>
                            <w:sz w:val="20"/>
                          </w:rPr>
                          <w:t>Legionella pneumophila.</w:t>
                        </w:r>
                      </w:p>
                    </w:tc>
                    <w:tc>
                      <w:tcPr>
                        <w:tcW w:w="1238" w:type="dxa"/>
                        <w:shd w:val="clear" w:color="auto" w:fill="E6EDD4"/>
                      </w:tcPr>
                      <w:p>
                        <w:pPr>
                          <w:pStyle w:val="TableParagraph"/>
                          <w:ind w:left="105"/>
                          <w:rPr>
                            <w:sz w:val="20"/>
                          </w:rPr>
                        </w:pPr>
                        <w:r>
                          <w:rPr>
                            <w:sz w:val="20"/>
                          </w:rPr>
                          <w:t>Anterior</w:t>
                        </w:r>
                      </w:p>
                    </w:tc>
                    <w:tc>
                      <w:tcPr>
                        <w:tcW w:w="1040" w:type="dxa"/>
                        <w:shd w:val="clear" w:color="auto" w:fill="E6EDD4"/>
                      </w:tcPr>
                      <w:p>
                        <w:pPr>
                          <w:pStyle w:val="TableParagraph"/>
                          <w:ind w:right="138"/>
                          <w:jc w:val="right"/>
                          <w:rPr>
                            <w:sz w:val="20"/>
                          </w:rPr>
                        </w:pPr>
                        <w:r>
                          <w:rPr>
                            <w:sz w:val="20"/>
                          </w:rPr>
                          <w:t>82.8%</w:t>
                        </w:r>
                      </w:p>
                    </w:tc>
                    <w:tc>
                      <w:tcPr>
                        <w:tcW w:w="907" w:type="dxa"/>
                        <w:shd w:val="clear" w:color="auto" w:fill="E6EDD4"/>
                      </w:tcPr>
                      <w:p>
                        <w:pPr>
                          <w:pStyle w:val="TableParagraph"/>
                          <w:ind w:left="120" w:right="113"/>
                          <w:jc w:val="center"/>
                          <w:rPr>
                            <w:sz w:val="20"/>
                          </w:rPr>
                        </w:pPr>
                        <w:r>
                          <w:rPr>
                            <w:sz w:val="20"/>
                          </w:rPr>
                          <w:t>(29/35)</w:t>
                        </w:r>
                      </w:p>
                    </w:tc>
                    <w:tc>
                      <w:tcPr>
                        <w:tcW w:w="1161" w:type="dxa"/>
                        <w:shd w:val="clear" w:color="auto" w:fill="E6EDD4"/>
                      </w:tcPr>
                      <w:p>
                        <w:pPr>
                          <w:pStyle w:val="TableParagraph"/>
                          <w:ind w:left="132"/>
                          <w:rPr>
                            <w:sz w:val="20"/>
                          </w:rPr>
                        </w:pPr>
                        <w:r>
                          <w:rPr>
                            <w:sz w:val="20"/>
                          </w:rPr>
                          <w:t>0%</w:t>
                        </w:r>
                      </w:p>
                    </w:tc>
                    <w:tc>
                      <w:tcPr>
                        <w:tcW w:w="1418" w:type="dxa"/>
                        <w:shd w:val="clear" w:color="auto" w:fill="E6EDD4"/>
                      </w:tcPr>
                      <w:p>
                        <w:pPr>
                          <w:pStyle w:val="TableParagraph"/>
                          <w:ind w:left="738"/>
                          <w:rPr>
                            <w:sz w:val="20"/>
                          </w:rPr>
                        </w:pPr>
                        <w:r>
                          <w:rPr>
                            <w:sz w:val="20"/>
                          </w:rPr>
                          <w:t>71.4%</w:t>
                        </w:r>
                      </w:p>
                    </w:tc>
                    <w:tc>
                      <w:tcPr>
                        <w:tcW w:w="972" w:type="dxa"/>
                        <w:shd w:val="clear" w:color="auto" w:fill="E6EDD4"/>
                      </w:tcPr>
                      <w:p>
                        <w:pPr>
                          <w:pStyle w:val="TableParagraph"/>
                          <w:ind w:left="111"/>
                          <w:rPr>
                            <w:sz w:val="20"/>
                          </w:rPr>
                        </w:pPr>
                        <w:r>
                          <w:rPr>
                            <w:sz w:val="20"/>
                          </w:rPr>
                          <w:t>(25/35)</w:t>
                        </w:r>
                      </w:p>
                    </w:tc>
                  </w:tr>
                  <w:tr>
                    <w:trPr>
                      <w:trHeight w:val="346" w:hRule="exact"/>
                    </w:trPr>
                    <w:tc>
                      <w:tcPr>
                        <w:tcW w:w="2319" w:type="dxa"/>
                        <w:vMerge/>
                        <w:shd w:val="clear" w:color="auto" w:fill="E6EDD4"/>
                      </w:tcPr>
                      <w:p>
                        <w:pPr/>
                      </w:p>
                    </w:tc>
                    <w:tc>
                      <w:tcPr>
                        <w:tcW w:w="1238" w:type="dxa"/>
                      </w:tcPr>
                      <w:p>
                        <w:pPr>
                          <w:pStyle w:val="TableParagraph"/>
                          <w:ind w:left="105"/>
                          <w:rPr>
                            <w:sz w:val="20"/>
                          </w:rPr>
                        </w:pPr>
                        <w:r>
                          <w:rPr>
                            <w:sz w:val="20"/>
                          </w:rPr>
                          <w:t>Media</w:t>
                        </w:r>
                      </w:p>
                    </w:tc>
                    <w:tc>
                      <w:tcPr>
                        <w:tcW w:w="1040" w:type="dxa"/>
                      </w:tcPr>
                      <w:p>
                        <w:pPr>
                          <w:pStyle w:val="TableParagraph"/>
                          <w:ind w:right="138"/>
                          <w:jc w:val="right"/>
                          <w:rPr>
                            <w:sz w:val="20"/>
                          </w:rPr>
                        </w:pPr>
                        <w:r>
                          <w:rPr>
                            <w:sz w:val="20"/>
                          </w:rPr>
                          <w:t>91.4%</w:t>
                        </w:r>
                      </w:p>
                    </w:tc>
                    <w:tc>
                      <w:tcPr>
                        <w:tcW w:w="907" w:type="dxa"/>
                      </w:tcPr>
                      <w:p>
                        <w:pPr>
                          <w:pStyle w:val="TableParagraph"/>
                          <w:ind w:left="120" w:right="113"/>
                          <w:jc w:val="center"/>
                          <w:rPr>
                            <w:sz w:val="20"/>
                          </w:rPr>
                        </w:pPr>
                        <w:r>
                          <w:rPr>
                            <w:sz w:val="20"/>
                          </w:rPr>
                          <w:t>(32/35)</w:t>
                        </w:r>
                      </w:p>
                    </w:tc>
                    <w:tc>
                      <w:tcPr>
                        <w:tcW w:w="1161" w:type="dxa"/>
                      </w:tcPr>
                      <w:p>
                        <w:pPr>
                          <w:pStyle w:val="TableParagraph"/>
                          <w:ind w:left="132"/>
                          <w:rPr>
                            <w:sz w:val="20"/>
                          </w:rPr>
                        </w:pPr>
                        <w:r>
                          <w:rPr>
                            <w:sz w:val="20"/>
                          </w:rPr>
                          <w:t>0%</w:t>
                        </w:r>
                      </w:p>
                    </w:tc>
                    <w:tc>
                      <w:tcPr>
                        <w:tcW w:w="1418" w:type="dxa"/>
                      </w:tcPr>
                      <w:p>
                        <w:pPr>
                          <w:pStyle w:val="TableParagraph"/>
                          <w:ind w:left="738"/>
                          <w:rPr>
                            <w:sz w:val="20"/>
                          </w:rPr>
                        </w:pPr>
                        <w:r>
                          <w:rPr>
                            <w:sz w:val="20"/>
                          </w:rPr>
                          <w:t>80%</w:t>
                        </w:r>
                      </w:p>
                    </w:tc>
                    <w:tc>
                      <w:tcPr>
                        <w:tcW w:w="972" w:type="dxa"/>
                      </w:tcPr>
                      <w:p>
                        <w:pPr>
                          <w:pStyle w:val="TableParagraph"/>
                          <w:ind w:left="111"/>
                          <w:rPr>
                            <w:sz w:val="20"/>
                          </w:rPr>
                        </w:pPr>
                        <w:r>
                          <w:rPr>
                            <w:sz w:val="20"/>
                          </w:rPr>
                          <w:t>(28/35)</w:t>
                        </w:r>
                      </w:p>
                    </w:tc>
                  </w:tr>
                  <w:tr>
                    <w:trPr>
                      <w:trHeight w:val="341" w:hRule="exact"/>
                    </w:trPr>
                    <w:tc>
                      <w:tcPr>
                        <w:tcW w:w="2319" w:type="dxa"/>
                        <w:vMerge/>
                        <w:shd w:val="clear" w:color="auto" w:fill="E6EDD4"/>
                      </w:tcPr>
                      <w:p>
                        <w:pPr/>
                      </w:p>
                    </w:tc>
                    <w:tc>
                      <w:tcPr>
                        <w:tcW w:w="1238" w:type="dxa"/>
                        <w:shd w:val="clear" w:color="auto" w:fill="E6EDD4"/>
                      </w:tcPr>
                      <w:p>
                        <w:pPr>
                          <w:pStyle w:val="TableParagraph"/>
                          <w:ind w:left="105"/>
                          <w:rPr>
                            <w:sz w:val="20"/>
                          </w:rPr>
                        </w:pPr>
                        <w:r>
                          <w:rPr>
                            <w:sz w:val="20"/>
                          </w:rPr>
                          <w:t>Posterior</w:t>
                        </w:r>
                      </w:p>
                    </w:tc>
                    <w:tc>
                      <w:tcPr>
                        <w:tcW w:w="1040" w:type="dxa"/>
                        <w:shd w:val="clear" w:color="auto" w:fill="E6EDD4"/>
                      </w:tcPr>
                      <w:p>
                        <w:pPr>
                          <w:pStyle w:val="TableParagraph"/>
                          <w:ind w:right="138"/>
                          <w:jc w:val="right"/>
                          <w:rPr>
                            <w:sz w:val="20"/>
                          </w:rPr>
                        </w:pPr>
                        <w:r>
                          <w:rPr>
                            <w:sz w:val="20"/>
                          </w:rPr>
                          <w:t>85.7%</w:t>
                        </w:r>
                      </w:p>
                    </w:tc>
                    <w:tc>
                      <w:tcPr>
                        <w:tcW w:w="907" w:type="dxa"/>
                        <w:shd w:val="clear" w:color="auto" w:fill="E6EDD4"/>
                      </w:tcPr>
                      <w:p>
                        <w:pPr>
                          <w:pStyle w:val="TableParagraph"/>
                          <w:ind w:left="120" w:right="113"/>
                          <w:jc w:val="center"/>
                          <w:rPr>
                            <w:sz w:val="20"/>
                          </w:rPr>
                        </w:pPr>
                        <w:r>
                          <w:rPr>
                            <w:sz w:val="20"/>
                          </w:rPr>
                          <w:t>(30/35)</w:t>
                        </w:r>
                      </w:p>
                    </w:tc>
                    <w:tc>
                      <w:tcPr>
                        <w:tcW w:w="1161" w:type="dxa"/>
                        <w:shd w:val="clear" w:color="auto" w:fill="E6EDD4"/>
                      </w:tcPr>
                      <w:p>
                        <w:pPr>
                          <w:pStyle w:val="TableParagraph"/>
                          <w:ind w:left="132"/>
                          <w:rPr>
                            <w:sz w:val="20"/>
                          </w:rPr>
                        </w:pPr>
                        <w:r>
                          <w:rPr>
                            <w:sz w:val="20"/>
                          </w:rPr>
                          <w:t>0%</w:t>
                        </w:r>
                      </w:p>
                    </w:tc>
                    <w:tc>
                      <w:tcPr>
                        <w:tcW w:w="1418" w:type="dxa"/>
                        <w:shd w:val="clear" w:color="auto" w:fill="E6EDD4"/>
                      </w:tcPr>
                      <w:p>
                        <w:pPr>
                          <w:pStyle w:val="TableParagraph"/>
                          <w:ind w:left="738"/>
                          <w:rPr>
                            <w:sz w:val="20"/>
                          </w:rPr>
                        </w:pPr>
                        <w:r>
                          <w:rPr>
                            <w:sz w:val="20"/>
                          </w:rPr>
                          <w:t>88.6%</w:t>
                        </w:r>
                      </w:p>
                    </w:tc>
                    <w:tc>
                      <w:tcPr>
                        <w:tcW w:w="972" w:type="dxa"/>
                        <w:shd w:val="clear" w:color="auto" w:fill="E6EDD4"/>
                      </w:tcPr>
                      <w:p>
                        <w:pPr>
                          <w:pStyle w:val="TableParagraph"/>
                          <w:ind w:left="111"/>
                          <w:rPr>
                            <w:sz w:val="20"/>
                          </w:rPr>
                        </w:pPr>
                        <w:r>
                          <w:rPr>
                            <w:sz w:val="20"/>
                          </w:rPr>
                          <w:t>(31/35)</w:t>
                        </w:r>
                      </w:p>
                    </w:tc>
                  </w:tr>
                </w:tbl>
                <w:p>
                  <w:pPr>
                    <w:pStyle w:val="BodyText"/>
                  </w:pPr>
                </w:p>
              </w:txbxContent>
            </v:textbox>
            <w10:wrap type="none"/>
          </v:shape>
        </w:pict>
      </w:r>
      <w:r>
        <w:rPr>
          <w:b/>
          <w:color w:val="76923B"/>
          <w:sz w:val="20"/>
        </w:rPr>
        <w:t>Tabla 3. Proporción y porcentaje de microorganismos encontrados en líneas de agua de alta velocidad por tratamiento y por porción de manguera.</w:t>
      </w:r>
    </w:p>
    <w:tbl>
      <w:tblPr>
        <w:tblW w:w="0" w:type="auto"/>
        <w:jc w:val="left"/>
        <w:tblInd w:w="1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19"/>
        <w:gridCol w:w="1238"/>
        <w:gridCol w:w="1040"/>
        <w:gridCol w:w="907"/>
        <w:gridCol w:w="812"/>
        <w:gridCol w:w="861"/>
        <w:gridCol w:w="906"/>
        <w:gridCol w:w="972"/>
      </w:tblGrid>
      <w:tr>
        <w:trPr>
          <w:trHeight w:val="716" w:hRule="exact"/>
        </w:trPr>
        <w:tc>
          <w:tcPr>
            <w:tcW w:w="9057" w:type="dxa"/>
            <w:gridSpan w:val="8"/>
            <w:shd w:val="clear" w:color="auto" w:fill="9BBA58"/>
          </w:tcPr>
          <w:p>
            <w:pPr>
              <w:pStyle w:val="TableParagraph"/>
              <w:tabs>
                <w:tab w:pos="2424" w:val="left" w:leader="none"/>
                <w:tab w:pos="3889" w:val="left" w:leader="none"/>
                <w:tab w:pos="5637" w:val="left" w:leader="none"/>
                <w:tab w:pos="7404" w:val="left" w:leader="none"/>
              </w:tabs>
              <w:spacing w:line="360" w:lineRule="auto" w:before="5"/>
              <w:ind w:left="2424" w:right="458" w:hanging="2320"/>
              <w:rPr>
                <w:sz w:val="20"/>
              </w:rPr>
            </w:pPr>
            <w:r>
              <w:rPr>
                <w:b/>
                <w:color w:val="FFFFFF"/>
                <w:sz w:val="20"/>
              </w:rPr>
              <w:t>Microorganismo</w:t>
              <w:tab/>
            </w:r>
            <w:r>
              <w:rPr>
                <w:color w:val="FFFFFF"/>
                <w:sz w:val="20"/>
              </w:rPr>
              <w:t>Porción</w:t>
            </w:r>
            <w:r>
              <w:rPr>
                <w:color w:val="FFFFFF"/>
                <w:spacing w:val="1"/>
                <w:sz w:val="20"/>
              </w:rPr>
              <w:t> </w:t>
            </w:r>
            <w:r>
              <w:rPr>
                <w:color w:val="FFFFFF"/>
                <w:sz w:val="20"/>
              </w:rPr>
              <w:t>de</w:t>
              <w:tab/>
              <w:t>Agua</w:t>
            </w:r>
            <w:r>
              <w:rPr>
                <w:color w:val="FFFFFF"/>
                <w:spacing w:val="-5"/>
                <w:sz w:val="20"/>
              </w:rPr>
              <w:t> </w:t>
            </w:r>
            <w:r>
              <w:rPr>
                <w:color w:val="FFFFFF"/>
                <w:sz w:val="20"/>
              </w:rPr>
              <w:t>filtrada*</w:t>
              <w:tab/>
              <w:t>Plata</w:t>
            </w:r>
            <w:r>
              <w:rPr>
                <w:color w:val="FFFFFF"/>
                <w:spacing w:val="-3"/>
                <w:sz w:val="20"/>
              </w:rPr>
              <w:t> </w:t>
            </w:r>
            <w:r>
              <w:rPr>
                <w:color w:val="FFFFFF"/>
                <w:sz w:val="20"/>
              </w:rPr>
              <w:t>coloidal*</w:t>
              <w:tab/>
              <w:t>Gluconato</w:t>
            </w:r>
            <w:r>
              <w:rPr>
                <w:color w:val="FFFFFF"/>
                <w:spacing w:val="-2"/>
                <w:sz w:val="20"/>
              </w:rPr>
              <w:t> </w:t>
            </w:r>
            <w:r>
              <w:rPr>
                <w:color w:val="FFFFFF"/>
                <w:sz w:val="20"/>
              </w:rPr>
              <w:t>de</w:t>
            </w:r>
            <w:r>
              <w:rPr>
                <w:color w:val="FFFFFF"/>
                <w:w w:val="100"/>
                <w:sz w:val="20"/>
              </w:rPr>
              <w:t> </w:t>
            </w:r>
            <w:r>
              <w:rPr>
                <w:color w:val="FFFFFF"/>
                <w:sz w:val="20"/>
              </w:rPr>
              <w:t>manguera</w:t>
              <w:tab/>
              <w:tab/>
              <w:tab/>
              <w:t>clorhexidina*</w:t>
            </w:r>
          </w:p>
        </w:tc>
      </w:tr>
      <w:tr>
        <w:trPr>
          <w:trHeight w:val="331" w:hRule="exact"/>
        </w:trPr>
        <w:tc>
          <w:tcPr>
            <w:tcW w:w="2319" w:type="dxa"/>
          </w:tcPr>
          <w:p>
            <w:pPr>
              <w:pStyle w:val="TableParagraph"/>
              <w:spacing w:line="206" w:lineRule="exact"/>
              <w:ind w:left="105"/>
              <w:rPr>
                <w:b/>
                <w:sz w:val="20"/>
              </w:rPr>
            </w:pPr>
            <w:r>
              <w:rPr>
                <w:b/>
                <w:sz w:val="20"/>
              </w:rPr>
              <w:t>Staphylococcus spp.</w:t>
            </w:r>
          </w:p>
        </w:tc>
        <w:tc>
          <w:tcPr>
            <w:tcW w:w="1238" w:type="dxa"/>
          </w:tcPr>
          <w:p>
            <w:pPr>
              <w:pStyle w:val="TableParagraph"/>
              <w:spacing w:line="211" w:lineRule="exact"/>
              <w:ind w:left="105"/>
              <w:rPr>
                <w:sz w:val="20"/>
              </w:rPr>
            </w:pPr>
            <w:r>
              <w:rPr>
                <w:sz w:val="20"/>
              </w:rPr>
              <w:t>Anterior</w:t>
            </w:r>
          </w:p>
        </w:tc>
        <w:tc>
          <w:tcPr>
            <w:tcW w:w="1040" w:type="dxa"/>
          </w:tcPr>
          <w:p>
            <w:pPr>
              <w:pStyle w:val="TableParagraph"/>
              <w:spacing w:line="211" w:lineRule="exact"/>
              <w:ind w:left="331"/>
              <w:rPr>
                <w:sz w:val="20"/>
              </w:rPr>
            </w:pPr>
            <w:r>
              <w:rPr>
                <w:sz w:val="20"/>
              </w:rPr>
              <w:t>100%</w:t>
            </w:r>
          </w:p>
        </w:tc>
        <w:tc>
          <w:tcPr>
            <w:tcW w:w="907" w:type="dxa"/>
          </w:tcPr>
          <w:p>
            <w:pPr>
              <w:pStyle w:val="TableParagraph"/>
              <w:spacing w:line="211" w:lineRule="exact"/>
              <w:ind w:left="140"/>
              <w:rPr>
                <w:sz w:val="20"/>
              </w:rPr>
            </w:pPr>
            <w:r>
              <w:rPr>
                <w:sz w:val="20"/>
              </w:rPr>
              <w:t>(35/35)</w:t>
            </w:r>
          </w:p>
        </w:tc>
        <w:tc>
          <w:tcPr>
            <w:tcW w:w="812" w:type="dxa"/>
          </w:tcPr>
          <w:p>
            <w:pPr>
              <w:pStyle w:val="TableParagraph"/>
              <w:spacing w:line="211" w:lineRule="exact"/>
              <w:ind w:left="132"/>
              <w:rPr>
                <w:sz w:val="20"/>
              </w:rPr>
            </w:pPr>
            <w:r>
              <w:rPr>
                <w:sz w:val="20"/>
              </w:rPr>
              <w:t>8.6%</w:t>
            </w:r>
          </w:p>
        </w:tc>
        <w:tc>
          <w:tcPr>
            <w:tcW w:w="861" w:type="dxa"/>
          </w:tcPr>
          <w:p>
            <w:pPr>
              <w:pStyle w:val="TableParagraph"/>
              <w:spacing w:line="211" w:lineRule="exact"/>
              <w:ind w:left="111"/>
              <w:rPr>
                <w:sz w:val="20"/>
              </w:rPr>
            </w:pPr>
            <w:r>
              <w:rPr>
                <w:sz w:val="20"/>
              </w:rPr>
              <w:t>(3/35)</w:t>
            </w:r>
          </w:p>
        </w:tc>
        <w:tc>
          <w:tcPr>
            <w:tcW w:w="906" w:type="dxa"/>
          </w:tcPr>
          <w:p>
            <w:pPr>
              <w:pStyle w:val="TableParagraph"/>
              <w:spacing w:line="211" w:lineRule="exact"/>
              <w:ind w:left="226"/>
              <w:rPr>
                <w:sz w:val="20"/>
              </w:rPr>
            </w:pPr>
            <w:r>
              <w:rPr>
                <w:sz w:val="20"/>
              </w:rPr>
              <w:t>5.7%</w:t>
            </w:r>
          </w:p>
        </w:tc>
        <w:tc>
          <w:tcPr>
            <w:tcW w:w="972" w:type="dxa"/>
          </w:tcPr>
          <w:p>
            <w:pPr>
              <w:pStyle w:val="TableParagraph"/>
              <w:spacing w:line="211" w:lineRule="exact"/>
              <w:ind w:left="111"/>
              <w:rPr>
                <w:sz w:val="20"/>
              </w:rPr>
            </w:pPr>
            <w:r>
              <w:rPr>
                <w:sz w:val="20"/>
              </w:rPr>
              <w:t>(2/35)</w:t>
            </w:r>
          </w:p>
        </w:tc>
      </w:tr>
      <w:tr>
        <w:trPr>
          <w:trHeight w:val="346" w:hRule="exact"/>
        </w:trPr>
        <w:tc>
          <w:tcPr>
            <w:tcW w:w="2319" w:type="dxa"/>
          </w:tcPr>
          <w:p>
            <w:pPr/>
          </w:p>
        </w:tc>
        <w:tc>
          <w:tcPr>
            <w:tcW w:w="1238" w:type="dxa"/>
            <w:shd w:val="clear" w:color="auto" w:fill="E6EDD4"/>
          </w:tcPr>
          <w:p>
            <w:pPr>
              <w:pStyle w:val="TableParagraph"/>
              <w:ind w:left="105"/>
              <w:rPr>
                <w:sz w:val="20"/>
              </w:rPr>
            </w:pPr>
            <w:r>
              <w:rPr>
                <w:sz w:val="20"/>
              </w:rPr>
              <w:t>Media</w:t>
            </w:r>
          </w:p>
        </w:tc>
        <w:tc>
          <w:tcPr>
            <w:tcW w:w="1040" w:type="dxa"/>
            <w:shd w:val="clear" w:color="auto" w:fill="E6EDD4"/>
          </w:tcPr>
          <w:p>
            <w:pPr>
              <w:pStyle w:val="TableParagraph"/>
              <w:ind w:left="331"/>
              <w:rPr>
                <w:sz w:val="20"/>
              </w:rPr>
            </w:pPr>
            <w:r>
              <w:rPr>
                <w:sz w:val="20"/>
              </w:rPr>
              <w:t>100%</w:t>
            </w:r>
          </w:p>
        </w:tc>
        <w:tc>
          <w:tcPr>
            <w:tcW w:w="907" w:type="dxa"/>
            <w:shd w:val="clear" w:color="auto" w:fill="E6EDD4"/>
          </w:tcPr>
          <w:p>
            <w:pPr>
              <w:pStyle w:val="TableParagraph"/>
              <w:ind w:left="140"/>
              <w:rPr>
                <w:sz w:val="20"/>
              </w:rPr>
            </w:pPr>
            <w:r>
              <w:rPr>
                <w:sz w:val="20"/>
              </w:rPr>
              <w:t>(35/35)</w:t>
            </w:r>
          </w:p>
        </w:tc>
        <w:tc>
          <w:tcPr>
            <w:tcW w:w="812" w:type="dxa"/>
            <w:shd w:val="clear" w:color="auto" w:fill="E6EDD4"/>
          </w:tcPr>
          <w:p>
            <w:pPr>
              <w:pStyle w:val="TableParagraph"/>
              <w:ind w:left="132"/>
              <w:rPr>
                <w:sz w:val="20"/>
              </w:rPr>
            </w:pPr>
            <w:r>
              <w:rPr>
                <w:sz w:val="20"/>
              </w:rPr>
              <w:t>11.4%</w:t>
            </w:r>
          </w:p>
        </w:tc>
        <w:tc>
          <w:tcPr>
            <w:tcW w:w="861" w:type="dxa"/>
            <w:shd w:val="clear" w:color="auto" w:fill="E6EDD4"/>
          </w:tcPr>
          <w:p>
            <w:pPr>
              <w:pStyle w:val="TableParagraph"/>
              <w:ind w:left="111"/>
              <w:rPr>
                <w:sz w:val="20"/>
              </w:rPr>
            </w:pPr>
            <w:r>
              <w:rPr>
                <w:sz w:val="20"/>
              </w:rPr>
              <w:t>(4/35)</w:t>
            </w:r>
          </w:p>
        </w:tc>
        <w:tc>
          <w:tcPr>
            <w:tcW w:w="906" w:type="dxa"/>
            <w:shd w:val="clear" w:color="auto" w:fill="E6EDD4"/>
          </w:tcPr>
          <w:p>
            <w:pPr>
              <w:pStyle w:val="TableParagraph"/>
              <w:ind w:left="226"/>
              <w:rPr>
                <w:sz w:val="20"/>
              </w:rPr>
            </w:pPr>
            <w:r>
              <w:rPr>
                <w:sz w:val="20"/>
              </w:rPr>
              <w:t>5.7%</w:t>
            </w:r>
          </w:p>
        </w:tc>
        <w:tc>
          <w:tcPr>
            <w:tcW w:w="972" w:type="dxa"/>
            <w:shd w:val="clear" w:color="auto" w:fill="E6EDD4"/>
          </w:tcPr>
          <w:p>
            <w:pPr>
              <w:pStyle w:val="TableParagraph"/>
              <w:ind w:left="111"/>
              <w:rPr>
                <w:sz w:val="20"/>
              </w:rPr>
            </w:pPr>
            <w:r>
              <w:rPr>
                <w:sz w:val="20"/>
              </w:rPr>
              <w:t>(2/35)</w:t>
            </w:r>
          </w:p>
        </w:tc>
      </w:tr>
      <w:tr>
        <w:trPr>
          <w:trHeight w:val="346" w:hRule="exact"/>
        </w:trPr>
        <w:tc>
          <w:tcPr>
            <w:tcW w:w="2319" w:type="dxa"/>
          </w:tcPr>
          <w:p>
            <w:pPr/>
          </w:p>
        </w:tc>
        <w:tc>
          <w:tcPr>
            <w:tcW w:w="1238" w:type="dxa"/>
          </w:tcPr>
          <w:p>
            <w:pPr>
              <w:pStyle w:val="TableParagraph"/>
              <w:ind w:left="105"/>
              <w:rPr>
                <w:sz w:val="20"/>
              </w:rPr>
            </w:pPr>
            <w:r>
              <w:rPr>
                <w:sz w:val="20"/>
              </w:rPr>
              <w:t>Posterior</w:t>
            </w:r>
          </w:p>
        </w:tc>
        <w:tc>
          <w:tcPr>
            <w:tcW w:w="1040" w:type="dxa"/>
          </w:tcPr>
          <w:p>
            <w:pPr>
              <w:pStyle w:val="TableParagraph"/>
              <w:ind w:left="331"/>
              <w:rPr>
                <w:sz w:val="20"/>
              </w:rPr>
            </w:pPr>
            <w:r>
              <w:rPr>
                <w:sz w:val="20"/>
              </w:rPr>
              <w:t>97.1%</w:t>
            </w:r>
          </w:p>
        </w:tc>
        <w:tc>
          <w:tcPr>
            <w:tcW w:w="907" w:type="dxa"/>
          </w:tcPr>
          <w:p>
            <w:pPr>
              <w:pStyle w:val="TableParagraph"/>
              <w:ind w:left="141"/>
              <w:rPr>
                <w:sz w:val="20"/>
              </w:rPr>
            </w:pPr>
            <w:r>
              <w:rPr>
                <w:sz w:val="20"/>
              </w:rPr>
              <w:t>(34/35)</w:t>
            </w:r>
          </w:p>
        </w:tc>
        <w:tc>
          <w:tcPr>
            <w:tcW w:w="812" w:type="dxa"/>
          </w:tcPr>
          <w:p>
            <w:pPr>
              <w:pStyle w:val="TableParagraph"/>
              <w:ind w:left="132"/>
              <w:rPr>
                <w:sz w:val="20"/>
              </w:rPr>
            </w:pPr>
            <w:r>
              <w:rPr>
                <w:sz w:val="20"/>
              </w:rPr>
              <w:t>8.3%</w:t>
            </w:r>
          </w:p>
        </w:tc>
        <w:tc>
          <w:tcPr>
            <w:tcW w:w="861" w:type="dxa"/>
          </w:tcPr>
          <w:p>
            <w:pPr>
              <w:pStyle w:val="TableParagraph"/>
              <w:ind w:left="111"/>
              <w:rPr>
                <w:sz w:val="20"/>
              </w:rPr>
            </w:pPr>
            <w:r>
              <w:rPr>
                <w:sz w:val="20"/>
              </w:rPr>
              <w:t>(3/35)</w:t>
            </w:r>
          </w:p>
        </w:tc>
        <w:tc>
          <w:tcPr>
            <w:tcW w:w="906" w:type="dxa"/>
          </w:tcPr>
          <w:p>
            <w:pPr>
              <w:pStyle w:val="TableParagraph"/>
              <w:ind w:left="226"/>
              <w:rPr>
                <w:sz w:val="20"/>
              </w:rPr>
            </w:pPr>
            <w:r>
              <w:rPr>
                <w:sz w:val="20"/>
              </w:rPr>
              <w:t>2.8%</w:t>
            </w:r>
          </w:p>
        </w:tc>
        <w:tc>
          <w:tcPr>
            <w:tcW w:w="972" w:type="dxa"/>
          </w:tcPr>
          <w:p>
            <w:pPr>
              <w:pStyle w:val="TableParagraph"/>
              <w:ind w:left="111"/>
              <w:rPr>
                <w:sz w:val="20"/>
              </w:rPr>
            </w:pPr>
            <w:r>
              <w:rPr>
                <w:sz w:val="20"/>
              </w:rPr>
              <w:t>(1/35)</w:t>
            </w:r>
          </w:p>
        </w:tc>
      </w:tr>
      <w:tr>
        <w:trPr>
          <w:trHeight w:val="346" w:hRule="exact"/>
        </w:trPr>
        <w:tc>
          <w:tcPr>
            <w:tcW w:w="2319" w:type="dxa"/>
          </w:tcPr>
          <w:p>
            <w:pPr/>
          </w:p>
        </w:tc>
        <w:tc>
          <w:tcPr>
            <w:tcW w:w="1238" w:type="dxa"/>
          </w:tcPr>
          <w:p>
            <w:pPr/>
          </w:p>
        </w:tc>
        <w:tc>
          <w:tcPr>
            <w:tcW w:w="1040" w:type="dxa"/>
          </w:tcPr>
          <w:p>
            <w:pPr/>
          </w:p>
        </w:tc>
        <w:tc>
          <w:tcPr>
            <w:tcW w:w="907" w:type="dxa"/>
          </w:tcPr>
          <w:p>
            <w:pPr/>
          </w:p>
        </w:tc>
        <w:tc>
          <w:tcPr>
            <w:tcW w:w="812" w:type="dxa"/>
          </w:tcPr>
          <w:p>
            <w:pPr/>
          </w:p>
        </w:tc>
        <w:tc>
          <w:tcPr>
            <w:tcW w:w="861" w:type="dxa"/>
          </w:tcPr>
          <w:p>
            <w:pPr/>
          </w:p>
        </w:tc>
        <w:tc>
          <w:tcPr>
            <w:tcW w:w="906" w:type="dxa"/>
          </w:tcPr>
          <w:p>
            <w:pPr/>
          </w:p>
        </w:tc>
        <w:tc>
          <w:tcPr>
            <w:tcW w:w="972" w:type="dxa"/>
          </w:tcPr>
          <w:p>
            <w:pPr/>
          </w:p>
        </w:tc>
      </w:tr>
      <w:tr>
        <w:trPr>
          <w:trHeight w:val="346" w:hRule="exact"/>
        </w:trPr>
        <w:tc>
          <w:tcPr>
            <w:tcW w:w="2319" w:type="dxa"/>
          </w:tcPr>
          <w:p>
            <w:pPr/>
          </w:p>
        </w:tc>
        <w:tc>
          <w:tcPr>
            <w:tcW w:w="1238" w:type="dxa"/>
          </w:tcPr>
          <w:p>
            <w:pPr/>
          </w:p>
        </w:tc>
        <w:tc>
          <w:tcPr>
            <w:tcW w:w="1040" w:type="dxa"/>
          </w:tcPr>
          <w:p>
            <w:pPr/>
          </w:p>
        </w:tc>
        <w:tc>
          <w:tcPr>
            <w:tcW w:w="907" w:type="dxa"/>
          </w:tcPr>
          <w:p>
            <w:pPr/>
          </w:p>
        </w:tc>
        <w:tc>
          <w:tcPr>
            <w:tcW w:w="812" w:type="dxa"/>
          </w:tcPr>
          <w:p>
            <w:pPr/>
          </w:p>
        </w:tc>
        <w:tc>
          <w:tcPr>
            <w:tcW w:w="861" w:type="dxa"/>
          </w:tcPr>
          <w:p>
            <w:pPr/>
          </w:p>
        </w:tc>
        <w:tc>
          <w:tcPr>
            <w:tcW w:w="906" w:type="dxa"/>
          </w:tcPr>
          <w:p>
            <w:pPr/>
          </w:p>
        </w:tc>
        <w:tc>
          <w:tcPr>
            <w:tcW w:w="972" w:type="dxa"/>
          </w:tcPr>
          <w:p>
            <w:pPr/>
          </w:p>
        </w:tc>
      </w:tr>
      <w:tr>
        <w:trPr>
          <w:trHeight w:val="341" w:hRule="exact"/>
        </w:trPr>
        <w:tc>
          <w:tcPr>
            <w:tcW w:w="2319" w:type="dxa"/>
          </w:tcPr>
          <w:p>
            <w:pPr/>
          </w:p>
        </w:tc>
        <w:tc>
          <w:tcPr>
            <w:tcW w:w="1238" w:type="dxa"/>
          </w:tcPr>
          <w:p>
            <w:pPr/>
          </w:p>
        </w:tc>
        <w:tc>
          <w:tcPr>
            <w:tcW w:w="1040" w:type="dxa"/>
          </w:tcPr>
          <w:p>
            <w:pPr/>
          </w:p>
        </w:tc>
        <w:tc>
          <w:tcPr>
            <w:tcW w:w="907" w:type="dxa"/>
          </w:tcPr>
          <w:p>
            <w:pPr/>
          </w:p>
        </w:tc>
        <w:tc>
          <w:tcPr>
            <w:tcW w:w="812" w:type="dxa"/>
          </w:tcPr>
          <w:p>
            <w:pPr/>
          </w:p>
        </w:tc>
        <w:tc>
          <w:tcPr>
            <w:tcW w:w="861" w:type="dxa"/>
          </w:tcPr>
          <w:p>
            <w:pPr/>
          </w:p>
        </w:tc>
        <w:tc>
          <w:tcPr>
            <w:tcW w:w="906" w:type="dxa"/>
          </w:tcPr>
          <w:p>
            <w:pPr/>
          </w:p>
        </w:tc>
        <w:tc>
          <w:tcPr>
            <w:tcW w:w="972" w:type="dxa"/>
          </w:tcPr>
          <w:p>
            <w:pPr/>
          </w:p>
        </w:tc>
      </w:tr>
      <w:tr>
        <w:trPr>
          <w:trHeight w:val="346" w:hRule="exact"/>
        </w:trPr>
        <w:tc>
          <w:tcPr>
            <w:tcW w:w="2319" w:type="dxa"/>
          </w:tcPr>
          <w:p>
            <w:pPr>
              <w:pStyle w:val="TableParagraph"/>
              <w:spacing w:line="220" w:lineRule="exact"/>
              <w:ind w:left="105"/>
              <w:rPr>
                <w:b/>
                <w:sz w:val="20"/>
              </w:rPr>
            </w:pPr>
            <w:r>
              <w:rPr>
                <w:b/>
                <w:sz w:val="20"/>
              </w:rPr>
              <w:t>Staphylococcus spp.</w:t>
            </w:r>
          </w:p>
        </w:tc>
        <w:tc>
          <w:tcPr>
            <w:tcW w:w="1238" w:type="dxa"/>
          </w:tcPr>
          <w:p>
            <w:pPr>
              <w:pStyle w:val="TableParagraph"/>
              <w:ind w:left="105"/>
              <w:rPr>
                <w:sz w:val="20"/>
              </w:rPr>
            </w:pPr>
            <w:r>
              <w:rPr>
                <w:sz w:val="20"/>
              </w:rPr>
              <w:t>Anterior</w:t>
            </w:r>
          </w:p>
        </w:tc>
        <w:tc>
          <w:tcPr>
            <w:tcW w:w="1040" w:type="dxa"/>
          </w:tcPr>
          <w:p>
            <w:pPr>
              <w:pStyle w:val="TableParagraph"/>
              <w:ind w:left="331"/>
              <w:rPr>
                <w:sz w:val="20"/>
              </w:rPr>
            </w:pPr>
            <w:r>
              <w:rPr>
                <w:sz w:val="20"/>
              </w:rPr>
              <w:t>51.4%</w:t>
            </w:r>
          </w:p>
        </w:tc>
        <w:tc>
          <w:tcPr>
            <w:tcW w:w="907" w:type="dxa"/>
          </w:tcPr>
          <w:p>
            <w:pPr>
              <w:pStyle w:val="TableParagraph"/>
              <w:ind w:left="141"/>
              <w:rPr>
                <w:sz w:val="20"/>
              </w:rPr>
            </w:pPr>
            <w:r>
              <w:rPr>
                <w:sz w:val="20"/>
              </w:rPr>
              <w:t>(18/35)</w:t>
            </w:r>
          </w:p>
        </w:tc>
        <w:tc>
          <w:tcPr>
            <w:tcW w:w="812" w:type="dxa"/>
          </w:tcPr>
          <w:p>
            <w:pPr>
              <w:pStyle w:val="TableParagraph"/>
              <w:ind w:left="132"/>
              <w:rPr>
                <w:sz w:val="20"/>
              </w:rPr>
            </w:pPr>
            <w:r>
              <w:rPr>
                <w:sz w:val="20"/>
              </w:rPr>
              <w:t>2.9%</w:t>
            </w:r>
          </w:p>
        </w:tc>
        <w:tc>
          <w:tcPr>
            <w:tcW w:w="861" w:type="dxa"/>
          </w:tcPr>
          <w:p>
            <w:pPr>
              <w:pStyle w:val="TableParagraph"/>
              <w:ind w:left="111"/>
              <w:rPr>
                <w:sz w:val="20"/>
              </w:rPr>
            </w:pPr>
            <w:r>
              <w:rPr>
                <w:sz w:val="20"/>
              </w:rPr>
              <w:t>(1/35)</w:t>
            </w:r>
          </w:p>
        </w:tc>
        <w:tc>
          <w:tcPr>
            <w:tcW w:w="906" w:type="dxa"/>
          </w:tcPr>
          <w:p>
            <w:pPr>
              <w:pStyle w:val="TableParagraph"/>
              <w:ind w:left="226"/>
              <w:rPr>
                <w:sz w:val="20"/>
              </w:rPr>
            </w:pPr>
            <w:r>
              <w:rPr>
                <w:sz w:val="20"/>
              </w:rPr>
              <w:t>11.4%</w:t>
            </w:r>
          </w:p>
        </w:tc>
        <w:tc>
          <w:tcPr>
            <w:tcW w:w="972" w:type="dxa"/>
          </w:tcPr>
          <w:p>
            <w:pPr>
              <w:pStyle w:val="TableParagraph"/>
              <w:ind w:left="111"/>
              <w:rPr>
                <w:sz w:val="20"/>
              </w:rPr>
            </w:pPr>
            <w:r>
              <w:rPr>
                <w:sz w:val="20"/>
              </w:rPr>
              <w:t>(4/35)</w:t>
            </w:r>
          </w:p>
        </w:tc>
      </w:tr>
      <w:tr>
        <w:trPr>
          <w:trHeight w:val="346" w:hRule="exact"/>
        </w:trPr>
        <w:tc>
          <w:tcPr>
            <w:tcW w:w="2319" w:type="dxa"/>
          </w:tcPr>
          <w:p>
            <w:pPr/>
          </w:p>
        </w:tc>
        <w:tc>
          <w:tcPr>
            <w:tcW w:w="1238" w:type="dxa"/>
            <w:shd w:val="clear" w:color="auto" w:fill="E6EDD4"/>
          </w:tcPr>
          <w:p>
            <w:pPr>
              <w:pStyle w:val="TableParagraph"/>
              <w:ind w:left="105"/>
              <w:rPr>
                <w:sz w:val="20"/>
              </w:rPr>
            </w:pPr>
            <w:r>
              <w:rPr>
                <w:sz w:val="20"/>
              </w:rPr>
              <w:t>Media</w:t>
            </w:r>
          </w:p>
        </w:tc>
        <w:tc>
          <w:tcPr>
            <w:tcW w:w="1040" w:type="dxa"/>
            <w:shd w:val="clear" w:color="auto" w:fill="E6EDD4"/>
          </w:tcPr>
          <w:p>
            <w:pPr>
              <w:pStyle w:val="TableParagraph"/>
              <w:ind w:left="331"/>
              <w:rPr>
                <w:sz w:val="20"/>
              </w:rPr>
            </w:pPr>
            <w:r>
              <w:rPr>
                <w:sz w:val="20"/>
              </w:rPr>
              <w:t>48.6%</w:t>
            </w:r>
          </w:p>
        </w:tc>
        <w:tc>
          <w:tcPr>
            <w:tcW w:w="907" w:type="dxa"/>
            <w:shd w:val="clear" w:color="auto" w:fill="E6EDD4"/>
          </w:tcPr>
          <w:p>
            <w:pPr>
              <w:pStyle w:val="TableParagraph"/>
              <w:ind w:left="140"/>
              <w:rPr>
                <w:sz w:val="20"/>
              </w:rPr>
            </w:pPr>
            <w:r>
              <w:rPr>
                <w:sz w:val="20"/>
              </w:rPr>
              <w:t>(17/35)</w:t>
            </w:r>
          </w:p>
        </w:tc>
        <w:tc>
          <w:tcPr>
            <w:tcW w:w="812" w:type="dxa"/>
            <w:shd w:val="clear" w:color="auto" w:fill="E6EDD4"/>
          </w:tcPr>
          <w:p>
            <w:pPr>
              <w:pStyle w:val="TableParagraph"/>
              <w:ind w:left="132"/>
              <w:rPr>
                <w:sz w:val="20"/>
              </w:rPr>
            </w:pPr>
            <w:r>
              <w:rPr>
                <w:sz w:val="20"/>
              </w:rPr>
              <w:t>5.7%</w:t>
            </w:r>
          </w:p>
        </w:tc>
        <w:tc>
          <w:tcPr>
            <w:tcW w:w="861" w:type="dxa"/>
            <w:shd w:val="clear" w:color="auto" w:fill="E6EDD4"/>
          </w:tcPr>
          <w:p>
            <w:pPr>
              <w:pStyle w:val="TableParagraph"/>
              <w:ind w:left="111"/>
              <w:rPr>
                <w:sz w:val="20"/>
              </w:rPr>
            </w:pPr>
            <w:r>
              <w:rPr>
                <w:sz w:val="20"/>
              </w:rPr>
              <w:t>(2/35)</w:t>
            </w:r>
          </w:p>
        </w:tc>
        <w:tc>
          <w:tcPr>
            <w:tcW w:w="906" w:type="dxa"/>
            <w:shd w:val="clear" w:color="auto" w:fill="E6EDD4"/>
          </w:tcPr>
          <w:p>
            <w:pPr>
              <w:pStyle w:val="TableParagraph"/>
              <w:ind w:left="226"/>
              <w:rPr>
                <w:sz w:val="20"/>
              </w:rPr>
            </w:pPr>
            <w:r>
              <w:rPr>
                <w:sz w:val="20"/>
              </w:rPr>
              <w:t>8.6%</w:t>
            </w:r>
          </w:p>
        </w:tc>
        <w:tc>
          <w:tcPr>
            <w:tcW w:w="972" w:type="dxa"/>
            <w:shd w:val="clear" w:color="auto" w:fill="E6EDD4"/>
          </w:tcPr>
          <w:p>
            <w:pPr>
              <w:pStyle w:val="TableParagraph"/>
              <w:ind w:left="111"/>
              <w:rPr>
                <w:sz w:val="20"/>
              </w:rPr>
            </w:pPr>
            <w:r>
              <w:rPr>
                <w:sz w:val="20"/>
              </w:rPr>
              <w:t>(3/35)</w:t>
            </w:r>
          </w:p>
        </w:tc>
      </w:tr>
      <w:tr>
        <w:trPr>
          <w:trHeight w:val="346" w:hRule="exact"/>
        </w:trPr>
        <w:tc>
          <w:tcPr>
            <w:tcW w:w="2319" w:type="dxa"/>
          </w:tcPr>
          <w:p>
            <w:pPr/>
          </w:p>
        </w:tc>
        <w:tc>
          <w:tcPr>
            <w:tcW w:w="1238" w:type="dxa"/>
          </w:tcPr>
          <w:p>
            <w:pPr>
              <w:pStyle w:val="TableParagraph"/>
              <w:ind w:left="105"/>
              <w:rPr>
                <w:sz w:val="20"/>
              </w:rPr>
            </w:pPr>
            <w:r>
              <w:rPr>
                <w:sz w:val="20"/>
              </w:rPr>
              <w:t>Posterior</w:t>
            </w:r>
          </w:p>
        </w:tc>
        <w:tc>
          <w:tcPr>
            <w:tcW w:w="1040" w:type="dxa"/>
          </w:tcPr>
          <w:p>
            <w:pPr>
              <w:pStyle w:val="TableParagraph"/>
              <w:ind w:left="331"/>
              <w:rPr>
                <w:sz w:val="20"/>
              </w:rPr>
            </w:pPr>
            <w:r>
              <w:rPr>
                <w:sz w:val="20"/>
              </w:rPr>
              <w:t>71.4%</w:t>
            </w:r>
          </w:p>
        </w:tc>
        <w:tc>
          <w:tcPr>
            <w:tcW w:w="907" w:type="dxa"/>
          </w:tcPr>
          <w:p>
            <w:pPr>
              <w:pStyle w:val="TableParagraph"/>
              <w:ind w:left="140"/>
              <w:rPr>
                <w:sz w:val="20"/>
              </w:rPr>
            </w:pPr>
            <w:r>
              <w:rPr>
                <w:sz w:val="20"/>
              </w:rPr>
              <w:t>(25/35)</w:t>
            </w:r>
          </w:p>
        </w:tc>
        <w:tc>
          <w:tcPr>
            <w:tcW w:w="812" w:type="dxa"/>
          </w:tcPr>
          <w:p>
            <w:pPr>
              <w:pStyle w:val="TableParagraph"/>
              <w:ind w:left="132"/>
              <w:rPr>
                <w:sz w:val="20"/>
              </w:rPr>
            </w:pPr>
            <w:r>
              <w:rPr>
                <w:sz w:val="20"/>
              </w:rPr>
              <w:t>5.7%</w:t>
            </w:r>
          </w:p>
        </w:tc>
        <w:tc>
          <w:tcPr>
            <w:tcW w:w="861" w:type="dxa"/>
          </w:tcPr>
          <w:p>
            <w:pPr>
              <w:pStyle w:val="TableParagraph"/>
              <w:ind w:left="111"/>
              <w:rPr>
                <w:sz w:val="20"/>
              </w:rPr>
            </w:pPr>
            <w:r>
              <w:rPr>
                <w:sz w:val="20"/>
              </w:rPr>
              <w:t>(2/35)</w:t>
            </w:r>
          </w:p>
        </w:tc>
        <w:tc>
          <w:tcPr>
            <w:tcW w:w="906" w:type="dxa"/>
          </w:tcPr>
          <w:p>
            <w:pPr>
              <w:pStyle w:val="TableParagraph"/>
              <w:ind w:left="226"/>
              <w:rPr>
                <w:sz w:val="20"/>
              </w:rPr>
            </w:pPr>
            <w:r>
              <w:rPr>
                <w:sz w:val="20"/>
              </w:rPr>
              <w:t>11.4%</w:t>
            </w:r>
          </w:p>
        </w:tc>
        <w:tc>
          <w:tcPr>
            <w:tcW w:w="972" w:type="dxa"/>
          </w:tcPr>
          <w:p>
            <w:pPr>
              <w:pStyle w:val="TableParagraph"/>
              <w:ind w:left="111"/>
              <w:rPr>
                <w:sz w:val="20"/>
              </w:rPr>
            </w:pPr>
            <w:r>
              <w:rPr>
                <w:sz w:val="20"/>
              </w:rPr>
              <w:t>(4/35)</w:t>
            </w:r>
          </w:p>
        </w:tc>
      </w:tr>
      <w:tr>
        <w:trPr>
          <w:trHeight w:val="346" w:hRule="exact"/>
        </w:trPr>
        <w:tc>
          <w:tcPr>
            <w:tcW w:w="2319" w:type="dxa"/>
          </w:tcPr>
          <w:p>
            <w:pPr/>
          </w:p>
        </w:tc>
        <w:tc>
          <w:tcPr>
            <w:tcW w:w="1238" w:type="dxa"/>
          </w:tcPr>
          <w:p>
            <w:pPr/>
          </w:p>
        </w:tc>
        <w:tc>
          <w:tcPr>
            <w:tcW w:w="1040" w:type="dxa"/>
          </w:tcPr>
          <w:p>
            <w:pPr/>
          </w:p>
        </w:tc>
        <w:tc>
          <w:tcPr>
            <w:tcW w:w="907" w:type="dxa"/>
          </w:tcPr>
          <w:p>
            <w:pPr/>
          </w:p>
        </w:tc>
        <w:tc>
          <w:tcPr>
            <w:tcW w:w="812" w:type="dxa"/>
          </w:tcPr>
          <w:p>
            <w:pPr/>
          </w:p>
        </w:tc>
        <w:tc>
          <w:tcPr>
            <w:tcW w:w="2739" w:type="dxa"/>
            <w:gridSpan w:val="3"/>
          </w:tcPr>
          <w:p>
            <w:pPr/>
          </w:p>
        </w:tc>
      </w:tr>
      <w:tr>
        <w:trPr>
          <w:trHeight w:val="346" w:hRule="exact"/>
        </w:trPr>
        <w:tc>
          <w:tcPr>
            <w:tcW w:w="2319" w:type="dxa"/>
          </w:tcPr>
          <w:p>
            <w:pPr/>
          </w:p>
        </w:tc>
        <w:tc>
          <w:tcPr>
            <w:tcW w:w="1238" w:type="dxa"/>
          </w:tcPr>
          <w:p>
            <w:pPr/>
          </w:p>
        </w:tc>
        <w:tc>
          <w:tcPr>
            <w:tcW w:w="1040" w:type="dxa"/>
          </w:tcPr>
          <w:p>
            <w:pPr/>
          </w:p>
        </w:tc>
        <w:tc>
          <w:tcPr>
            <w:tcW w:w="907" w:type="dxa"/>
          </w:tcPr>
          <w:p>
            <w:pPr/>
          </w:p>
        </w:tc>
        <w:tc>
          <w:tcPr>
            <w:tcW w:w="812" w:type="dxa"/>
          </w:tcPr>
          <w:p>
            <w:pPr/>
          </w:p>
        </w:tc>
        <w:tc>
          <w:tcPr>
            <w:tcW w:w="2739" w:type="dxa"/>
            <w:gridSpan w:val="3"/>
          </w:tcPr>
          <w:p>
            <w:pPr/>
          </w:p>
        </w:tc>
      </w:tr>
      <w:tr>
        <w:trPr>
          <w:trHeight w:val="346" w:hRule="exact"/>
        </w:trPr>
        <w:tc>
          <w:tcPr>
            <w:tcW w:w="2319" w:type="dxa"/>
          </w:tcPr>
          <w:p>
            <w:pPr/>
          </w:p>
        </w:tc>
        <w:tc>
          <w:tcPr>
            <w:tcW w:w="1238" w:type="dxa"/>
          </w:tcPr>
          <w:p>
            <w:pPr/>
          </w:p>
        </w:tc>
        <w:tc>
          <w:tcPr>
            <w:tcW w:w="1040" w:type="dxa"/>
          </w:tcPr>
          <w:p>
            <w:pPr/>
          </w:p>
        </w:tc>
        <w:tc>
          <w:tcPr>
            <w:tcW w:w="907" w:type="dxa"/>
          </w:tcPr>
          <w:p>
            <w:pPr/>
          </w:p>
        </w:tc>
        <w:tc>
          <w:tcPr>
            <w:tcW w:w="812" w:type="dxa"/>
          </w:tcPr>
          <w:p>
            <w:pPr/>
          </w:p>
        </w:tc>
        <w:tc>
          <w:tcPr>
            <w:tcW w:w="2739" w:type="dxa"/>
            <w:gridSpan w:val="3"/>
          </w:tcPr>
          <w:p>
            <w:pPr/>
          </w:p>
        </w:tc>
      </w:tr>
      <w:tr>
        <w:trPr>
          <w:trHeight w:val="341" w:hRule="exact"/>
        </w:trPr>
        <w:tc>
          <w:tcPr>
            <w:tcW w:w="2319" w:type="dxa"/>
          </w:tcPr>
          <w:p>
            <w:pPr>
              <w:pStyle w:val="TableParagraph"/>
              <w:spacing w:line="220" w:lineRule="exact"/>
              <w:ind w:left="105"/>
              <w:rPr>
                <w:b/>
                <w:sz w:val="20"/>
              </w:rPr>
            </w:pPr>
            <w:r>
              <w:rPr>
                <w:b/>
                <w:sz w:val="20"/>
              </w:rPr>
              <w:t>Escherichia coli</w:t>
            </w:r>
          </w:p>
        </w:tc>
        <w:tc>
          <w:tcPr>
            <w:tcW w:w="1238" w:type="dxa"/>
          </w:tcPr>
          <w:p>
            <w:pPr>
              <w:pStyle w:val="TableParagraph"/>
              <w:ind w:left="105"/>
              <w:rPr>
                <w:sz w:val="20"/>
              </w:rPr>
            </w:pPr>
            <w:r>
              <w:rPr>
                <w:sz w:val="20"/>
              </w:rPr>
              <w:t>Anterior</w:t>
            </w:r>
          </w:p>
        </w:tc>
        <w:tc>
          <w:tcPr>
            <w:tcW w:w="1040" w:type="dxa"/>
          </w:tcPr>
          <w:p>
            <w:pPr>
              <w:pStyle w:val="TableParagraph"/>
              <w:ind w:left="331"/>
              <w:rPr>
                <w:sz w:val="20"/>
              </w:rPr>
            </w:pPr>
            <w:r>
              <w:rPr>
                <w:sz w:val="20"/>
              </w:rPr>
              <w:t>5.7%</w:t>
            </w:r>
          </w:p>
        </w:tc>
        <w:tc>
          <w:tcPr>
            <w:tcW w:w="907" w:type="dxa"/>
          </w:tcPr>
          <w:p>
            <w:pPr>
              <w:pStyle w:val="TableParagraph"/>
              <w:ind w:left="140"/>
              <w:rPr>
                <w:sz w:val="20"/>
              </w:rPr>
            </w:pPr>
            <w:r>
              <w:rPr>
                <w:sz w:val="20"/>
              </w:rPr>
              <w:t>(2/35)</w:t>
            </w:r>
          </w:p>
        </w:tc>
        <w:tc>
          <w:tcPr>
            <w:tcW w:w="812" w:type="dxa"/>
          </w:tcPr>
          <w:p>
            <w:pPr>
              <w:pStyle w:val="TableParagraph"/>
              <w:ind w:left="132"/>
              <w:rPr>
                <w:sz w:val="20"/>
              </w:rPr>
            </w:pPr>
            <w:r>
              <w:rPr>
                <w:sz w:val="20"/>
              </w:rPr>
              <w:t>0%</w:t>
            </w:r>
          </w:p>
        </w:tc>
        <w:tc>
          <w:tcPr>
            <w:tcW w:w="2739" w:type="dxa"/>
            <w:gridSpan w:val="3"/>
          </w:tcPr>
          <w:p>
            <w:pPr>
              <w:pStyle w:val="TableParagraph"/>
              <w:ind w:left="1068" w:right="1342"/>
              <w:jc w:val="center"/>
              <w:rPr>
                <w:sz w:val="20"/>
              </w:rPr>
            </w:pPr>
            <w:r>
              <w:rPr>
                <w:sz w:val="20"/>
              </w:rPr>
              <w:t>0%</w:t>
            </w:r>
          </w:p>
        </w:tc>
      </w:tr>
      <w:tr>
        <w:trPr>
          <w:trHeight w:val="346" w:hRule="exact"/>
        </w:trPr>
        <w:tc>
          <w:tcPr>
            <w:tcW w:w="2319" w:type="dxa"/>
          </w:tcPr>
          <w:p>
            <w:pPr/>
          </w:p>
        </w:tc>
        <w:tc>
          <w:tcPr>
            <w:tcW w:w="1238" w:type="dxa"/>
            <w:shd w:val="clear" w:color="auto" w:fill="E6EDD4"/>
          </w:tcPr>
          <w:p>
            <w:pPr>
              <w:pStyle w:val="TableParagraph"/>
              <w:ind w:left="105"/>
              <w:rPr>
                <w:sz w:val="20"/>
              </w:rPr>
            </w:pPr>
            <w:r>
              <w:rPr>
                <w:sz w:val="20"/>
              </w:rPr>
              <w:t>Media</w:t>
            </w:r>
          </w:p>
        </w:tc>
        <w:tc>
          <w:tcPr>
            <w:tcW w:w="1040" w:type="dxa"/>
            <w:shd w:val="clear" w:color="auto" w:fill="E6EDD4"/>
          </w:tcPr>
          <w:p>
            <w:pPr>
              <w:pStyle w:val="TableParagraph"/>
              <w:ind w:left="331"/>
              <w:rPr>
                <w:sz w:val="20"/>
              </w:rPr>
            </w:pPr>
            <w:r>
              <w:rPr>
                <w:sz w:val="20"/>
              </w:rPr>
              <w:t>22.9%</w:t>
            </w:r>
          </w:p>
        </w:tc>
        <w:tc>
          <w:tcPr>
            <w:tcW w:w="907" w:type="dxa"/>
            <w:shd w:val="clear" w:color="auto" w:fill="E6EDD4"/>
          </w:tcPr>
          <w:p>
            <w:pPr>
              <w:pStyle w:val="TableParagraph"/>
              <w:ind w:left="140"/>
              <w:rPr>
                <w:sz w:val="20"/>
              </w:rPr>
            </w:pPr>
            <w:r>
              <w:rPr>
                <w:sz w:val="20"/>
              </w:rPr>
              <w:t>(8/35)</w:t>
            </w:r>
          </w:p>
        </w:tc>
        <w:tc>
          <w:tcPr>
            <w:tcW w:w="812" w:type="dxa"/>
            <w:shd w:val="clear" w:color="auto" w:fill="E6EDD4"/>
          </w:tcPr>
          <w:p>
            <w:pPr>
              <w:pStyle w:val="TableParagraph"/>
              <w:ind w:left="132"/>
              <w:rPr>
                <w:sz w:val="20"/>
              </w:rPr>
            </w:pPr>
            <w:r>
              <w:rPr>
                <w:sz w:val="20"/>
              </w:rPr>
              <w:t>0%</w:t>
            </w:r>
          </w:p>
        </w:tc>
        <w:tc>
          <w:tcPr>
            <w:tcW w:w="2739" w:type="dxa"/>
            <w:gridSpan w:val="3"/>
            <w:shd w:val="clear" w:color="auto" w:fill="E6EDD4"/>
          </w:tcPr>
          <w:p>
            <w:pPr>
              <w:pStyle w:val="TableParagraph"/>
              <w:ind w:left="1068" w:right="1342"/>
              <w:jc w:val="center"/>
              <w:rPr>
                <w:sz w:val="20"/>
              </w:rPr>
            </w:pPr>
            <w:r>
              <w:rPr>
                <w:sz w:val="20"/>
              </w:rPr>
              <w:t>0%</w:t>
            </w:r>
          </w:p>
        </w:tc>
      </w:tr>
      <w:tr>
        <w:trPr>
          <w:trHeight w:val="346" w:hRule="exact"/>
        </w:trPr>
        <w:tc>
          <w:tcPr>
            <w:tcW w:w="2319" w:type="dxa"/>
          </w:tcPr>
          <w:p>
            <w:pPr/>
          </w:p>
        </w:tc>
        <w:tc>
          <w:tcPr>
            <w:tcW w:w="1238" w:type="dxa"/>
          </w:tcPr>
          <w:p>
            <w:pPr>
              <w:pStyle w:val="TableParagraph"/>
              <w:ind w:left="105"/>
              <w:rPr>
                <w:sz w:val="20"/>
              </w:rPr>
            </w:pPr>
            <w:r>
              <w:rPr>
                <w:sz w:val="20"/>
              </w:rPr>
              <w:t>Posterior</w:t>
            </w:r>
          </w:p>
        </w:tc>
        <w:tc>
          <w:tcPr>
            <w:tcW w:w="1040" w:type="dxa"/>
          </w:tcPr>
          <w:p>
            <w:pPr>
              <w:pStyle w:val="TableParagraph"/>
              <w:ind w:left="331"/>
              <w:rPr>
                <w:sz w:val="20"/>
              </w:rPr>
            </w:pPr>
            <w:r>
              <w:rPr>
                <w:sz w:val="20"/>
              </w:rPr>
              <w:t>8.6%</w:t>
            </w:r>
          </w:p>
        </w:tc>
        <w:tc>
          <w:tcPr>
            <w:tcW w:w="907" w:type="dxa"/>
          </w:tcPr>
          <w:p>
            <w:pPr>
              <w:pStyle w:val="TableParagraph"/>
              <w:ind w:left="140"/>
              <w:rPr>
                <w:sz w:val="20"/>
              </w:rPr>
            </w:pPr>
            <w:r>
              <w:rPr>
                <w:sz w:val="20"/>
              </w:rPr>
              <w:t>(3/35)</w:t>
            </w:r>
          </w:p>
        </w:tc>
        <w:tc>
          <w:tcPr>
            <w:tcW w:w="812" w:type="dxa"/>
          </w:tcPr>
          <w:p>
            <w:pPr>
              <w:pStyle w:val="TableParagraph"/>
              <w:ind w:left="132"/>
              <w:rPr>
                <w:sz w:val="20"/>
              </w:rPr>
            </w:pPr>
            <w:r>
              <w:rPr>
                <w:sz w:val="20"/>
              </w:rPr>
              <w:t>0%</w:t>
            </w:r>
          </w:p>
        </w:tc>
        <w:tc>
          <w:tcPr>
            <w:tcW w:w="2739" w:type="dxa"/>
            <w:gridSpan w:val="3"/>
          </w:tcPr>
          <w:p>
            <w:pPr>
              <w:pStyle w:val="TableParagraph"/>
              <w:ind w:left="1068" w:right="1342"/>
              <w:jc w:val="center"/>
              <w:rPr>
                <w:sz w:val="20"/>
              </w:rPr>
            </w:pPr>
            <w:r>
              <w:rPr>
                <w:sz w:val="20"/>
              </w:rPr>
              <w:t>0%</w:t>
            </w:r>
          </w:p>
        </w:tc>
      </w:tr>
      <w:tr>
        <w:trPr>
          <w:trHeight w:val="346" w:hRule="exact"/>
        </w:trPr>
        <w:tc>
          <w:tcPr>
            <w:tcW w:w="2319" w:type="dxa"/>
          </w:tcPr>
          <w:p>
            <w:pPr/>
          </w:p>
        </w:tc>
        <w:tc>
          <w:tcPr>
            <w:tcW w:w="1238" w:type="dxa"/>
          </w:tcPr>
          <w:p>
            <w:pPr/>
          </w:p>
        </w:tc>
        <w:tc>
          <w:tcPr>
            <w:tcW w:w="1040" w:type="dxa"/>
          </w:tcPr>
          <w:p>
            <w:pPr/>
          </w:p>
        </w:tc>
        <w:tc>
          <w:tcPr>
            <w:tcW w:w="907" w:type="dxa"/>
          </w:tcPr>
          <w:p>
            <w:pPr/>
          </w:p>
        </w:tc>
        <w:tc>
          <w:tcPr>
            <w:tcW w:w="812" w:type="dxa"/>
          </w:tcPr>
          <w:p>
            <w:pPr/>
          </w:p>
        </w:tc>
        <w:tc>
          <w:tcPr>
            <w:tcW w:w="2739" w:type="dxa"/>
            <w:gridSpan w:val="3"/>
          </w:tcPr>
          <w:p>
            <w:pPr/>
          </w:p>
        </w:tc>
      </w:tr>
      <w:tr>
        <w:trPr>
          <w:trHeight w:val="346" w:hRule="exact"/>
        </w:trPr>
        <w:tc>
          <w:tcPr>
            <w:tcW w:w="2319" w:type="dxa"/>
          </w:tcPr>
          <w:p>
            <w:pPr/>
          </w:p>
        </w:tc>
        <w:tc>
          <w:tcPr>
            <w:tcW w:w="1238" w:type="dxa"/>
          </w:tcPr>
          <w:p>
            <w:pPr/>
          </w:p>
        </w:tc>
        <w:tc>
          <w:tcPr>
            <w:tcW w:w="1040" w:type="dxa"/>
          </w:tcPr>
          <w:p>
            <w:pPr/>
          </w:p>
        </w:tc>
        <w:tc>
          <w:tcPr>
            <w:tcW w:w="907" w:type="dxa"/>
          </w:tcPr>
          <w:p>
            <w:pPr/>
          </w:p>
        </w:tc>
        <w:tc>
          <w:tcPr>
            <w:tcW w:w="812" w:type="dxa"/>
          </w:tcPr>
          <w:p>
            <w:pPr/>
          </w:p>
        </w:tc>
        <w:tc>
          <w:tcPr>
            <w:tcW w:w="2739" w:type="dxa"/>
            <w:gridSpan w:val="3"/>
          </w:tcPr>
          <w:p>
            <w:pPr/>
          </w:p>
        </w:tc>
      </w:tr>
      <w:tr>
        <w:trPr>
          <w:trHeight w:val="346" w:hRule="exact"/>
        </w:trPr>
        <w:tc>
          <w:tcPr>
            <w:tcW w:w="2319" w:type="dxa"/>
          </w:tcPr>
          <w:p>
            <w:pPr/>
          </w:p>
        </w:tc>
        <w:tc>
          <w:tcPr>
            <w:tcW w:w="1238" w:type="dxa"/>
          </w:tcPr>
          <w:p>
            <w:pPr/>
          </w:p>
        </w:tc>
        <w:tc>
          <w:tcPr>
            <w:tcW w:w="1040" w:type="dxa"/>
          </w:tcPr>
          <w:p>
            <w:pPr/>
          </w:p>
        </w:tc>
        <w:tc>
          <w:tcPr>
            <w:tcW w:w="907" w:type="dxa"/>
          </w:tcPr>
          <w:p>
            <w:pPr/>
          </w:p>
        </w:tc>
        <w:tc>
          <w:tcPr>
            <w:tcW w:w="812" w:type="dxa"/>
          </w:tcPr>
          <w:p>
            <w:pPr/>
          </w:p>
        </w:tc>
        <w:tc>
          <w:tcPr>
            <w:tcW w:w="2739" w:type="dxa"/>
            <w:gridSpan w:val="3"/>
          </w:tcPr>
          <w:p>
            <w:pPr/>
          </w:p>
        </w:tc>
      </w:tr>
      <w:tr>
        <w:trPr>
          <w:trHeight w:val="346" w:hRule="exact"/>
        </w:trPr>
        <w:tc>
          <w:tcPr>
            <w:tcW w:w="2319" w:type="dxa"/>
          </w:tcPr>
          <w:p>
            <w:pPr>
              <w:pStyle w:val="TableParagraph"/>
              <w:spacing w:line="220" w:lineRule="exact"/>
              <w:ind w:left="105"/>
              <w:rPr>
                <w:b/>
                <w:sz w:val="20"/>
              </w:rPr>
            </w:pPr>
            <w:r>
              <w:rPr>
                <w:b/>
                <w:sz w:val="20"/>
              </w:rPr>
              <w:t>Bacilos esporulados,</w:t>
            </w:r>
          </w:p>
        </w:tc>
        <w:tc>
          <w:tcPr>
            <w:tcW w:w="1238" w:type="dxa"/>
          </w:tcPr>
          <w:p>
            <w:pPr>
              <w:pStyle w:val="TableParagraph"/>
              <w:ind w:left="105"/>
              <w:rPr>
                <w:sz w:val="20"/>
              </w:rPr>
            </w:pPr>
            <w:r>
              <w:rPr>
                <w:sz w:val="20"/>
              </w:rPr>
              <w:t>Anterior</w:t>
            </w:r>
          </w:p>
        </w:tc>
        <w:tc>
          <w:tcPr>
            <w:tcW w:w="1040" w:type="dxa"/>
          </w:tcPr>
          <w:p>
            <w:pPr>
              <w:pStyle w:val="TableParagraph"/>
              <w:ind w:left="331"/>
              <w:rPr>
                <w:sz w:val="20"/>
              </w:rPr>
            </w:pPr>
            <w:r>
              <w:rPr>
                <w:sz w:val="20"/>
              </w:rPr>
              <w:t>2.8%</w:t>
            </w:r>
          </w:p>
        </w:tc>
        <w:tc>
          <w:tcPr>
            <w:tcW w:w="907" w:type="dxa"/>
          </w:tcPr>
          <w:p>
            <w:pPr>
              <w:pStyle w:val="TableParagraph"/>
              <w:ind w:left="140"/>
              <w:rPr>
                <w:sz w:val="20"/>
              </w:rPr>
            </w:pPr>
            <w:r>
              <w:rPr>
                <w:sz w:val="20"/>
              </w:rPr>
              <w:t>(1/35)</w:t>
            </w:r>
          </w:p>
        </w:tc>
        <w:tc>
          <w:tcPr>
            <w:tcW w:w="812" w:type="dxa"/>
          </w:tcPr>
          <w:p>
            <w:pPr>
              <w:pStyle w:val="TableParagraph"/>
              <w:ind w:left="132"/>
              <w:rPr>
                <w:sz w:val="20"/>
              </w:rPr>
            </w:pPr>
            <w:r>
              <w:rPr>
                <w:sz w:val="20"/>
              </w:rPr>
              <w:t>0%</w:t>
            </w:r>
          </w:p>
        </w:tc>
        <w:tc>
          <w:tcPr>
            <w:tcW w:w="2739" w:type="dxa"/>
            <w:gridSpan w:val="3"/>
          </w:tcPr>
          <w:p>
            <w:pPr>
              <w:pStyle w:val="TableParagraph"/>
              <w:ind w:left="1068" w:right="1342"/>
              <w:jc w:val="center"/>
              <w:rPr>
                <w:sz w:val="20"/>
              </w:rPr>
            </w:pPr>
            <w:r>
              <w:rPr>
                <w:sz w:val="20"/>
              </w:rPr>
              <w:t>0%</w:t>
            </w:r>
          </w:p>
        </w:tc>
      </w:tr>
      <w:tr>
        <w:trPr>
          <w:trHeight w:val="346" w:hRule="exact"/>
        </w:trPr>
        <w:tc>
          <w:tcPr>
            <w:tcW w:w="2319" w:type="dxa"/>
          </w:tcPr>
          <w:p>
            <w:pPr>
              <w:pStyle w:val="TableParagraph"/>
              <w:spacing w:line="220" w:lineRule="exact"/>
              <w:ind w:left="105"/>
              <w:rPr>
                <w:b/>
                <w:sz w:val="20"/>
              </w:rPr>
            </w:pPr>
            <w:r>
              <w:rPr>
                <w:b/>
                <w:sz w:val="20"/>
              </w:rPr>
              <w:t>sarcinas,micrococcus</w:t>
            </w:r>
          </w:p>
        </w:tc>
        <w:tc>
          <w:tcPr>
            <w:tcW w:w="1238" w:type="dxa"/>
            <w:shd w:val="clear" w:color="auto" w:fill="E6EDD4"/>
          </w:tcPr>
          <w:p>
            <w:pPr>
              <w:pStyle w:val="TableParagraph"/>
              <w:ind w:left="105"/>
              <w:rPr>
                <w:sz w:val="20"/>
              </w:rPr>
            </w:pPr>
            <w:r>
              <w:rPr>
                <w:sz w:val="20"/>
              </w:rPr>
              <w:t>Media</w:t>
            </w:r>
          </w:p>
        </w:tc>
        <w:tc>
          <w:tcPr>
            <w:tcW w:w="1040" w:type="dxa"/>
            <w:shd w:val="clear" w:color="auto" w:fill="E6EDD4"/>
          </w:tcPr>
          <w:p>
            <w:pPr>
              <w:pStyle w:val="TableParagraph"/>
              <w:ind w:left="331"/>
              <w:rPr>
                <w:sz w:val="20"/>
              </w:rPr>
            </w:pPr>
            <w:r>
              <w:rPr>
                <w:sz w:val="20"/>
              </w:rPr>
              <w:t>0%</w:t>
            </w:r>
          </w:p>
        </w:tc>
        <w:tc>
          <w:tcPr>
            <w:tcW w:w="907" w:type="dxa"/>
            <w:shd w:val="clear" w:color="auto" w:fill="E6EDD4"/>
          </w:tcPr>
          <w:p>
            <w:pPr/>
          </w:p>
        </w:tc>
        <w:tc>
          <w:tcPr>
            <w:tcW w:w="812" w:type="dxa"/>
            <w:shd w:val="clear" w:color="auto" w:fill="E6EDD4"/>
          </w:tcPr>
          <w:p>
            <w:pPr>
              <w:pStyle w:val="TableParagraph"/>
              <w:ind w:left="132"/>
              <w:rPr>
                <w:sz w:val="20"/>
              </w:rPr>
            </w:pPr>
            <w:r>
              <w:rPr>
                <w:sz w:val="20"/>
              </w:rPr>
              <w:t>0%</w:t>
            </w:r>
          </w:p>
        </w:tc>
        <w:tc>
          <w:tcPr>
            <w:tcW w:w="2739" w:type="dxa"/>
            <w:gridSpan w:val="3"/>
            <w:shd w:val="clear" w:color="auto" w:fill="E6EDD4"/>
          </w:tcPr>
          <w:p>
            <w:pPr>
              <w:pStyle w:val="TableParagraph"/>
              <w:ind w:left="1068" w:right="1342"/>
              <w:jc w:val="center"/>
              <w:rPr>
                <w:sz w:val="20"/>
              </w:rPr>
            </w:pPr>
            <w:r>
              <w:rPr>
                <w:sz w:val="20"/>
              </w:rPr>
              <w:t>0%</w:t>
            </w:r>
          </w:p>
        </w:tc>
      </w:tr>
      <w:tr>
        <w:trPr>
          <w:trHeight w:val="288" w:hRule="exact"/>
        </w:trPr>
        <w:tc>
          <w:tcPr>
            <w:tcW w:w="2319" w:type="dxa"/>
          </w:tcPr>
          <w:p>
            <w:pPr/>
          </w:p>
        </w:tc>
        <w:tc>
          <w:tcPr>
            <w:tcW w:w="1238" w:type="dxa"/>
          </w:tcPr>
          <w:p>
            <w:pPr>
              <w:pStyle w:val="TableParagraph"/>
              <w:ind w:left="105"/>
              <w:rPr>
                <w:sz w:val="20"/>
              </w:rPr>
            </w:pPr>
            <w:r>
              <w:rPr>
                <w:sz w:val="20"/>
              </w:rPr>
              <w:t>Posterior</w:t>
            </w:r>
          </w:p>
        </w:tc>
        <w:tc>
          <w:tcPr>
            <w:tcW w:w="1040" w:type="dxa"/>
          </w:tcPr>
          <w:p>
            <w:pPr>
              <w:pStyle w:val="TableParagraph"/>
              <w:ind w:left="331"/>
              <w:rPr>
                <w:sz w:val="20"/>
              </w:rPr>
            </w:pPr>
            <w:r>
              <w:rPr>
                <w:sz w:val="20"/>
              </w:rPr>
              <w:t>0%</w:t>
            </w:r>
          </w:p>
        </w:tc>
        <w:tc>
          <w:tcPr>
            <w:tcW w:w="907" w:type="dxa"/>
          </w:tcPr>
          <w:p>
            <w:pPr/>
          </w:p>
        </w:tc>
        <w:tc>
          <w:tcPr>
            <w:tcW w:w="812" w:type="dxa"/>
          </w:tcPr>
          <w:p>
            <w:pPr>
              <w:pStyle w:val="TableParagraph"/>
              <w:ind w:left="132"/>
              <w:rPr>
                <w:sz w:val="20"/>
              </w:rPr>
            </w:pPr>
            <w:r>
              <w:rPr>
                <w:sz w:val="20"/>
              </w:rPr>
              <w:t>0%</w:t>
            </w:r>
          </w:p>
        </w:tc>
        <w:tc>
          <w:tcPr>
            <w:tcW w:w="2739" w:type="dxa"/>
            <w:gridSpan w:val="3"/>
          </w:tcPr>
          <w:p>
            <w:pPr>
              <w:pStyle w:val="TableParagraph"/>
              <w:ind w:left="1068" w:right="1342"/>
              <w:jc w:val="center"/>
              <w:rPr>
                <w:sz w:val="20"/>
              </w:rPr>
            </w:pPr>
            <w:r>
              <w:rPr>
                <w:sz w:val="20"/>
              </w:rPr>
              <w:t>0%</w:t>
            </w:r>
          </w:p>
        </w:tc>
      </w:tr>
      <w:tr>
        <w:trPr>
          <w:trHeight w:val="374" w:hRule="exact"/>
        </w:trPr>
        <w:tc>
          <w:tcPr>
            <w:tcW w:w="2319" w:type="dxa"/>
            <w:shd w:val="clear" w:color="auto" w:fill="E6EDD4"/>
          </w:tcPr>
          <w:p>
            <w:pPr>
              <w:pStyle w:val="TableParagraph"/>
              <w:spacing w:line="240" w:lineRule="auto" w:before="43"/>
              <w:ind w:left="105" w:right="938"/>
              <w:rPr>
                <w:b/>
                <w:sz w:val="20"/>
              </w:rPr>
            </w:pPr>
            <w:r>
              <w:rPr>
                <w:b/>
                <w:sz w:val="20"/>
              </w:rPr>
              <w:t>Hongos</w:t>
            </w:r>
          </w:p>
        </w:tc>
        <w:tc>
          <w:tcPr>
            <w:tcW w:w="1238" w:type="dxa"/>
            <w:shd w:val="clear" w:color="auto" w:fill="E6EDD4"/>
          </w:tcPr>
          <w:p>
            <w:pPr>
              <w:pStyle w:val="TableParagraph"/>
              <w:spacing w:line="240" w:lineRule="auto" w:before="47"/>
              <w:ind w:left="105"/>
              <w:rPr>
                <w:sz w:val="20"/>
              </w:rPr>
            </w:pPr>
            <w:r>
              <w:rPr>
                <w:sz w:val="20"/>
              </w:rPr>
              <w:t>Anterior</w:t>
            </w:r>
          </w:p>
        </w:tc>
        <w:tc>
          <w:tcPr>
            <w:tcW w:w="1040" w:type="dxa"/>
            <w:shd w:val="clear" w:color="auto" w:fill="E6EDD4"/>
          </w:tcPr>
          <w:p>
            <w:pPr>
              <w:pStyle w:val="TableParagraph"/>
              <w:spacing w:line="240" w:lineRule="auto" w:before="47"/>
              <w:ind w:left="331"/>
              <w:rPr>
                <w:sz w:val="20"/>
              </w:rPr>
            </w:pPr>
            <w:r>
              <w:rPr>
                <w:sz w:val="20"/>
              </w:rPr>
              <w:t>0%</w:t>
            </w:r>
          </w:p>
        </w:tc>
        <w:tc>
          <w:tcPr>
            <w:tcW w:w="907" w:type="dxa"/>
            <w:shd w:val="clear" w:color="auto" w:fill="E6EDD4"/>
          </w:tcPr>
          <w:p>
            <w:pPr/>
          </w:p>
        </w:tc>
        <w:tc>
          <w:tcPr>
            <w:tcW w:w="812" w:type="dxa"/>
            <w:shd w:val="clear" w:color="auto" w:fill="E6EDD4"/>
          </w:tcPr>
          <w:p>
            <w:pPr>
              <w:pStyle w:val="TableParagraph"/>
              <w:spacing w:line="240" w:lineRule="auto" w:before="47"/>
              <w:ind w:left="132"/>
              <w:rPr>
                <w:sz w:val="20"/>
              </w:rPr>
            </w:pPr>
            <w:r>
              <w:rPr>
                <w:sz w:val="20"/>
              </w:rPr>
              <w:t>0%</w:t>
            </w:r>
          </w:p>
        </w:tc>
        <w:tc>
          <w:tcPr>
            <w:tcW w:w="2739" w:type="dxa"/>
            <w:gridSpan w:val="3"/>
            <w:shd w:val="clear" w:color="auto" w:fill="E6EDD4"/>
          </w:tcPr>
          <w:p>
            <w:pPr>
              <w:pStyle w:val="TableParagraph"/>
              <w:spacing w:line="240" w:lineRule="auto" w:before="47"/>
              <w:ind w:left="1068" w:right="1342"/>
              <w:jc w:val="center"/>
              <w:rPr>
                <w:sz w:val="20"/>
              </w:rPr>
            </w:pPr>
            <w:r>
              <w:rPr>
                <w:sz w:val="20"/>
              </w:rPr>
              <w:t>0%</w:t>
            </w:r>
          </w:p>
        </w:tc>
      </w:tr>
    </w:tbl>
    <w:tbl>
      <w:tblPr>
        <w:tblW w:w="0" w:type="auto"/>
        <w:jc w:val="left"/>
        <w:tblInd w:w="1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19"/>
        <w:gridCol w:w="1238"/>
        <w:gridCol w:w="956"/>
        <w:gridCol w:w="907"/>
        <w:gridCol w:w="925"/>
        <w:gridCol w:w="861"/>
        <w:gridCol w:w="1849"/>
      </w:tblGrid>
      <w:tr>
        <w:trPr>
          <w:trHeight w:val="346" w:hRule="exact"/>
        </w:trPr>
        <w:tc>
          <w:tcPr>
            <w:tcW w:w="2319" w:type="dxa"/>
            <w:vMerge w:val="restart"/>
            <w:shd w:val="clear" w:color="auto" w:fill="E6EDD4"/>
          </w:tcPr>
          <w:p>
            <w:pPr/>
          </w:p>
        </w:tc>
        <w:tc>
          <w:tcPr>
            <w:tcW w:w="1238" w:type="dxa"/>
          </w:tcPr>
          <w:p>
            <w:pPr>
              <w:pStyle w:val="TableParagraph"/>
              <w:ind w:left="105"/>
              <w:rPr>
                <w:sz w:val="20"/>
              </w:rPr>
            </w:pPr>
            <w:r>
              <w:rPr>
                <w:sz w:val="20"/>
              </w:rPr>
              <w:t>Media</w:t>
            </w:r>
          </w:p>
        </w:tc>
        <w:tc>
          <w:tcPr>
            <w:tcW w:w="956" w:type="dxa"/>
          </w:tcPr>
          <w:p>
            <w:pPr>
              <w:pStyle w:val="TableParagraph"/>
              <w:ind w:right="164"/>
              <w:jc w:val="right"/>
              <w:rPr>
                <w:sz w:val="20"/>
              </w:rPr>
            </w:pPr>
            <w:r>
              <w:rPr>
                <w:sz w:val="20"/>
              </w:rPr>
              <w:t>5.7%</w:t>
            </w:r>
          </w:p>
        </w:tc>
        <w:tc>
          <w:tcPr>
            <w:tcW w:w="907" w:type="dxa"/>
          </w:tcPr>
          <w:p>
            <w:pPr>
              <w:pStyle w:val="TableParagraph"/>
              <w:ind w:left="166"/>
              <w:rPr>
                <w:sz w:val="20"/>
              </w:rPr>
            </w:pPr>
            <w:r>
              <w:rPr>
                <w:sz w:val="20"/>
              </w:rPr>
              <w:t>(2/35)</w:t>
            </w:r>
          </w:p>
        </w:tc>
        <w:tc>
          <w:tcPr>
            <w:tcW w:w="925" w:type="dxa"/>
          </w:tcPr>
          <w:p>
            <w:pPr>
              <w:pStyle w:val="TableParagraph"/>
              <w:ind w:left="216"/>
              <w:rPr>
                <w:sz w:val="20"/>
              </w:rPr>
            </w:pPr>
            <w:r>
              <w:rPr>
                <w:sz w:val="20"/>
              </w:rPr>
              <w:t>0%</w:t>
            </w:r>
          </w:p>
        </w:tc>
        <w:tc>
          <w:tcPr>
            <w:tcW w:w="861" w:type="dxa"/>
          </w:tcPr>
          <w:p>
            <w:pPr/>
          </w:p>
        </w:tc>
        <w:tc>
          <w:tcPr>
            <w:tcW w:w="1849" w:type="dxa"/>
          </w:tcPr>
          <w:p>
            <w:pPr>
              <w:pStyle w:val="TableParagraph"/>
              <w:ind w:left="197"/>
              <w:rPr>
                <w:sz w:val="20"/>
              </w:rPr>
            </w:pPr>
            <w:r>
              <w:rPr>
                <w:sz w:val="20"/>
              </w:rPr>
              <w:t>0%</w:t>
            </w:r>
          </w:p>
        </w:tc>
      </w:tr>
      <w:tr>
        <w:trPr>
          <w:trHeight w:val="355" w:hRule="exact"/>
        </w:trPr>
        <w:tc>
          <w:tcPr>
            <w:tcW w:w="2319" w:type="dxa"/>
            <w:vMerge/>
            <w:tcBorders>
              <w:bottom w:val="single" w:sz="8" w:space="0" w:color="9BBA58"/>
            </w:tcBorders>
            <w:shd w:val="clear" w:color="auto" w:fill="E6EDD4"/>
          </w:tcPr>
          <w:p>
            <w:pPr/>
          </w:p>
        </w:tc>
        <w:tc>
          <w:tcPr>
            <w:tcW w:w="1238" w:type="dxa"/>
            <w:tcBorders>
              <w:bottom w:val="single" w:sz="8" w:space="0" w:color="9BBA58"/>
            </w:tcBorders>
            <w:shd w:val="clear" w:color="auto" w:fill="E6EDD4"/>
          </w:tcPr>
          <w:p>
            <w:pPr>
              <w:pStyle w:val="TableParagraph"/>
              <w:ind w:left="105"/>
              <w:rPr>
                <w:sz w:val="20"/>
              </w:rPr>
            </w:pPr>
            <w:r>
              <w:rPr>
                <w:sz w:val="20"/>
              </w:rPr>
              <w:t>Posterior</w:t>
            </w:r>
          </w:p>
        </w:tc>
        <w:tc>
          <w:tcPr>
            <w:tcW w:w="956" w:type="dxa"/>
            <w:tcBorders>
              <w:bottom w:val="single" w:sz="8" w:space="0" w:color="9BBA58"/>
            </w:tcBorders>
            <w:shd w:val="clear" w:color="auto" w:fill="E6EDD4"/>
          </w:tcPr>
          <w:p>
            <w:pPr>
              <w:pStyle w:val="TableParagraph"/>
              <w:ind w:right="164"/>
              <w:jc w:val="right"/>
              <w:rPr>
                <w:sz w:val="20"/>
              </w:rPr>
            </w:pPr>
            <w:r>
              <w:rPr>
                <w:sz w:val="20"/>
              </w:rPr>
              <w:t>5.7%</w:t>
            </w:r>
          </w:p>
        </w:tc>
        <w:tc>
          <w:tcPr>
            <w:tcW w:w="907" w:type="dxa"/>
            <w:tcBorders>
              <w:bottom w:val="single" w:sz="8" w:space="0" w:color="9BBA58"/>
            </w:tcBorders>
            <w:shd w:val="clear" w:color="auto" w:fill="E6EDD4"/>
          </w:tcPr>
          <w:p>
            <w:pPr>
              <w:pStyle w:val="TableParagraph"/>
              <w:ind w:left="166"/>
              <w:rPr>
                <w:sz w:val="20"/>
              </w:rPr>
            </w:pPr>
            <w:r>
              <w:rPr>
                <w:sz w:val="20"/>
              </w:rPr>
              <w:t>(2/35)</w:t>
            </w:r>
          </w:p>
        </w:tc>
        <w:tc>
          <w:tcPr>
            <w:tcW w:w="925" w:type="dxa"/>
            <w:tcBorders>
              <w:bottom w:val="single" w:sz="8" w:space="0" w:color="9BBA58"/>
            </w:tcBorders>
            <w:shd w:val="clear" w:color="auto" w:fill="E6EDD4"/>
          </w:tcPr>
          <w:p>
            <w:pPr>
              <w:pStyle w:val="TableParagraph"/>
              <w:ind w:left="216"/>
              <w:rPr>
                <w:sz w:val="20"/>
              </w:rPr>
            </w:pPr>
            <w:r>
              <w:rPr>
                <w:sz w:val="20"/>
              </w:rPr>
              <w:t>11.4%</w:t>
            </w:r>
          </w:p>
        </w:tc>
        <w:tc>
          <w:tcPr>
            <w:tcW w:w="861" w:type="dxa"/>
            <w:tcBorders>
              <w:bottom w:val="single" w:sz="8" w:space="0" w:color="9BBA58"/>
            </w:tcBorders>
            <w:shd w:val="clear" w:color="auto" w:fill="E6EDD4"/>
          </w:tcPr>
          <w:p>
            <w:pPr>
              <w:pStyle w:val="TableParagraph"/>
              <w:ind w:left="140"/>
              <w:rPr>
                <w:sz w:val="20"/>
              </w:rPr>
            </w:pPr>
            <w:r>
              <w:rPr>
                <w:sz w:val="20"/>
              </w:rPr>
              <w:t>(4/35)</w:t>
            </w:r>
          </w:p>
        </w:tc>
        <w:tc>
          <w:tcPr>
            <w:tcW w:w="1849" w:type="dxa"/>
            <w:tcBorders>
              <w:bottom w:val="single" w:sz="8" w:space="0" w:color="9BBA58"/>
            </w:tcBorders>
            <w:shd w:val="clear" w:color="auto" w:fill="E6EDD4"/>
          </w:tcPr>
          <w:p>
            <w:pPr>
              <w:pStyle w:val="TableParagraph"/>
              <w:ind w:left="197"/>
              <w:rPr>
                <w:sz w:val="20"/>
              </w:rPr>
            </w:pPr>
            <w:r>
              <w:rPr>
                <w:sz w:val="20"/>
              </w:rPr>
              <w:t>0%</w:t>
            </w:r>
          </w:p>
        </w:tc>
      </w:tr>
    </w:tbl>
    <w:p>
      <w:pPr>
        <w:spacing w:after="0"/>
        <w:rPr>
          <w:sz w:val="20"/>
        </w:rPr>
        <w:sectPr>
          <w:pgSz w:w="12240" w:h="15840"/>
          <w:pgMar w:header="731" w:footer="1012" w:top="1160" w:bottom="1200" w:left="1460" w:right="1460"/>
        </w:sectPr>
      </w:pPr>
    </w:p>
    <w:p>
      <w:pPr>
        <w:pStyle w:val="BodyText"/>
        <w:spacing w:before="10"/>
        <w:rPr>
          <w:b/>
          <w:sz w:val="15"/>
        </w:rPr>
      </w:pPr>
    </w:p>
    <w:p>
      <w:pPr>
        <w:spacing w:line="360" w:lineRule="auto" w:before="76" w:after="14"/>
        <w:ind w:left="67" w:right="431" w:firstLine="0"/>
        <w:jc w:val="center"/>
        <w:rPr>
          <w:b/>
          <w:sz w:val="20"/>
        </w:rPr>
      </w:pPr>
      <w:r>
        <w:rPr>
          <w:b/>
          <w:color w:val="76923B"/>
          <w:sz w:val="20"/>
        </w:rPr>
        <w:t>Tabla 4. Tipo, proporción y frecuencia de microorganismos encontrados en las líneas de agua de alta velocidad de la clínica de endodoncia de la Facultad de Odontología de la UAEM.</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32"/>
        <w:gridCol w:w="5450"/>
      </w:tblGrid>
      <w:tr>
        <w:trPr>
          <w:trHeight w:val="374" w:hRule="exact"/>
        </w:trPr>
        <w:tc>
          <w:tcPr>
            <w:tcW w:w="3232" w:type="dxa"/>
            <w:tcBorders>
              <w:top w:val="single" w:sz="23" w:space="0" w:color="9BBA58"/>
              <w:right w:val="single" w:sz="8" w:space="0" w:color="9BBA58"/>
            </w:tcBorders>
          </w:tcPr>
          <w:p>
            <w:pPr/>
          </w:p>
        </w:tc>
        <w:tc>
          <w:tcPr>
            <w:tcW w:w="5450" w:type="dxa"/>
            <w:tcBorders>
              <w:top w:val="single" w:sz="23" w:space="0" w:color="9BBA58"/>
              <w:left w:val="single" w:sz="8" w:space="0" w:color="9BBA58"/>
              <w:right w:val="single" w:sz="8" w:space="0" w:color="9BBA58"/>
            </w:tcBorders>
            <w:shd w:val="clear" w:color="auto" w:fill="669900"/>
          </w:tcPr>
          <w:p>
            <w:pPr>
              <w:pStyle w:val="TableParagraph"/>
              <w:tabs>
                <w:tab w:pos="2727" w:val="left" w:leader="none"/>
              </w:tabs>
              <w:spacing w:line="220" w:lineRule="exact"/>
              <w:ind w:right="804"/>
              <w:jc w:val="center"/>
              <w:rPr>
                <w:b/>
                <w:sz w:val="20"/>
              </w:rPr>
            </w:pPr>
            <w:r>
              <w:rPr>
                <w:b/>
                <w:color w:val="FFFFFF"/>
                <w:sz w:val="20"/>
              </w:rPr>
              <w:t>proporción</w:t>
              <w:tab/>
              <w:t>Frecuencia</w:t>
            </w:r>
          </w:p>
        </w:tc>
      </w:tr>
      <w:tr>
        <w:trPr>
          <w:trHeight w:val="346" w:hRule="exact"/>
        </w:trPr>
        <w:tc>
          <w:tcPr>
            <w:tcW w:w="3232" w:type="dxa"/>
            <w:tcBorders>
              <w:right w:val="single" w:sz="8" w:space="0" w:color="9BBA58"/>
            </w:tcBorders>
          </w:tcPr>
          <w:p>
            <w:pPr>
              <w:pStyle w:val="TableParagraph"/>
              <w:ind w:left="482" w:right="476"/>
              <w:jc w:val="center"/>
              <w:rPr>
                <w:sz w:val="20"/>
              </w:rPr>
            </w:pPr>
            <w:r>
              <w:rPr>
                <w:sz w:val="20"/>
              </w:rPr>
              <w:t>Pseudomona aeruginosa</w:t>
            </w:r>
          </w:p>
        </w:tc>
        <w:tc>
          <w:tcPr>
            <w:tcW w:w="5450" w:type="dxa"/>
            <w:tcBorders>
              <w:left w:val="single" w:sz="8" w:space="0" w:color="9BBA58"/>
              <w:right w:val="single" w:sz="8" w:space="0" w:color="9BBA58"/>
            </w:tcBorders>
          </w:tcPr>
          <w:p>
            <w:pPr>
              <w:pStyle w:val="TableParagraph"/>
              <w:tabs>
                <w:tab w:pos="2722" w:val="left" w:leader="none"/>
              </w:tabs>
              <w:ind w:right="809"/>
              <w:jc w:val="center"/>
              <w:rPr>
                <w:sz w:val="20"/>
              </w:rPr>
            </w:pPr>
            <w:r>
              <w:rPr>
                <w:sz w:val="20"/>
              </w:rPr>
              <w:t>3/12</w:t>
              <w:tab/>
            </w:r>
            <w:r>
              <w:rPr>
                <w:spacing w:val="-2"/>
                <w:sz w:val="20"/>
              </w:rPr>
              <w:t>25%</w:t>
            </w:r>
          </w:p>
        </w:tc>
      </w:tr>
      <w:tr>
        <w:trPr>
          <w:trHeight w:val="346" w:hRule="exact"/>
        </w:trPr>
        <w:tc>
          <w:tcPr>
            <w:tcW w:w="3232" w:type="dxa"/>
            <w:tcBorders>
              <w:right w:val="single" w:sz="8" w:space="0" w:color="9BBA58"/>
            </w:tcBorders>
          </w:tcPr>
          <w:p>
            <w:pPr>
              <w:pStyle w:val="TableParagraph"/>
              <w:ind w:left="482" w:right="475"/>
              <w:jc w:val="center"/>
              <w:rPr>
                <w:sz w:val="20"/>
              </w:rPr>
            </w:pPr>
            <w:r>
              <w:rPr>
                <w:sz w:val="20"/>
              </w:rPr>
              <w:t>Lactobacillus spp.</w:t>
            </w:r>
          </w:p>
        </w:tc>
        <w:tc>
          <w:tcPr>
            <w:tcW w:w="5450" w:type="dxa"/>
            <w:tcBorders>
              <w:left w:val="single" w:sz="8" w:space="0" w:color="9BBA58"/>
              <w:right w:val="single" w:sz="8" w:space="0" w:color="9BBA58"/>
            </w:tcBorders>
            <w:shd w:val="clear" w:color="auto" w:fill="E6EDD4"/>
          </w:tcPr>
          <w:p>
            <w:pPr>
              <w:pStyle w:val="TableParagraph"/>
              <w:tabs>
                <w:tab w:pos="2722" w:val="left" w:leader="none"/>
              </w:tabs>
              <w:ind w:right="809"/>
              <w:jc w:val="center"/>
              <w:rPr>
                <w:sz w:val="20"/>
              </w:rPr>
            </w:pPr>
            <w:r>
              <w:rPr>
                <w:sz w:val="20"/>
              </w:rPr>
              <w:t>8/12</w:t>
              <w:tab/>
            </w:r>
            <w:r>
              <w:rPr>
                <w:spacing w:val="-2"/>
                <w:sz w:val="20"/>
              </w:rPr>
              <w:t>66%</w:t>
            </w:r>
          </w:p>
        </w:tc>
      </w:tr>
      <w:tr>
        <w:trPr>
          <w:trHeight w:val="346" w:hRule="exact"/>
        </w:trPr>
        <w:tc>
          <w:tcPr>
            <w:tcW w:w="3232" w:type="dxa"/>
            <w:tcBorders>
              <w:right w:val="single" w:sz="8" w:space="0" w:color="9BBA58"/>
            </w:tcBorders>
          </w:tcPr>
          <w:p>
            <w:pPr>
              <w:pStyle w:val="TableParagraph"/>
              <w:ind w:left="482" w:right="472"/>
              <w:jc w:val="center"/>
              <w:rPr>
                <w:sz w:val="20"/>
              </w:rPr>
            </w:pPr>
            <w:r>
              <w:rPr>
                <w:sz w:val="20"/>
              </w:rPr>
              <w:t>Escherichia coli</w:t>
            </w:r>
          </w:p>
        </w:tc>
        <w:tc>
          <w:tcPr>
            <w:tcW w:w="5450" w:type="dxa"/>
            <w:tcBorders>
              <w:left w:val="single" w:sz="8" w:space="0" w:color="9BBA58"/>
              <w:right w:val="single" w:sz="8" w:space="0" w:color="9BBA58"/>
            </w:tcBorders>
          </w:tcPr>
          <w:p>
            <w:pPr>
              <w:pStyle w:val="TableParagraph"/>
              <w:tabs>
                <w:tab w:pos="2722" w:val="left" w:leader="none"/>
              </w:tabs>
              <w:ind w:right="809"/>
              <w:jc w:val="center"/>
              <w:rPr>
                <w:sz w:val="20"/>
              </w:rPr>
            </w:pPr>
            <w:r>
              <w:rPr>
                <w:sz w:val="20"/>
              </w:rPr>
              <w:t>2/12</w:t>
              <w:tab/>
            </w:r>
            <w:r>
              <w:rPr>
                <w:spacing w:val="-2"/>
                <w:sz w:val="20"/>
              </w:rPr>
              <w:t>16%</w:t>
            </w:r>
          </w:p>
        </w:tc>
      </w:tr>
      <w:tr>
        <w:trPr>
          <w:trHeight w:val="346" w:hRule="exact"/>
        </w:trPr>
        <w:tc>
          <w:tcPr>
            <w:tcW w:w="3232" w:type="dxa"/>
            <w:tcBorders>
              <w:right w:val="single" w:sz="8" w:space="0" w:color="9BBA58"/>
            </w:tcBorders>
          </w:tcPr>
          <w:p>
            <w:pPr>
              <w:pStyle w:val="TableParagraph"/>
              <w:ind w:left="478" w:right="476"/>
              <w:jc w:val="center"/>
              <w:rPr>
                <w:sz w:val="20"/>
              </w:rPr>
            </w:pPr>
            <w:r>
              <w:rPr>
                <w:sz w:val="20"/>
              </w:rPr>
              <w:t>Staphylococcus spp.</w:t>
            </w:r>
          </w:p>
        </w:tc>
        <w:tc>
          <w:tcPr>
            <w:tcW w:w="5450" w:type="dxa"/>
            <w:tcBorders>
              <w:left w:val="single" w:sz="8" w:space="0" w:color="9BBA58"/>
              <w:right w:val="single" w:sz="8" w:space="0" w:color="9BBA58"/>
            </w:tcBorders>
            <w:shd w:val="clear" w:color="auto" w:fill="E6EDD4"/>
          </w:tcPr>
          <w:p>
            <w:pPr>
              <w:pStyle w:val="TableParagraph"/>
              <w:tabs>
                <w:tab w:pos="2722" w:val="left" w:leader="none"/>
              </w:tabs>
              <w:ind w:right="809"/>
              <w:jc w:val="center"/>
              <w:rPr>
                <w:sz w:val="20"/>
              </w:rPr>
            </w:pPr>
            <w:r>
              <w:rPr>
                <w:sz w:val="20"/>
              </w:rPr>
              <w:t>8/12</w:t>
              <w:tab/>
            </w:r>
            <w:r>
              <w:rPr>
                <w:spacing w:val="-2"/>
                <w:sz w:val="20"/>
              </w:rPr>
              <w:t>66%</w:t>
            </w:r>
          </w:p>
        </w:tc>
      </w:tr>
      <w:tr>
        <w:trPr>
          <w:trHeight w:val="346" w:hRule="exact"/>
        </w:trPr>
        <w:tc>
          <w:tcPr>
            <w:tcW w:w="3232" w:type="dxa"/>
            <w:tcBorders>
              <w:right w:val="single" w:sz="8" w:space="0" w:color="9BBA58"/>
            </w:tcBorders>
          </w:tcPr>
          <w:p>
            <w:pPr>
              <w:pStyle w:val="TableParagraph"/>
              <w:ind w:left="482" w:right="472"/>
              <w:jc w:val="center"/>
              <w:rPr>
                <w:sz w:val="20"/>
              </w:rPr>
            </w:pPr>
            <w:r>
              <w:rPr>
                <w:sz w:val="20"/>
              </w:rPr>
              <w:t>Legionella pneumophila</w:t>
            </w:r>
          </w:p>
        </w:tc>
        <w:tc>
          <w:tcPr>
            <w:tcW w:w="5450" w:type="dxa"/>
            <w:tcBorders>
              <w:left w:val="single" w:sz="8" w:space="0" w:color="9BBA58"/>
              <w:right w:val="single" w:sz="8" w:space="0" w:color="9BBA58"/>
            </w:tcBorders>
          </w:tcPr>
          <w:p>
            <w:pPr>
              <w:pStyle w:val="TableParagraph"/>
              <w:tabs>
                <w:tab w:pos="2718" w:val="left" w:leader="none"/>
              </w:tabs>
              <w:ind w:right="809"/>
              <w:jc w:val="center"/>
              <w:rPr>
                <w:sz w:val="20"/>
              </w:rPr>
            </w:pPr>
            <w:r>
              <w:rPr>
                <w:sz w:val="20"/>
              </w:rPr>
              <w:t>12/12</w:t>
              <w:tab/>
              <w:t>100%</w:t>
            </w:r>
          </w:p>
        </w:tc>
      </w:tr>
      <w:tr>
        <w:trPr>
          <w:trHeight w:val="346" w:hRule="exact"/>
        </w:trPr>
        <w:tc>
          <w:tcPr>
            <w:tcW w:w="3232" w:type="dxa"/>
            <w:tcBorders>
              <w:right w:val="single" w:sz="8" w:space="0" w:color="9BBA58"/>
            </w:tcBorders>
          </w:tcPr>
          <w:p>
            <w:pPr>
              <w:pStyle w:val="TableParagraph"/>
              <w:ind w:left="478" w:right="476"/>
              <w:jc w:val="center"/>
              <w:rPr>
                <w:sz w:val="20"/>
              </w:rPr>
            </w:pPr>
            <w:r>
              <w:rPr>
                <w:sz w:val="20"/>
              </w:rPr>
              <w:t>Streptococcus spp.</w:t>
            </w:r>
          </w:p>
        </w:tc>
        <w:tc>
          <w:tcPr>
            <w:tcW w:w="5450" w:type="dxa"/>
            <w:tcBorders>
              <w:left w:val="single" w:sz="8" w:space="0" w:color="9BBA58"/>
              <w:right w:val="single" w:sz="8" w:space="0" w:color="9BBA58"/>
            </w:tcBorders>
            <w:shd w:val="clear" w:color="auto" w:fill="E6EDD4"/>
          </w:tcPr>
          <w:p>
            <w:pPr>
              <w:pStyle w:val="TableParagraph"/>
              <w:tabs>
                <w:tab w:pos="2718" w:val="left" w:leader="none"/>
              </w:tabs>
              <w:ind w:right="809"/>
              <w:jc w:val="center"/>
              <w:rPr>
                <w:sz w:val="20"/>
              </w:rPr>
            </w:pPr>
            <w:r>
              <w:rPr>
                <w:sz w:val="20"/>
              </w:rPr>
              <w:t>12/12</w:t>
              <w:tab/>
              <w:t>100%</w:t>
            </w:r>
          </w:p>
        </w:tc>
      </w:tr>
      <w:tr>
        <w:trPr>
          <w:trHeight w:val="341" w:hRule="exact"/>
        </w:trPr>
        <w:tc>
          <w:tcPr>
            <w:tcW w:w="3232" w:type="dxa"/>
            <w:tcBorders>
              <w:right w:val="single" w:sz="8" w:space="0" w:color="9BBA58"/>
            </w:tcBorders>
          </w:tcPr>
          <w:p>
            <w:pPr>
              <w:pStyle w:val="TableParagraph"/>
              <w:ind w:left="480" w:right="476"/>
              <w:jc w:val="center"/>
              <w:rPr>
                <w:sz w:val="20"/>
              </w:rPr>
            </w:pPr>
            <w:r>
              <w:rPr>
                <w:sz w:val="20"/>
              </w:rPr>
              <w:t>Hongos</w:t>
            </w:r>
          </w:p>
        </w:tc>
        <w:tc>
          <w:tcPr>
            <w:tcW w:w="5450" w:type="dxa"/>
            <w:tcBorders>
              <w:left w:val="single" w:sz="8" w:space="0" w:color="9BBA58"/>
              <w:right w:val="single" w:sz="8" w:space="0" w:color="9BBA58"/>
            </w:tcBorders>
          </w:tcPr>
          <w:p>
            <w:pPr>
              <w:pStyle w:val="TableParagraph"/>
              <w:tabs>
                <w:tab w:pos="2640" w:val="left" w:leader="none"/>
              </w:tabs>
              <w:ind w:right="722"/>
              <w:jc w:val="center"/>
              <w:rPr>
                <w:sz w:val="20"/>
              </w:rPr>
            </w:pPr>
            <w:r>
              <w:rPr>
                <w:sz w:val="20"/>
              </w:rPr>
              <w:t>0</w:t>
              <w:tab/>
              <w:t>0%</w:t>
            </w:r>
          </w:p>
        </w:tc>
      </w:tr>
      <w:tr>
        <w:trPr>
          <w:trHeight w:val="346" w:hRule="exact"/>
        </w:trPr>
        <w:tc>
          <w:tcPr>
            <w:tcW w:w="3232" w:type="dxa"/>
            <w:tcBorders>
              <w:right w:val="single" w:sz="8" w:space="0" w:color="9BBA58"/>
            </w:tcBorders>
          </w:tcPr>
          <w:p>
            <w:pPr>
              <w:pStyle w:val="TableParagraph"/>
              <w:ind w:left="480" w:right="476"/>
              <w:jc w:val="center"/>
              <w:rPr>
                <w:sz w:val="20"/>
              </w:rPr>
            </w:pPr>
            <w:r>
              <w:rPr>
                <w:sz w:val="20"/>
              </w:rPr>
              <w:t>Candida albicans</w:t>
            </w:r>
          </w:p>
        </w:tc>
        <w:tc>
          <w:tcPr>
            <w:tcW w:w="5450" w:type="dxa"/>
            <w:tcBorders>
              <w:left w:val="single" w:sz="8" w:space="0" w:color="9BBA58"/>
              <w:right w:val="single" w:sz="8" w:space="0" w:color="9BBA58"/>
            </w:tcBorders>
            <w:shd w:val="clear" w:color="auto" w:fill="E6EDD4"/>
          </w:tcPr>
          <w:p>
            <w:pPr>
              <w:pStyle w:val="TableParagraph"/>
              <w:tabs>
                <w:tab w:pos="2640" w:val="left" w:leader="none"/>
              </w:tabs>
              <w:ind w:right="722"/>
              <w:jc w:val="center"/>
              <w:rPr>
                <w:sz w:val="20"/>
              </w:rPr>
            </w:pPr>
            <w:r>
              <w:rPr>
                <w:sz w:val="20"/>
              </w:rPr>
              <w:t>0</w:t>
              <w:tab/>
              <w:t>0%</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1"/>
        </w:rPr>
      </w:pPr>
    </w:p>
    <w:p>
      <w:pPr>
        <w:spacing w:line="360" w:lineRule="auto" w:before="76" w:after="16"/>
        <w:ind w:left="350" w:right="813" w:firstLine="0"/>
        <w:jc w:val="center"/>
        <w:rPr>
          <w:b/>
          <w:sz w:val="20"/>
        </w:rPr>
      </w:pPr>
      <w:r>
        <w:rPr>
          <w:b/>
          <w:color w:val="76923B"/>
          <w:sz w:val="20"/>
        </w:rPr>
        <w:t>Tabla 5. Tipo, proporción y frecuencia de microorganismos encontrados en las líneas de agua de alta velocidad de la clínica de odontopediatría de la Facultad de Odontología de la UAEM</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68"/>
        <w:gridCol w:w="5608"/>
      </w:tblGrid>
      <w:tr>
        <w:trPr>
          <w:trHeight w:val="372" w:hRule="exact"/>
        </w:trPr>
        <w:tc>
          <w:tcPr>
            <w:tcW w:w="2968" w:type="dxa"/>
            <w:tcBorders>
              <w:top w:val="single" w:sz="23" w:space="0" w:color="9BBA58"/>
              <w:right w:val="single" w:sz="8" w:space="0" w:color="9BBA58"/>
            </w:tcBorders>
          </w:tcPr>
          <w:p>
            <w:pPr/>
          </w:p>
        </w:tc>
        <w:tc>
          <w:tcPr>
            <w:tcW w:w="5608" w:type="dxa"/>
            <w:tcBorders>
              <w:top w:val="single" w:sz="23" w:space="0" w:color="9BBA58"/>
              <w:left w:val="single" w:sz="8" w:space="0" w:color="9BBA58"/>
              <w:right w:val="single" w:sz="8" w:space="0" w:color="9BBA58"/>
            </w:tcBorders>
            <w:shd w:val="clear" w:color="auto" w:fill="669900"/>
          </w:tcPr>
          <w:p>
            <w:pPr>
              <w:pStyle w:val="TableParagraph"/>
              <w:tabs>
                <w:tab w:pos="3475" w:val="left" w:leader="none"/>
              </w:tabs>
              <w:spacing w:line="222" w:lineRule="exact"/>
              <w:ind w:left="667"/>
              <w:rPr>
                <w:b/>
                <w:sz w:val="20"/>
              </w:rPr>
            </w:pPr>
            <w:r>
              <w:rPr>
                <w:b/>
                <w:color w:val="FFFFFF"/>
                <w:sz w:val="20"/>
              </w:rPr>
              <w:t>Proporción</w:t>
              <w:tab/>
              <w:t>Frecuencia</w:t>
            </w:r>
          </w:p>
        </w:tc>
      </w:tr>
      <w:tr>
        <w:trPr>
          <w:trHeight w:val="346" w:hRule="exact"/>
        </w:trPr>
        <w:tc>
          <w:tcPr>
            <w:tcW w:w="2968" w:type="dxa"/>
            <w:tcBorders>
              <w:right w:val="single" w:sz="8" w:space="0" w:color="9BBA58"/>
            </w:tcBorders>
          </w:tcPr>
          <w:p>
            <w:pPr>
              <w:pStyle w:val="TableParagraph"/>
              <w:ind w:left="352" w:right="341"/>
              <w:jc w:val="center"/>
              <w:rPr>
                <w:sz w:val="20"/>
              </w:rPr>
            </w:pPr>
            <w:r>
              <w:rPr>
                <w:sz w:val="20"/>
              </w:rPr>
              <w:t>Pseudomona aeruginosa</w:t>
            </w:r>
          </w:p>
        </w:tc>
        <w:tc>
          <w:tcPr>
            <w:tcW w:w="5608" w:type="dxa"/>
            <w:tcBorders>
              <w:left w:val="single" w:sz="8" w:space="0" w:color="9BBA58"/>
              <w:right w:val="single" w:sz="8" w:space="0" w:color="9BBA58"/>
            </w:tcBorders>
          </w:tcPr>
          <w:p>
            <w:pPr>
              <w:pStyle w:val="TableParagraph"/>
              <w:tabs>
                <w:tab w:pos="3860" w:val="left" w:leader="none"/>
              </w:tabs>
              <w:ind w:left="1142"/>
              <w:rPr>
                <w:sz w:val="20"/>
              </w:rPr>
            </w:pPr>
            <w:r>
              <w:rPr>
                <w:sz w:val="20"/>
              </w:rPr>
              <w:t>0</w:t>
              <w:tab/>
              <w:t>0%</w:t>
            </w:r>
          </w:p>
        </w:tc>
      </w:tr>
      <w:tr>
        <w:trPr>
          <w:trHeight w:val="346" w:hRule="exact"/>
        </w:trPr>
        <w:tc>
          <w:tcPr>
            <w:tcW w:w="2968" w:type="dxa"/>
            <w:tcBorders>
              <w:right w:val="single" w:sz="8" w:space="0" w:color="9BBA58"/>
            </w:tcBorders>
          </w:tcPr>
          <w:p>
            <w:pPr>
              <w:pStyle w:val="TableParagraph"/>
              <w:ind w:left="352" w:right="340"/>
              <w:jc w:val="center"/>
              <w:rPr>
                <w:sz w:val="20"/>
              </w:rPr>
            </w:pPr>
            <w:r>
              <w:rPr>
                <w:sz w:val="20"/>
              </w:rPr>
              <w:t>Lactobacillus spp.</w:t>
            </w:r>
          </w:p>
        </w:tc>
        <w:tc>
          <w:tcPr>
            <w:tcW w:w="5608" w:type="dxa"/>
            <w:tcBorders>
              <w:left w:val="single" w:sz="8" w:space="0" w:color="9BBA58"/>
              <w:right w:val="single" w:sz="8" w:space="0" w:color="9BBA58"/>
            </w:tcBorders>
            <w:shd w:val="clear" w:color="auto" w:fill="E6EDD4"/>
          </w:tcPr>
          <w:p>
            <w:pPr>
              <w:pStyle w:val="TableParagraph"/>
              <w:tabs>
                <w:tab w:pos="3802" w:val="left" w:leader="none"/>
              </w:tabs>
              <w:ind w:left="1003"/>
              <w:rPr>
                <w:sz w:val="20"/>
              </w:rPr>
            </w:pPr>
            <w:r>
              <w:rPr>
                <w:sz w:val="20"/>
              </w:rPr>
              <w:t>9/11</w:t>
              <w:tab/>
            </w:r>
            <w:r>
              <w:rPr>
                <w:spacing w:val="-2"/>
                <w:sz w:val="20"/>
              </w:rPr>
              <w:t>81%</w:t>
            </w:r>
          </w:p>
        </w:tc>
      </w:tr>
      <w:tr>
        <w:trPr>
          <w:trHeight w:val="346" w:hRule="exact"/>
        </w:trPr>
        <w:tc>
          <w:tcPr>
            <w:tcW w:w="2968" w:type="dxa"/>
            <w:tcBorders>
              <w:right w:val="single" w:sz="8" w:space="0" w:color="9BBA58"/>
            </w:tcBorders>
          </w:tcPr>
          <w:p>
            <w:pPr>
              <w:pStyle w:val="TableParagraph"/>
              <w:ind w:left="352" w:right="337"/>
              <w:jc w:val="center"/>
              <w:rPr>
                <w:sz w:val="20"/>
              </w:rPr>
            </w:pPr>
            <w:r>
              <w:rPr>
                <w:sz w:val="20"/>
              </w:rPr>
              <w:t>Escherichia coli</w:t>
            </w:r>
          </w:p>
        </w:tc>
        <w:tc>
          <w:tcPr>
            <w:tcW w:w="5608" w:type="dxa"/>
            <w:tcBorders>
              <w:left w:val="single" w:sz="8" w:space="0" w:color="9BBA58"/>
              <w:right w:val="single" w:sz="8" w:space="0" w:color="9BBA58"/>
            </w:tcBorders>
          </w:tcPr>
          <w:p>
            <w:pPr>
              <w:pStyle w:val="TableParagraph"/>
              <w:tabs>
                <w:tab w:pos="3802" w:val="left" w:leader="none"/>
              </w:tabs>
              <w:ind w:left="1003"/>
              <w:rPr>
                <w:sz w:val="20"/>
              </w:rPr>
            </w:pPr>
            <w:r>
              <w:rPr>
                <w:sz w:val="20"/>
              </w:rPr>
              <w:t>4/11</w:t>
              <w:tab/>
            </w:r>
            <w:r>
              <w:rPr>
                <w:spacing w:val="-2"/>
                <w:sz w:val="20"/>
              </w:rPr>
              <w:t>36%</w:t>
            </w:r>
          </w:p>
        </w:tc>
      </w:tr>
      <w:tr>
        <w:trPr>
          <w:trHeight w:val="346" w:hRule="exact"/>
        </w:trPr>
        <w:tc>
          <w:tcPr>
            <w:tcW w:w="2968" w:type="dxa"/>
            <w:tcBorders>
              <w:right w:val="single" w:sz="8" w:space="0" w:color="9BBA58"/>
            </w:tcBorders>
          </w:tcPr>
          <w:p>
            <w:pPr>
              <w:pStyle w:val="TableParagraph"/>
              <w:ind w:left="348" w:right="341"/>
              <w:jc w:val="center"/>
              <w:rPr>
                <w:sz w:val="20"/>
              </w:rPr>
            </w:pPr>
            <w:r>
              <w:rPr>
                <w:sz w:val="20"/>
              </w:rPr>
              <w:t>Staphylococcus spp.</w:t>
            </w:r>
          </w:p>
        </w:tc>
        <w:tc>
          <w:tcPr>
            <w:tcW w:w="5608" w:type="dxa"/>
            <w:tcBorders>
              <w:left w:val="single" w:sz="8" w:space="0" w:color="9BBA58"/>
              <w:right w:val="single" w:sz="8" w:space="0" w:color="9BBA58"/>
            </w:tcBorders>
            <w:shd w:val="clear" w:color="auto" w:fill="E6EDD4"/>
          </w:tcPr>
          <w:p>
            <w:pPr>
              <w:pStyle w:val="TableParagraph"/>
              <w:tabs>
                <w:tab w:pos="3802" w:val="left" w:leader="none"/>
              </w:tabs>
              <w:ind w:left="950"/>
              <w:rPr>
                <w:sz w:val="20"/>
              </w:rPr>
            </w:pPr>
            <w:r>
              <w:rPr>
                <w:sz w:val="20"/>
              </w:rPr>
              <w:t>10/11</w:t>
              <w:tab/>
            </w:r>
            <w:r>
              <w:rPr>
                <w:spacing w:val="-2"/>
                <w:sz w:val="20"/>
              </w:rPr>
              <w:t>90%</w:t>
            </w:r>
          </w:p>
        </w:tc>
      </w:tr>
      <w:tr>
        <w:trPr>
          <w:trHeight w:val="346" w:hRule="exact"/>
        </w:trPr>
        <w:tc>
          <w:tcPr>
            <w:tcW w:w="2968" w:type="dxa"/>
            <w:tcBorders>
              <w:right w:val="single" w:sz="8" w:space="0" w:color="9BBA58"/>
            </w:tcBorders>
          </w:tcPr>
          <w:p>
            <w:pPr>
              <w:pStyle w:val="TableParagraph"/>
              <w:ind w:left="352" w:right="337"/>
              <w:jc w:val="center"/>
              <w:rPr>
                <w:sz w:val="20"/>
              </w:rPr>
            </w:pPr>
            <w:r>
              <w:rPr>
                <w:sz w:val="20"/>
              </w:rPr>
              <w:t>Legionella pneumophila</w:t>
            </w:r>
          </w:p>
        </w:tc>
        <w:tc>
          <w:tcPr>
            <w:tcW w:w="5608" w:type="dxa"/>
            <w:tcBorders>
              <w:left w:val="single" w:sz="8" w:space="0" w:color="9BBA58"/>
              <w:right w:val="single" w:sz="8" w:space="0" w:color="9BBA58"/>
            </w:tcBorders>
          </w:tcPr>
          <w:p>
            <w:pPr>
              <w:pStyle w:val="TableParagraph"/>
              <w:tabs>
                <w:tab w:pos="3802" w:val="left" w:leader="none"/>
              </w:tabs>
              <w:ind w:left="1003"/>
              <w:rPr>
                <w:sz w:val="20"/>
              </w:rPr>
            </w:pPr>
            <w:r>
              <w:rPr>
                <w:sz w:val="20"/>
              </w:rPr>
              <w:t>8/11</w:t>
              <w:tab/>
            </w:r>
            <w:r>
              <w:rPr>
                <w:spacing w:val="-2"/>
                <w:sz w:val="20"/>
              </w:rPr>
              <w:t>72%</w:t>
            </w:r>
          </w:p>
        </w:tc>
      </w:tr>
      <w:tr>
        <w:trPr>
          <w:trHeight w:val="346" w:hRule="exact"/>
        </w:trPr>
        <w:tc>
          <w:tcPr>
            <w:tcW w:w="2968" w:type="dxa"/>
            <w:tcBorders>
              <w:right w:val="single" w:sz="8" w:space="0" w:color="9BBA58"/>
            </w:tcBorders>
          </w:tcPr>
          <w:p>
            <w:pPr>
              <w:pStyle w:val="TableParagraph"/>
              <w:ind w:left="348" w:right="341"/>
              <w:jc w:val="center"/>
              <w:rPr>
                <w:sz w:val="20"/>
              </w:rPr>
            </w:pPr>
            <w:r>
              <w:rPr>
                <w:sz w:val="20"/>
              </w:rPr>
              <w:t>Streptococcus spp.</w:t>
            </w:r>
          </w:p>
        </w:tc>
        <w:tc>
          <w:tcPr>
            <w:tcW w:w="5608" w:type="dxa"/>
            <w:tcBorders>
              <w:left w:val="single" w:sz="8" w:space="0" w:color="9BBA58"/>
              <w:right w:val="single" w:sz="8" w:space="0" w:color="9BBA58"/>
            </w:tcBorders>
            <w:shd w:val="clear" w:color="auto" w:fill="E6EDD4"/>
          </w:tcPr>
          <w:p>
            <w:pPr>
              <w:pStyle w:val="TableParagraph"/>
              <w:tabs>
                <w:tab w:pos="3745" w:val="left" w:leader="none"/>
              </w:tabs>
              <w:ind w:left="950"/>
              <w:rPr>
                <w:sz w:val="20"/>
              </w:rPr>
            </w:pPr>
            <w:r>
              <w:rPr>
                <w:sz w:val="20"/>
              </w:rPr>
              <w:t>11/11</w:t>
              <w:tab/>
              <w:t>100%</w:t>
            </w:r>
          </w:p>
        </w:tc>
      </w:tr>
      <w:tr>
        <w:trPr>
          <w:trHeight w:val="346" w:hRule="exact"/>
        </w:trPr>
        <w:tc>
          <w:tcPr>
            <w:tcW w:w="2968" w:type="dxa"/>
            <w:tcBorders>
              <w:right w:val="single" w:sz="8" w:space="0" w:color="9BBA58"/>
            </w:tcBorders>
          </w:tcPr>
          <w:p>
            <w:pPr>
              <w:pStyle w:val="TableParagraph"/>
              <w:ind w:left="352" w:right="334"/>
              <w:jc w:val="center"/>
              <w:rPr>
                <w:sz w:val="20"/>
              </w:rPr>
            </w:pPr>
            <w:r>
              <w:rPr>
                <w:sz w:val="20"/>
              </w:rPr>
              <w:t>Hongos</w:t>
            </w:r>
          </w:p>
        </w:tc>
        <w:tc>
          <w:tcPr>
            <w:tcW w:w="5608" w:type="dxa"/>
            <w:tcBorders>
              <w:left w:val="single" w:sz="8" w:space="0" w:color="9BBA58"/>
              <w:right w:val="single" w:sz="8" w:space="0" w:color="9BBA58"/>
            </w:tcBorders>
          </w:tcPr>
          <w:p>
            <w:pPr>
              <w:pStyle w:val="TableParagraph"/>
              <w:tabs>
                <w:tab w:pos="3802" w:val="left" w:leader="none"/>
              </w:tabs>
              <w:ind w:left="1003"/>
              <w:rPr>
                <w:sz w:val="20"/>
              </w:rPr>
            </w:pPr>
            <w:r>
              <w:rPr>
                <w:sz w:val="20"/>
              </w:rPr>
              <w:t>3/11</w:t>
              <w:tab/>
            </w:r>
            <w:r>
              <w:rPr>
                <w:spacing w:val="-2"/>
                <w:sz w:val="20"/>
              </w:rPr>
              <w:t>27%</w:t>
            </w:r>
          </w:p>
        </w:tc>
      </w:tr>
      <w:tr>
        <w:trPr>
          <w:trHeight w:val="341" w:hRule="exact"/>
        </w:trPr>
        <w:tc>
          <w:tcPr>
            <w:tcW w:w="2968" w:type="dxa"/>
            <w:tcBorders>
              <w:right w:val="single" w:sz="8" w:space="0" w:color="9BBA58"/>
            </w:tcBorders>
          </w:tcPr>
          <w:p>
            <w:pPr>
              <w:pStyle w:val="TableParagraph"/>
              <w:ind w:left="350" w:right="341"/>
              <w:jc w:val="center"/>
              <w:rPr>
                <w:sz w:val="20"/>
              </w:rPr>
            </w:pPr>
            <w:r>
              <w:rPr>
                <w:sz w:val="20"/>
              </w:rPr>
              <w:t>Candida albicans</w:t>
            </w:r>
          </w:p>
        </w:tc>
        <w:tc>
          <w:tcPr>
            <w:tcW w:w="5608" w:type="dxa"/>
            <w:tcBorders>
              <w:left w:val="single" w:sz="8" w:space="0" w:color="9BBA58"/>
              <w:right w:val="single" w:sz="8" w:space="0" w:color="9BBA58"/>
            </w:tcBorders>
            <w:shd w:val="clear" w:color="auto" w:fill="E6EDD4"/>
          </w:tcPr>
          <w:p>
            <w:pPr>
              <w:pStyle w:val="TableParagraph"/>
              <w:tabs>
                <w:tab w:pos="3860" w:val="left" w:leader="none"/>
              </w:tabs>
              <w:ind w:left="1142"/>
              <w:rPr>
                <w:sz w:val="20"/>
              </w:rPr>
            </w:pPr>
            <w:r>
              <w:rPr>
                <w:sz w:val="20"/>
              </w:rPr>
              <w:t>0</w:t>
              <w:tab/>
              <w:t>0%</w:t>
            </w:r>
          </w:p>
        </w:tc>
      </w:tr>
    </w:tbl>
    <w:p>
      <w:pPr>
        <w:spacing w:after="0"/>
        <w:rPr>
          <w:sz w:val="20"/>
        </w:rPr>
        <w:sectPr>
          <w:pgSz w:w="12240" w:h="15840"/>
          <w:pgMar w:header="731" w:footer="1012" w:top="1160" w:bottom="1200" w:left="1460" w:right="1480"/>
        </w:sectPr>
      </w:pPr>
    </w:p>
    <w:p>
      <w:pPr>
        <w:pStyle w:val="BodyText"/>
        <w:spacing w:before="10"/>
        <w:rPr>
          <w:b/>
          <w:sz w:val="15"/>
        </w:rPr>
      </w:pPr>
    </w:p>
    <w:p>
      <w:pPr>
        <w:spacing w:line="360" w:lineRule="auto" w:before="76" w:after="14"/>
        <w:ind w:left="297" w:right="301" w:firstLine="2"/>
        <w:jc w:val="center"/>
        <w:rPr>
          <w:b/>
          <w:sz w:val="20"/>
        </w:rPr>
      </w:pPr>
      <w:r>
        <w:rPr>
          <w:b/>
          <w:color w:val="76923B"/>
          <w:sz w:val="20"/>
        </w:rPr>
        <w:t>Tabla 6. Tipo, proporción y frecuencia de microorganismos encontrados en las líneas de agua de alta velocidad de la clínica de operatoria dental de la Facultad de Odontología de la UAEM.</w:t>
      </w: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62"/>
        <w:gridCol w:w="5599"/>
      </w:tblGrid>
      <w:tr>
        <w:trPr>
          <w:trHeight w:val="374" w:hRule="exact"/>
        </w:trPr>
        <w:tc>
          <w:tcPr>
            <w:tcW w:w="3462" w:type="dxa"/>
            <w:tcBorders>
              <w:top w:val="single" w:sz="23" w:space="0" w:color="9BBA58"/>
              <w:right w:val="single" w:sz="8" w:space="0" w:color="9BBA58"/>
            </w:tcBorders>
          </w:tcPr>
          <w:p>
            <w:pPr/>
          </w:p>
        </w:tc>
        <w:tc>
          <w:tcPr>
            <w:tcW w:w="5599" w:type="dxa"/>
            <w:tcBorders>
              <w:top w:val="single" w:sz="23" w:space="0" w:color="9BBA58"/>
              <w:left w:val="single" w:sz="8" w:space="0" w:color="9BBA58"/>
              <w:right w:val="single" w:sz="8" w:space="0" w:color="9BBA58"/>
            </w:tcBorders>
            <w:shd w:val="clear" w:color="auto" w:fill="669900"/>
          </w:tcPr>
          <w:p>
            <w:pPr>
              <w:pStyle w:val="TableParagraph"/>
              <w:tabs>
                <w:tab w:pos="3375" w:val="left" w:leader="none"/>
              </w:tabs>
              <w:spacing w:line="220" w:lineRule="exact"/>
              <w:ind w:left="576"/>
              <w:rPr>
                <w:b/>
                <w:sz w:val="20"/>
              </w:rPr>
            </w:pPr>
            <w:r>
              <w:rPr>
                <w:b/>
                <w:color w:val="FFFFFF"/>
                <w:sz w:val="20"/>
              </w:rPr>
              <w:t>proporción</w:t>
              <w:tab/>
              <w:t>Frecuencia</w:t>
            </w:r>
          </w:p>
        </w:tc>
      </w:tr>
      <w:tr>
        <w:trPr>
          <w:trHeight w:val="346" w:hRule="exact"/>
        </w:trPr>
        <w:tc>
          <w:tcPr>
            <w:tcW w:w="3462" w:type="dxa"/>
            <w:tcBorders>
              <w:right w:val="single" w:sz="8" w:space="0" w:color="9BBA58"/>
            </w:tcBorders>
          </w:tcPr>
          <w:p>
            <w:pPr>
              <w:pStyle w:val="TableParagraph"/>
              <w:ind w:left="597" w:right="591"/>
              <w:jc w:val="center"/>
              <w:rPr>
                <w:sz w:val="20"/>
              </w:rPr>
            </w:pPr>
            <w:r>
              <w:rPr>
                <w:sz w:val="20"/>
              </w:rPr>
              <w:t>Pseudomona aeruginosa</w:t>
            </w:r>
          </w:p>
        </w:tc>
        <w:tc>
          <w:tcPr>
            <w:tcW w:w="5599" w:type="dxa"/>
            <w:tcBorders>
              <w:left w:val="single" w:sz="8" w:space="0" w:color="9BBA58"/>
              <w:right w:val="single" w:sz="8" w:space="0" w:color="9BBA58"/>
            </w:tcBorders>
          </w:tcPr>
          <w:p>
            <w:pPr>
              <w:pStyle w:val="TableParagraph"/>
              <w:tabs>
                <w:tab w:pos="3759" w:val="left" w:leader="none"/>
              </w:tabs>
              <w:ind w:left="1051"/>
              <w:rPr>
                <w:sz w:val="20"/>
              </w:rPr>
            </w:pPr>
            <w:r>
              <w:rPr>
                <w:sz w:val="20"/>
              </w:rPr>
              <w:t>0</w:t>
              <w:tab/>
              <w:t>0%</w:t>
            </w:r>
          </w:p>
        </w:tc>
      </w:tr>
      <w:tr>
        <w:trPr>
          <w:trHeight w:val="346" w:hRule="exact"/>
        </w:trPr>
        <w:tc>
          <w:tcPr>
            <w:tcW w:w="3462" w:type="dxa"/>
            <w:tcBorders>
              <w:right w:val="single" w:sz="8" w:space="0" w:color="9BBA58"/>
            </w:tcBorders>
          </w:tcPr>
          <w:p>
            <w:pPr>
              <w:pStyle w:val="TableParagraph"/>
              <w:ind w:left="597" w:right="590"/>
              <w:jc w:val="center"/>
              <w:rPr>
                <w:sz w:val="20"/>
              </w:rPr>
            </w:pPr>
            <w:r>
              <w:rPr>
                <w:sz w:val="20"/>
              </w:rPr>
              <w:t>Lactobacillus spp.</w:t>
            </w:r>
          </w:p>
        </w:tc>
        <w:tc>
          <w:tcPr>
            <w:tcW w:w="5599" w:type="dxa"/>
            <w:tcBorders>
              <w:left w:val="single" w:sz="8" w:space="0" w:color="9BBA58"/>
              <w:right w:val="single" w:sz="8" w:space="0" w:color="9BBA58"/>
            </w:tcBorders>
            <w:shd w:val="clear" w:color="auto" w:fill="E6EDD4"/>
          </w:tcPr>
          <w:p>
            <w:pPr>
              <w:pStyle w:val="TableParagraph"/>
              <w:tabs>
                <w:tab w:pos="3706" w:val="left" w:leader="none"/>
              </w:tabs>
              <w:ind w:left="854"/>
              <w:rPr>
                <w:sz w:val="20"/>
              </w:rPr>
            </w:pPr>
            <w:r>
              <w:rPr>
                <w:sz w:val="20"/>
              </w:rPr>
              <w:t>10/12</w:t>
              <w:tab/>
            </w:r>
            <w:r>
              <w:rPr>
                <w:spacing w:val="-2"/>
                <w:sz w:val="20"/>
              </w:rPr>
              <w:t>83%</w:t>
            </w:r>
          </w:p>
        </w:tc>
      </w:tr>
      <w:tr>
        <w:trPr>
          <w:trHeight w:val="346" w:hRule="exact"/>
        </w:trPr>
        <w:tc>
          <w:tcPr>
            <w:tcW w:w="3462" w:type="dxa"/>
            <w:tcBorders>
              <w:right w:val="single" w:sz="8" w:space="0" w:color="9BBA58"/>
            </w:tcBorders>
          </w:tcPr>
          <w:p>
            <w:pPr>
              <w:pStyle w:val="TableParagraph"/>
              <w:ind w:left="597" w:right="587"/>
              <w:jc w:val="center"/>
              <w:rPr>
                <w:sz w:val="20"/>
              </w:rPr>
            </w:pPr>
            <w:r>
              <w:rPr>
                <w:sz w:val="20"/>
              </w:rPr>
              <w:t>Escherichia coli</w:t>
            </w:r>
          </w:p>
        </w:tc>
        <w:tc>
          <w:tcPr>
            <w:tcW w:w="5599" w:type="dxa"/>
            <w:tcBorders>
              <w:left w:val="single" w:sz="8" w:space="0" w:color="9BBA58"/>
              <w:right w:val="single" w:sz="8" w:space="0" w:color="9BBA58"/>
            </w:tcBorders>
          </w:tcPr>
          <w:p>
            <w:pPr>
              <w:pStyle w:val="TableParagraph"/>
              <w:tabs>
                <w:tab w:pos="3706" w:val="left" w:leader="none"/>
              </w:tabs>
              <w:ind w:left="912"/>
              <w:rPr>
                <w:sz w:val="20"/>
              </w:rPr>
            </w:pPr>
            <w:r>
              <w:rPr>
                <w:sz w:val="20"/>
              </w:rPr>
              <w:t>6/12</w:t>
              <w:tab/>
            </w:r>
            <w:r>
              <w:rPr>
                <w:spacing w:val="-2"/>
                <w:sz w:val="20"/>
              </w:rPr>
              <w:t>50%</w:t>
            </w:r>
          </w:p>
        </w:tc>
      </w:tr>
      <w:tr>
        <w:trPr>
          <w:trHeight w:val="346" w:hRule="exact"/>
        </w:trPr>
        <w:tc>
          <w:tcPr>
            <w:tcW w:w="3462" w:type="dxa"/>
            <w:tcBorders>
              <w:right w:val="single" w:sz="8" w:space="0" w:color="9BBA58"/>
            </w:tcBorders>
          </w:tcPr>
          <w:p>
            <w:pPr>
              <w:pStyle w:val="TableParagraph"/>
              <w:ind w:left="597" w:right="585"/>
              <w:jc w:val="center"/>
              <w:rPr>
                <w:sz w:val="20"/>
              </w:rPr>
            </w:pPr>
            <w:r>
              <w:rPr>
                <w:sz w:val="20"/>
              </w:rPr>
              <w:t>Staphylococcus spp.</w:t>
            </w:r>
          </w:p>
        </w:tc>
        <w:tc>
          <w:tcPr>
            <w:tcW w:w="5599" w:type="dxa"/>
            <w:tcBorders>
              <w:left w:val="single" w:sz="8" w:space="0" w:color="9BBA58"/>
              <w:right w:val="single" w:sz="8" w:space="0" w:color="9BBA58"/>
            </w:tcBorders>
            <w:shd w:val="clear" w:color="auto" w:fill="E6EDD4"/>
          </w:tcPr>
          <w:p>
            <w:pPr>
              <w:pStyle w:val="TableParagraph"/>
              <w:tabs>
                <w:tab w:pos="3706" w:val="left" w:leader="none"/>
              </w:tabs>
              <w:ind w:left="854"/>
              <w:rPr>
                <w:sz w:val="20"/>
              </w:rPr>
            </w:pPr>
            <w:r>
              <w:rPr>
                <w:sz w:val="20"/>
              </w:rPr>
              <w:t>10/12</w:t>
              <w:tab/>
            </w:r>
            <w:r>
              <w:rPr>
                <w:spacing w:val="-2"/>
                <w:sz w:val="20"/>
              </w:rPr>
              <w:t>83%</w:t>
            </w:r>
          </w:p>
        </w:tc>
      </w:tr>
      <w:tr>
        <w:trPr>
          <w:trHeight w:val="346" w:hRule="exact"/>
        </w:trPr>
        <w:tc>
          <w:tcPr>
            <w:tcW w:w="3462" w:type="dxa"/>
            <w:tcBorders>
              <w:right w:val="single" w:sz="8" w:space="0" w:color="9BBA58"/>
            </w:tcBorders>
          </w:tcPr>
          <w:p>
            <w:pPr>
              <w:pStyle w:val="TableParagraph"/>
              <w:ind w:left="597" w:right="577"/>
              <w:jc w:val="center"/>
              <w:rPr>
                <w:sz w:val="20"/>
              </w:rPr>
            </w:pPr>
            <w:r>
              <w:rPr>
                <w:sz w:val="20"/>
              </w:rPr>
              <w:t>Legionella pneumophila</w:t>
            </w:r>
          </w:p>
        </w:tc>
        <w:tc>
          <w:tcPr>
            <w:tcW w:w="5599" w:type="dxa"/>
            <w:tcBorders>
              <w:left w:val="single" w:sz="8" w:space="0" w:color="9BBA58"/>
              <w:right w:val="single" w:sz="8" w:space="0" w:color="9BBA58"/>
            </w:tcBorders>
          </w:tcPr>
          <w:p>
            <w:pPr>
              <w:pStyle w:val="TableParagraph"/>
              <w:tabs>
                <w:tab w:pos="3649" w:val="left" w:leader="none"/>
              </w:tabs>
              <w:ind w:left="854"/>
              <w:rPr>
                <w:sz w:val="20"/>
              </w:rPr>
            </w:pPr>
            <w:r>
              <w:rPr>
                <w:sz w:val="20"/>
              </w:rPr>
              <w:t>12/12</w:t>
              <w:tab/>
              <w:t>100%</w:t>
            </w:r>
          </w:p>
        </w:tc>
      </w:tr>
      <w:tr>
        <w:trPr>
          <w:trHeight w:val="346" w:hRule="exact"/>
        </w:trPr>
        <w:tc>
          <w:tcPr>
            <w:tcW w:w="3462" w:type="dxa"/>
            <w:tcBorders>
              <w:right w:val="single" w:sz="8" w:space="0" w:color="9BBA58"/>
            </w:tcBorders>
          </w:tcPr>
          <w:p>
            <w:pPr>
              <w:pStyle w:val="TableParagraph"/>
              <w:ind w:left="597" w:right="585"/>
              <w:jc w:val="center"/>
              <w:rPr>
                <w:sz w:val="20"/>
              </w:rPr>
            </w:pPr>
            <w:r>
              <w:rPr>
                <w:sz w:val="20"/>
              </w:rPr>
              <w:t>Streptococcus spp.</w:t>
            </w:r>
          </w:p>
        </w:tc>
        <w:tc>
          <w:tcPr>
            <w:tcW w:w="5599" w:type="dxa"/>
            <w:tcBorders>
              <w:left w:val="single" w:sz="8" w:space="0" w:color="9BBA58"/>
              <w:right w:val="single" w:sz="8" w:space="0" w:color="9BBA58"/>
            </w:tcBorders>
            <w:shd w:val="clear" w:color="auto" w:fill="E6EDD4"/>
          </w:tcPr>
          <w:p>
            <w:pPr>
              <w:pStyle w:val="TableParagraph"/>
              <w:tabs>
                <w:tab w:pos="3649" w:val="left" w:leader="none"/>
              </w:tabs>
              <w:ind w:left="854"/>
              <w:rPr>
                <w:sz w:val="20"/>
              </w:rPr>
            </w:pPr>
            <w:r>
              <w:rPr>
                <w:sz w:val="20"/>
              </w:rPr>
              <w:t>12/12</w:t>
              <w:tab/>
              <w:t>100%</w:t>
            </w:r>
          </w:p>
        </w:tc>
      </w:tr>
      <w:tr>
        <w:trPr>
          <w:trHeight w:val="341" w:hRule="exact"/>
        </w:trPr>
        <w:tc>
          <w:tcPr>
            <w:tcW w:w="3462" w:type="dxa"/>
            <w:tcBorders>
              <w:right w:val="single" w:sz="8" w:space="0" w:color="9BBA58"/>
            </w:tcBorders>
          </w:tcPr>
          <w:p>
            <w:pPr>
              <w:pStyle w:val="TableParagraph"/>
              <w:ind w:left="597" w:right="584"/>
              <w:jc w:val="center"/>
              <w:rPr>
                <w:sz w:val="20"/>
              </w:rPr>
            </w:pPr>
            <w:r>
              <w:rPr>
                <w:sz w:val="20"/>
              </w:rPr>
              <w:t>Hongos</w:t>
            </w:r>
          </w:p>
        </w:tc>
        <w:tc>
          <w:tcPr>
            <w:tcW w:w="5599" w:type="dxa"/>
            <w:tcBorders>
              <w:left w:val="single" w:sz="8" w:space="0" w:color="9BBA58"/>
              <w:right w:val="single" w:sz="8" w:space="0" w:color="9BBA58"/>
            </w:tcBorders>
          </w:tcPr>
          <w:p>
            <w:pPr>
              <w:pStyle w:val="TableParagraph"/>
              <w:tabs>
                <w:tab w:pos="3759" w:val="left" w:leader="none"/>
              </w:tabs>
              <w:ind w:left="1051"/>
              <w:rPr>
                <w:sz w:val="20"/>
              </w:rPr>
            </w:pPr>
            <w:r>
              <w:rPr>
                <w:sz w:val="20"/>
              </w:rPr>
              <w:t>0</w:t>
              <w:tab/>
              <w:t>0%</w:t>
            </w:r>
          </w:p>
        </w:tc>
      </w:tr>
      <w:tr>
        <w:trPr>
          <w:trHeight w:val="346" w:hRule="exact"/>
        </w:trPr>
        <w:tc>
          <w:tcPr>
            <w:tcW w:w="3462" w:type="dxa"/>
            <w:tcBorders>
              <w:right w:val="single" w:sz="8" w:space="0" w:color="9BBA58"/>
            </w:tcBorders>
          </w:tcPr>
          <w:p>
            <w:pPr>
              <w:pStyle w:val="TableParagraph"/>
              <w:ind w:left="597" w:right="584"/>
              <w:jc w:val="center"/>
              <w:rPr>
                <w:sz w:val="20"/>
              </w:rPr>
            </w:pPr>
            <w:r>
              <w:rPr>
                <w:sz w:val="20"/>
              </w:rPr>
              <w:t>Candida albicans</w:t>
            </w:r>
          </w:p>
        </w:tc>
        <w:tc>
          <w:tcPr>
            <w:tcW w:w="5599" w:type="dxa"/>
            <w:tcBorders>
              <w:left w:val="single" w:sz="8" w:space="0" w:color="9BBA58"/>
              <w:right w:val="single" w:sz="8" w:space="0" w:color="9BBA58"/>
            </w:tcBorders>
            <w:shd w:val="clear" w:color="auto" w:fill="E6EDD4"/>
          </w:tcPr>
          <w:p>
            <w:pPr>
              <w:pStyle w:val="TableParagraph"/>
              <w:tabs>
                <w:tab w:pos="3759" w:val="left" w:leader="none"/>
              </w:tabs>
              <w:ind w:left="912"/>
              <w:rPr>
                <w:sz w:val="20"/>
              </w:rPr>
            </w:pPr>
            <w:r>
              <w:rPr>
                <w:sz w:val="20"/>
              </w:rPr>
              <w:t>1/12</w:t>
              <w:tab/>
              <w:t>8%</w:t>
            </w:r>
          </w:p>
        </w:tc>
      </w:tr>
    </w:tbl>
    <w:p>
      <w:pPr>
        <w:spacing w:after="0"/>
        <w:rPr>
          <w:sz w:val="20"/>
        </w:rPr>
        <w:sectPr>
          <w:pgSz w:w="12240" w:h="15840"/>
          <w:pgMar w:header="731" w:footer="1012" w:top="1160" w:bottom="1200" w:left="1460" w:right="1460"/>
        </w:sectPr>
      </w:pPr>
    </w:p>
    <w:p>
      <w:pPr>
        <w:pStyle w:val="BodyText"/>
        <w:spacing w:before="6"/>
        <w:rPr>
          <w:b/>
          <w:sz w:val="16"/>
        </w:rPr>
      </w:pPr>
    </w:p>
    <w:p>
      <w:pPr>
        <w:pStyle w:val="Heading2"/>
        <w:spacing w:before="69"/>
        <w:ind w:right="387"/>
      </w:pPr>
      <w:r>
        <w:rPr/>
        <w:t>FIGURAS</w:t>
      </w:r>
    </w:p>
    <w:p>
      <w:pPr>
        <w:pStyle w:val="BodyText"/>
        <w:spacing w:before="7"/>
        <w:rPr>
          <w:b/>
          <w:sz w:val="9"/>
        </w:rPr>
      </w:pPr>
      <w:r>
        <w:rPr/>
        <w:drawing>
          <wp:anchor distT="0" distB="0" distL="0" distR="0" allowOverlap="1" layoutInCell="1" locked="0" behindDoc="0" simplePos="0" relativeHeight="3064">
            <wp:simplePos x="0" y="0"/>
            <wp:positionH relativeFrom="page">
              <wp:posOffset>1080135</wp:posOffset>
            </wp:positionH>
            <wp:positionV relativeFrom="paragraph">
              <wp:posOffset>95466</wp:posOffset>
            </wp:positionV>
            <wp:extent cx="5602432" cy="4200525"/>
            <wp:effectExtent l="0" t="0" r="0" b="0"/>
            <wp:wrapTopAndBottom/>
            <wp:docPr id="25" name="image44.jpeg" descr=""/>
            <wp:cNvGraphicFramePr>
              <a:graphicFrameLocks noChangeAspect="1"/>
            </wp:cNvGraphicFramePr>
            <a:graphic>
              <a:graphicData uri="http://schemas.openxmlformats.org/drawingml/2006/picture">
                <pic:pic>
                  <pic:nvPicPr>
                    <pic:cNvPr id="26" name="image44.jpeg"/>
                    <pic:cNvPicPr/>
                  </pic:nvPicPr>
                  <pic:blipFill>
                    <a:blip r:embed="rId71" cstate="print"/>
                    <a:stretch>
                      <a:fillRect/>
                    </a:stretch>
                  </pic:blipFill>
                  <pic:spPr>
                    <a:xfrm>
                      <a:off x="0" y="0"/>
                      <a:ext cx="5602432" cy="4200525"/>
                    </a:xfrm>
                    <a:prstGeom prst="rect">
                      <a:avLst/>
                    </a:prstGeom>
                  </pic:spPr>
                </pic:pic>
              </a:graphicData>
            </a:graphic>
          </wp:anchor>
        </w:drawing>
      </w:r>
      <w:r>
        <w:rPr/>
        <w:drawing>
          <wp:anchor distT="0" distB="0" distL="0" distR="0" allowOverlap="1" layoutInCell="1" locked="0" behindDoc="0" simplePos="0" relativeHeight="3088">
            <wp:simplePos x="0" y="0"/>
            <wp:positionH relativeFrom="page">
              <wp:posOffset>1285239</wp:posOffset>
            </wp:positionH>
            <wp:positionV relativeFrom="paragraph">
              <wp:posOffset>4393146</wp:posOffset>
            </wp:positionV>
            <wp:extent cx="5196323" cy="3467100"/>
            <wp:effectExtent l="0" t="0" r="0" b="0"/>
            <wp:wrapTopAndBottom/>
            <wp:docPr id="27" name="image45.jpeg" descr=""/>
            <wp:cNvGraphicFramePr>
              <a:graphicFrameLocks noChangeAspect="1"/>
            </wp:cNvGraphicFramePr>
            <a:graphic>
              <a:graphicData uri="http://schemas.openxmlformats.org/drawingml/2006/picture">
                <pic:pic>
                  <pic:nvPicPr>
                    <pic:cNvPr id="28" name="image45.jpeg"/>
                    <pic:cNvPicPr/>
                  </pic:nvPicPr>
                  <pic:blipFill>
                    <a:blip r:embed="rId72" cstate="print"/>
                    <a:stretch>
                      <a:fillRect/>
                    </a:stretch>
                  </pic:blipFill>
                  <pic:spPr>
                    <a:xfrm>
                      <a:off x="0" y="0"/>
                      <a:ext cx="5196323" cy="3467100"/>
                    </a:xfrm>
                    <a:prstGeom prst="rect">
                      <a:avLst/>
                    </a:prstGeom>
                  </pic:spPr>
                </pic:pic>
              </a:graphicData>
            </a:graphic>
          </wp:anchor>
        </w:drawing>
      </w:r>
    </w:p>
    <w:p>
      <w:pPr>
        <w:pStyle w:val="BodyText"/>
        <w:spacing w:before="4"/>
        <w:rPr>
          <w:b/>
          <w:sz w:val="7"/>
        </w:rPr>
      </w:pPr>
    </w:p>
    <w:p>
      <w:pPr>
        <w:spacing w:after="0"/>
        <w:rPr>
          <w:sz w:val="7"/>
        </w:rPr>
        <w:sectPr>
          <w:pgSz w:w="12240" w:h="15840"/>
          <w:pgMar w:header="731" w:footer="1012" w:top="1160" w:bottom="1200" w:left="1480" w:right="1480"/>
        </w:sectPr>
      </w:pPr>
    </w:p>
    <w:p>
      <w:pPr>
        <w:pStyle w:val="BodyText"/>
        <w:spacing w:before="5"/>
        <w:rPr>
          <w:rFonts w:ascii="Times New Roman"/>
          <w:sz w:val="23"/>
        </w:rPr>
      </w:pPr>
    </w:p>
    <w:p>
      <w:pPr>
        <w:pStyle w:val="BodyText"/>
        <w:ind w:left="221"/>
        <w:rPr>
          <w:rFonts w:ascii="Times New Roman"/>
          <w:sz w:val="20"/>
        </w:rPr>
      </w:pPr>
      <w:r>
        <w:rPr>
          <w:rFonts w:ascii="Times New Roman"/>
          <w:sz w:val="20"/>
        </w:rPr>
        <w:drawing>
          <wp:inline distT="0" distB="0" distL="0" distR="0">
            <wp:extent cx="5600742" cy="4200525"/>
            <wp:effectExtent l="0" t="0" r="0" b="0"/>
            <wp:docPr id="29" name="image46.jpeg" descr=""/>
            <wp:cNvGraphicFramePr>
              <a:graphicFrameLocks noChangeAspect="1"/>
            </wp:cNvGraphicFramePr>
            <a:graphic>
              <a:graphicData uri="http://schemas.openxmlformats.org/drawingml/2006/picture">
                <pic:pic>
                  <pic:nvPicPr>
                    <pic:cNvPr id="30" name="image46.jpeg"/>
                    <pic:cNvPicPr/>
                  </pic:nvPicPr>
                  <pic:blipFill>
                    <a:blip r:embed="rId73" cstate="print"/>
                    <a:stretch>
                      <a:fillRect/>
                    </a:stretch>
                  </pic:blipFill>
                  <pic:spPr>
                    <a:xfrm>
                      <a:off x="0" y="0"/>
                      <a:ext cx="5600742" cy="4200525"/>
                    </a:xfrm>
                    <a:prstGeom prst="rect">
                      <a:avLst/>
                    </a:prstGeom>
                  </pic:spPr>
                </pic:pic>
              </a:graphicData>
            </a:graphic>
          </wp:inline>
        </w:drawing>
      </w:r>
      <w:r>
        <w:rPr>
          <w:rFonts w:ascii="Times New Roman"/>
          <w:sz w:val="20"/>
        </w:rPr>
      </w:r>
    </w:p>
    <w:p>
      <w:pPr>
        <w:pStyle w:val="BodyText"/>
        <w:spacing w:before="10"/>
        <w:rPr>
          <w:rFonts w:ascii="Times New Roman"/>
          <w:sz w:val="9"/>
        </w:rPr>
      </w:pPr>
      <w:r>
        <w:rPr/>
        <w:drawing>
          <wp:anchor distT="0" distB="0" distL="0" distR="0" allowOverlap="1" layoutInCell="1" locked="0" behindDoc="0" simplePos="0" relativeHeight="3112">
            <wp:simplePos x="0" y="0"/>
            <wp:positionH relativeFrom="page">
              <wp:posOffset>1081405</wp:posOffset>
            </wp:positionH>
            <wp:positionV relativeFrom="paragraph">
              <wp:posOffset>97116</wp:posOffset>
            </wp:positionV>
            <wp:extent cx="5606973" cy="3810000"/>
            <wp:effectExtent l="0" t="0" r="0" b="0"/>
            <wp:wrapTopAndBottom/>
            <wp:docPr id="31" name="image47.jpeg" descr=""/>
            <wp:cNvGraphicFramePr>
              <a:graphicFrameLocks noChangeAspect="1"/>
            </wp:cNvGraphicFramePr>
            <a:graphic>
              <a:graphicData uri="http://schemas.openxmlformats.org/drawingml/2006/picture">
                <pic:pic>
                  <pic:nvPicPr>
                    <pic:cNvPr id="32" name="image47.jpeg"/>
                    <pic:cNvPicPr/>
                  </pic:nvPicPr>
                  <pic:blipFill>
                    <a:blip r:embed="rId74" cstate="print"/>
                    <a:stretch>
                      <a:fillRect/>
                    </a:stretch>
                  </pic:blipFill>
                  <pic:spPr>
                    <a:xfrm>
                      <a:off x="0" y="0"/>
                      <a:ext cx="5606973" cy="3810000"/>
                    </a:xfrm>
                    <a:prstGeom prst="rect">
                      <a:avLst/>
                    </a:prstGeom>
                  </pic:spPr>
                </pic:pic>
              </a:graphicData>
            </a:graphic>
          </wp:anchor>
        </w:drawing>
      </w:r>
    </w:p>
    <w:p>
      <w:pPr>
        <w:spacing w:after="0"/>
        <w:rPr>
          <w:rFonts w:ascii="Times New Roman"/>
          <w:sz w:val="9"/>
        </w:rPr>
        <w:sectPr>
          <w:pgSz w:w="12240" w:h="15840"/>
          <w:pgMar w:header="731" w:footer="1012" w:top="1160" w:bottom="1200" w:left="1480" w:right="1480"/>
        </w:sectPr>
      </w:pPr>
    </w:p>
    <w:p>
      <w:pPr>
        <w:pStyle w:val="BodyText"/>
        <w:spacing w:before="6"/>
        <w:rPr>
          <w:rFonts w:ascii="Times New Roman"/>
          <w:sz w:val="16"/>
        </w:rPr>
      </w:pPr>
    </w:p>
    <w:p>
      <w:pPr>
        <w:pStyle w:val="ListParagraph"/>
        <w:numPr>
          <w:ilvl w:val="0"/>
          <w:numId w:val="6"/>
        </w:numPr>
        <w:tabs>
          <w:tab w:pos="4120" w:val="left" w:leader="none"/>
        </w:tabs>
        <w:spacing w:line="240" w:lineRule="auto" w:before="69" w:after="0"/>
        <w:ind w:left="4119" w:right="3" w:hanging="293"/>
        <w:jc w:val="center"/>
        <w:rPr>
          <w:b/>
          <w:sz w:val="24"/>
        </w:rPr>
      </w:pPr>
      <w:r>
        <w:rPr>
          <w:b/>
          <w:sz w:val="24"/>
        </w:rPr>
        <w:t>DISCUSIÓN</w:t>
      </w:r>
    </w:p>
    <w:p>
      <w:pPr>
        <w:pStyle w:val="BodyText"/>
        <w:rPr>
          <w:b/>
        </w:rPr>
      </w:pPr>
    </w:p>
    <w:p>
      <w:pPr>
        <w:pStyle w:val="BodyText"/>
        <w:spacing w:before="7"/>
        <w:rPr>
          <w:b/>
        </w:rPr>
      </w:pPr>
    </w:p>
    <w:p>
      <w:pPr>
        <w:pStyle w:val="BodyText"/>
        <w:spacing w:line="360" w:lineRule="auto" w:before="1"/>
        <w:ind w:left="219" w:right="219"/>
        <w:jc w:val="both"/>
      </w:pPr>
      <w:r>
        <w:rPr/>
        <w:t>Los resultados del presente estudio han puesto de manifiesto una gran y compleja comunidad microbiana que habita las líneas de agua de alta velocidad de las unidades dentales, el análisis de las 35 mangueras que conformaron la muestra  ha expuesto que el uso exclusivo de agua filtrada y purga es una  técnica  deficiente para el control </w:t>
      </w:r>
      <w:r>
        <w:rPr>
          <w:spacing w:val="3"/>
        </w:rPr>
        <w:t>de </w:t>
      </w:r>
      <w:r>
        <w:rPr/>
        <w:t>biopelícula, ya que permite el crecimiento de microorganismos por encima de lo propuesto por la Asociación Dental </w:t>
      </w:r>
      <w:r>
        <w:rPr>
          <w:spacing w:val="65"/>
        </w:rPr>
        <w:t> </w:t>
      </w:r>
      <w:r>
        <w:rPr/>
        <w:t>Americana</w:t>
      </w:r>
    </w:p>
    <w:p>
      <w:pPr>
        <w:pStyle w:val="BodyText"/>
        <w:spacing w:line="279" w:lineRule="exact"/>
        <w:ind w:left="219"/>
        <w:jc w:val="both"/>
      </w:pPr>
      <w:r>
        <w:rPr/>
        <w:t>(menos de 200UFC/ml). Al respecto, Singh y col.</w:t>
      </w:r>
      <w:r>
        <w:rPr>
          <w:position w:val="11"/>
          <w:sz w:val="16"/>
        </w:rPr>
        <w:t>76  </w:t>
      </w:r>
      <w:r>
        <w:rPr/>
        <w:t>han reportado un rango de</w:t>
      </w:r>
    </w:p>
    <w:p>
      <w:pPr>
        <w:pStyle w:val="BodyText"/>
        <w:spacing w:line="343" w:lineRule="auto" w:before="107"/>
        <w:ind w:left="219" w:right="216"/>
        <w:jc w:val="both"/>
      </w:pPr>
      <w:r>
        <w:rPr/>
        <w:t>entre 10</w:t>
      </w:r>
      <w:r>
        <w:rPr>
          <w:position w:val="11"/>
          <w:sz w:val="16"/>
        </w:rPr>
        <w:t>4 </w:t>
      </w:r>
      <w:r>
        <w:rPr/>
        <w:t>UFC/ml y 10</w:t>
      </w:r>
      <w:r>
        <w:rPr>
          <w:position w:val="11"/>
          <w:sz w:val="16"/>
        </w:rPr>
        <w:t>5 </w:t>
      </w:r>
      <w:r>
        <w:rPr/>
        <w:t>UFC/ml y Walker</w:t>
      </w:r>
      <w:r>
        <w:rPr>
          <w:position w:val="11"/>
          <w:sz w:val="16"/>
        </w:rPr>
        <w:t>14 </w:t>
      </w:r>
      <w:r>
        <w:rPr/>
        <w:t>indicó que las unidades dentales analizadas en su investigación tuvieron una carga microbiana de 500 a 10</w:t>
      </w:r>
      <w:r>
        <w:rPr>
          <w:position w:val="11"/>
          <w:sz w:val="16"/>
        </w:rPr>
        <w:t>5 </w:t>
      </w:r>
      <w:r>
        <w:rPr/>
        <w:t>UFC/ml, datos que  concuerdan con los resultados presentes.</w:t>
      </w:r>
    </w:p>
    <w:p>
      <w:pPr>
        <w:pStyle w:val="BodyText"/>
      </w:pPr>
    </w:p>
    <w:p>
      <w:pPr>
        <w:pStyle w:val="BodyText"/>
        <w:spacing w:line="350" w:lineRule="auto" w:before="163"/>
        <w:ind w:left="219" w:right="219"/>
        <w:jc w:val="both"/>
      </w:pPr>
      <w:r>
        <w:rPr/>
        <w:t>Al inicio de este estudio se esperaba que el uso de agua filtrada redujera el número de colonias establecidas en comparación con publicaciones donde fue utilizada agua de abastecimiento público</w:t>
      </w:r>
      <w:r>
        <w:rPr>
          <w:position w:val="11"/>
          <w:sz w:val="16"/>
        </w:rPr>
        <w:t>3,14,76</w:t>
      </w:r>
      <w:r>
        <w:rPr/>
        <w:t>, sin embargo, esto no fue así e incluso </w:t>
      </w:r>
      <w:r>
        <w:rPr>
          <w:spacing w:val="-3"/>
        </w:rPr>
        <w:t>se </w:t>
      </w:r>
      <w:r>
        <w:rPr/>
        <w:t>encontraron conteos superiores a los reportados. Por ello, es posible deducir</w:t>
      </w:r>
      <w:r>
        <w:rPr>
          <w:spacing w:val="31"/>
        </w:rPr>
        <w:t> </w:t>
      </w:r>
      <w:r>
        <w:rPr/>
        <w:t>que</w:t>
      </w:r>
      <w:r>
        <w:rPr>
          <w:spacing w:val="24"/>
        </w:rPr>
        <w:t> </w:t>
      </w:r>
      <w:r>
        <w:rPr/>
        <w:t>la</w:t>
      </w:r>
      <w:r>
        <w:rPr>
          <w:spacing w:val="28"/>
        </w:rPr>
        <w:t> </w:t>
      </w:r>
      <w:r>
        <w:rPr/>
        <w:t>calidad</w:t>
      </w:r>
      <w:r>
        <w:rPr>
          <w:spacing w:val="28"/>
        </w:rPr>
        <w:t> </w:t>
      </w:r>
      <w:r>
        <w:rPr/>
        <w:t>del</w:t>
      </w:r>
      <w:r>
        <w:rPr>
          <w:spacing w:val="32"/>
        </w:rPr>
        <w:t> </w:t>
      </w:r>
      <w:r>
        <w:rPr/>
        <w:t>agua</w:t>
      </w:r>
      <w:r>
        <w:rPr>
          <w:spacing w:val="28"/>
        </w:rPr>
        <w:t> </w:t>
      </w:r>
      <w:r>
        <w:rPr/>
        <w:t>que</w:t>
      </w:r>
      <w:r>
        <w:rPr>
          <w:spacing w:val="28"/>
        </w:rPr>
        <w:t> </w:t>
      </w:r>
      <w:r>
        <w:rPr/>
        <w:t>abastece</w:t>
      </w:r>
      <w:r>
        <w:rPr>
          <w:spacing w:val="28"/>
        </w:rPr>
        <w:t> </w:t>
      </w:r>
      <w:r>
        <w:rPr/>
        <w:t>a</w:t>
      </w:r>
      <w:r>
        <w:rPr>
          <w:spacing w:val="28"/>
        </w:rPr>
        <w:t> </w:t>
      </w:r>
      <w:r>
        <w:rPr/>
        <w:t>las</w:t>
      </w:r>
      <w:r>
        <w:rPr>
          <w:spacing w:val="28"/>
        </w:rPr>
        <w:t> </w:t>
      </w:r>
      <w:r>
        <w:rPr/>
        <w:t>unidades</w:t>
      </w:r>
      <w:r>
        <w:rPr>
          <w:spacing w:val="28"/>
        </w:rPr>
        <w:t> </w:t>
      </w:r>
      <w:r>
        <w:rPr/>
        <w:t>dentales</w:t>
      </w:r>
      <w:r>
        <w:rPr>
          <w:spacing w:val="28"/>
        </w:rPr>
        <w:t> </w:t>
      </w:r>
      <w:r>
        <w:rPr/>
        <w:t>no</w:t>
      </w:r>
      <w:r>
        <w:rPr>
          <w:spacing w:val="28"/>
        </w:rPr>
        <w:t> </w:t>
      </w:r>
      <w:r>
        <w:rPr/>
        <w:t>es</w:t>
      </w:r>
      <w:r>
        <w:rPr>
          <w:spacing w:val="28"/>
        </w:rPr>
        <w:t> </w:t>
      </w:r>
      <w:r>
        <w:rPr/>
        <w:t>un</w:t>
      </w:r>
    </w:p>
    <w:p>
      <w:pPr>
        <w:pStyle w:val="BodyText"/>
        <w:spacing w:line="360" w:lineRule="auto" w:before="18"/>
        <w:ind w:left="219" w:right="217"/>
        <w:jc w:val="both"/>
      </w:pPr>
      <w:r>
        <w:rPr/>
        <w:t>factor único a modificar para aminorar los niveles de microorganismos patógenos presentes en la biopelícula, lo cual sugiere que se debe controlar también la existencia del proceso mecánico de aspiración y retorno de flujo de saliva de los pacientes.</w:t>
      </w:r>
    </w:p>
    <w:p>
      <w:pPr>
        <w:pStyle w:val="BodyText"/>
      </w:pPr>
    </w:p>
    <w:p>
      <w:pPr>
        <w:pStyle w:val="BodyText"/>
        <w:spacing w:line="352" w:lineRule="auto" w:before="144"/>
        <w:ind w:left="219" w:right="215"/>
        <w:jc w:val="both"/>
      </w:pPr>
      <w:r>
        <w:rPr/>
        <w:t>Con base en lo anterior, los microorganismos encontrados en el análisis basal, correspondiente al uso de agua filtrada y purga, se encontró que la mayoría de ellos fueron Gram negativos concordando con diversos autores</w:t>
      </w:r>
      <w:r>
        <w:rPr>
          <w:position w:val="11"/>
          <w:sz w:val="16"/>
        </w:rPr>
        <w:t>3-6</w:t>
      </w:r>
      <w:r>
        <w:rPr/>
        <w:t>. En específico, los patógenos oportunistas descubiertos en esta fase de la investigación han sido frecuentemente expuestos en diversas publicaciones</w:t>
      </w:r>
      <w:r>
        <w:rPr>
          <w:position w:val="11"/>
          <w:sz w:val="16"/>
        </w:rPr>
        <w:t>7-9,53,76</w:t>
      </w:r>
      <w:r>
        <w:rPr/>
        <w:t>, lo cual es  preocupante ya que son responsables de enfermedades infecciosas de alto riesgo y tienen el potencial de ser transmitidos a través de la pieza de mano de alta velocidad promoviendo con ello la infección cruzada. Es importante observar  </w:t>
      </w:r>
      <w:r>
        <w:rPr>
          <w:spacing w:val="36"/>
        </w:rPr>
        <w:t> </w:t>
      </w:r>
      <w:r>
        <w:rPr/>
        <w:t>que</w:t>
      </w:r>
    </w:p>
    <w:p>
      <w:pPr>
        <w:spacing w:after="0" w:line="352" w:lineRule="auto"/>
        <w:jc w:val="both"/>
        <w:sectPr>
          <w:pgSz w:w="12240" w:h="15840"/>
          <w:pgMar w:header="731" w:footer="1012" w:top="1160" w:bottom="1200" w:left="1480" w:right="1480"/>
        </w:sectPr>
      </w:pPr>
    </w:p>
    <w:p>
      <w:pPr>
        <w:pStyle w:val="BodyText"/>
        <w:spacing w:before="11"/>
        <w:rPr>
          <w:sz w:val="16"/>
        </w:rPr>
      </w:pPr>
    </w:p>
    <w:p>
      <w:pPr>
        <w:pStyle w:val="BodyText"/>
        <w:spacing w:line="355" w:lineRule="auto" w:before="69"/>
        <w:ind w:left="219" w:right="215"/>
        <w:jc w:val="both"/>
      </w:pPr>
      <w:r>
        <w:rPr/>
        <w:t>se detectaron bacterias no sólo propias de la cavidad oral (</w:t>
      </w:r>
      <w:r>
        <w:rPr>
          <w:i/>
        </w:rPr>
        <w:t>Streptococcus spp., </w:t>
      </w:r>
      <w:r>
        <w:rPr>
          <w:i/>
        </w:rPr>
        <w:t>Lactobacillus spp.</w:t>
      </w:r>
      <w:r>
        <w:rPr/>
        <w:t>), sino también de vías respiratorias (</w:t>
      </w:r>
      <w:r>
        <w:rPr>
          <w:i/>
        </w:rPr>
        <w:t>Staphylococcus spp., </w:t>
      </w:r>
      <w:r>
        <w:rPr>
          <w:i/>
        </w:rPr>
        <w:t>Legionella pneumophila</w:t>
      </w:r>
      <w:r>
        <w:rPr/>
        <w:t>), de sistema digestivo e indicador de contaminación fecal (</w:t>
      </w:r>
      <w:r>
        <w:rPr>
          <w:i/>
        </w:rPr>
        <w:t>Escherichia coli</w:t>
      </w:r>
      <w:r>
        <w:rPr/>
        <w:t>) y levaduras (</w:t>
      </w:r>
      <w:r>
        <w:rPr>
          <w:i/>
        </w:rPr>
        <w:t>Candida albicans</w:t>
      </w:r>
      <w:r>
        <w:rPr/>
        <w:t>) así como hongos, cuya especie no fue determinada por no ser parte del objetivo del presente trabajo, pero que  han sido reportados por otras investigaciones</w:t>
      </w:r>
      <w:r>
        <w:rPr>
          <w:position w:val="11"/>
          <w:sz w:val="16"/>
        </w:rPr>
        <w:t>9</w:t>
      </w:r>
      <w:r>
        <w:rPr/>
        <w:t>. La presencia de esta mezcla de microorganismos enfatiza nuevamente la necesidad de controlar la retrosucción y la posibilidad de infección cruzada entre pacientes sucesivos, lo cual es de vital importancia  porque  se  sabe   que  frecuentemente  los  pacientes  no    </w:t>
      </w:r>
      <w:r>
        <w:rPr>
          <w:spacing w:val="16"/>
        </w:rPr>
        <w:t> </w:t>
      </w:r>
      <w:r>
        <w:rPr/>
        <w:t>reportan</w:t>
      </w:r>
    </w:p>
    <w:p>
      <w:pPr>
        <w:pStyle w:val="BodyText"/>
        <w:spacing w:line="360" w:lineRule="auto" w:before="13"/>
        <w:ind w:left="219" w:right="214"/>
        <w:jc w:val="both"/>
      </w:pPr>
      <w:r>
        <w:rPr/>
        <w:t>síntomas relacionados con procesos infecciosos, ya que no asocian la exposición al agua contaminada de las unidades dentales con estas afecciones, por lo tanto, no hay datos suficientes para considerar este hallazgo como un problema de salud pública. De ahí que la sugerencia de adicionar un antimicrobiano al agua de reservorios independientes sea una opción verdaderamente viable.</w:t>
      </w:r>
    </w:p>
    <w:p>
      <w:pPr>
        <w:pStyle w:val="BodyText"/>
      </w:pPr>
    </w:p>
    <w:p>
      <w:pPr>
        <w:pStyle w:val="BodyText"/>
        <w:spacing w:line="352" w:lineRule="auto" w:before="139"/>
        <w:ind w:left="219" w:right="215"/>
        <w:jc w:val="both"/>
      </w:pPr>
      <w:r>
        <w:rPr/>
        <w:t>Al respecto, el uso diario y continuo de plata coloidal demostró ser eficaz para reducir la cantidad de UFC/ml en el 99% de las unidades dentales por debajo de lo establecido por la ADA y aunque la plata coloidal no ha sido utilizada en este ramo de la odontología, existe evidencia de su eficacia en ámbitos similares, Nawaz</w:t>
      </w:r>
      <w:r>
        <w:rPr>
          <w:position w:val="11"/>
          <w:sz w:val="16"/>
        </w:rPr>
        <w:t>77 </w:t>
      </w:r>
      <w:r>
        <w:rPr/>
        <w:t>concuerda con esta capacidad bactericida al realizar un estudio para desinfectar agua proveniente de lluvia donde obtuvo conteos por debajo de 45 UFC/ml concordante con el presente análisis; por su parte Feng</w:t>
      </w:r>
      <w:r>
        <w:rPr>
          <w:position w:val="11"/>
          <w:sz w:val="16"/>
        </w:rPr>
        <w:t>78 </w:t>
      </w:r>
      <w:r>
        <w:rPr/>
        <w:t>también documenta la actividad antimicrobiana de la plata para purificación de agua y Silvestry- Rodriguez</w:t>
      </w:r>
      <w:r>
        <w:rPr>
          <w:position w:val="11"/>
          <w:sz w:val="16"/>
        </w:rPr>
        <w:t>79 </w:t>
      </w:r>
      <w:r>
        <w:rPr/>
        <w:t>muestra el alto nivel biocida de los iones de plata en comparación con otros metales pesados. Los resultados expresados por ambos autores coinciden con el producto de esta investigación donde la plata coloidal mostró especial eficacia respecto a la eliminación de microorganismos patógenos oportunistas.</w:t>
      </w:r>
    </w:p>
    <w:p>
      <w:pPr>
        <w:pStyle w:val="BodyText"/>
        <w:spacing w:before="9"/>
        <w:rPr>
          <w:sz w:val="33"/>
        </w:rPr>
      </w:pPr>
    </w:p>
    <w:p>
      <w:pPr>
        <w:pStyle w:val="BodyText"/>
        <w:spacing w:line="360" w:lineRule="auto"/>
        <w:ind w:left="219" w:right="216"/>
        <w:jc w:val="both"/>
      </w:pPr>
      <w:r>
        <w:rPr/>
        <w:t>Así mismo, en un estudio experimental de diez años de duración, Stout</w:t>
      </w:r>
      <w:r>
        <w:rPr>
          <w:position w:val="11"/>
          <w:sz w:val="16"/>
        </w:rPr>
        <w:t>80 </w:t>
      </w:r>
      <w:r>
        <w:rPr/>
        <w:t>reporta que la ionización con plata logró la erradicación de </w:t>
      </w:r>
      <w:r>
        <w:rPr>
          <w:i/>
        </w:rPr>
        <w:t>Legionella pneumophila </w:t>
      </w:r>
      <w:r>
        <w:rPr/>
        <w:t>al 100% en tuberías de hospitales donde era frecuente la infección por esta bacteria,</w:t>
      </w:r>
    </w:p>
    <w:p>
      <w:pPr>
        <w:spacing w:after="0" w:line="360" w:lineRule="auto"/>
        <w:jc w:val="both"/>
        <w:sectPr>
          <w:pgSz w:w="12240" w:h="15840"/>
          <w:pgMar w:header="731" w:footer="1012" w:top="1160" w:bottom="1200" w:left="1480" w:right="1480"/>
        </w:sectPr>
      </w:pPr>
    </w:p>
    <w:p>
      <w:pPr>
        <w:pStyle w:val="BodyText"/>
        <w:spacing w:before="11"/>
        <w:rPr>
          <w:sz w:val="16"/>
        </w:rPr>
      </w:pPr>
    </w:p>
    <w:p>
      <w:pPr>
        <w:pStyle w:val="BodyText"/>
        <w:spacing w:line="360" w:lineRule="auto" w:before="69"/>
        <w:ind w:left="219" w:right="213"/>
        <w:jc w:val="both"/>
      </w:pPr>
      <w:r>
        <w:rPr/>
        <w:t>ajustándose a los resultados de este estudio donde también se logró su eliminación total. Este </w:t>
      </w:r>
      <w:r>
        <w:rPr>
          <w:spacing w:val="-3"/>
        </w:rPr>
        <w:t>mismo </w:t>
      </w:r>
      <w:r>
        <w:rPr/>
        <w:t>reporte muestra que la plata tiene una eficacia a largo plazo en la reducción de este patógeno oportunista, lo cual será posible verificar en estudios subsiguientes ya que en el presente experimento sólo se tuvo un</w:t>
      </w:r>
      <w:r>
        <w:rPr>
          <w:spacing w:val="35"/>
        </w:rPr>
        <w:t> </w:t>
      </w:r>
      <w:r>
        <w:rPr/>
        <w:t>tiempo</w:t>
      </w:r>
      <w:r>
        <w:rPr>
          <w:spacing w:val="35"/>
        </w:rPr>
        <w:t> </w:t>
      </w:r>
      <w:r>
        <w:rPr/>
        <w:t>de</w:t>
      </w:r>
      <w:r>
        <w:rPr>
          <w:spacing w:val="35"/>
        </w:rPr>
        <w:t> </w:t>
      </w:r>
      <w:r>
        <w:rPr/>
        <w:t>uso</w:t>
      </w:r>
      <w:r>
        <w:rPr>
          <w:spacing w:val="35"/>
        </w:rPr>
        <w:t> </w:t>
      </w:r>
      <w:r>
        <w:rPr/>
        <w:t>de</w:t>
      </w:r>
      <w:r>
        <w:rPr>
          <w:spacing w:val="31"/>
        </w:rPr>
        <w:t> </w:t>
      </w:r>
      <w:r>
        <w:rPr/>
        <w:t>cuatro</w:t>
      </w:r>
      <w:r>
        <w:rPr>
          <w:spacing w:val="35"/>
        </w:rPr>
        <w:t> </w:t>
      </w:r>
      <w:r>
        <w:rPr/>
        <w:t>semanas.</w:t>
      </w:r>
      <w:r>
        <w:rPr>
          <w:spacing w:val="43"/>
        </w:rPr>
        <w:t> </w:t>
      </w:r>
      <w:r>
        <w:rPr/>
        <w:t>El</w:t>
      </w:r>
      <w:r>
        <w:rPr>
          <w:spacing w:val="39"/>
        </w:rPr>
        <w:t> </w:t>
      </w:r>
      <w:r>
        <w:rPr/>
        <w:t>uso</w:t>
      </w:r>
      <w:r>
        <w:rPr>
          <w:spacing w:val="35"/>
        </w:rPr>
        <w:t> </w:t>
      </w:r>
      <w:r>
        <w:rPr/>
        <w:t>de</w:t>
      </w:r>
      <w:r>
        <w:rPr>
          <w:spacing w:val="31"/>
        </w:rPr>
        <w:t> </w:t>
      </w:r>
      <w:r>
        <w:rPr/>
        <w:t>plata</w:t>
      </w:r>
      <w:r>
        <w:rPr>
          <w:spacing w:val="31"/>
        </w:rPr>
        <w:t> </w:t>
      </w:r>
      <w:r>
        <w:rPr/>
        <w:t>coloidal</w:t>
      </w:r>
      <w:r>
        <w:rPr>
          <w:spacing w:val="34"/>
        </w:rPr>
        <w:t> </w:t>
      </w:r>
      <w:r>
        <w:rPr/>
        <w:t>logró</w:t>
      </w:r>
      <w:r>
        <w:rPr>
          <w:spacing w:val="33"/>
        </w:rPr>
        <w:t> </w:t>
      </w:r>
      <w:r>
        <w:rPr/>
        <w:t>también</w:t>
      </w:r>
      <w:r>
        <w:rPr>
          <w:spacing w:val="32"/>
        </w:rPr>
        <w:t> </w:t>
      </w:r>
      <w:r>
        <w:rPr/>
        <w:t>la</w:t>
      </w:r>
    </w:p>
    <w:p>
      <w:pPr>
        <w:pStyle w:val="BodyText"/>
        <w:spacing w:line="348" w:lineRule="auto" w:before="7"/>
        <w:ind w:left="219" w:right="214"/>
        <w:jc w:val="both"/>
      </w:pPr>
      <w:r>
        <w:rPr/>
        <w:t>eliminación de </w:t>
      </w:r>
      <w:r>
        <w:rPr>
          <w:i/>
        </w:rPr>
        <w:t>Pseudomona aeruginosa y Escherichia coli </w:t>
      </w:r>
      <w:r>
        <w:rPr/>
        <w:t>contrastando con los resultados obtenidos con Nawaz</w:t>
      </w:r>
      <w:r>
        <w:rPr>
          <w:position w:val="11"/>
          <w:sz w:val="16"/>
        </w:rPr>
        <w:t>77 </w:t>
      </w:r>
      <w:r>
        <w:rPr/>
        <w:t>donde es posible ver que el uso de una mezcla de 0.01mg de cristales de plata con agua destilada lograron la supresión de dichos microorganismos.</w:t>
      </w:r>
    </w:p>
    <w:p>
      <w:pPr>
        <w:pStyle w:val="BodyText"/>
      </w:pPr>
    </w:p>
    <w:p>
      <w:pPr>
        <w:pStyle w:val="BodyText"/>
        <w:spacing w:line="360" w:lineRule="auto" w:before="158"/>
        <w:ind w:left="219" w:right="214"/>
        <w:jc w:val="both"/>
      </w:pPr>
      <w:r>
        <w:rPr/>
        <w:t>En cuanto a eventos de tipo práctico relacionados con el uso de plata coloidal,  ésta no arrojó fallas mecánicas ni disolución de tubos, tampoco fue reportada una inadecuada visibilidad del </w:t>
      </w:r>
      <w:r>
        <w:rPr>
          <w:spacing w:val="-3"/>
        </w:rPr>
        <w:t>campo </w:t>
      </w:r>
      <w:r>
        <w:rPr/>
        <w:t>de trabajo, dificultad para la succión ni olor o sabor desagradable percibido por los pacientes. </w:t>
      </w:r>
      <w:r>
        <w:rPr>
          <w:spacing w:val="-4"/>
        </w:rPr>
        <w:t>El </w:t>
      </w:r>
      <w:r>
        <w:rPr/>
        <w:t>único inconveniente fue la presencia de sedimentos café pardos propios de la precipitación de los ingredientes del coloide, los cuales </w:t>
      </w:r>
      <w:r>
        <w:rPr>
          <w:spacing w:val="-3"/>
        </w:rPr>
        <w:t>se </w:t>
      </w:r>
      <w:r>
        <w:rPr/>
        <w:t>eliminaron fácilmente con el uso único de agua sin necesidad de</w:t>
      </w:r>
      <w:r>
        <w:rPr>
          <w:spacing w:val="-13"/>
        </w:rPr>
        <w:t> </w:t>
      </w:r>
      <w:r>
        <w:rPr/>
        <w:t>detergente.</w:t>
      </w:r>
    </w:p>
    <w:p>
      <w:pPr>
        <w:pStyle w:val="BodyText"/>
      </w:pPr>
    </w:p>
    <w:p>
      <w:pPr>
        <w:pStyle w:val="BodyText"/>
        <w:spacing w:line="348" w:lineRule="auto" w:before="144"/>
        <w:ind w:left="219" w:right="216"/>
        <w:jc w:val="both"/>
      </w:pPr>
      <w:r>
        <w:rPr/>
        <w:t>Con relación al uso del gluconato de clorhexidina, el cual ha sido probado como antimicrobiano en líneas de agua de unidades dentales y reportado en diversos estudios</w:t>
      </w:r>
      <w:r>
        <w:rPr>
          <w:position w:val="11"/>
          <w:sz w:val="16"/>
        </w:rPr>
        <w:t>10,11,18,82, </w:t>
      </w:r>
      <w:r>
        <w:rPr/>
        <w:t>en la presente investigación, su uso continuo no logró reducir los niveles   de   colonias   para   cumplir   satisfactoriamente   con   los    </w:t>
      </w:r>
      <w:r>
        <w:rPr>
          <w:spacing w:val="66"/>
        </w:rPr>
        <w:t> </w:t>
      </w:r>
      <w:r>
        <w:rPr/>
        <w:t>parámetros</w:t>
      </w:r>
    </w:p>
    <w:p>
      <w:pPr>
        <w:pStyle w:val="BodyText"/>
        <w:spacing w:line="348" w:lineRule="auto" w:before="21"/>
        <w:ind w:left="219" w:right="222"/>
        <w:jc w:val="both"/>
      </w:pPr>
      <w:r>
        <w:rPr/>
        <w:t>internacionales propuestos, lo cual puede deberse a varios factores, sin embargo los </w:t>
      </w:r>
      <w:r>
        <w:rPr>
          <w:spacing w:val="-3"/>
        </w:rPr>
        <w:t>más </w:t>
      </w:r>
      <w:r>
        <w:rPr/>
        <w:t>consistentes se refieren a las propiedades inherentes de la clorhexidina cuya capacidad antimicrobiana se ve disminuida por contacto con materia  orgánica y exposición a la</w:t>
      </w:r>
      <w:r>
        <w:rPr>
          <w:spacing w:val="-18"/>
        </w:rPr>
        <w:t> </w:t>
      </w:r>
      <w:r>
        <w:rPr/>
        <w:t>luz</w:t>
      </w:r>
      <w:r>
        <w:rPr>
          <w:position w:val="11"/>
          <w:sz w:val="16"/>
        </w:rPr>
        <w:t>67,68</w:t>
      </w:r>
      <w:r>
        <w:rPr/>
        <w:t>.</w:t>
      </w:r>
    </w:p>
    <w:p>
      <w:pPr>
        <w:pStyle w:val="BodyText"/>
        <w:spacing w:before="2"/>
        <w:rPr>
          <w:sz w:val="36"/>
        </w:rPr>
      </w:pPr>
    </w:p>
    <w:p>
      <w:pPr>
        <w:pStyle w:val="BodyText"/>
        <w:spacing w:line="360" w:lineRule="auto" w:before="1"/>
        <w:ind w:left="219" w:right="223"/>
        <w:jc w:val="both"/>
      </w:pPr>
      <w:r>
        <w:rPr/>
        <w:t>El hecho de que la eficacia del gluconato de clorhexidina no fuera suficiente para la eliminación de </w:t>
      </w:r>
      <w:r>
        <w:rPr>
          <w:i/>
        </w:rPr>
        <w:t>Legionella pneumophila</w:t>
      </w:r>
      <w:r>
        <w:rPr/>
        <w:t>, es un punto desfavorable, puesto que sus resultados fueron comparables con los del nivel basal cuya presencia es </w:t>
      </w:r>
      <w:r>
        <w:rPr>
          <w:spacing w:val="-3"/>
        </w:rPr>
        <w:t>muy </w:t>
      </w:r>
      <w:r>
        <w:rPr/>
        <w:t>alta y de interés, ya que puede ser un factor causal de enfermedad respiratoria.</w:t>
      </w:r>
      <w:r>
        <w:rPr>
          <w:spacing w:val="3"/>
        </w:rPr>
        <w:t> </w:t>
      </w:r>
      <w:r>
        <w:rPr/>
        <w:t>Lo</w:t>
      </w:r>
    </w:p>
    <w:p>
      <w:pPr>
        <w:spacing w:after="0" w:line="360" w:lineRule="auto"/>
        <w:jc w:val="both"/>
        <w:sectPr>
          <w:footerReference w:type="default" r:id="rId75"/>
          <w:pgSz w:w="12240" w:h="15840"/>
          <w:pgMar w:footer="1012" w:header="731" w:top="1160" w:bottom="1200" w:left="1480" w:right="1480"/>
        </w:sectPr>
      </w:pPr>
    </w:p>
    <w:p>
      <w:pPr>
        <w:pStyle w:val="BodyText"/>
        <w:spacing w:before="11"/>
        <w:rPr>
          <w:sz w:val="16"/>
        </w:rPr>
      </w:pPr>
    </w:p>
    <w:p>
      <w:pPr>
        <w:pStyle w:val="BodyText"/>
        <w:spacing w:line="352" w:lineRule="auto" w:before="69"/>
        <w:ind w:left="219" w:right="214"/>
        <w:jc w:val="both"/>
      </w:pPr>
      <w:r>
        <w:rPr/>
        <w:t>que sí logró, fue una reducción de </w:t>
      </w:r>
      <w:r>
        <w:rPr>
          <w:i/>
        </w:rPr>
        <w:t>Streptococcus spp. </w:t>
      </w:r>
      <w:r>
        <w:rPr/>
        <w:t>mayor que la de Staphylococcus spp., en comparación con el uso de plata coloidal, lo que  demostró que los </w:t>
      </w:r>
      <w:r>
        <w:rPr>
          <w:i/>
        </w:rPr>
        <w:t>Strepcococcus </w:t>
      </w:r>
      <w:r>
        <w:rPr/>
        <w:t>son </w:t>
      </w:r>
      <w:r>
        <w:rPr>
          <w:spacing w:val="-3"/>
        </w:rPr>
        <w:t>más </w:t>
      </w:r>
      <w:r>
        <w:rPr/>
        <w:t>sensibles que los estafilococos a este compuesto</w:t>
      </w:r>
      <w:r>
        <w:rPr>
          <w:position w:val="11"/>
          <w:sz w:val="16"/>
        </w:rPr>
        <w:t>67</w:t>
      </w:r>
      <w:r>
        <w:rPr/>
        <w:t>. McBain</w:t>
      </w:r>
      <w:r>
        <w:rPr>
          <w:position w:val="11"/>
          <w:sz w:val="16"/>
        </w:rPr>
        <w:t>68 </w:t>
      </w:r>
      <w:r>
        <w:rPr/>
        <w:t>por su parte, refiere que la clorhexidina no es un agente útil para la eliminación  de  </w:t>
      </w:r>
      <w:r>
        <w:rPr>
          <w:i/>
        </w:rPr>
        <w:t>Lactobacillus  spp.</w:t>
      </w:r>
      <w:r>
        <w:rPr/>
        <w:t>, lo  cual  fue  comprobado al  existir   un</w:t>
      </w:r>
    </w:p>
    <w:p>
      <w:pPr>
        <w:pStyle w:val="BodyText"/>
        <w:spacing w:before="15"/>
        <w:ind w:left="219"/>
        <w:jc w:val="both"/>
      </w:pPr>
      <w:r>
        <w:rPr/>
        <w:t>incremento en aproximadamente el 99% respecto a la medición basal.</w:t>
      </w:r>
    </w:p>
    <w:p>
      <w:pPr>
        <w:pStyle w:val="BodyText"/>
      </w:pPr>
    </w:p>
    <w:p>
      <w:pPr>
        <w:pStyle w:val="BodyText"/>
        <w:spacing w:before="9"/>
        <w:rPr>
          <w:sz w:val="23"/>
        </w:rPr>
      </w:pPr>
    </w:p>
    <w:p>
      <w:pPr>
        <w:pStyle w:val="BodyText"/>
        <w:spacing w:line="360" w:lineRule="auto"/>
        <w:ind w:left="219" w:right="219"/>
        <w:jc w:val="both"/>
      </w:pPr>
      <w:r>
        <w:rPr/>
        <w:t>En cuanto a percances prácticos relacionados con el uso de gluconato de clorhexidina no se encontraron fallas mecánicas ni disolución de tubos por el uso de las sustancias estudiadas, sin embargo, se detectó un cambió de coloración de las botellas, de blanco a rosa pálido, además, los alumnos involucrados en el trabajo clínico de las unidades dentales en estudio, reportaron la formación de espuma, lo que les impedía una adecuada visibilidad del campo de trabajo, dificultad para la succión y desagrado ocasional debido al sabor, reportado por los pacientes.</w:t>
      </w:r>
    </w:p>
    <w:p>
      <w:pPr>
        <w:pStyle w:val="BodyText"/>
      </w:pPr>
    </w:p>
    <w:p>
      <w:pPr>
        <w:pStyle w:val="BodyText"/>
        <w:spacing w:line="360" w:lineRule="auto" w:before="139"/>
        <w:ind w:left="219" w:right="217"/>
        <w:jc w:val="both"/>
      </w:pPr>
      <w:r>
        <w:rPr/>
        <w:t>Es interesante prestar atención en la prueba de ANOVA, donde se puede observar que no existen diferencias significativas entre las clínicas incluidas, lo que demuestra que los tratamientos fueron administrados en las </w:t>
      </w:r>
      <w:r>
        <w:rPr>
          <w:spacing w:val="-2"/>
        </w:rPr>
        <w:t>mismas </w:t>
      </w:r>
      <w:r>
        <w:rPr/>
        <w:t>condiciones y de la misma manera en las distintas áreas probadas, obteniéndose de esta  manera medias similares en las tres</w:t>
      </w:r>
      <w:r>
        <w:rPr>
          <w:spacing w:val="-16"/>
        </w:rPr>
        <w:t> </w:t>
      </w:r>
      <w:r>
        <w:rPr/>
        <w:t>clínicas.</w:t>
      </w:r>
    </w:p>
    <w:p>
      <w:pPr>
        <w:pStyle w:val="BodyText"/>
        <w:spacing w:before="5"/>
        <w:rPr>
          <w:sz w:val="33"/>
        </w:rPr>
      </w:pPr>
    </w:p>
    <w:p>
      <w:pPr>
        <w:pStyle w:val="BodyText"/>
        <w:spacing w:line="352" w:lineRule="auto" w:before="1"/>
        <w:ind w:left="219" w:right="216"/>
        <w:jc w:val="both"/>
      </w:pPr>
      <w:r>
        <w:rPr/>
        <w:t>A pesar de que diversas investigaciones, como la de Pankhurst y col.</w:t>
      </w:r>
      <w:r>
        <w:rPr>
          <w:position w:val="11"/>
          <w:sz w:val="16"/>
        </w:rPr>
        <w:t>54 </w:t>
      </w:r>
      <w:r>
        <w:rPr/>
        <w:t>o la de Chacon y cols.</w:t>
      </w:r>
      <w:r>
        <w:rPr>
          <w:position w:val="11"/>
          <w:sz w:val="16"/>
        </w:rPr>
        <w:t>83</w:t>
      </w:r>
      <w:r>
        <w:rPr/>
        <w:t>, demuestran la colonización de </w:t>
      </w:r>
      <w:r>
        <w:rPr>
          <w:i/>
        </w:rPr>
        <w:t>P. aeruginosa </w:t>
      </w:r>
      <w:r>
        <w:rPr/>
        <w:t>en muestras de agua proveniente de unidades dentales públicas y privadas, en los resultados aquí presentados es notorio que esta bacteria fue localizada única y exclusivamente en la clínica de endodoncia. Se deduce que ya que los procedimientos   endodónticos</w:t>
      </w:r>
    </w:p>
    <w:p>
      <w:pPr>
        <w:pStyle w:val="BodyText"/>
        <w:spacing w:line="360" w:lineRule="auto" w:before="11"/>
        <w:ind w:left="219" w:right="218"/>
        <w:jc w:val="both"/>
      </w:pPr>
      <w:r>
        <w:rPr/>
        <w:t>de rutina (tratamiento de infecciones del canal radicular) implican la remoción de tejido infectado y muerto mecánicamente lo cual involucra una amplia gama de bacterias,  </w:t>
      </w:r>
      <w:r>
        <w:rPr>
          <w:spacing w:val="3"/>
        </w:rPr>
        <w:t>la  </w:t>
      </w:r>
      <w:r>
        <w:rPr/>
        <w:t>microflora  total  que  generalmente  es  encontrada  es  similar   </w:t>
      </w:r>
      <w:r>
        <w:rPr>
          <w:spacing w:val="53"/>
        </w:rPr>
        <w:t> </w:t>
      </w:r>
      <w:r>
        <w:rPr/>
        <w:t>en</w:t>
      </w:r>
    </w:p>
    <w:p>
      <w:pPr>
        <w:spacing w:after="0" w:line="360" w:lineRule="auto"/>
        <w:jc w:val="both"/>
        <w:sectPr>
          <w:footerReference w:type="default" r:id="rId76"/>
          <w:pgSz w:w="12240" w:h="15840"/>
          <w:pgMar w:footer="1012" w:header="731" w:top="1160" w:bottom="1200" w:left="1480" w:right="1480"/>
          <w:pgNumType w:start="101"/>
        </w:sectPr>
      </w:pPr>
    </w:p>
    <w:p>
      <w:pPr>
        <w:pStyle w:val="BodyText"/>
        <w:spacing w:before="11"/>
        <w:rPr>
          <w:sz w:val="16"/>
        </w:rPr>
      </w:pPr>
    </w:p>
    <w:p>
      <w:pPr>
        <w:pStyle w:val="BodyText"/>
        <w:spacing w:line="333" w:lineRule="auto" w:before="69"/>
        <w:ind w:left="219" w:right="215"/>
        <w:jc w:val="both"/>
      </w:pPr>
      <w:r>
        <w:rPr/>
        <w:t>naturaleza a aquella presente en abscesos dentoalveolares agudos lo cual lleva a comprender la presencia de </w:t>
      </w:r>
      <w:r>
        <w:rPr>
          <w:i/>
        </w:rPr>
        <w:t>P. aeruginosa </w:t>
      </w:r>
      <w:r>
        <w:rPr/>
        <w:t>en este medio en específico</w:t>
      </w:r>
      <w:r>
        <w:rPr>
          <w:position w:val="11"/>
          <w:sz w:val="16"/>
        </w:rPr>
        <w:t>84</w:t>
      </w:r>
      <w:r>
        <w:rPr/>
        <w:t>.</w:t>
      </w:r>
    </w:p>
    <w:p>
      <w:pPr>
        <w:pStyle w:val="BodyText"/>
        <w:spacing w:before="5"/>
        <w:rPr>
          <w:sz w:val="37"/>
        </w:rPr>
      </w:pPr>
    </w:p>
    <w:p>
      <w:pPr>
        <w:pStyle w:val="BodyText"/>
        <w:spacing w:line="357" w:lineRule="auto"/>
        <w:ind w:left="219" w:right="214"/>
        <w:jc w:val="both"/>
      </w:pPr>
      <w:r>
        <w:rPr/>
        <w:t>Así mismo, en los resultados presentados se muestra que </w:t>
      </w:r>
      <w:r>
        <w:rPr>
          <w:i/>
        </w:rPr>
        <w:t>Candida albicans </w:t>
      </w:r>
      <w:r>
        <w:rPr/>
        <w:t>solo fue encontrada en la clínica de operatoria dental, coincidiendo con algunos autores</w:t>
      </w:r>
      <w:r>
        <w:rPr>
          <w:position w:val="11"/>
          <w:sz w:val="16"/>
        </w:rPr>
        <w:t>47,85,86</w:t>
      </w:r>
      <w:r>
        <w:rPr/>
        <w:t>, que reportan la presencia de esta levadura sin especificar el tipo de clínica analizada. Es probable que dicha contaminación se deba a la presencia de candidiasis en alguno de los pacientes atendidos en esa unidad dental, con lo que se puede pensar en la posibilidad real de que a través de la retrosucción el microorganismo haya contaminado la manguera, con lo que se hace patente la necesidad de un mejor método </w:t>
      </w:r>
      <w:r>
        <w:rPr>
          <w:spacing w:val="-3"/>
        </w:rPr>
        <w:t>más </w:t>
      </w:r>
      <w:r>
        <w:rPr/>
        <w:t>allá de la purga para eliminar los microorganismos que colonizan la biopelícula presente </w:t>
      </w:r>
      <w:r>
        <w:rPr>
          <w:spacing w:val="5"/>
        </w:rPr>
        <w:t>en </w:t>
      </w:r>
      <w:r>
        <w:rPr/>
        <w:t>estos sistemas y así evitar el riesgo latente de inocularlos    </w:t>
      </w:r>
      <w:r>
        <w:rPr>
          <w:spacing w:val="58"/>
        </w:rPr>
        <w:t> </w:t>
      </w:r>
      <w:r>
        <w:rPr/>
        <w:t>de un paciente a otro o de los pacientes al</w:t>
      </w:r>
    </w:p>
    <w:p>
      <w:pPr>
        <w:pStyle w:val="BodyText"/>
        <w:spacing w:before="10"/>
        <w:ind w:left="219"/>
        <w:jc w:val="both"/>
      </w:pPr>
      <w:r>
        <w:rPr/>
        <w:t>personal odontológico.</w:t>
      </w:r>
    </w:p>
    <w:p>
      <w:pPr>
        <w:pStyle w:val="BodyText"/>
      </w:pPr>
    </w:p>
    <w:p>
      <w:pPr>
        <w:pStyle w:val="BodyText"/>
        <w:spacing w:before="9"/>
        <w:rPr>
          <w:sz w:val="23"/>
        </w:rPr>
      </w:pPr>
    </w:p>
    <w:p>
      <w:pPr>
        <w:pStyle w:val="BodyText"/>
        <w:spacing w:line="352" w:lineRule="auto"/>
        <w:ind w:left="219" w:right="218"/>
        <w:jc w:val="both"/>
      </w:pPr>
      <w:r>
        <w:rPr>
          <w:i/>
        </w:rPr>
        <w:t>Escherichia coli</w:t>
      </w:r>
      <w:r>
        <w:rPr/>
        <w:t>, fue encontrada en las tres clínicas evaluadas coincidiendo con lo reportado por Panagakos y col.</w:t>
      </w:r>
      <w:r>
        <w:rPr>
          <w:position w:val="11"/>
          <w:sz w:val="16"/>
        </w:rPr>
        <w:t>87</w:t>
      </w:r>
      <w:r>
        <w:rPr/>
        <w:t>, sin embargo, la clínica de operatoria dental fue la que tuvo un mayor número de unidades dentales contaminadas. Es bien conocido y frecuentemente reportado por la literatura que la transmisión de </w:t>
      </w:r>
      <w:r>
        <w:rPr>
          <w:i/>
        </w:rPr>
        <w:t>E. coli</w:t>
      </w:r>
      <w:r>
        <w:rPr/>
        <w:t>, un microorganismos propio del   </w:t>
      </w:r>
      <w:r>
        <w:rPr>
          <w:spacing w:val="37"/>
        </w:rPr>
        <w:t> </w:t>
      </w:r>
      <w:r>
        <w:rPr/>
        <w:t>sistema digestivo y patógeno oportunista de gran</w:t>
      </w:r>
    </w:p>
    <w:p>
      <w:pPr>
        <w:pStyle w:val="BodyText"/>
        <w:spacing w:line="355" w:lineRule="auto" w:before="11"/>
        <w:ind w:left="219" w:right="214"/>
        <w:jc w:val="both"/>
      </w:pPr>
      <w:r>
        <w:rPr/>
        <w:t>consideración en países en desarrollo, es uno de los responsables de infecciones diarreicas que según la Organización Mundial de la Salud provocan la muerte de un menor cada 15 segundos alrededor del mundo</w:t>
      </w:r>
      <w:r>
        <w:rPr>
          <w:position w:val="11"/>
          <w:sz w:val="16"/>
        </w:rPr>
        <w:t>88</w:t>
      </w:r>
      <w:r>
        <w:rPr/>
        <w:t>. Su transmisión se lleva a cabo por la vía oro-fecal y en países en vías de desarrollo la principal vía de transmisión es el agua contaminada. Se ha demostrado que en los países industrializados la transmisión por alimentos es la principal causa de la enfermedad, se considera también que el aire mediante la formación de  aerosoles,</w:t>
      </w:r>
      <w:r>
        <w:rPr>
          <w:spacing w:val="27"/>
        </w:rPr>
        <w:t> </w:t>
      </w:r>
      <w:r>
        <w:rPr/>
        <w:t>podría</w:t>
      </w:r>
      <w:r>
        <w:rPr>
          <w:spacing w:val="32"/>
        </w:rPr>
        <w:t> </w:t>
      </w:r>
      <w:r>
        <w:rPr/>
        <w:t>ser</w:t>
      </w:r>
      <w:r>
        <w:rPr>
          <w:spacing w:val="28"/>
        </w:rPr>
        <w:t> </w:t>
      </w:r>
      <w:r>
        <w:rPr/>
        <w:t>una</w:t>
      </w:r>
      <w:r>
        <w:rPr>
          <w:spacing w:val="27"/>
        </w:rPr>
        <w:t> </w:t>
      </w:r>
      <w:r>
        <w:rPr/>
        <w:t>forma</w:t>
      </w:r>
      <w:r>
        <w:rPr>
          <w:spacing w:val="31"/>
        </w:rPr>
        <w:t> </w:t>
      </w:r>
      <w:r>
        <w:rPr/>
        <w:t>de</w:t>
      </w:r>
      <w:r>
        <w:rPr>
          <w:spacing w:val="31"/>
        </w:rPr>
        <w:t> </w:t>
      </w:r>
      <w:r>
        <w:rPr/>
        <w:t>diseminación</w:t>
      </w:r>
      <w:r>
        <w:rPr>
          <w:spacing w:val="28"/>
        </w:rPr>
        <w:t> </w:t>
      </w:r>
      <w:r>
        <w:rPr/>
        <w:t>de</w:t>
      </w:r>
      <w:r>
        <w:rPr>
          <w:spacing w:val="23"/>
        </w:rPr>
        <w:t> </w:t>
      </w:r>
      <w:r>
        <w:rPr/>
        <w:t>la</w:t>
      </w:r>
      <w:r>
        <w:rPr>
          <w:spacing w:val="31"/>
        </w:rPr>
        <w:t> </w:t>
      </w:r>
      <w:r>
        <w:rPr/>
        <w:t>bacteria.</w:t>
      </w:r>
      <w:r>
        <w:rPr>
          <w:spacing w:val="27"/>
        </w:rPr>
        <w:t> </w:t>
      </w:r>
      <w:r>
        <w:rPr/>
        <w:t>Los</w:t>
      </w:r>
      <w:r>
        <w:rPr>
          <w:spacing w:val="27"/>
        </w:rPr>
        <w:t> </w:t>
      </w:r>
      <w:r>
        <w:rPr/>
        <w:t>reservorios</w:t>
      </w:r>
    </w:p>
    <w:p>
      <w:pPr>
        <w:pStyle w:val="BodyText"/>
        <w:spacing w:line="345" w:lineRule="auto" w:before="8"/>
        <w:ind w:left="219" w:right="215"/>
        <w:jc w:val="both"/>
      </w:pPr>
      <w:r>
        <w:rPr/>
        <w:t>incluyen principalmente a niños y adultos que en ocasiones son portadores asintomáticos y a personas que manejan infantes</w:t>
      </w:r>
      <w:r>
        <w:rPr>
          <w:position w:val="11"/>
          <w:sz w:val="16"/>
        </w:rPr>
        <w:t>89,90</w:t>
      </w:r>
      <w:r>
        <w:rPr/>
        <w:t>. Al respecto, </w:t>
      </w:r>
      <w:r>
        <w:rPr>
          <w:spacing w:val="-3"/>
        </w:rPr>
        <w:t>se </w:t>
      </w:r>
      <w:r>
        <w:rPr/>
        <w:t>puede deducir  que  la  contaminación  por  </w:t>
      </w:r>
      <w:r>
        <w:rPr>
          <w:i/>
        </w:rPr>
        <w:t>E.  coli</w:t>
      </w:r>
      <w:r>
        <w:rPr/>
        <w:t>,  en  los  sistemas  evaluados  </w:t>
      </w:r>
      <w:r>
        <w:rPr>
          <w:spacing w:val="64"/>
        </w:rPr>
        <w:t> </w:t>
      </w:r>
      <w:r>
        <w:rPr/>
        <w:t>podría</w:t>
      </w:r>
    </w:p>
    <w:p>
      <w:pPr>
        <w:spacing w:after="0" w:line="345" w:lineRule="auto"/>
        <w:jc w:val="both"/>
        <w:sectPr>
          <w:pgSz w:w="12240" w:h="15840"/>
          <w:pgMar w:header="731" w:footer="1012" w:top="1160" w:bottom="1200" w:left="1480" w:right="1480"/>
        </w:sectPr>
      </w:pPr>
    </w:p>
    <w:p>
      <w:pPr>
        <w:pStyle w:val="BodyText"/>
        <w:spacing w:before="11"/>
        <w:rPr>
          <w:sz w:val="16"/>
        </w:rPr>
      </w:pPr>
    </w:p>
    <w:p>
      <w:pPr>
        <w:pStyle w:val="BodyText"/>
        <w:spacing w:line="360" w:lineRule="auto" w:before="69"/>
        <w:ind w:left="219" w:right="220"/>
        <w:jc w:val="both"/>
      </w:pPr>
      <w:r>
        <w:rPr/>
        <w:t>deberse a las malas condiciones de higiene bucal de los pacientes atendidos, ya que de estar relacionado con la contaminación del agua de abastecimiento de las unidades dentales, es probable que la mayoría de ellas estuvieran infectadas y no sólo una proporción menor al 50% como la que se reporta. Por ello, se propone enfatizar y vigilar el uso de antisépticos bucales antes de las intervenciones odontológicas que coadyuve a disminuir la carga microbiana propia de la boca de los pacientes para contribuir  a disminuir la contaminación de las líneas de agua.</w:t>
      </w:r>
    </w:p>
    <w:p>
      <w:pPr>
        <w:pStyle w:val="BodyText"/>
      </w:pPr>
    </w:p>
    <w:p>
      <w:pPr>
        <w:pStyle w:val="BodyText"/>
        <w:spacing w:line="360" w:lineRule="auto" w:before="139"/>
        <w:ind w:left="219" w:right="215"/>
        <w:jc w:val="both"/>
      </w:pPr>
      <w:r>
        <w:rPr/>
        <w:t>En cuanto a la clínica de odontopediatría, ésta coincidió con la mayoría de los microorganismos reportados en las otras dos clínicas, sin embargo, se debe observar que fue la única clínica donde se encontró la presencia de hongos filamentosos, esto es de gran importancia ya que  existen  diversos  estudios  sobre los altos niveles de contaminación bacteriana, pero poco se sabe acerca </w:t>
      </w:r>
      <w:r>
        <w:rPr>
          <w:spacing w:val="6"/>
        </w:rPr>
        <w:t> </w:t>
      </w:r>
      <w:r>
        <w:rPr/>
        <w:t>de</w:t>
      </w:r>
    </w:p>
    <w:p>
      <w:pPr>
        <w:pStyle w:val="BodyText"/>
        <w:spacing w:line="338" w:lineRule="auto" w:before="8"/>
        <w:ind w:left="219" w:right="216"/>
        <w:jc w:val="both"/>
      </w:pPr>
      <w:r>
        <w:rPr/>
        <w:t>la contaminación fúngica en líneas de agua de unidades dentales. En este trabajo se coincide con lo obtenido por Goksay</w:t>
      </w:r>
      <w:r>
        <w:rPr>
          <w:position w:val="11"/>
          <w:sz w:val="16"/>
        </w:rPr>
        <w:t>91 </w:t>
      </w:r>
      <w:r>
        <w:rPr/>
        <w:t>y por Araujo y Contreras</w:t>
      </w:r>
      <w:r>
        <w:rPr>
          <w:position w:val="11"/>
          <w:sz w:val="16"/>
        </w:rPr>
        <w:t>92 </w:t>
      </w:r>
      <w:r>
        <w:rPr/>
        <w:t>que reportan hongos filamentosos en muestras de agua de unidades dentales. </w:t>
      </w:r>
      <w:r>
        <w:rPr>
          <w:i/>
        </w:rPr>
        <w:t>Aspergillus y </w:t>
      </w:r>
      <w:r>
        <w:rPr>
          <w:i/>
        </w:rPr>
        <w:t>Penicillium </w:t>
      </w:r>
      <w:r>
        <w:rPr/>
        <w:t>son los géneros prevalentes que se han aislado en estos sistemas</w:t>
      </w:r>
      <w:r>
        <w:rPr>
          <w:position w:val="11"/>
          <w:sz w:val="16"/>
        </w:rPr>
        <w:t>93,94</w:t>
      </w:r>
      <w:r>
        <w:rPr/>
        <w:t>.</w:t>
      </w:r>
    </w:p>
    <w:p>
      <w:pPr>
        <w:pStyle w:val="BodyText"/>
        <w:spacing w:before="4"/>
        <w:rPr>
          <w:sz w:val="37"/>
        </w:rPr>
      </w:pPr>
    </w:p>
    <w:p>
      <w:pPr>
        <w:pStyle w:val="BodyText"/>
        <w:spacing w:line="360" w:lineRule="auto"/>
        <w:ind w:left="219" w:right="217"/>
        <w:jc w:val="both"/>
      </w:pPr>
      <w:r>
        <w:rPr/>
        <w:t>Está documentado que las esporas de estos miembros pueden causar reacciones alérgicas, asma y otros problemas respiratorios. La literatura ha sugerido que las esporas de hongos y fragmentos de hifas pueden ser aerosolizadas cuando el agua contaminada pasa a través de equipos dentales. Además, varios hongos filamentosos también son potenciales productores de toxinas, y la exposición a pequeñas cantidades de estas durante varios años puede tener efectos negativos sobre el sistema inmunológico, por lo que estos resultados muestran nuevos datos de utilidad para establecer estrategias dirigidas no solo al control bacteriano sino micotico de los sistemas estudiados.</w:t>
      </w:r>
    </w:p>
    <w:p>
      <w:pPr>
        <w:pStyle w:val="BodyText"/>
      </w:pPr>
    </w:p>
    <w:p>
      <w:pPr>
        <w:pStyle w:val="BodyText"/>
        <w:spacing w:line="360" w:lineRule="auto" w:before="140"/>
        <w:ind w:left="219" w:right="225"/>
        <w:jc w:val="both"/>
      </w:pPr>
      <w:r>
        <w:rPr/>
        <w:t>De manera consecuente a todo lo abordado, específicamente al conocimiento de que las medias obtenidas a partir del uso de clorhexidina y plata coloidal sean estadísticamente  distintas  y  significativas, </w:t>
      </w:r>
      <w:r>
        <w:rPr>
          <w:spacing w:val="-2"/>
        </w:rPr>
        <w:t>además  </w:t>
      </w:r>
      <w:r>
        <w:rPr/>
        <w:t>de  observar la  capacidad de</w:t>
      </w:r>
    </w:p>
    <w:p>
      <w:pPr>
        <w:spacing w:after="0" w:line="360" w:lineRule="auto"/>
        <w:jc w:val="both"/>
        <w:sectPr>
          <w:pgSz w:w="12240" w:h="15840"/>
          <w:pgMar w:header="731" w:footer="1012" w:top="1160" w:bottom="1200" w:left="1480" w:right="1480"/>
        </w:sectPr>
      </w:pPr>
    </w:p>
    <w:p>
      <w:pPr>
        <w:pStyle w:val="BodyText"/>
        <w:spacing w:before="11"/>
        <w:rPr>
          <w:sz w:val="16"/>
        </w:rPr>
      </w:pPr>
    </w:p>
    <w:p>
      <w:pPr>
        <w:pStyle w:val="BodyText"/>
        <w:spacing w:line="360" w:lineRule="auto" w:before="69"/>
        <w:ind w:left="219" w:right="215"/>
        <w:jc w:val="both"/>
      </w:pPr>
      <w:r>
        <w:rPr/>
        <w:t>eliminación de microorganismos patógenos y de sus menores inconvenientes en cuanto al uso, se puede deducir que efectivamente, la eficacia de la plata coloidal es superior a la de la clorhexidina, con un efecto antimicrobiano más consistente y sostenido, utilizándola de manera continua.</w:t>
      </w:r>
    </w:p>
    <w:p>
      <w:pPr>
        <w:spacing w:after="0" w:line="360" w:lineRule="auto"/>
        <w:jc w:val="both"/>
        <w:sectPr>
          <w:pgSz w:w="12240" w:h="15840"/>
          <w:pgMar w:header="731" w:footer="1012" w:top="1160" w:bottom="1200" w:left="1480" w:right="1480"/>
        </w:sectPr>
      </w:pPr>
    </w:p>
    <w:p>
      <w:pPr>
        <w:pStyle w:val="BodyText"/>
        <w:spacing w:before="6"/>
        <w:rPr>
          <w:sz w:val="16"/>
        </w:rPr>
      </w:pPr>
    </w:p>
    <w:p>
      <w:pPr>
        <w:pStyle w:val="Heading2"/>
        <w:numPr>
          <w:ilvl w:val="0"/>
          <w:numId w:val="6"/>
        </w:numPr>
        <w:tabs>
          <w:tab w:pos="3846" w:val="left" w:leader="none"/>
        </w:tabs>
        <w:spacing w:line="240" w:lineRule="auto" w:before="69" w:after="0"/>
        <w:ind w:left="3845" w:right="7" w:hanging="355"/>
        <w:jc w:val="center"/>
      </w:pPr>
      <w:r>
        <w:rPr/>
        <w:t>CONCLUSIONES</w:t>
      </w:r>
    </w:p>
    <w:p>
      <w:pPr>
        <w:pStyle w:val="BodyText"/>
        <w:rPr>
          <w:b/>
        </w:rPr>
      </w:pPr>
    </w:p>
    <w:p>
      <w:pPr>
        <w:pStyle w:val="BodyText"/>
        <w:spacing w:before="6"/>
        <w:rPr>
          <w:b/>
        </w:rPr>
      </w:pPr>
    </w:p>
    <w:p>
      <w:pPr>
        <w:pStyle w:val="ListParagraph"/>
        <w:numPr>
          <w:ilvl w:val="1"/>
          <w:numId w:val="12"/>
        </w:numPr>
        <w:tabs>
          <w:tab w:pos="941" w:val="left" w:leader="none"/>
        </w:tabs>
        <w:spacing w:line="360" w:lineRule="auto" w:before="0" w:after="0"/>
        <w:ind w:left="940" w:right="216" w:hanging="360"/>
        <w:jc w:val="both"/>
        <w:rPr>
          <w:sz w:val="24"/>
        </w:rPr>
      </w:pPr>
      <w:r>
        <w:rPr>
          <w:sz w:val="24"/>
        </w:rPr>
        <w:t>Es fácil pronosticar que el rápido crecimiento científico y tecnológico actual llevará a largo plazo al diseño de unidades dentales con líneas de agua elaboradas con materiales que inhiban la producción y establecimiento de biopelículas, y a la compra de las </w:t>
      </w:r>
      <w:r>
        <w:rPr>
          <w:spacing w:val="-2"/>
          <w:sz w:val="24"/>
        </w:rPr>
        <w:t>mismas </w:t>
      </w:r>
      <w:r>
        <w:rPr>
          <w:sz w:val="24"/>
        </w:rPr>
        <w:t>con la consecuente actualización de los consultorios y clínicas dentales, sin embargo, en el corto plazo se requiere de desinfectantes eficaces que promuevan el cumplimiento de las normas y logren reducir el riesgo de infección y contaminación</w:t>
      </w:r>
      <w:r>
        <w:rPr>
          <w:spacing w:val="-15"/>
          <w:sz w:val="24"/>
        </w:rPr>
        <w:t> </w:t>
      </w:r>
      <w:r>
        <w:rPr>
          <w:sz w:val="24"/>
        </w:rPr>
        <w:t>cruzada.</w:t>
      </w:r>
    </w:p>
    <w:p>
      <w:pPr>
        <w:pStyle w:val="BodyText"/>
      </w:pPr>
    </w:p>
    <w:p>
      <w:pPr>
        <w:pStyle w:val="ListParagraph"/>
        <w:numPr>
          <w:ilvl w:val="1"/>
          <w:numId w:val="12"/>
        </w:numPr>
        <w:tabs>
          <w:tab w:pos="941" w:val="left" w:leader="none"/>
        </w:tabs>
        <w:spacing w:line="357" w:lineRule="auto" w:before="138" w:after="0"/>
        <w:ind w:left="940" w:right="214" w:hanging="360"/>
        <w:jc w:val="both"/>
        <w:rPr>
          <w:sz w:val="24"/>
        </w:rPr>
      </w:pPr>
      <w:r>
        <w:rPr>
          <w:sz w:val="24"/>
        </w:rPr>
        <w:t>Los resultados obtenidos en este estudio pueden proporcionar datos sólidos respecto a la utilización de plata coloidal como un agente antibactericida, de alta disponibilidad, no tóxico y eficaz para lograr mejorar la calidad del medio ambiente clínico</w:t>
      </w:r>
      <w:r>
        <w:rPr>
          <w:spacing w:val="-11"/>
          <w:sz w:val="24"/>
        </w:rPr>
        <w:t> </w:t>
      </w:r>
      <w:r>
        <w:rPr>
          <w:sz w:val="24"/>
        </w:rPr>
        <w:t>dental.</w:t>
      </w:r>
    </w:p>
    <w:p>
      <w:pPr>
        <w:spacing w:after="0" w:line="357" w:lineRule="auto"/>
        <w:jc w:val="both"/>
        <w:rPr>
          <w:sz w:val="24"/>
        </w:rPr>
        <w:sectPr>
          <w:pgSz w:w="12240" w:h="15840"/>
          <w:pgMar w:header="731" w:footer="1012" w:top="1160" w:bottom="1200" w:left="1480" w:right="1480"/>
        </w:sectPr>
      </w:pPr>
    </w:p>
    <w:p>
      <w:pPr>
        <w:pStyle w:val="BodyText"/>
        <w:spacing w:before="6"/>
        <w:rPr>
          <w:sz w:val="16"/>
        </w:rPr>
      </w:pPr>
    </w:p>
    <w:p>
      <w:pPr>
        <w:pStyle w:val="Heading2"/>
        <w:numPr>
          <w:ilvl w:val="0"/>
          <w:numId w:val="6"/>
        </w:numPr>
        <w:tabs>
          <w:tab w:pos="4249" w:val="left" w:leader="none"/>
        </w:tabs>
        <w:spacing w:line="240" w:lineRule="auto" w:before="69" w:after="0"/>
        <w:ind w:left="4248" w:right="3" w:hanging="422"/>
        <w:jc w:val="center"/>
      </w:pPr>
      <w:r>
        <w:rPr/>
        <w:t>RESUMEN</w:t>
      </w:r>
    </w:p>
    <w:p>
      <w:pPr>
        <w:pStyle w:val="BodyText"/>
        <w:rPr>
          <w:b/>
        </w:rPr>
      </w:pPr>
    </w:p>
    <w:p>
      <w:pPr>
        <w:pStyle w:val="BodyText"/>
        <w:spacing w:before="7"/>
        <w:rPr>
          <w:b/>
        </w:rPr>
      </w:pPr>
    </w:p>
    <w:p>
      <w:pPr>
        <w:pStyle w:val="BodyText"/>
        <w:spacing w:line="360" w:lineRule="auto" w:before="1"/>
        <w:ind w:left="219" w:right="228"/>
        <w:jc w:val="both"/>
      </w:pPr>
      <w:r>
        <w:rPr/>
        <w:t>Introducción: Las biopelículas presentes en líneas de agua de unidades dentales pueden albergar microorganismos patógenos oportunistas, con el consecuente riesgo de infecciones por aerosolización.</w:t>
      </w:r>
    </w:p>
    <w:p>
      <w:pPr>
        <w:pStyle w:val="BodyText"/>
        <w:spacing w:line="360" w:lineRule="auto" w:before="7"/>
        <w:ind w:left="219" w:right="222"/>
        <w:jc w:val="both"/>
      </w:pPr>
      <w:r>
        <w:rPr/>
        <w:t>Objetivo: Evaluar la eficacia antimicrobiana de la plata coloidal para el control de biopelícula en líneas de agua de alta velocidad.</w:t>
      </w:r>
    </w:p>
    <w:p>
      <w:pPr>
        <w:pStyle w:val="BodyText"/>
        <w:spacing w:line="360" w:lineRule="auto" w:before="2"/>
        <w:ind w:left="219" w:right="213"/>
        <w:jc w:val="both"/>
      </w:pPr>
      <w:r>
        <w:rPr/>
        <w:t>Metodología: Estudio experimental donde fueron analizadas 35 líneas de agua de alta velocidad, que utilizaron de manera cruzada 3 tratamientos: Agua filtrada, Gluconato de Clorhexidina y Plata Coloidal. Se les determinó la cantidad de Unidades Formadoras de Colonias por mililitro (UFC/ml) y el tipo de v microorganismos presentes; para el análisis estadístico se aplicó una prueba ANOVA y test de Bonferroni.</w:t>
      </w:r>
    </w:p>
    <w:p>
      <w:pPr>
        <w:spacing w:line="360" w:lineRule="auto" w:before="8"/>
        <w:ind w:left="219" w:right="216" w:firstLine="0"/>
        <w:jc w:val="both"/>
        <w:rPr>
          <w:sz w:val="24"/>
        </w:rPr>
      </w:pPr>
      <w:r>
        <w:rPr>
          <w:sz w:val="24"/>
        </w:rPr>
        <w:t>Resultados: fueron significativas las diferencias en la cantidad de UFC/ml en los pares: plata coloidal y agua filtrada (p&lt;0.01), clorhexidina y agua filtrada (p&lt;0.01) y plata coloidal y clorhexidina (p&lt;0.01). Se encontró la presencia de </w:t>
      </w:r>
      <w:r>
        <w:rPr>
          <w:i/>
          <w:sz w:val="24"/>
        </w:rPr>
        <w:t>Pseudomona </w:t>
      </w:r>
      <w:r>
        <w:rPr>
          <w:i/>
          <w:sz w:val="24"/>
        </w:rPr>
        <w:t>aeruginosa, Escherichia coli, Legionella Pneumophila </w:t>
      </w:r>
      <w:r>
        <w:rPr>
          <w:sz w:val="24"/>
        </w:rPr>
        <w:t>y </w:t>
      </w:r>
      <w:r>
        <w:rPr>
          <w:i/>
          <w:sz w:val="24"/>
        </w:rPr>
        <w:t>Candida albicans</w:t>
      </w:r>
      <w:r>
        <w:rPr>
          <w:sz w:val="24"/>
        </w:rPr>
        <w:t>.</w:t>
      </w:r>
    </w:p>
    <w:p>
      <w:pPr>
        <w:pStyle w:val="BodyText"/>
        <w:spacing w:line="360" w:lineRule="auto" w:before="3"/>
        <w:ind w:left="219" w:right="231"/>
        <w:jc w:val="both"/>
      </w:pPr>
      <w:r>
        <w:rPr/>
        <w:t>Conclusión: la plata coloidal redujo a menos de 45 UFC/ml y logró la eliminación total de patógenos oportunistas, por lo </w:t>
      </w:r>
      <w:r>
        <w:rPr>
          <w:spacing w:val="-3"/>
        </w:rPr>
        <w:t>que </w:t>
      </w:r>
      <w:r>
        <w:rPr/>
        <w:t>los resultados obtenidos en este estudio pueden proporcionar datos sólidos respecto a su utilización como un antimicrobiano de alta disponibilidad, no tóxico y eficaz para mejorar la calidad del medio ambiente clínico</w:t>
      </w:r>
      <w:r>
        <w:rPr>
          <w:spacing w:val="-11"/>
        </w:rPr>
        <w:t> </w:t>
      </w:r>
      <w:r>
        <w:rPr/>
        <w:t>dental.</w:t>
      </w:r>
    </w:p>
    <w:p>
      <w:pPr>
        <w:spacing w:after="0" w:line="360" w:lineRule="auto"/>
        <w:jc w:val="both"/>
        <w:sectPr>
          <w:pgSz w:w="12240" w:h="15840"/>
          <w:pgMar w:header="731" w:footer="1012" w:top="1160" w:bottom="1200" w:left="1480" w:right="1480"/>
        </w:sectPr>
      </w:pPr>
    </w:p>
    <w:p>
      <w:pPr>
        <w:pStyle w:val="BodyText"/>
        <w:spacing w:before="6"/>
        <w:rPr>
          <w:sz w:val="16"/>
        </w:rPr>
      </w:pPr>
    </w:p>
    <w:p>
      <w:pPr>
        <w:pStyle w:val="Heading2"/>
        <w:spacing w:before="69"/>
        <w:ind w:left="585" w:right="587"/>
        <w:jc w:val="center"/>
      </w:pPr>
      <w:r>
        <w:rPr/>
        <w:t>ABSTRACT</w:t>
      </w:r>
    </w:p>
    <w:p>
      <w:pPr>
        <w:pStyle w:val="BodyText"/>
        <w:rPr>
          <w:b/>
        </w:rPr>
      </w:pPr>
    </w:p>
    <w:p>
      <w:pPr>
        <w:pStyle w:val="BodyText"/>
        <w:rPr>
          <w:b/>
        </w:rPr>
      </w:pPr>
    </w:p>
    <w:p>
      <w:pPr>
        <w:pStyle w:val="BodyText"/>
        <w:spacing w:line="360" w:lineRule="auto" w:before="142"/>
        <w:ind w:left="219" w:right="215"/>
        <w:jc w:val="both"/>
      </w:pPr>
      <w:r>
        <w:rPr>
          <w:b/>
        </w:rPr>
        <w:t>Purpose: </w:t>
      </w:r>
      <w:r>
        <w:rPr/>
        <w:t>The purpose of the present study was to evaluate the antimicrobial efficacy of colloidal silver for biofilm control in high-speed waterlines of dental units. </w:t>
      </w:r>
      <w:r>
        <w:rPr>
          <w:b/>
        </w:rPr>
        <w:t>Materials and methods</w:t>
      </w:r>
      <w:r>
        <w:rPr/>
        <w:t>: This was a cross-over experimental study analyzing 35 high-speed waterlines using three treatments, filtered water, chlorhexidine gluconate and colloidal silver, for four weeks each in succession. The colony- forming units per millimeter (CFU/ml) were counted, and the microorganisms present were determined. ANOVA and Bonferroni’s test were applied for the statistical analysis.</w:t>
      </w:r>
    </w:p>
    <w:p>
      <w:pPr>
        <w:spacing w:line="360" w:lineRule="auto" w:before="2"/>
        <w:ind w:left="219" w:right="218" w:firstLine="0"/>
        <w:jc w:val="both"/>
        <w:rPr>
          <w:sz w:val="24"/>
        </w:rPr>
      </w:pPr>
      <w:r>
        <w:rPr>
          <w:b/>
          <w:sz w:val="24"/>
        </w:rPr>
        <w:t>Results: </w:t>
      </w:r>
      <w:r>
        <w:rPr>
          <w:sz w:val="24"/>
        </w:rPr>
        <w:t>The differences in the CFU/ml were significant between the following pairs: colloidal silver and filtered water (p&lt;0.01), chlorhexidine and filtered water (p&lt;0.01) and colloidal silver and chlorhexidine (p&lt;0.01). </w:t>
      </w:r>
      <w:r>
        <w:rPr>
          <w:i/>
          <w:sz w:val="24"/>
        </w:rPr>
        <w:t>Pseudomonas aeruginosa</w:t>
      </w:r>
      <w:r>
        <w:rPr>
          <w:sz w:val="24"/>
        </w:rPr>
        <w:t>, </w:t>
      </w:r>
      <w:r>
        <w:rPr>
          <w:i/>
          <w:sz w:val="24"/>
        </w:rPr>
        <w:t>Escherichia coli</w:t>
      </w:r>
      <w:r>
        <w:rPr>
          <w:sz w:val="24"/>
        </w:rPr>
        <w:t>, </w:t>
      </w:r>
      <w:r>
        <w:rPr>
          <w:i/>
          <w:sz w:val="24"/>
        </w:rPr>
        <w:t>Legionella pneumophila </w:t>
      </w:r>
      <w:r>
        <w:rPr>
          <w:sz w:val="24"/>
        </w:rPr>
        <w:t>and </w:t>
      </w:r>
      <w:r>
        <w:rPr>
          <w:i/>
          <w:sz w:val="24"/>
        </w:rPr>
        <w:t>Candida albicans </w:t>
      </w:r>
      <w:r>
        <w:rPr>
          <w:sz w:val="24"/>
        </w:rPr>
        <w:t>were identified.</w:t>
      </w:r>
    </w:p>
    <w:p>
      <w:pPr>
        <w:pStyle w:val="BodyText"/>
        <w:spacing w:line="360" w:lineRule="auto" w:before="2"/>
        <w:ind w:left="219" w:right="218"/>
        <w:jc w:val="both"/>
      </w:pPr>
      <w:r>
        <w:rPr>
          <w:b/>
        </w:rPr>
        <w:t>Conclusions: </w:t>
      </w:r>
      <w:r>
        <w:rPr/>
        <w:t>Colloidal silver decreased the microbial count to under 45 CFU/ml and attained the total elimination of opportunistic pathogens. Our results may provide solid data on the use of an effective, non-toxic, widely available antimicrobial agent to improve the quality of the dental clinic environment.</w:t>
      </w:r>
    </w:p>
    <w:p>
      <w:pPr>
        <w:pStyle w:val="BodyText"/>
      </w:pPr>
    </w:p>
    <w:p>
      <w:pPr>
        <w:pStyle w:val="BodyText"/>
        <w:spacing w:before="144"/>
        <w:ind w:left="219"/>
        <w:jc w:val="both"/>
      </w:pPr>
      <w:r>
        <w:rPr/>
        <w:t>Keywords: Biofilm, dental units, colloidal silver, occupational dentistry.</w:t>
      </w:r>
    </w:p>
    <w:p>
      <w:pPr>
        <w:spacing w:after="0"/>
        <w:jc w:val="both"/>
        <w:sectPr>
          <w:pgSz w:w="12240" w:h="15840"/>
          <w:pgMar w:header="731" w:footer="1012" w:top="1160" w:bottom="1200" w:left="1480" w:right="1480"/>
        </w:sectPr>
      </w:pPr>
    </w:p>
    <w:p>
      <w:pPr>
        <w:pStyle w:val="BodyText"/>
        <w:spacing w:before="6"/>
        <w:rPr>
          <w:sz w:val="16"/>
        </w:rPr>
      </w:pPr>
    </w:p>
    <w:p>
      <w:pPr>
        <w:pStyle w:val="Heading2"/>
        <w:numPr>
          <w:ilvl w:val="0"/>
          <w:numId w:val="6"/>
        </w:numPr>
        <w:tabs>
          <w:tab w:pos="3980" w:val="left" w:leader="none"/>
        </w:tabs>
        <w:spacing w:line="240" w:lineRule="auto" w:before="69" w:after="0"/>
        <w:ind w:left="3979" w:right="4" w:hanging="422"/>
        <w:jc w:val="center"/>
      </w:pPr>
      <w:r>
        <w:rPr/>
        <w:t>BIBLIOGRAFÍA</w:t>
      </w:r>
    </w:p>
    <w:p>
      <w:pPr>
        <w:pStyle w:val="BodyText"/>
        <w:rPr>
          <w:b/>
        </w:rPr>
      </w:pPr>
    </w:p>
    <w:p>
      <w:pPr>
        <w:pStyle w:val="BodyText"/>
        <w:spacing w:before="4"/>
        <w:rPr>
          <w:b/>
          <w:sz w:val="23"/>
        </w:rPr>
      </w:pPr>
    </w:p>
    <w:p>
      <w:pPr>
        <w:pStyle w:val="ListParagraph"/>
        <w:numPr>
          <w:ilvl w:val="0"/>
          <w:numId w:val="13"/>
        </w:numPr>
        <w:tabs>
          <w:tab w:pos="581" w:val="left" w:leader="none"/>
        </w:tabs>
        <w:spacing w:line="360" w:lineRule="auto" w:before="0" w:after="0"/>
        <w:ind w:left="580" w:right="820" w:hanging="361"/>
        <w:jc w:val="left"/>
        <w:rPr>
          <w:sz w:val="22"/>
        </w:rPr>
      </w:pPr>
      <w:r>
        <w:rPr>
          <w:sz w:val="22"/>
        </w:rPr>
        <w:t>WHO. Guidelines for drinking-water quality: incorporating first addendum. 3rd ed. Geneva: World Health Organization;</w:t>
      </w:r>
      <w:r>
        <w:rPr>
          <w:spacing w:val="-20"/>
          <w:sz w:val="22"/>
        </w:rPr>
        <w:t> </w:t>
      </w:r>
      <w:r>
        <w:rPr>
          <w:sz w:val="22"/>
        </w:rPr>
        <w:t>2004.</w:t>
      </w:r>
    </w:p>
    <w:p>
      <w:pPr>
        <w:pStyle w:val="ListParagraph"/>
        <w:numPr>
          <w:ilvl w:val="0"/>
          <w:numId w:val="13"/>
        </w:numPr>
        <w:tabs>
          <w:tab w:pos="581" w:val="left" w:leader="none"/>
        </w:tabs>
        <w:spacing w:line="362" w:lineRule="auto" w:before="3" w:after="0"/>
        <w:ind w:left="580" w:right="816" w:hanging="361"/>
        <w:jc w:val="left"/>
        <w:rPr>
          <w:sz w:val="22"/>
        </w:rPr>
      </w:pPr>
      <w:r>
        <w:rPr>
          <w:sz w:val="22"/>
        </w:rPr>
        <w:t>American Public Health Association, American Water Works Association, Water Environment Federation. Microbiological examination. Standard Methods for the Examination of Water and Wastewater. Washington, DC, American Public</w:t>
      </w:r>
      <w:r>
        <w:rPr>
          <w:spacing w:val="-38"/>
          <w:sz w:val="22"/>
        </w:rPr>
        <w:t> </w:t>
      </w:r>
      <w:r>
        <w:rPr>
          <w:sz w:val="22"/>
        </w:rPr>
        <w:t>Health Association; 2005; p.</w:t>
      </w:r>
      <w:r>
        <w:rPr>
          <w:spacing w:val="-8"/>
          <w:sz w:val="22"/>
        </w:rPr>
        <w:t> </w:t>
      </w:r>
      <w:r>
        <w:rPr>
          <w:sz w:val="22"/>
        </w:rPr>
        <w:t>9.1-9.38.</w:t>
      </w:r>
    </w:p>
    <w:p>
      <w:pPr>
        <w:pStyle w:val="ListParagraph"/>
        <w:numPr>
          <w:ilvl w:val="0"/>
          <w:numId w:val="13"/>
        </w:numPr>
        <w:tabs>
          <w:tab w:pos="581" w:val="left" w:leader="none"/>
        </w:tabs>
        <w:spacing w:line="360" w:lineRule="auto" w:before="1" w:after="0"/>
        <w:ind w:left="580" w:right="275" w:hanging="361"/>
        <w:jc w:val="left"/>
        <w:rPr>
          <w:sz w:val="22"/>
        </w:rPr>
      </w:pPr>
      <w:r>
        <w:rPr>
          <w:sz w:val="22"/>
        </w:rPr>
        <w:t>Kelstrup </w:t>
      </w:r>
      <w:r>
        <w:rPr>
          <w:spacing w:val="-3"/>
          <w:sz w:val="22"/>
        </w:rPr>
        <w:t>J, </w:t>
      </w:r>
      <w:r>
        <w:rPr>
          <w:sz w:val="22"/>
        </w:rPr>
        <w:t>Funder-Nielson TD, Theilade J. Microbial aggregate contamination of water lines in dental equipment and its control. Acta Path Microbiol Scand 1977;</w:t>
      </w:r>
      <w:r>
        <w:rPr>
          <w:spacing w:val="-26"/>
          <w:sz w:val="22"/>
        </w:rPr>
        <w:t> </w:t>
      </w:r>
      <w:r>
        <w:rPr>
          <w:sz w:val="22"/>
        </w:rPr>
        <w:t>85:177-83.</w:t>
      </w:r>
    </w:p>
    <w:p>
      <w:pPr>
        <w:pStyle w:val="ListParagraph"/>
        <w:numPr>
          <w:ilvl w:val="0"/>
          <w:numId w:val="13"/>
        </w:numPr>
        <w:tabs>
          <w:tab w:pos="581" w:val="left" w:leader="none"/>
        </w:tabs>
        <w:spacing w:line="360" w:lineRule="auto" w:before="4" w:after="0"/>
        <w:ind w:left="580" w:right="684" w:hanging="361"/>
        <w:jc w:val="left"/>
        <w:rPr>
          <w:sz w:val="22"/>
        </w:rPr>
      </w:pPr>
      <w:r>
        <w:rPr>
          <w:sz w:val="22"/>
        </w:rPr>
        <w:t>Barbeau J, Nadeau </w:t>
      </w:r>
      <w:r>
        <w:rPr>
          <w:spacing w:val="-3"/>
          <w:sz w:val="22"/>
        </w:rPr>
        <w:t>C. </w:t>
      </w:r>
      <w:r>
        <w:rPr>
          <w:sz w:val="22"/>
        </w:rPr>
        <w:t>Dental unit water line microbiology: a cautionary tale. J Can Dent Assoc 1997; 63:775-9.</w:t>
      </w:r>
      <w:r>
        <w:rPr>
          <w:spacing w:val="-12"/>
          <w:sz w:val="22"/>
        </w:rPr>
        <w:t> </w:t>
      </w:r>
      <w:r>
        <w:rPr>
          <w:sz w:val="22"/>
        </w:rPr>
        <w:t>[PubMed]</w:t>
      </w:r>
    </w:p>
    <w:p>
      <w:pPr>
        <w:pStyle w:val="ListParagraph"/>
        <w:numPr>
          <w:ilvl w:val="0"/>
          <w:numId w:val="13"/>
        </w:numPr>
        <w:tabs>
          <w:tab w:pos="581" w:val="left" w:leader="none"/>
        </w:tabs>
        <w:spacing w:line="360" w:lineRule="auto" w:before="3" w:after="0"/>
        <w:ind w:left="580" w:right="869" w:hanging="361"/>
        <w:jc w:val="left"/>
        <w:rPr>
          <w:sz w:val="22"/>
        </w:rPr>
      </w:pPr>
      <w:r>
        <w:rPr>
          <w:sz w:val="22"/>
        </w:rPr>
        <w:t>Barbeau J, Tanguay R, Faucher E, Avezard C, Trudel L, Cote L, and other. Multiparametric</w:t>
      </w:r>
      <w:r>
        <w:rPr>
          <w:spacing w:val="-7"/>
          <w:sz w:val="22"/>
        </w:rPr>
        <w:t> </w:t>
      </w:r>
      <w:r>
        <w:rPr>
          <w:sz w:val="22"/>
        </w:rPr>
        <w:t>analysis</w:t>
      </w:r>
      <w:r>
        <w:rPr>
          <w:spacing w:val="-4"/>
          <w:sz w:val="22"/>
        </w:rPr>
        <w:t> </w:t>
      </w:r>
      <w:r>
        <w:rPr>
          <w:sz w:val="22"/>
        </w:rPr>
        <w:t>of</w:t>
      </w:r>
      <w:r>
        <w:rPr>
          <w:spacing w:val="-3"/>
          <w:sz w:val="22"/>
        </w:rPr>
        <w:t> </w:t>
      </w:r>
      <w:r>
        <w:rPr>
          <w:sz w:val="22"/>
        </w:rPr>
        <w:t>water</w:t>
      </w:r>
      <w:r>
        <w:rPr>
          <w:spacing w:val="-6"/>
          <w:sz w:val="22"/>
        </w:rPr>
        <w:t> </w:t>
      </w:r>
      <w:r>
        <w:rPr>
          <w:sz w:val="22"/>
        </w:rPr>
        <w:t>line</w:t>
      </w:r>
      <w:r>
        <w:rPr>
          <w:spacing w:val="-3"/>
          <w:sz w:val="22"/>
        </w:rPr>
        <w:t> </w:t>
      </w:r>
      <w:r>
        <w:rPr>
          <w:sz w:val="22"/>
        </w:rPr>
        <w:t>contamination</w:t>
      </w:r>
      <w:r>
        <w:rPr>
          <w:spacing w:val="-7"/>
          <w:sz w:val="22"/>
        </w:rPr>
        <w:t> </w:t>
      </w:r>
      <w:r>
        <w:rPr>
          <w:sz w:val="22"/>
        </w:rPr>
        <w:t>of</w:t>
      </w:r>
      <w:r>
        <w:rPr>
          <w:spacing w:val="-3"/>
          <w:sz w:val="22"/>
        </w:rPr>
        <w:t> </w:t>
      </w:r>
      <w:r>
        <w:rPr>
          <w:sz w:val="22"/>
        </w:rPr>
        <w:t>dental</w:t>
      </w:r>
      <w:r>
        <w:rPr>
          <w:spacing w:val="-5"/>
          <w:sz w:val="22"/>
        </w:rPr>
        <w:t> </w:t>
      </w:r>
      <w:r>
        <w:rPr>
          <w:sz w:val="22"/>
        </w:rPr>
        <w:t>units.</w:t>
      </w:r>
      <w:r>
        <w:rPr>
          <w:spacing w:val="-8"/>
          <w:sz w:val="22"/>
        </w:rPr>
        <w:t> </w:t>
      </w:r>
      <w:r>
        <w:rPr>
          <w:sz w:val="22"/>
        </w:rPr>
        <w:t>Appl</w:t>
      </w:r>
      <w:r>
        <w:rPr>
          <w:spacing w:val="-5"/>
          <w:sz w:val="22"/>
        </w:rPr>
        <w:t> </w:t>
      </w:r>
      <w:r>
        <w:rPr>
          <w:sz w:val="22"/>
        </w:rPr>
        <w:t>Environ Microbiol 1996; 62:3954-9.</w:t>
      </w:r>
      <w:r>
        <w:rPr>
          <w:spacing w:val="-17"/>
          <w:sz w:val="22"/>
        </w:rPr>
        <w:t> </w:t>
      </w:r>
      <w:r>
        <w:rPr>
          <w:sz w:val="22"/>
        </w:rPr>
        <w:t>[PubMed]</w:t>
      </w:r>
    </w:p>
    <w:p>
      <w:pPr>
        <w:pStyle w:val="ListParagraph"/>
        <w:numPr>
          <w:ilvl w:val="0"/>
          <w:numId w:val="13"/>
        </w:numPr>
        <w:tabs>
          <w:tab w:pos="581" w:val="left" w:leader="none"/>
        </w:tabs>
        <w:spacing w:line="360" w:lineRule="auto" w:before="3" w:after="0"/>
        <w:ind w:left="580" w:right="245" w:hanging="361"/>
        <w:jc w:val="left"/>
        <w:rPr>
          <w:sz w:val="22"/>
        </w:rPr>
      </w:pPr>
      <w:r>
        <w:rPr>
          <w:sz w:val="22"/>
        </w:rPr>
        <w:t>Blake GC. The incidence and control of bacterial infection in dental spray reservoirs.</w:t>
      </w:r>
      <w:r>
        <w:rPr>
          <w:spacing w:val="-43"/>
          <w:sz w:val="22"/>
        </w:rPr>
        <w:t> </w:t>
      </w:r>
      <w:r>
        <w:rPr>
          <w:sz w:val="22"/>
        </w:rPr>
        <w:t>Br Dent J 1963; 115:413-6.</w:t>
      </w:r>
      <w:r>
        <w:rPr>
          <w:spacing w:val="-11"/>
          <w:sz w:val="22"/>
        </w:rPr>
        <w:t> </w:t>
      </w:r>
      <w:r>
        <w:rPr>
          <w:sz w:val="22"/>
        </w:rPr>
        <w:t>[PubMed]</w:t>
      </w:r>
    </w:p>
    <w:p>
      <w:pPr>
        <w:pStyle w:val="ListParagraph"/>
        <w:numPr>
          <w:ilvl w:val="0"/>
          <w:numId w:val="13"/>
        </w:numPr>
        <w:tabs>
          <w:tab w:pos="581" w:val="left" w:leader="none"/>
        </w:tabs>
        <w:spacing w:line="360" w:lineRule="auto" w:before="3" w:after="0"/>
        <w:ind w:left="580" w:right="256" w:hanging="361"/>
        <w:jc w:val="left"/>
        <w:rPr>
          <w:sz w:val="22"/>
        </w:rPr>
      </w:pPr>
      <w:r>
        <w:rPr>
          <w:sz w:val="22"/>
        </w:rPr>
        <w:t>Fitzgibbon EJ, Bartzokas CA, Martin MV, Gibson </w:t>
      </w:r>
      <w:r>
        <w:rPr>
          <w:spacing w:val="-3"/>
          <w:sz w:val="22"/>
        </w:rPr>
        <w:t>MF, </w:t>
      </w:r>
      <w:r>
        <w:rPr>
          <w:sz w:val="22"/>
        </w:rPr>
        <w:t>Graham R. The source, frequency and extent of bacterial contamination of dental unit water systems. Br Dent</w:t>
      </w:r>
      <w:r>
        <w:rPr>
          <w:spacing w:val="-43"/>
          <w:sz w:val="22"/>
        </w:rPr>
        <w:t> </w:t>
      </w:r>
      <w:r>
        <w:rPr>
          <w:sz w:val="22"/>
        </w:rPr>
        <w:t>J 1984; 157:98-101.</w:t>
      </w:r>
      <w:r>
        <w:rPr>
          <w:spacing w:val="-11"/>
          <w:sz w:val="22"/>
        </w:rPr>
        <w:t> </w:t>
      </w:r>
      <w:r>
        <w:rPr>
          <w:sz w:val="22"/>
        </w:rPr>
        <w:t>[PubMed]</w:t>
      </w:r>
    </w:p>
    <w:p>
      <w:pPr>
        <w:pStyle w:val="ListParagraph"/>
        <w:numPr>
          <w:ilvl w:val="0"/>
          <w:numId w:val="13"/>
        </w:numPr>
        <w:tabs>
          <w:tab w:pos="581" w:val="left" w:leader="none"/>
        </w:tabs>
        <w:spacing w:line="360" w:lineRule="auto" w:before="3" w:after="0"/>
        <w:ind w:left="580" w:right="783" w:hanging="361"/>
        <w:jc w:val="left"/>
        <w:rPr>
          <w:sz w:val="22"/>
        </w:rPr>
      </w:pPr>
      <w:r>
        <w:rPr>
          <w:sz w:val="22"/>
        </w:rPr>
        <w:t>McEntegart </w:t>
      </w:r>
      <w:r>
        <w:rPr>
          <w:spacing w:val="-3"/>
          <w:sz w:val="22"/>
        </w:rPr>
        <w:t>MG, </w:t>
      </w:r>
      <w:r>
        <w:rPr>
          <w:sz w:val="22"/>
        </w:rPr>
        <w:t>Clark A. Colonization of dental units by water bacteria. Br Dent J 1973; 134:140-2.</w:t>
      </w:r>
      <w:r>
        <w:rPr>
          <w:spacing w:val="-12"/>
          <w:sz w:val="22"/>
        </w:rPr>
        <w:t> </w:t>
      </w:r>
      <w:r>
        <w:rPr>
          <w:sz w:val="22"/>
        </w:rPr>
        <w:t>[PubMed]</w:t>
      </w:r>
    </w:p>
    <w:p>
      <w:pPr>
        <w:pStyle w:val="ListParagraph"/>
        <w:numPr>
          <w:ilvl w:val="0"/>
          <w:numId w:val="13"/>
        </w:numPr>
        <w:tabs>
          <w:tab w:pos="581" w:val="left" w:leader="none"/>
        </w:tabs>
        <w:spacing w:line="240" w:lineRule="auto" w:before="4" w:after="0"/>
        <w:ind w:left="580" w:right="0" w:hanging="361"/>
        <w:jc w:val="left"/>
        <w:rPr>
          <w:sz w:val="22"/>
        </w:rPr>
      </w:pPr>
      <w:r>
        <w:rPr>
          <w:sz w:val="22"/>
        </w:rPr>
        <w:t>Miller CH. Microbes in dental unit water. J Can Dent Assoc 1996; 24:47-52.</w:t>
      </w:r>
      <w:r>
        <w:rPr>
          <w:spacing w:val="-36"/>
          <w:sz w:val="22"/>
        </w:rPr>
        <w:t> </w:t>
      </w:r>
      <w:r>
        <w:rPr>
          <w:sz w:val="22"/>
        </w:rPr>
        <w:t>[PubMed]</w:t>
      </w:r>
    </w:p>
    <w:p>
      <w:pPr>
        <w:pStyle w:val="ListParagraph"/>
        <w:numPr>
          <w:ilvl w:val="0"/>
          <w:numId w:val="13"/>
        </w:numPr>
        <w:tabs>
          <w:tab w:pos="581" w:val="left" w:leader="none"/>
        </w:tabs>
        <w:spacing w:line="362" w:lineRule="auto" w:before="126" w:after="0"/>
        <w:ind w:left="580" w:right="636" w:hanging="361"/>
        <w:jc w:val="left"/>
        <w:rPr>
          <w:sz w:val="22"/>
        </w:rPr>
      </w:pPr>
      <w:r>
        <w:rPr>
          <w:sz w:val="22"/>
        </w:rPr>
        <w:t>Epstein JB, Dawson JR, Buivids IA, Wong B, Le </w:t>
      </w:r>
      <w:r>
        <w:rPr>
          <w:spacing w:val="-3"/>
          <w:sz w:val="22"/>
        </w:rPr>
        <w:t>ND. </w:t>
      </w:r>
      <w:r>
        <w:rPr>
          <w:sz w:val="22"/>
        </w:rPr>
        <w:t>The effect of a disinfectant/coolant</w:t>
      </w:r>
      <w:r>
        <w:rPr>
          <w:spacing w:val="-3"/>
          <w:sz w:val="22"/>
        </w:rPr>
        <w:t> </w:t>
      </w:r>
      <w:r>
        <w:rPr>
          <w:sz w:val="22"/>
        </w:rPr>
        <w:t>irrigant</w:t>
      </w:r>
      <w:r>
        <w:rPr>
          <w:spacing w:val="-8"/>
          <w:sz w:val="22"/>
        </w:rPr>
        <w:t> </w:t>
      </w:r>
      <w:r>
        <w:rPr>
          <w:sz w:val="22"/>
        </w:rPr>
        <w:t>on</w:t>
      </w:r>
      <w:r>
        <w:rPr>
          <w:spacing w:val="-3"/>
          <w:sz w:val="22"/>
        </w:rPr>
        <w:t> </w:t>
      </w:r>
      <w:r>
        <w:rPr>
          <w:sz w:val="22"/>
        </w:rPr>
        <w:t>microbes</w:t>
      </w:r>
      <w:r>
        <w:rPr>
          <w:spacing w:val="-4"/>
          <w:sz w:val="22"/>
        </w:rPr>
        <w:t> </w:t>
      </w:r>
      <w:r>
        <w:rPr>
          <w:sz w:val="22"/>
        </w:rPr>
        <w:t>isolated</w:t>
      </w:r>
      <w:r>
        <w:rPr>
          <w:spacing w:val="-7"/>
          <w:sz w:val="22"/>
        </w:rPr>
        <w:t> </w:t>
      </w:r>
      <w:r>
        <w:rPr>
          <w:sz w:val="22"/>
        </w:rPr>
        <w:t>from</w:t>
      </w:r>
      <w:r>
        <w:rPr>
          <w:spacing w:val="-6"/>
          <w:sz w:val="22"/>
        </w:rPr>
        <w:t> </w:t>
      </w:r>
      <w:r>
        <w:rPr>
          <w:sz w:val="22"/>
        </w:rPr>
        <w:t>dental</w:t>
      </w:r>
      <w:r>
        <w:rPr>
          <w:spacing w:val="-9"/>
          <w:sz w:val="22"/>
        </w:rPr>
        <w:t> </w:t>
      </w:r>
      <w:r>
        <w:rPr>
          <w:sz w:val="22"/>
        </w:rPr>
        <w:t>unit</w:t>
      </w:r>
      <w:r>
        <w:rPr>
          <w:spacing w:val="-3"/>
          <w:sz w:val="22"/>
        </w:rPr>
        <w:t> </w:t>
      </w:r>
      <w:r>
        <w:rPr>
          <w:sz w:val="22"/>
        </w:rPr>
        <w:t>water</w:t>
      </w:r>
      <w:r>
        <w:rPr>
          <w:spacing w:val="-6"/>
          <w:sz w:val="22"/>
        </w:rPr>
        <w:t> </w:t>
      </w:r>
      <w:r>
        <w:rPr>
          <w:sz w:val="22"/>
        </w:rPr>
        <w:t>lines.</w:t>
      </w:r>
      <w:r>
        <w:rPr>
          <w:spacing w:val="-3"/>
          <w:sz w:val="22"/>
        </w:rPr>
        <w:t> </w:t>
      </w:r>
      <w:r>
        <w:rPr>
          <w:sz w:val="22"/>
        </w:rPr>
        <w:t>Spec. Care. Dentist.,2002; 22: 137-141.</w:t>
      </w:r>
      <w:r>
        <w:rPr>
          <w:spacing w:val="-17"/>
          <w:sz w:val="22"/>
        </w:rPr>
        <w:t> </w:t>
      </w:r>
      <w:r>
        <w:rPr>
          <w:sz w:val="22"/>
        </w:rPr>
        <w:t>[PubMed]</w:t>
      </w:r>
    </w:p>
    <w:p>
      <w:pPr>
        <w:pStyle w:val="ListParagraph"/>
        <w:numPr>
          <w:ilvl w:val="0"/>
          <w:numId w:val="13"/>
        </w:numPr>
        <w:tabs>
          <w:tab w:pos="581" w:val="left" w:leader="none"/>
        </w:tabs>
        <w:spacing w:line="360" w:lineRule="auto" w:before="1" w:after="0"/>
        <w:ind w:left="580" w:right="731" w:hanging="361"/>
        <w:jc w:val="left"/>
        <w:rPr>
          <w:sz w:val="22"/>
        </w:rPr>
      </w:pPr>
      <w:r>
        <w:rPr>
          <w:sz w:val="22"/>
        </w:rPr>
        <w:t>Meiller TF, Kelley JI, Baqui AA, De Paola LG. Laboratory evaluation of anti-biofilm agents for use in dental unit waterlines. J. Clin.Dent., 2001; 12: 97-103.</w:t>
      </w:r>
      <w:r>
        <w:rPr>
          <w:spacing w:val="-36"/>
          <w:sz w:val="22"/>
        </w:rPr>
        <w:t> </w:t>
      </w:r>
      <w:r>
        <w:rPr>
          <w:sz w:val="22"/>
        </w:rPr>
        <w:t>[PubMed]</w:t>
      </w:r>
    </w:p>
    <w:p>
      <w:pPr>
        <w:pStyle w:val="ListParagraph"/>
        <w:numPr>
          <w:ilvl w:val="0"/>
          <w:numId w:val="13"/>
        </w:numPr>
        <w:tabs>
          <w:tab w:pos="581" w:val="left" w:leader="none"/>
        </w:tabs>
        <w:spacing w:line="360" w:lineRule="auto" w:before="3" w:after="0"/>
        <w:ind w:left="580" w:right="296" w:hanging="361"/>
        <w:jc w:val="left"/>
        <w:rPr>
          <w:sz w:val="22"/>
        </w:rPr>
      </w:pPr>
      <w:r>
        <w:rPr>
          <w:sz w:val="22"/>
        </w:rPr>
        <w:t>Muñoz</w:t>
      </w:r>
      <w:r>
        <w:rPr>
          <w:spacing w:val="-3"/>
          <w:sz w:val="22"/>
        </w:rPr>
        <w:t> </w:t>
      </w:r>
      <w:r>
        <w:rPr>
          <w:sz w:val="22"/>
        </w:rPr>
        <w:t>JE,</w:t>
      </w:r>
      <w:r>
        <w:rPr>
          <w:spacing w:val="-2"/>
          <w:sz w:val="22"/>
        </w:rPr>
        <w:t> </w:t>
      </w:r>
      <w:r>
        <w:rPr>
          <w:sz w:val="22"/>
        </w:rPr>
        <w:t>Hernández</w:t>
      </w:r>
      <w:r>
        <w:rPr>
          <w:spacing w:val="-3"/>
          <w:sz w:val="22"/>
        </w:rPr>
        <w:t> </w:t>
      </w:r>
      <w:r>
        <w:rPr>
          <w:sz w:val="22"/>
        </w:rPr>
        <w:t>DR,</w:t>
      </w:r>
      <w:r>
        <w:rPr>
          <w:spacing w:val="-2"/>
          <w:sz w:val="22"/>
        </w:rPr>
        <w:t> </w:t>
      </w:r>
      <w:r>
        <w:rPr>
          <w:sz w:val="22"/>
        </w:rPr>
        <w:t>Moreno</w:t>
      </w:r>
      <w:r>
        <w:rPr>
          <w:spacing w:val="-5"/>
          <w:sz w:val="22"/>
        </w:rPr>
        <w:t> </w:t>
      </w:r>
      <w:r>
        <w:rPr>
          <w:sz w:val="22"/>
        </w:rPr>
        <w:t>AG:</w:t>
      </w:r>
      <w:r>
        <w:rPr>
          <w:spacing w:val="-2"/>
          <w:sz w:val="22"/>
        </w:rPr>
        <w:t> </w:t>
      </w:r>
      <w:r>
        <w:rPr>
          <w:sz w:val="22"/>
        </w:rPr>
        <w:t>Calidad</w:t>
      </w:r>
      <w:r>
        <w:rPr>
          <w:spacing w:val="-5"/>
          <w:sz w:val="22"/>
        </w:rPr>
        <w:t> </w:t>
      </w:r>
      <w:r>
        <w:rPr>
          <w:sz w:val="22"/>
        </w:rPr>
        <w:t>bacteriológica</w:t>
      </w:r>
      <w:r>
        <w:rPr>
          <w:spacing w:val="-5"/>
          <w:sz w:val="22"/>
        </w:rPr>
        <w:t> </w:t>
      </w:r>
      <w:r>
        <w:rPr>
          <w:sz w:val="22"/>
        </w:rPr>
        <w:t>del</w:t>
      </w:r>
      <w:r>
        <w:rPr>
          <w:spacing w:val="-8"/>
          <w:sz w:val="22"/>
        </w:rPr>
        <w:t> </w:t>
      </w:r>
      <w:r>
        <w:rPr>
          <w:sz w:val="22"/>
        </w:rPr>
        <w:t>agua</w:t>
      </w:r>
      <w:r>
        <w:rPr>
          <w:spacing w:val="-5"/>
          <w:sz w:val="22"/>
        </w:rPr>
        <w:t> </w:t>
      </w:r>
      <w:r>
        <w:rPr>
          <w:sz w:val="22"/>
        </w:rPr>
        <w:t>de</w:t>
      </w:r>
      <w:r>
        <w:rPr>
          <w:spacing w:val="-5"/>
          <w:sz w:val="22"/>
        </w:rPr>
        <w:t> </w:t>
      </w:r>
      <w:r>
        <w:rPr>
          <w:sz w:val="22"/>
        </w:rPr>
        <w:t>una</w:t>
      </w:r>
      <w:r>
        <w:rPr>
          <w:spacing w:val="-5"/>
          <w:sz w:val="22"/>
        </w:rPr>
        <w:t> </w:t>
      </w:r>
      <w:r>
        <w:rPr>
          <w:sz w:val="22"/>
        </w:rPr>
        <w:t>clínica odontológica rural de la facultad de odontología de la UAZ. Rev ADM. LIX (2) Marzo- abril 2002. Pp</w:t>
      </w:r>
      <w:r>
        <w:rPr>
          <w:spacing w:val="-1"/>
          <w:sz w:val="22"/>
        </w:rPr>
        <w:t> </w:t>
      </w:r>
      <w:r>
        <w:rPr>
          <w:sz w:val="22"/>
        </w:rPr>
        <w:t>50-57</w:t>
      </w:r>
    </w:p>
    <w:p>
      <w:pPr>
        <w:pStyle w:val="ListParagraph"/>
        <w:numPr>
          <w:ilvl w:val="0"/>
          <w:numId w:val="13"/>
        </w:numPr>
        <w:tabs>
          <w:tab w:pos="581" w:val="left" w:leader="none"/>
        </w:tabs>
        <w:spacing w:line="360" w:lineRule="auto" w:before="3" w:after="0"/>
        <w:ind w:left="580" w:right="1384" w:hanging="361"/>
        <w:jc w:val="left"/>
        <w:rPr>
          <w:sz w:val="22"/>
        </w:rPr>
      </w:pPr>
      <w:r>
        <w:rPr>
          <w:sz w:val="22"/>
        </w:rPr>
        <w:t>Walker JT, Marsh PD microbial biofilm formation </w:t>
      </w:r>
      <w:r>
        <w:rPr>
          <w:spacing w:val="-3"/>
          <w:sz w:val="22"/>
        </w:rPr>
        <w:t>in </w:t>
      </w:r>
      <w:r>
        <w:rPr>
          <w:sz w:val="22"/>
        </w:rPr>
        <w:t>DUWS and their control usingdisinfectants. J Dentistry; 2007:35,</w:t>
      </w:r>
      <w:r>
        <w:rPr>
          <w:spacing w:val="-21"/>
          <w:sz w:val="22"/>
        </w:rPr>
        <w:t> </w:t>
      </w:r>
      <w:r>
        <w:rPr>
          <w:sz w:val="22"/>
        </w:rPr>
        <w:t>9:721-730</w:t>
      </w:r>
    </w:p>
    <w:p>
      <w:pPr>
        <w:spacing w:after="0" w:line="360" w:lineRule="auto"/>
        <w:jc w:val="left"/>
        <w:rPr>
          <w:sz w:val="22"/>
        </w:rPr>
        <w:sectPr>
          <w:pgSz w:w="12240" w:h="15840"/>
          <w:pgMar w:header="731" w:footer="1012" w:top="1160" w:bottom="1200" w:left="1480" w:right="1480"/>
        </w:sectPr>
      </w:pPr>
    </w:p>
    <w:p>
      <w:pPr>
        <w:pStyle w:val="BodyText"/>
        <w:rPr>
          <w:sz w:val="17"/>
        </w:rPr>
      </w:pPr>
    </w:p>
    <w:p>
      <w:pPr>
        <w:pStyle w:val="ListParagraph"/>
        <w:numPr>
          <w:ilvl w:val="0"/>
          <w:numId w:val="13"/>
        </w:numPr>
        <w:tabs>
          <w:tab w:pos="581" w:val="left" w:leader="none"/>
        </w:tabs>
        <w:spacing w:line="362" w:lineRule="auto" w:before="73" w:after="0"/>
        <w:ind w:left="580" w:right="328" w:hanging="361"/>
        <w:jc w:val="left"/>
        <w:rPr>
          <w:sz w:val="22"/>
        </w:rPr>
      </w:pPr>
      <w:r>
        <w:rPr>
          <w:sz w:val="22"/>
        </w:rPr>
        <w:t>Walker JT, Bradshaw DJ, Finney </w:t>
      </w:r>
      <w:r>
        <w:rPr>
          <w:spacing w:val="-4"/>
          <w:sz w:val="22"/>
        </w:rPr>
        <w:t>M, </w:t>
      </w:r>
      <w:r>
        <w:rPr>
          <w:sz w:val="22"/>
        </w:rPr>
        <w:t>Fulford </w:t>
      </w:r>
      <w:r>
        <w:rPr>
          <w:spacing w:val="-3"/>
          <w:sz w:val="22"/>
        </w:rPr>
        <w:t>MR, </w:t>
      </w:r>
      <w:r>
        <w:rPr>
          <w:sz w:val="22"/>
        </w:rPr>
        <w:t>Frandsen E, Ostergaard E, Ten Cate </w:t>
      </w:r>
      <w:r>
        <w:rPr>
          <w:spacing w:val="-3"/>
          <w:sz w:val="22"/>
        </w:rPr>
        <w:t>JM, </w:t>
      </w:r>
      <w:r>
        <w:rPr>
          <w:sz w:val="22"/>
        </w:rPr>
        <w:t>Moorer WR, Schel AJ., Mavridou A., Kamma JJ. Microbiological evaluation of dental unit water systems </w:t>
      </w:r>
      <w:r>
        <w:rPr>
          <w:spacing w:val="-3"/>
          <w:sz w:val="22"/>
        </w:rPr>
        <w:t>in </w:t>
      </w:r>
      <w:r>
        <w:rPr>
          <w:sz w:val="22"/>
        </w:rPr>
        <w:t>general dental practice in Europe. Eur. </w:t>
      </w:r>
      <w:r>
        <w:rPr>
          <w:spacing w:val="-3"/>
          <w:sz w:val="22"/>
        </w:rPr>
        <w:t>J. </w:t>
      </w:r>
      <w:r>
        <w:rPr>
          <w:sz w:val="22"/>
        </w:rPr>
        <w:t>Oral. Sci., 2006;112:</w:t>
      </w:r>
      <w:r>
        <w:rPr>
          <w:spacing w:val="-10"/>
          <w:sz w:val="22"/>
        </w:rPr>
        <w:t> </w:t>
      </w:r>
      <w:r>
        <w:rPr>
          <w:sz w:val="22"/>
        </w:rPr>
        <w:t>412-418[PubMed]</w:t>
      </w:r>
    </w:p>
    <w:p>
      <w:pPr>
        <w:pStyle w:val="ListParagraph"/>
        <w:numPr>
          <w:ilvl w:val="0"/>
          <w:numId w:val="13"/>
        </w:numPr>
        <w:tabs>
          <w:tab w:pos="581" w:val="left" w:leader="none"/>
        </w:tabs>
        <w:spacing w:line="360" w:lineRule="auto" w:before="1" w:after="0"/>
        <w:ind w:left="580" w:right="881" w:hanging="361"/>
        <w:jc w:val="both"/>
        <w:rPr>
          <w:sz w:val="22"/>
        </w:rPr>
      </w:pPr>
      <w:r>
        <w:rPr>
          <w:sz w:val="22"/>
        </w:rPr>
        <w:t>Williams JF, Johnston AM, Johnson B, Huntington MK, Mackenzie CD.</w:t>
      </w:r>
      <w:r>
        <w:rPr>
          <w:spacing w:val="-38"/>
          <w:sz w:val="22"/>
        </w:rPr>
        <w:t> </w:t>
      </w:r>
      <w:r>
        <w:rPr>
          <w:sz w:val="22"/>
        </w:rPr>
        <w:t>Microbial contamination of dental unit waterlines: prevalence, intensity and microbiological characteristics. J Am Dent Assoc 1993;</w:t>
      </w:r>
      <w:r>
        <w:rPr>
          <w:spacing w:val="-23"/>
          <w:sz w:val="22"/>
        </w:rPr>
        <w:t> </w:t>
      </w:r>
      <w:r>
        <w:rPr>
          <w:sz w:val="22"/>
        </w:rPr>
        <w:t>124:59-65[PubMed]</w:t>
      </w:r>
    </w:p>
    <w:p>
      <w:pPr>
        <w:pStyle w:val="ListParagraph"/>
        <w:numPr>
          <w:ilvl w:val="0"/>
          <w:numId w:val="13"/>
        </w:numPr>
        <w:tabs>
          <w:tab w:pos="581" w:val="left" w:leader="none"/>
        </w:tabs>
        <w:spacing w:line="360" w:lineRule="auto" w:before="3" w:after="0"/>
        <w:ind w:left="580" w:right="672" w:hanging="361"/>
        <w:jc w:val="left"/>
        <w:rPr>
          <w:sz w:val="22"/>
        </w:rPr>
      </w:pPr>
      <w:r>
        <w:rPr>
          <w:sz w:val="22"/>
        </w:rPr>
        <w:t>Sciaky I, Sulitzeanu A. Importance of dental units </w:t>
      </w:r>
      <w:r>
        <w:rPr>
          <w:spacing w:val="-3"/>
          <w:sz w:val="22"/>
        </w:rPr>
        <w:t>in </w:t>
      </w:r>
      <w:r>
        <w:rPr>
          <w:sz w:val="22"/>
        </w:rPr>
        <w:t>the mechanical transfer of oral bacteria. J Dent Res 1962;</w:t>
      </w:r>
      <w:r>
        <w:rPr>
          <w:spacing w:val="-20"/>
          <w:sz w:val="22"/>
        </w:rPr>
        <w:t> </w:t>
      </w:r>
      <w:r>
        <w:rPr>
          <w:sz w:val="22"/>
        </w:rPr>
        <w:t>41:714[PubMed]</w:t>
      </w:r>
    </w:p>
    <w:p>
      <w:pPr>
        <w:pStyle w:val="ListParagraph"/>
        <w:numPr>
          <w:ilvl w:val="0"/>
          <w:numId w:val="13"/>
        </w:numPr>
        <w:tabs>
          <w:tab w:pos="581" w:val="left" w:leader="none"/>
        </w:tabs>
        <w:spacing w:line="360" w:lineRule="auto" w:before="3" w:after="0"/>
        <w:ind w:left="580" w:right="281" w:hanging="361"/>
        <w:jc w:val="left"/>
        <w:rPr>
          <w:sz w:val="22"/>
        </w:rPr>
      </w:pPr>
      <w:r>
        <w:rPr>
          <w:sz w:val="22"/>
        </w:rPr>
        <w:t>ADA. Council on scientific affairs. Dental Unit</w:t>
      </w:r>
      <w:r>
        <w:rPr>
          <w:spacing w:val="-44"/>
          <w:sz w:val="22"/>
        </w:rPr>
        <w:t> </w:t>
      </w:r>
      <w:r>
        <w:rPr>
          <w:sz w:val="22"/>
        </w:rPr>
        <w:t>Water Lines: approaching the year 2000. 1999. J Am Dent Assoc:</w:t>
      </w:r>
      <w:r>
        <w:rPr>
          <w:spacing w:val="-8"/>
          <w:sz w:val="22"/>
        </w:rPr>
        <w:t> </w:t>
      </w:r>
      <w:r>
        <w:rPr>
          <w:sz w:val="22"/>
        </w:rPr>
        <w:t>130-1653</w:t>
      </w:r>
    </w:p>
    <w:p>
      <w:pPr>
        <w:pStyle w:val="ListParagraph"/>
        <w:numPr>
          <w:ilvl w:val="0"/>
          <w:numId w:val="13"/>
        </w:numPr>
        <w:tabs>
          <w:tab w:pos="581" w:val="left" w:leader="none"/>
        </w:tabs>
        <w:spacing w:line="360" w:lineRule="auto" w:before="3" w:after="0"/>
        <w:ind w:left="580" w:right="931" w:hanging="361"/>
        <w:jc w:val="left"/>
        <w:rPr>
          <w:sz w:val="22"/>
        </w:rPr>
      </w:pPr>
      <w:r>
        <w:rPr>
          <w:sz w:val="22"/>
        </w:rPr>
        <w:t>CDC. Guidelines for infection control in dental health-care. Setting2003. MMWR 2003;52</w:t>
      </w:r>
    </w:p>
    <w:p>
      <w:pPr>
        <w:pStyle w:val="ListParagraph"/>
        <w:numPr>
          <w:ilvl w:val="0"/>
          <w:numId w:val="13"/>
        </w:numPr>
        <w:tabs>
          <w:tab w:pos="581" w:val="left" w:leader="none"/>
        </w:tabs>
        <w:spacing w:line="360" w:lineRule="auto" w:before="3" w:after="0"/>
        <w:ind w:left="580" w:right="880" w:hanging="361"/>
        <w:jc w:val="left"/>
        <w:rPr>
          <w:sz w:val="22"/>
        </w:rPr>
      </w:pPr>
      <w:r>
        <w:rPr>
          <w:sz w:val="22"/>
        </w:rPr>
        <w:t>Manual para la Prevención y control de infecciones y riesgos profesionales en</w:t>
      </w:r>
      <w:r>
        <w:rPr>
          <w:spacing w:val="-35"/>
          <w:sz w:val="22"/>
        </w:rPr>
        <w:t> </w:t>
      </w:r>
      <w:r>
        <w:rPr>
          <w:spacing w:val="-3"/>
          <w:sz w:val="22"/>
        </w:rPr>
        <w:t>la </w:t>
      </w:r>
      <w:r>
        <w:rPr>
          <w:sz w:val="22"/>
        </w:rPr>
        <w:t>práctica estomatológica en la República mexicana Disponible en: </w:t>
      </w:r>
      <w:hyperlink r:id="rId77">
        <w:r>
          <w:rPr>
            <w:spacing w:val="-1"/>
            <w:sz w:val="22"/>
          </w:rPr>
          <w:t>http://web.ssaver.gob.mx/saludpublica/files/2011/10/Manual-Prev.-y-Control-de-</w:t>
        </w:r>
      </w:hyperlink>
      <w:r>
        <w:rPr>
          <w:spacing w:val="-1"/>
          <w:sz w:val="22"/>
        </w:rPr>
        <w:t> </w:t>
      </w:r>
      <w:r>
        <w:rPr>
          <w:sz w:val="22"/>
        </w:rPr>
        <w:t>Infecciones-profesionales.pdf</w:t>
      </w:r>
    </w:p>
    <w:p>
      <w:pPr>
        <w:pStyle w:val="ListParagraph"/>
        <w:numPr>
          <w:ilvl w:val="0"/>
          <w:numId w:val="13"/>
        </w:numPr>
        <w:tabs>
          <w:tab w:pos="581" w:val="left" w:leader="none"/>
        </w:tabs>
        <w:spacing w:line="240" w:lineRule="auto" w:before="3" w:after="0"/>
        <w:ind w:left="580" w:right="0" w:hanging="361"/>
        <w:jc w:val="left"/>
        <w:rPr>
          <w:sz w:val="22"/>
        </w:rPr>
      </w:pPr>
      <w:r>
        <w:rPr>
          <w:sz w:val="22"/>
        </w:rPr>
        <w:t>OSAP.</w:t>
      </w:r>
      <w:r>
        <w:rPr>
          <w:spacing w:val="-7"/>
          <w:sz w:val="22"/>
        </w:rPr>
        <w:t> </w:t>
      </w:r>
      <w:r>
        <w:rPr>
          <w:sz w:val="22"/>
        </w:rPr>
        <w:t>Postura</w:t>
      </w:r>
      <w:r>
        <w:rPr>
          <w:spacing w:val="-6"/>
          <w:sz w:val="22"/>
        </w:rPr>
        <w:t> </w:t>
      </w:r>
      <w:r>
        <w:rPr>
          <w:sz w:val="22"/>
        </w:rPr>
        <w:t>sobre</w:t>
      </w:r>
      <w:r>
        <w:rPr>
          <w:spacing w:val="-2"/>
          <w:sz w:val="22"/>
        </w:rPr>
        <w:t> </w:t>
      </w:r>
      <w:r>
        <w:rPr>
          <w:sz w:val="22"/>
        </w:rPr>
        <w:t>las</w:t>
      </w:r>
      <w:r>
        <w:rPr>
          <w:spacing w:val="-3"/>
          <w:sz w:val="22"/>
        </w:rPr>
        <w:t> </w:t>
      </w:r>
      <w:r>
        <w:rPr>
          <w:sz w:val="22"/>
        </w:rPr>
        <w:t>líneas</w:t>
      </w:r>
      <w:r>
        <w:rPr>
          <w:spacing w:val="-3"/>
          <w:sz w:val="22"/>
        </w:rPr>
        <w:t> </w:t>
      </w:r>
      <w:r>
        <w:rPr>
          <w:sz w:val="22"/>
        </w:rPr>
        <w:t>de</w:t>
      </w:r>
      <w:r>
        <w:rPr>
          <w:spacing w:val="-6"/>
          <w:sz w:val="22"/>
        </w:rPr>
        <w:t> </w:t>
      </w:r>
      <w:r>
        <w:rPr>
          <w:sz w:val="22"/>
        </w:rPr>
        <w:t>agua</w:t>
      </w:r>
      <w:r>
        <w:rPr>
          <w:spacing w:val="-6"/>
          <w:sz w:val="22"/>
        </w:rPr>
        <w:t> </w:t>
      </w:r>
      <w:r>
        <w:rPr>
          <w:sz w:val="22"/>
        </w:rPr>
        <w:t>de</w:t>
      </w:r>
      <w:r>
        <w:rPr>
          <w:spacing w:val="-6"/>
          <w:sz w:val="22"/>
        </w:rPr>
        <w:t> </w:t>
      </w:r>
      <w:r>
        <w:rPr>
          <w:sz w:val="22"/>
        </w:rPr>
        <w:t>la</w:t>
      </w:r>
      <w:r>
        <w:rPr>
          <w:spacing w:val="-6"/>
          <w:sz w:val="22"/>
        </w:rPr>
        <w:t> </w:t>
      </w:r>
      <w:r>
        <w:rPr>
          <w:sz w:val="22"/>
        </w:rPr>
        <w:t>unidad</w:t>
      </w:r>
      <w:r>
        <w:rPr>
          <w:spacing w:val="-2"/>
          <w:sz w:val="22"/>
        </w:rPr>
        <w:t> </w:t>
      </w:r>
      <w:r>
        <w:rPr>
          <w:sz w:val="22"/>
        </w:rPr>
        <w:t>dental.</w:t>
      </w:r>
      <w:r>
        <w:rPr>
          <w:spacing w:val="-2"/>
          <w:sz w:val="22"/>
        </w:rPr>
        <w:t> </w:t>
      </w:r>
      <w:r>
        <w:rPr>
          <w:sz w:val="22"/>
        </w:rPr>
        <w:t>Cincinnati,</w:t>
      </w:r>
      <w:r>
        <w:rPr>
          <w:spacing w:val="-2"/>
          <w:sz w:val="22"/>
        </w:rPr>
        <w:t> </w:t>
      </w:r>
      <w:r>
        <w:rPr>
          <w:sz w:val="22"/>
        </w:rPr>
        <w:t>Ohio;1997.</w:t>
      </w:r>
    </w:p>
    <w:p>
      <w:pPr>
        <w:pStyle w:val="ListParagraph"/>
        <w:numPr>
          <w:ilvl w:val="0"/>
          <w:numId w:val="13"/>
        </w:numPr>
        <w:tabs>
          <w:tab w:pos="581" w:val="left" w:leader="none"/>
        </w:tabs>
        <w:spacing w:line="360" w:lineRule="auto" w:before="126" w:after="0"/>
        <w:ind w:left="580" w:right="428" w:hanging="361"/>
        <w:jc w:val="both"/>
        <w:rPr>
          <w:sz w:val="22"/>
        </w:rPr>
      </w:pPr>
      <w:r>
        <w:rPr>
          <w:sz w:val="22"/>
        </w:rPr>
        <w:t>Decoret D, Amoussou Y, Lagneau C, Lissac </w:t>
      </w:r>
      <w:r>
        <w:rPr>
          <w:spacing w:val="-4"/>
          <w:sz w:val="22"/>
        </w:rPr>
        <w:t>M, </w:t>
      </w:r>
      <w:r>
        <w:rPr>
          <w:sz w:val="22"/>
        </w:rPr>
        <w:t>Morrier JJ, Barsotti </w:t>
      </w:r>
      <w:r>
        <w:rPr>
          <w:spacing w:val="3"/>
          <w:sz w:val="22"/>
        </w:rPr>
        <w:t>O. </w:t>
      </w:r>
      <w:r>
        <w:rPr>
          <w:sz w:val="22"/>
        </w:rPr>
        <w:t>Simulated use evaluation</w:t>
      </w:r>
      <w:r>
        <w:rPr>
          <w:spacing w:val="-5"/>
          <w:sz w:val="22"/>
        </w:rPr>
        <w:t> </w:t>
      </w:r>
      <w:r>
        <w:rPr>
          <w:sz w:val="22"/>
        </w:rPr>
        <w:t>of</w:t>
      </w:r>
      <w:r>
        <w:rPr>
          <w:spacing w:val="-1"/>
          <w:sz w:val="22"/>
        </w:rPr>
        <w:t> </w:t>
      </w:r>
      <w:r>
        <w:rPr>
          <w:sz w:val="22"/>
        </w:rPr>
        <w:t>hydrogen</w:t>
      </w:r>
      <w:r>
        <w:rPr>
          <w:spacing w:val="-5"/>
          <w:sz w:val="22"/>
        </w:rPr>
        <w:t> </w:t>
      </w:r>
      <w:r>
        <w:rPr>
          <w:sz w:val="22"/>
        </w:rPr>
        <w:t>peroxide</w:t>
      </w:r>
      <w:r>
        <w:rPr>
          <w:spacing w:val="-5"/>
          <w:sz w:val="22"/>
        </w:rPr>
        <w:t> </w:t>
      </w:r>
      <w:r>
        <w:rPr>
          <w:sz w:val="22"/>
        </w:rPr>
        <w:t>disinfectant</w:t>
      </w:r>
      <w:r>
        <w:rPr>
          <w:spacing w:val="-11"/>
          <w:sz w:val="22"/>
        </w:rPr>
        <w:t> </w:t>
      </w:r>
      <w:r>
        <w:rPr>
          <w:sz w:val="22"/>
        </w:rPr>
        <w:t>for</w:t>
      </w:r>
      <w:r>
        <w:rPr>
          <w:spacing w:val="-9"/>
          <w:sz w:val="22"/>
        </w:rPr>
        <w:t> </w:t>
      </w:r>
      <w:r>
        <w:rPr>
          <w:sz w:val="22"/>
        </w:rPr>
        <w:t>preventing</w:t>
      </w:r>
      <w:r>
        <w:rPr>
          <w:spacing w:val="-5"/>
          <w:sz w:val="22"/>
        </w:rPr>
        <w:t> </w:t>
      </w:r>
      <w:r>
        <w:rPr>
          <w:sz w:val="22"/>
        </w:rPr>
        <w:t>biofilm</w:t>
      </w:r>
      <w:r>
        <w:rPr>
          <w:spacing w:val="-9"/>
          <w:sz w:val="22"/>
        </w:rPr>
        <w:t> </w:t>
      </w:r>
      <w:r>
        <w:rPr>
          <w:sz w:val="22"/>
        </w:rPr>
        <w:t>formation</w:t>
      </w:r>
      <w:r>
        <w:rPr>
          <w:spacing w:val="-1"/>
          <w:sz w:val="22"/>
        </w:rPr>
        <w:t> </w:t>
      </w:r>
      <w:r>
        <w:rPr>
          <w:sz w:val="22"/>
        </w:rPr>
        <w:t>in</w:t>
      </w:r>
      <w:r>
        <w:rPr>
          <w:spacing w:val="-5"/>
          <w:sz w:val="22"/>
        </w:rPr>
        <w:t> </w:t>
      </w:r>
      <w:r>
        <w:rPr>
          <w:sz w:val="22"/>
        </w:rPr>
        <w:t>dental unit waterlines. Eur. Cell. Mater 2005., 10: 24-25.</w:t>
      </w:r>
      <w:r>
        <w:rPr>
          <w:spacing w:val="-30"/>
          <w:sz w:val="22"/>
        </w:rPr>
        <w:t> </w:t>
      </w:r>
      <w:r>
        <w:rPr>
          <w:sz w:val="22"/>
        </w:rPr>
        <w:t>[PubMed]</w:t>
      </w:r>
    </w:p>
    <w:p>
      <w:pPr>
        <w:pStyle w:val="ListParagraph"/>
        <w:numPr>
          <w:ilvl w:val="0"/>
          <w:numId w:val="13"/>
        </w:numPr>
        <w:tabs>
          <w:tab w:pos="581" w:val="left" w:leader="none"/>
        </w:tabs>
        <w:spacing w:line="360" w:lineRule="auto" w:before="8" w:after="0"/>
        <w:ind w:left="580" w:right="668" w:hanging="361"/>
        <w:jc w:val="left"/>
        <w:rPr>
          <w:sz w:val="22"/>
        </w:rPr>
      </w:pPr>
      <w:r>
        <w:rPr>
          <w:sz w:val="22"/>
        </w:rPr>
        <w:t>Andersen LP, Hilsberg P. Disinfectants and disinfection methods. Ugeskr.</w:t>
      </w:r>
      <w:r>
        <w:rPr>
          <w:spacing w:val="-40"/>
          <w:sz w:val="22"/>
        </w:rPr>
        <w:t> </w:t>
      </w:r>
      <w:r>
        <w:rPr>
          <w:sz w:val="22"/>
        </w:rPr>
        <w:t>Laeger., 2007; 169: 4243-4236.</w:t>
      </w:r>
      <w:r>
        <w:rPr>
          <w:spacing w:val="-12"/>
          <w:sz w:val="22"/>
        </w:rPr>
        <w:t> </w:t>
      </w:r>
      <w:r>
        <w:rPr>
          <w:sz w:val="22"/>
        </w:rPr>
        <w:t>[PubMed]</w:t>
      </w:r>
    </w:p>
    <w:p>
      <w:pPr>
        <w:pStyle w:val="ListParagraph"/>
        <w:numPr>
          <w:ilvl w:val="0"/>
          <w:numId w:val="13"/>
        </w:numPr>
        <w:tabs>
          <w:tab w:pos="581" w:val="left" w:leader="none"/>
        </w:tabs>
        <w:spacing w:line="360" w:lineRule="auto" w:before="3" w:after="0"/>
        <w:ind w:left="580" w:right="379" w:hanging="361"/>
        <w:jc w:val="left"/>
        <w:rPr>
          <w:sz w:val="22"/>
        </w:rPr>
      </w:pPr>
      <w:r>
        <w:rPr>
          <w:sz w:val="22"/>
        </w:rPr>
        <w:t>Wong WC, Dudinsky LA, García VM, Ott </w:t>
      </w:r>
      <w:r>
        <w:rPr>
          <w:spacing w:val="-3"/>
          <w:sz w:val="22"/>
        </w:rPr>
        <w:t>CM, </w:t>
      </w:r>
      <w:r>
        <w:rPr>
          <w:sz w:val="22"/>
        </w:rPr>
        <w:t>Castro VA. Efficacy of various chemical disinfectants on biofilms formed </w:t>
      </w:r>
      <w:r>
        <w:rPr>
          <w:spacing w:val="-3"/>
          <w:sz w:val="22"/>
        </w:rPr>
        <w:t>in </w:t>
      </w:r>
      <w:r>
        <w:rPr>
          <w:sz w:val="22"/>
        </w:rPr>
        <w:t>spacecraft potable water system components. Biofouling 2010; 26:583-6.</w:t>
      </w:r>
      <w:r>
        <w:rPr>
          <w:spacing w:val="-15"/>
          <w:sz w:val="22"/>
        </w:rPr>
        <w:t> </w:t>
      </w:r>
      <w:r>
        <w:rPr>
          <w:sz w:val="22"/>
        </w:rPr>
        <w:t>[PubMed]</w:t>
      </w:r>
    </w:p>
    <w:p>
      <w:pPr>
        <w:pStyle w:val="ListParagraph"/>
        <w:numPr>
          <w:ilvl w:val="0"/>
          <w:numId w:val="13"/>
        </w:numPr>
        <w:tabs>
          <w:tab w:pos="581" w:val="left" w:leader="none"/>
        </w:tabs>
        <w:spacing w:line="360" w:lineRule="auto" w:before="3" w:after="0"/>
        <w:ind w:left="580" w:right="731" w:hanging="361"/>
        <w:jc w:val="left"/>
        <w:rPr>
          <w:sz w:val="22"/>
        </w:rPr>
      </w:pPr>
      <w:r>
        <w:rPr>
          <w:sz w:val="22"/>
        </w:rPr>
        <w:t>Feng QL, </w:t>
      </w:r>
      <w:r>
        <w:rPr>
          <w:spacing w:val="3"/>
          <w:sz w:val="22"/>
        </w:rPr>
        <w:t>Wu </w:t>
      </w:r>
      <w:r>
        <w:rPr>
          <w:sz w:val="22"/>
        </w:rPr>
        <w:t>J, Chen GQ, Cui FZ, Kim TN, Kim JO. A mechanistic study of the antibacterial effect of silver ions on Escherichia coli and Staphylococcus aureus. J Biomed Mater Res 2000;52:662–8.</w:t>
      </w:r>
      <w:r>
        <w:rPr>
          <w:spacing w:val="-17"/>
          <w:sz w:val="22"/>
        </w:rPr>
        <w:t> </w:t>
      </w:r>
      <w:r>
        <w:rPr>
          <w:sz w:val="22"/>
        </w:rPr>
        <w:t>[PubMed]</w:t>
      </w:r>
    </w:p>
    <w:p>
      <w:pPr>
        <w:pStyle w:val="ListParagraph"/>
        <w:numPr>
          <w:ilvl w:val="0"/>
          <w:numId w:val="13"/>
        </w:numPr>
        <w:tabs>
          <w:tab w:pos="581" w:val="left" w:leader="none"/>
        </w:tabs>
        <w:spacing w:line="360" w:lineRule="auto" w:before="3" w:after="0"/>
        <w:ind w:left="580" w:right="430" w:hanging="361"/>
        <w:jc w:val="left"/>
        <w:rPr>
          <w:sz w:val="22"/>
        </w:rPr>
      </w:pPr>
      <w:r>
        <w:rPr>
          <w:sz w:val="22"/>
        </w:rPr>
        <w:t>Han </w:t>
      </w:r>
      <w:r>
        <w:rPr>
          <w:spacing w:val="-4"/>
          <w:sz w:val="22"/>
        </w:rPr>
        <w:t>MY, </w:t>
      </w:r>
      <w:r>
        <w:rPr>
          <w:sz w:val="22"/>
        </w:rPr>
        <w:t>Mun JS. Particle behavior consideration to maximize the settling capacity of rainwater storage tanks. Water Sci Technol 2008;56:73–9.</w:t>
      </w:r>
      <w:r>
        <w:rPr>
          <w:spacing w:val="-23"/>
          <w:sz w:val="22"/>
        </w:rPr>
        <w:t> </w:t>
      </w:r>
      <w:r>
        <w:rPr>
          <w:sz w:val="22"/>
        </w:rPr>
        <w:t>[PubMed]</w:t>
      </w:r>
    </w:p>
    <w:p>
      <w:pPr>
        <w:pStyle w:val="ListParagraph"/>
        <w:numPr>
          <w:ilvl w:val="0"/>
          <w:numId w:val="13"/>
        </w:numPr>
        <w:tabs>
          <w:tab w:pos="581" w:val="left" w:leader="none"/>
        </w:tabs>
        <w:spacing w:line="360" w:lineRule="auto" w:before="3" w:after="0"/>
        <w:ind w:left="580" w:right="497" w:hanging="361"/>
        <w:jc w:val="left"/>
        <w:rPr>
          <w:sz w:val="22"/>
        </w:rPr>
      </w:pPr>
      <w:r>
        <w:rPr>
          <w:sz w:val="22"/>
        </w:rPr>
        <w:t>Gibbard </w:t>
      </w:r>
      <w:r>
        <w:rPr>
          <w:spacing w:val="-3"/>
          <w:sz w:val="22"/>
        </w:rPr>
        <w:t>J. </w:t>
      </w:r>
      <w:r>
        <w:rPr>
          <w:sz w:val="22"/>
        </w:rPr>
        <w:t>Public health aspects of the treatment of water and beverages with silver. Am J Public Health 1937;27:122–37.</w:t>
      </w:r>
      <w:r>
        <w:rPr>
          <w:spacing w:val="-18"/>
          <w:sz w:val="22"/>
        </w:rPr>
        <w:t> </w:t>
      </w:r>
      <w:r>
        <w:rPr>
          <w:sz w:val="22"/>
        </w:rPr>
        <w:t>[PubMed]</w:t>
      </w:r>
    </w:p>
    <w:p>
      <w:pPr>
        <w:spacing w:after="0" w:line="360" w:lineRule="auto"/>
        <w:jc w:val="left"/>
        <w:rPr>
          <w:sz w:val="22"/>
        </w:rPr>
        <w:sectPr>
          <w:pgSz w:w="12240" w:h="15840"/>
          <w:pgMar w:header="731" w:footer="1012" w:top="1160" w:bottom="1200" w:left="1480" w:right="1480"/>
        </w:sectPr>
      </w:pPr>
    </w:p>
    <w:p>
      <w:pPr>
        <w:pStyle w:val="BodyText"/>
        <w:rPr>
          <w:sz w:val="17"/>
        </w:rPr>
      </w:pPr>
    </w:p>
    <w:p>
      <w:pPr>
        <w:pStyle w:val="ListParagraph"/>
        <w:numPr>
          <w:ilvl w:val="0"/>
          <w:numId w:val="13"/>
        </w:numPr>
        <w:tabs>
          <w:tab w:pos="581" w:val="left" w:leader="none"/>
        </w:tabs>
        <w:spacing w:line="360" w:lineRule="auto" w:before="73" w:after="0"/>
        <w:ind w:left="580" w:right="529" w:hanging="361"/>
        <w:jc w:val="left"/>
        <w:rPr>
          <w:sz w:val="22"/>
        </w:rPr>
      </w:pPr>
      <w:r>
        <w:rPr>
          <w:sz w:val="22"/>
        </w:rPr>
        <w:t>Klueh U,Wagner V, Kelly S, Johnson A, Bryers JD. Efficacy of silver-coated fabric to prevent bacterial colonization and subsequent device-based biofilm formation. J Biomed Mater Res 2000;53:621–31.</w:t>
      </w:r>
      <w:r>
        <w:rPr>
          <w:spacing w:val="-17"/>
          <w:sz w:val="22"/>
        </w:rPr>
        <w:t> </w:t>
      </w:r>
      <w:r>
        <w:rPr>
          <w:sz w:val="22"/>
        </w:rPr>
        <w:t>[PubMed]</w:t>
      </w:r>
    </w:p>
    <w:p>
      <w:pPr>
        <w:pStyle w:val="ListParagraph"/>
        <w:numPr>
          <w:ilvl w:val="0"/>
          <w:numId w:val="13"/>
        </w:numPr>
        <w:tabs>
          <w:tab w:pos="581" w:val="left" w:leader="none"/>
        </w:tabs>
        <w:spacing w:line="360" w:lineRule="auto" w:before="8" w:after="0"/>
        <w:ind w:left="580" w:right="523" w:hanging="361"/>
        <w:jc w:val="left"/>
        <w:rPr>
          <w:sz w:val="22"/>
        </w:rPr>
      </w:pPr>
      <w:r>
        <w:rPr>
          <w:sz w:val="22"/>
        </w:rPr>
        <w:t>Lee JY, Yang JS, </w:t>
      </w:r>
      <w:r>
        <w:rPr>
          <w:spacing w:val="-3"/>
          <w:sz w:val="22"/>
        </w:rPr>
        <w:t>HanMY, </w:t>
      </w:r>
      <w:r>
        <w:rPr>
          <w:sz w:val="22"/>
        </w:rPr>
        <w:t>Choi JY. Comparison of the microbiological and chemical characterization of harvested rainwater and reservoir water as alternative water resources. Sci Total Environ 2010;408:896–905.</w:t>
      </w:r>
      <w:r>
        <w:rPr>
          <w:spacing w:val="-23"/>
          <w:sz w:val="22"/>
        </w:rPr>
        <w:t> </w:t>
      </w:r>
      <w:r>
        <w:rPr>
          <w:sz w:val="22"/>
        </w:rPr>
        <w:t>[PubMed]</w:t>
      </w:r>
    </w:p>
    <w:p>
      <w:pPr>
        <w:pStyle w:val="ListParagraph"/>
        <w:numPr>
          <w:ilvl w:val="0"/>
          <w:numId w:val="13"/>
        </w:numPr>
        <w:tabs>
          <w:tab w:pos="581" w:val="left" w:leader="none"/>
        </w:tabs>
        <w:spacing w:line="240" w:lineRule="auto" w:before="3" w:after="0"/>
        <w:ind w:left="580" w:right="0" w:hanging="361"/>
        <w:jc w:val="left"/>
        <w:rPr>
          <w:sz w:val="22"/>
        </w:rPr>
      </w:pPr>
      <w:r>
        <w:rPr>
          <w:sz w:val="22"/>
        </w:rPr>
        <w:t>Donlan rm. Biofilms: Microbial life on surfaces. Emerg Infect Dis 2002; 8 (9):</w:t>
      </w:r>
      <w:r>
        <w:rPr>
          <w:spacing w:val="-34"/>
          <w:sz w:val="22"/>
        </w:rPr>
        <w:t> </w:t>
      </w:r>
      <w:r>
        <w:rPr>
          <w:sz w:val="22"/>
        </w:rPr>
        <w:t>881-90.</w:t>
      </w:r>
    </w:p>
    <w:p>
      <w:pPr>
        <w:pStyle w:val="ListParagraph"/>
        <w:numPr>
          <w:ilvl w:val="0"/>
          <w:numId w:val="13"/>
        </w:numPr>
        <w:tabs>
          <w:tab w:pos="581" w:val="left" w:leader="none"/>
        </w:tabs>
        <w:spacing w:line="360" w:lineRule="auto" w:before="126" w:after="0"/>
        <w:ind w:left="580" w:right="559" w:hanging="361"/>
        <w:jc w:val="left"/>
        <w:rPr>
          <w:sz w:val="22"/>
        </w:rPr>
      </w:pPr>
      <w:r>
        <w:rPr>
          <w:sz w:val="22"/>
        </w:rPr>
        <w:t>Thomas JG, Nakaishi LA. Managing the complexity of a dynamic biofilm. J Am</w:t>
      </w:r>
      <w:r>
        <w:rPr>
          <w:spacing w:val="-38"/>
          <w:sz w:val="22"/>
        </w:rPr>
        <w:t> </w:t>
      </w:r>
      <w:r>
        <w:rPr>
          <w:sz w:val="22"/>
        </w:rPr>
        <w:t>Dent Assoc 2006; 137(suppl):</w:t>
      </w:r>
      <w:r>
        <w:rPr>
          <w:spacing w:val="-9"/>
          <w:sz w:val="22"/>
        </w:rPr>
        <w:t> </w:t>
      </w:r>
      <w:r>
        <w:rPr>
          <w:sz w:val="22"/>
        </w:rPr>
        <w:t>10S-15S.</w:t>
      </w:r>
    </w:p>
    <w:p>
      <w:pPr>
        <w:pStyle w:val="ListParagraph"/>
        <w:numPr>
          <w:ilvl w:val="0"/>
          <w:numId w:val="13"/>
        </w:numPr>
        <w:tabs>
          <w:tab w:pos="581" w:val="left" w:leader="none"/>
        </w:tabs>
        <w:spacing w:line="360" w:lineRule="auto" w:before="3" w:after="0"/>
        <w:ind w:left="580" w:right="567" w:hanging="361"/>
        <w:jc w:val="left"/>
        <w:rPr>
          <w:sz w:val="22"/>
        </w:rPr>
      </w:pPr>
      <w:r>
        <w:rPr>
          <w:sz w:val="22"/>
        </w:rPr>
        <w:t>Sanclement JA, Webster PL, Thomas </w:t>
      </w:r>
      <w:r>
        <w:rPr>
          <w:spacing w:val="-3"/>
          <w:sz w:val="22"/>
        </w:rPr>
        <w:t>J, </w:t>
      </w:r>
      <w:r>
        <w:rPr>
          <w:sz w:val="22"/>
        </w:rPr>
        <w:t>Ramadan HH. Bacterial biofilms in surgical specimens of patients with chronic rhinosinusitis. Laryngoscope 2005; 115:</w:t>
      </w:r>
      <w:r>
        <w:rPr>
          <w:spacing w:val="-32"/>
          <w:sz w:val="22"/>
        </w:rPr>
        <w:t> </w:t>
      </w:r>
      <w:r>
        <w:rPr>
          <w:sz w:val="22"/>
        </w:rPr>
        <w:t>578-82.</w:t>
      </w:r>
    </w:p>
    <w:p>
      <w:pPr>
        <w:pStyle w:val="ListParagraph"/>
        <w:numPr>
          <w:ilvl w:val="0"/>
          <w:numId w:val="13"/>
        </w:numPr>
        <w:tabs>
          <w:tab w:pos="581" w:val="left" w:leader="none"/>
        </w:tabs>
        <w:spacing w:line="360" w:lineRule="auto" w:before="3" w:after="0"/>
        <w:ind w:left="580" w:right="422" w:hanging="361"/>
        <w:jc w:val="left"/>
        <w:rPr>
          <w:sz w:val="22"/>
        </w:rPr>
      </w:pPr>
      <w:r>
        <w:rPr>
          <w:sz w:val="22"/>
        </w:rPr>
        <w:t>Chole RA, Faddis BT. Anatomical evidence of microbial biofilms in tonsillar tissues:</w:t>
      </w:r>
      <w:r>
        <w:rPr>
          <w:spacing w:val="-39"/>
          <w:sz w:val="22"/>
        </w:rPr>
        <w:t> </w:t>
      </w:r>
      <w:r>
        <w:rPr>
          <w:sz w:val="22"/>
        </w:rPr>
        <w:t>A possible mechanism to explain chronicity. Arch Otolaryngol Head Neck Surg 2003; 129:</w:t>
      </w:r>
      <w:r>
        <w:rPr>
          <w:spacing w:val="2"/>
          <w:sz w:val="22"/>
        </w:rPr>
        <w:t> </w:t>
      </w:r>
      <w:r>
        <w:rPr>
          <w:sz w:val="22"/>
        </w:rPr>
        <w:t>634-6.</w:t>
      </w:r>
    </w:p>
    <w:p>
      <w:pPr>
        <w:pStyle w:val="ListParagraph"/>
        <w:numPr>
          <w:ilvl w:val="0"/>
          <w:numId w:val="13"/>
        </w:numPr>
        <w:tabs>
          <w:tab w:pos="581" w:val="left" w:leader="none"/>
        </w:tabs>
        <w:spacing w:line="360" w:lineRule="auto" w:before="3" w:after="0"/>
        <w:ind w:left="580" w:right="648" w:hanging="361"/>
        <w:jc w:val="left"/>
        <w:rPr>
          <w:sz w:val="22"/>
        </w:rPr>
      </w:pPr>
      <w:r>
        <w:rPr>
          <w:sz w:val="22"/>
        </w:rPr>
        <w:t>Anderl JN, Franklin </w:t>
      </w:r>
      <w:r>
        <w:rPr>
          <w:spacing w:val="-3"/>
          <w:sz w:val="22"/>
        </w:rPr>
        <w:t>MJ, </w:t>
      </w:r>
      <w:r>
        <w:rPr>
          <w:sz w:val="22"/>
        </w:rPr>
        <w:t>Stewart PS. Role of antibiotic penetration limitation </w:t>
      </w:r>
      <w:r>
        <w:rPr>
          <w:spacing w:val="-3"/>
          <w:sz w:val="22"/>
        </w:rPr>
        <w:t>in </w:t>
      </w:r>
      <w:r>
        <w:rPr>
          <w:sz w:val="22"/>
        </w:rPr>
        <w:t>Klebsiella</w:t>
      </w:r>
      <w:r>
        <w:rPr>
          <w:spacing w:val="-7"/>
          <w:sz w:val="22"/>
        </w:rPr>
        <w:t> </w:t>
      </w:r>
      <w:r>
        <w:rPr>
          <w:sz w:val="22"/>
        </w:rPr>
        <w:t>pneumoniae</w:t>
      </w:r>
      <w:r>
        <w:rPr>
          <w:spacing w:val="-7"/>
          <w:sz w:val="22"/>
        </w:rPr>
        <w:t> </w:t>
      </w:r>
      <w:r>
        <w:rPr>
          <w:sz w:val="22"/>
        </w:rPr>
        <w:t>biofilm</w:t>
      </w:r>
      <w:r>
        <w:rPr>
          <w:spacing w:val="-6"/>
          <w:sz w:val="22"/>
        </w:rPr>
        <w:t> </w:t>
      </w:r>
      <w:r>
        <w:rPr>
          <w:sz w:val="22"/>
        </w:rPr>
        <w:t>resistance</w:t>
      </w:r>
      <w:r>
        <w:rPr>
          <w:spacing w:val="-7"/>
          <w:sz w:val="22"/>
        </w:rPr>
        <w:t> </w:t>
      </w:r>
      <w:r>
        <w:rPr>
          <w:sz w:val="22"/>
        </w:rPr>
        <w:t>to</w:t>
      </w:r>
      <w:r>
        <w:rPr>
          <w:spacing w:val="-7"/>
          <w:sz w:val="22"/>
        </w:rPr>
        <w:t> </w:t>
      </w:r>
      <w:r>
        <w:rPr>
          <w:sz w:val="22"/>
        </w:rPr>
        <w:t>ampicillin</w:t>
      </w:r>
      <w:r>
        <w:rPr>
          <w:spacing w:val="-4"/>
          <w:sz w:val="22"/>
        </w:rPr>
        <w:t> </w:t>
      </w:r>
      <w:r>
        <w:rPr>
          <w:sz w:val="22"/>
        </w:rPr>
        <w:t>and</w:t>
      </w:r>
      <w:r>
        <w:rPr>
          <w:spacing w:val="-4"/>
          <w:sz w:val="22"/>
        </w:rPr>
        <w:t> </w:t>
      </w:r>
      <w:r>
        <w:rPr>
          <w:sz w:val="22"/>
        </w:rPr>
        <w:t>ciprofloxacin.</w:t>
      </w:r>
      <w:r>
        <w:rPr>
          <w:spacing w:val="-8"/>
          <w:sz w:val="22"/>
        </w:rPr>
        <w:t> </w:t>
      </w:r>
      <w:r>
        <w:rPr>
          <w:sz w:val="22"/>
        </w:rPr>
        <w:t>Antimicrob Agents Chemother 2000; 44:</w:t>
      </w:r>
      <w:r>
        <w:rPr>
          <w:spacing w:val="-8"/>
          <w:sz w:val="22"/>
        </w:rPr>
        <w:t> </w:t>
      </w:r>
      <w:r>
        <w:rPr>
          <w:sz w:val="22"/>
        </w:rPr>
        <w:t>1818-24.</w:t>
      </w:r>
    </w:p>
    <w:p>
      <w:pPr>
        <w:pStyle w:val="ListParagraph"/>
        <w:numPr>
          <w:ilvl w:val="0"/>
          <w:numId w:val="13"/>
        </w:numPr>
        <w:tabs>
          <w:tab w:pos="581" w:val="left" w:leader="none"/>
        </w:tabs>
        <w:spacing w:line="360" w:lineRule="auto" w:before="3" w:after="0"/>
        <w:ind w:left="580" w:right="499" w:hanging="361"/>
        <w:jc w:val="left"/>
        <w:rPr>
          <w:sz w:val="22"/>
        </w:rPr>
      </w:pPr>
      <w:r>
        <w:rPr>
          <w:sz w:val="22"/>
        </w:rPr>
        <w:t>Characklis</w:t>
      </w:r>
      <w:r>
        <w:rPr>
          <w:spacing w:val="-12"/>
          <w:sz w:val="22"/>
        </w:rPr>
        <w:t> </w:t>
      </w:r>
      <w:r>
        <w:rPr>
          <w:spacing w:val="3"/>
          <w:sz w:val="22"/>
        </w:rPr>
        <w:t>WG</w:t>
      </w:r>
      <w:r>
        <w:rPr>
          <w:spacing w:val="-6"/>
          <w:sz w:val="22"/>
        </w:rPr>
        <w:t> </w:t>
      </w:r>
      <w:r>
        <w:rPr>
          <w:sz w:val="22"/>
        </w:rPr>
        <w:t>Microbial</w:t>
      </w:r>
      <w:r>
        <w:rPr>
          <w:spacing w:val="-8"/>
          <w:sz w:val="22"/>
        </w:rPr>
        <w:t> </w:t>
      </w:r>
      <w:r>
        <w:rPr>
          <w:sz w:val="22"/>
        </w:rPr>
        <w:t>fouling:</w:t>
      </w:r>
      <w:r>
        <w:rPr>
          <w:spacing w:val="-2"/>
          <w:sz w:val="22"/>
        </w:rPr>
        <w:t> </w:t>
      </w:r>
      <w:r>
        <w:rPr>
          <w:sz w:val="22"/>
        </w:rPr>
        <w:t>Charackiswg</w:t>
      </w:r>
      <w:r>
        <w:rPr>
          <w:spacing w:val="-2"/>
          <w:sz w:val="22"/>
        </w:rPr>
        <w:t> </w:t>
      </w:r>
      <w:r>
        <w:rPr>
          <w:sz w:val="22"/>
        </w:rPr>
        <w:t>Marshalkc,</w:t>
      </w:r>
      <w:r>
        <w:rPr>
          <w:spacing w:val="-6"/>
          <w:sz w:val="22"/>
        </w:rPr>
        <w:t> </w:t>
      </w:r>
      <w:r>
        <w:rPr>
          <w:sz w:val="22"/>
        </w:rPr>
        <w:t>editors.</w:t>
      </w:r>
      <w:r>
        <w:rPr>
          <w:spacing w:val="-6"/>
          <w:sz w:val="22"/>
        </w:rPr>
        <w:t> </w:t>
      </w:r>
      <w:r>
        <w:rPr>
          <w:sz w:val="22"/>
        </w:rPr>
        <w:t>Biofilm</w:t>
      </w:r>
      <w:r>
        <w:rPr>
          <w:spacing w:val="-5"/>
          <w:sz w:val="22"/>
        </w:rPr>
        <w:t> </w:t>
      </w:r>
      <w:r>
        <w:rPr>
          <w:sz w:val="22"/>
        </w:rPr>
        <w:t>New</w:t>
      </w:r>
      <w:r>
        <w:rPr>
          <w:spacing w:val="-4"/>
          <w:sz w:val="22"/>
        </w:rPr>
        <w:t> </w:t>
      </w:r>
      <w:r>
        <w:rPr>
          <w:sz w:val="22"/>
        </w:rPr>
        <w:t>York; John Wiley&amp;sons; 1990.</w:t>
      </w:r>
      <w:r>
        <w:rPr>
          <w:spacing w:val="-9"/>
          <w:sz w:val="22"/>
        </w:rPr>
        <w:t> </w:t>
      </w:r>
      <w:r>
        <w:rPr>
          <w:sz w:val="22"/>
        </w:rPr>
        <w:t>P523-84.</w:t>
      </w:r>
    </w:p>
    <w:p>
      <w:pPr>
        <w:pStyle w:val="ListParagraph"/>
        <w:numPr>
          <w:ilvl w:val="0"/>
          <w:numId w:val="13"/>
        </w:numPr>
        <w:tabs>
          <w:tab w:pos="581" w:val="left" w:leader="none"/>
        </w:tabs>
        <w:spacing w:line="355" w:lineRule="auto" w:before="3" w:after="0"/>
        <w:ind w:left="580" w:right="767" w:hanging="361"/>
        <w:jc w:val="left"/>
        <w:rPr>
          <w:sz w:val="22"/>
        </w:rPr>
      </w:pPr>
      <w:r>
        <w:rPr>
          <w:sz w:val="22"/>
        </w:rPr>
        <w:t>Costerton JW, Stewart PS, Greenberg EP. Bacterial biofilms: A common cause</w:t>
      </w:r>
      <w:r>
        <w:rPr>
          <w:spacing w:val="-36"/>
          <w:sz w:val="22"/>
        </w:rPr>
        <w:t> </w:t>
      </w:r>
      <w:r>
        <w:rPr>
          <w:sz w:val="22"/>
        </w:rPr>
        <w:t>of persistent infections. Science 1999; 284:</w:t>
      </w:r>
      <w:r>
        <w:rPr>
          <w:spacing w:val="-19"/>
          <w:sz w:val="22"/>
        </w:rPr>
        <w:t> </w:t>
      </w:r>
      <w:r>
        <w:rPr>
          <w:sz w:val="22"/>
        </w:rPr>
        <w:t>1318-22.</w:t>
      </w:r>
    </w:p>
    <w:p>
      <w:pPr>
        <w:pStyle w:val="BodyText"/>
        <w:spacing w:before="7"/>
        <w:rPr>
          <w:sz w:val="18"/>
        </w:rPr>
      </w:pPr>
    </w:p>
    <w:p>
      <w:pPr>
        <w:pStyle w:val="ListParagraph"/>
        <w:numPr>
          <w:ilvl w:val="0"/>
          <w:numId w:val="13"/>
        </w:numPr>
        <w:tabs>
          <w:tab w:pos="581" w:val="left" w:leader="none"/>
          <w:tab w:pos="1352" w:val="left" w:leader="none"/>
          <w:tab w:pos="1765" w:val="left" w:leader="none"/>
          <w:tab w:pos="2384" w:val="left" w:leader="none"/>
          <w:tab w:pos="3158" w:val="left" w:leader="none"/>
          <w:tab w:pos="3738" w:val="left" w:leader="none"/>
          <w:tab w:pos="4901" w:val="left" w:leader="none"/>
          <w:tab w:pos="5520" w:val="left" w:leader="none"/>
          <w:tab w:pos="6341" w:val="left" w:leader="none"/>
          <w:tab w:pos="6803" w:val="left" w:leader="none"/>
          <w:tab w:pos="7863" w:val="left" w:leader="none"/>
        </w:tabs>
        <w:spacing w:line="360" w:lineRule="auto" w:before="0" w:after="0"/>
        <w:ind w:left="580" w:right="217" w:hanging="361"/>
        <w:jc w:val="left"/>
        <w:rPr>
          <w:sz w:val="22"/>
        </w:rPr>
      </w:pPr>
      <w:r>
        <w:rPr>
          <w:sz w:val="22"/>
        </w:rPr>
        <w:t>Lasa</w:t>
        <w:tab/>
        <w:t>I,</w:t>
        <w:tab/>
        <w:t>Del</w:t>
        <w:tab/>
        <w:t>pozo</w:t>
        <w:tab/>
        <w:t>JL,</w:t>
        <w:tab/>
        <w:t>Penadés</w:t>
        <w:tab/>
        <w:t>JR,</w:t>
        <w:tab/>
        <w:t>Leiva</w:t>
        <w:tab/>
        <w:t>J.</w:t>
        <w:tab/>
        <w:t>Biofilms</w:t>
        <w:tab/>
      </w:r>
      <w:r>
        <w:rPr>
          <w:spacing w:val="-1"/>
          <w:sz w:val="22"/>
        </w:rPr>
        <w:t>bacterianos. </w:t>
      </w:r>
      <w:hyperlink r:id="rId79">
        <w:r>
          <w:rPr>
            <w:sz w:val="22"/>
          </w:rPr>
          <w:t>www.cfnavarra.es/salud/anales/textos/vol28/n2/</w:t>
        </w:r>
      </w:hyperlink>
    </w:p>
    <w:p>
      <w:pPr>
        <w:pStyle w:val="ListParagraph"/>
        <w:numPr>
          <w:ilvl w:val="0"/>
          <w:numId w:val="13"/>
        </w:numPr>
        <w:tabs>
          <w:tab w:pos="581" w:val="left" w:leader="none"/>
          <w:tab w:pos="1862" w:val="left" w:leader="none"/>
          <w:tab w:pos="2399" w:val="left" w:leader="none"/>
          <w:tab w:pos="3271" w:val="left" w:leader="none"/>
          <w:tab w:pos="5467" w:val="left" w:leader="none"/>
          <w:tab w:pos="5803" w:val="left" w:leader="none"/>
          <w:tab w:pos="6623" w:val="left" w:leader="none"/>
          <w:tab w:pos="7203" w:val="left" w:leader="none"/>
          <w:tab w:pos="7961" w:val="left" w:leader="none"/>
        </w:tabs>
        <w:spacing w:line="360" w:lineRule="auto" w:before="3" w:after="0"/>
        <w:ind w:left="580" w:right="224" w:hanging="361"/>
        <w:jc w:val="left"/>
        <w:rPr>
          <w:sz w:val="22"/>
        </w:rPr>
      </w:pPr>
      <w:r>
        <w:rPr>
          <w:sz w:val="22"/>
        </w:rPr>
        <w:t>Sutherland</w:t>
        <w:tab/>
        <w:t>IW.</w:t>
        <w:tab/>
        <w:t>Biofilm</w:t>
        <w:tab/>
        <w:t>exopolysaccharides:</w:t>
        <w:tab/>
        <w:t>a</w:t>
        <w:tab/>
        <w:t>strong</w:t>
        <w:tab/>
        <w:t>and</w:t>
        <w:tab/>
        <w:t>sticky</w:t>
        <w:tab/>
        <w:t>framework. Microbiology. 2001; 147:</w:t>
      </w:r>
      <w:r>
        <w:rPr>
          <w:spacing w:val="-6"/>
          <w:sz w:val="22"/>
        </w:rPr>
        <w:t> </w:t>
      </w:r>
      <w:r>
        <w:rPr>
          <w:sz w:val="22"/>
        </w:rPr>
        <w:t>3-9.</w:t>
      </w:r>
    </w:p>
    <w:p>
      <w:pPr>
        <w:pStyle w:val="ListParagraph"/>
        <w:numPr>
          <w:ilvl w:val="0"/>
          <w:numId w:val="13"/>
        </w:numPr>
        <w:tabs>
          <w:tab w:pos="581" w:val="left" w:leader="none"/>
        </w:tabs>
        <w:spacing w:line="360" w:lineRule="auto" w:before="3" w:after="0"/>
        <w:ind w:left="580" w:right="225" w:hanging="361"/>
        <w:jc w:val="left"/>
        <w:rPr>
          <w:sz w:val="22"/>
        </w:rPr>
      </w:pPr>
      <w:r>
        <w:rPr>
          <w:sz w:val="22"/>
        </w:rPr>
        <w:t>De beer D, Stoodley P, et all. Effects of biofilm structure on oxygen distribution and mass transport. Biotechnol Bioeng 1994; 43:</w:t>
      </w:r>
      <w:r>
        <w:rPr>
          <w:spacing w:val="-17"/>
          <w:sz w:val="22"/>
        </w:rPr>
        <w:t> </w:t>
      </w:r>
      <w:r>
        <w:rPr>
          <w:sz w:val="22"/>
        </w:rPr>
        <w:t>1131-8.</w:t>
      </w:r>
    </w:p>
    <w:p>
      <w:pPr>
        <w:pStyle w:val="ListParagraph"/>
        <w:numPr>
          <w:ilvl w:val="0"/>
          <w:numId w:val="13"/>
        </w:numPr>
        <w:tabs>
          <w:tab w:pos="581" w:val="left" w:leader="none"/>
        </w:tabs>
        <w:spacing w:line="360" w:lineRule="auto" w:before="8" w:after="0"/>
        <w:ind w:left="580" w:right="224" w:hanging="361"/>
        <w:jc w:val="left"/>
        <w:rPr>
          <w:sz w:val="22"/>
        </w:rPr>
      </w:pPr>
      <w:r>
        <w:rPr>
          <w:sz w:val="22"/>
        </w:rPr>
        <w:t>Scott C, Manning SC. Basics of biofilm in clinical otolaryngology. Ear Nose Throat J 2003; 82 (suppl):</w:t>
      </w:r>
      <w:r>
        <w:rPr>
          <w:spacing w:val="-2"/>
          <w:sz w:val="22"/>
        </w:rPr>
        <w:t> </w:t>
      </w:r>
      <w:r>
        <w:rPr>
          <w:sz w:val="22"/>
        </w:rPr>
        <w:t>18-20.</w:t>
      </w:r>
    </w:p>
    <w:p>
      <w:pPr>
        <w:pStyle w:val="ListParagraph"/>
        <w:numPr>
          <w:ilvl w:val="0"/>
          <w:numId w:val="13"/>
        </w:numPr>
        <w:tabs>
          <w:tab w:pos="581" w:val="left" w:leader="none"/>
        </w:tabs>
        <w:spacing w:line="360" w:lineRule="auto" w:before="3" w:after="0"/>
        <w:ind w:left="580" w:right="223" w:hanging="361"/>
        <w:jc w:val="both"/>
        <w:rPr>
          <w:sz w:val="22"/>
        </w:rPr>
      </w:pPr>
      <w:r>
        <w:rPr>
          <w:sz w:val="22"/>
        </w:rPr>
        <w:t>Anderl JN, Franklin </w:t>
      </w:r>
      <w:r>
        <w:rPr>
          <w:spacing w:val="-3"/>
          <w:sz w:val="22"/>
        </w:rPr>
        <w:t>MJ, </w:t>
      </w:r>
      <w:r>
        <w:rPr>
          <w:sz w:val="22"/>
        </w:rPr>
        <w:t>Stewart PS. Role of antibiotic penetration limitation in  Klebsiella pneumoniae biofilm resistance to ampicillin and ciprofloxacin. Antimicrob Agents Chemother 2000; 44:</w:t>
      </w:r>
      <w:r>
        <w:rPr>
          <w:spacing w:val="-8"/>
          <w:sz w:val="22"/>
        </w:rPr>
        <w:t> </w:t>
      </w:r>
      <w:r>
        <w:rPr>
          <w:sz w:val="22"/>
        </w:rPr>
        <w:t>1818-24.</w:t>
      </w:r>
    </w:p>
    <w:p>
      <w:pPr>
        <w:pStyle w:val="ListParagraph"/>
        <w:numPr>
          <w:ilvl w:val="0"/>
          <w:numId w:val="13"/>
        </w:numPr>
        <w:tabs>
          <w:tab w:pos="581" w:val="left" w:leader="none"/>
        </w:tabs>
        <w:spacing w:line="360" w:lineRule="auto" w:before="3" w:after="0"/>
        <w:ind w:left="580" w:right="225" w:hanging="361"/>
        <w:jc w:val="left"/>
        <w:rPr>
          <w:sz w:val="22"/>
        </w:rPr>
      </w:pPr>
      <w:r>
        <w:rPr>
          <w:sz w:val="22"/>
        </w:rPr>
        <w:t>Stewart PS, Costerton JW. Antibiotic resistance of bacteria in biofilms. Lancet 2001; 358:135-8.</w:t>
      </w:r>
    </w:p>
    <w:p>
      <w:pPr>
        <w:spacing w:after="0" w:line="360" w:lineRule="auto"/>
        <w:jc w:val="left"/>
        <w:rPr>
          <w:sz w:val="22"/>
        </w:rPr>
        <w:sectPr>
          <w:footerReference w:type="default" r:id="rId78"/>
          <w:pgSz w:w="12240" w:h="15840"/>
          <w:pgMar w:footer="1012" w:header="731" w:top="1160" w:bottom="1200" w:left="1480" w:right="1480"/>
        </w:sectPr>
      </w:pPr>
    </w:p>
    <w:p>
      <w:pPr>
        <w:pStyle w:val="BodyText"/>
        <w:rPr>
          <w:sz w:val="17"/>
        </w:rPr>
      </w:pPr>
    </w:p>
    <w:p>
      <w:pPr>
        <w:pStyle w:val="ListParagraph"/>
        <w:numPr>
          <w:ilvl w:val="0"/>
          <w:numId w:val="13"/>
        </w:numPr>
        <w:tabs>
          <w:tab w:pos="581" w:val="left" w:leader="none"/>
        </w:tabs>
        <w:spacing w:line="360" w:lineRule="auto" w:before="73" w:after="0"/>
        <w:ind w:left="580" w:right="228" w:hanging="361"/>
        <w:jc w:val="left"/>
        <w:rPr>
          <w:sz w:val="22"/>
        </w:rPr>
      </w:pPr>
      <w:r>
        <w:rPr>
          <w:sz w:val="22"/>
        </w:rPr>
        <w:t>Ramírez G, Zebada M “Equipo dental”. Operatoria. Ed Universidad San carlos. Guatemala,</w:t>
      </w:r>
      <w:r>
        <w:rPr>
          <w:spacing w:val="-7"/>
          <w:sz w:val="22"/>
        </w:rPr>
        <w:t> </w:t>
      </w:r>
      <w:r>
        <w:rPr>
          <w:sz w:val="22"/>
        </w:rPr>
        <w:t>1956</w:t>
      </w:r>
    </w:p>
    <w:p>
      <w:pPr>
        <w:pStyle w:val="ListParagraph"/>
        <w:numPr>
          <w:ilvl w:val="0"/>
          <w:numId w:val="13"/>
        </w:numPr>
        <w:tabs>
          <w:tab w:pos="581" w:val="left" w:leader="none"/>
        </w:tabs>
        <w:spacing w:line="364" w:lineRule="auto" w:before="4" w:after="0"/>
        <w:ind w:left="580" w:right="366" w:hanging="361"/>
        <w:jc w:val="left"/>
        <w:rPr>
          <w:sz w:val="22"/>
        </w:rPr>
      </w:pPr>
      <w:r>
        <w:rPr>
          <w:sz w:val="22"/>
        </w:rPr>
        <w:t>Barbeau</w:t>
      </w:r>
      <w:r>
        <w:rPr>
          <w:spacing w:val="-1"/>
          <w:sz w:val="22"/>
        </w:rPr>
        <w:t> </w:t>
      </w:r>
      <w:r>
        <w:rPr>
          <w:sz w:val="22"/>
        </w:rPr>
        <w:t>J:</w:t>
      </w:r>
      <w:r>
        <w:rPr>
          <w:spacing w:val="-10"/>
          <w:sz w:val="22"/>
        </w:rPr>
        <w:t> </w:t>
      </w:r>
      <w:r>
        <w:rPr>
          <w:sz w:val="22"/>
        </w:rPr>
        <w:t>Waterborne</w:t>
      </w:r>
      <w:r>
        <w:rPr>
          <w:spacing w:val="-4"/>
          <w:sz w:val="22"/>
        </w:rPr>
        <w:t> </w:t>
      </w:r>
      <w:r>
        <w:rPr>
          <w:sz w:val="22"/>
        </w:rPr>
        <w:t>biofilms</w:t>
      </w:r>
      <w:r>
        <w:rPr>
          <w:spacing w:val="-6"/>
          <w:sz w:val="22"/>
        </w:rPr>
        <w:t> </w:t>
      </w:r>
      <w:r>
        <w:rPr>
          <w:sz w:val="22"/>
        </w:rPr>
        <w:t>and</w:t>
      </w:r>
      <w:r>
        <w:rPr>
          <w:spacing w:val="-4"/>
          <w:sz w:val="22"/>
        </w:rPr>
        <w:t> </w:t>
      </w:r>
      <w:r>
        <w:rPr>
          <w:sz w:val="22"/>
        </w:rPr>
        <w:t>dentistry:</w:t>
      </w:r>
      <w:r>
        <w:rPr>
          <w:spacing w:val="-5"/>
          <w:sz w:val="22"/>
        </w:rPr>
        <w:t> </w:t>
      </w:r>
      <w:r>
        <w:rPr>
          <w:sz w:val="22"/>
        </w:rPr>
        <w:t>the</w:t>
      </w:r>
      <w:r>
        <w:rPr>
          <w:spacing w:val="-4"/>
          <w:sz w:val="22"/>
        </w:rPr>
        <w:t> </w:t>
      </w:r>
      <w:r>
        <w:rPr>
          <w:sz w:val="22"/>
        </w:rPr>
        <w:t>changing</w:t>
      </w:r>
      <w:r>
        <w:rPr>
          <w:spacing w:val="-4"/>
          <w:sz w:val="22"/>
        </w:rPr>
        <w:t> </w:t>
      </w:r>
      <w:r>
        <w:rPr>
          <w:sz w:val="22"/>
        </w:rPr>
        <w:t>face</w:t>
      </w:r>
      <w:r>
        <w:rPr>
          <w:spacing w:val="-1"/>
          <w:sz w:val="22"/>
        </w:rPr>
        <w:t> </w:t>
      </w:r>
      <w:r>
        <w:rPr>
          <w:sz w:val="22"/>
        </w:rPr>
        <w:t>of</w:t>
      </w:r>
      <w:r>
        <w:rPr>
          <w:spacing w:val="-1"/>
          <w:sz w:val="22"/>
        </w:rPr>
        <w:t> </w:t>
      </w:r>
      <w:r>
        <w:rPr>
          <w:sz w:val="22"/>
        </w:rPr>
        <w:t>infection</w:t>
      </w:r>
      <w:r>
        <w:rPr>
          <w:spacing w:val="-4"/>
          <w:sz w:val="22"/>
        </w:rPr>
        <w:t> </w:t>
      </w:r>
      <w:r>
        <w:rPr>
          <w:sz w:val="22"/>
        </w:rPr>
        <w:t>control.</w:t>
      </w:r>
      <w:r>
        <w:rPr>
          <w:spacing w:val="-5"/>
          <w:sz w:val="22"/>
        </w:rPr>
        <w:t> </w:t>
      </w:r>
      <w:r>
        <w:rPr>
          <w:sz w:val="22"/>
        </w:rPr>
        <w:t>J Can Dent Assoc;2000; 66:</w:t>
      </w:r>
      <w:r>
        <w:rPr>
          <w:spacing w:val="-9"/>
          <w:sz w:val="22"/>
        </w:rPr>
        <w:t> </w:t>
      </w:r>
      <w:r>
        <w:rPr>
          <w:sz w:val="22"/>
        </w:rPr>
        <w:t>539-541.</w:t>
      </w:r>
    </w:p>
    <w:p>
      <w:pPr>
        <w:pStyle w:val="ListParagraph"/>
        <w:numPr>
          <w:ilvl w:val="0"/>
          <w:numId w:val="13"/>
        </w:numPr>
        <w:tabs>
          <w:tab w:pos="581" w:val="left" w:leader="none"/>
        </w:tabs>
        <w:spacing w:line="360" w:lineRule="auto" w:before="0" w:after="0"/>
        <w:ind w:left="580" w:right="1312" w:hanging="361"/>
        <w:jc w:val="left"/>
        <w:rPr>
          <w:sz w:val="22"/>
        </w:rPr>
      </w:pPr>
      <w:r>
        <w:rPr>
          <w:sz w:val="22"/>
        </w:rPr>
        <w:t>RI Karpay, Plamondon TJ, </w:t>
      </w:r>
      <w:r>
        <w:rPr>
          <w:spacing w:val="-3"/>
          <w:sz w:val="22"/>
        </w:rPr>
        <w:t>Mills </w:t>
      </w:r>
      <w:r>
        <w:rPr>
          <w:sz w:val="22"/>
        </w:rPr>
        <w:t>SE, SB paloma. Comparision of methods to enumérate bacteria </w:t>
      </w:r>
      <w:r>
        <w:rPr>
          <w:spacing w:val="-3"/>
          <w:sz w:val="22"/>
        </w:rPr>
        <w:t>in </w:t>
      </w:r>
      <w:r>
        <w:rPr>
          <w:sz w:val="22"/>
        </w:rPr>
        <w:t>dental unit wáter lines. J Am Dent Assoc [Revista en Internet)1999[ revisado el 10-08-2012) Jul;130(7):957-65. Disponible en </w:t>
      </w:r>
      <w:hyperlink r:id="rId81">
        <w:r>
          <w:rPr>
            <w:sz w:val="22"/>
          </w:rPr>
          <w:t>www.ncbi.nlm.nih.gov/pubmed/</w:t>
        </w:r>
      </w:hyperlink>
    </w:p>
    <w:p>
      <w:pPr>
        <w:pStyle w:val="ListParagraph"/>
        <w:numPr>
          <w:ilvl w:val="0"/>
          <w:numId w:val="13"/>
        </w:numPr>
        <w:tabs>
          <w:tab w:pos="581" w:val="left" w:leader="none"/>
        </w:tabs>
        <w:spacing w:line="360" w:lineRule="auto" w:before="3" w:after="0"/>
        <w:ind w:left="580" w:right="263" w:hanging="361"/>
        <w:jc w:val="left"/>
        <w:rPr>
          <w:sz w:val="22"/>
        </w:rPr>
      </w:pPr>
      <w:r>
        <w:rPr>
          <w:sz w:val="22"/>
        </w:rPr>
        <w:t>Percival RS, Devine DA, Nattless B, et all.: Control of microbial contamination in</w:t>
      </w:r>
      <w:r>
        <w:rPr>
          <w:spacing w:val="-39"/>
          <w:sz w:val="22"/>
        </w:rPr>
        <w:t> </w:t>
      </w:r>
      <w:r>
        <w:rPr>
          <w:sz w:val="22"/>
        </w:rPr>
        <w:t>dental unit water systems using EDTA. Journal of applied Microbiology. 107. 1081-1088. 2009</w:t>
      </w:r>
    </w:p>
    <w:p>
      <w:pPr>
        <w:pStyle w:val="ListParagraph"/>
        <w:numPr>
          <w:ilvl w:val="0"/>
          <w:numId w:val="13"/>
        </w:numPr>
        <w:tabs>
          <w:tab w:pos="581" w:val="left" w:leader="none"/>
        </w:tabs>
        <w:spacing w:line="360" w:lineRule="auto" w:before="3" w:after="0"/>
        <w:ind w:left="580" w:right="925" w:hanging="361"/>
        <w:jc w:val="left"/>
        <w:rPr>
          <w:sz w:val="22"/>
        </w:rPr>
      </w:pPr>
      <w:r>
        <w:rPr>
          <w:sz w:val="22"/>
        </w:rPr>
        <w:t>Tall BD et al. Bacterial succession with </w:t>
      </w:r>
      <w:r>
        <w:rPr>
          <w:spacing w:val="-3"/>
          <w:sz w:val="22"/>
        </w:rPr>
        <w:t>in </w:t>
      </w:r>
      <w:r>
        <w:rPr>
          <w:sz w:val="22"/>
        </w:rPr>
        <w:t>a biofilm in water supply lines of water syringes. Can Journal Microbial 1995; 41: 7: 647-654.disponible en </w:t>
      </w:r>
      <w:hyperlink r:id="rId81">
        <w:r>
          <w:rPr>
            <w:sz w:val="22"/>
          </w:rPr>
          <w:t>www.ncbi.nlm.nih.gov/pubmed/</w:t>
        </w:r>
      </w:hyperlink>
    </w:p>
    <w:p>
      <w:pPr>
        <w:pStyle w:val="ListParagraph"/>
        <w:numPr>
          <w:ilvl w:val="0"/>
          <w:numId w:val="13"/>
        </w:numPr>
        <w:tabs>
          <w:tab w:pos="581" w:val="left" w:leader="none"/>
        </w:tabs>
        <w:spacing w:line="360" w:lineRule="auto" w:before="3" w:after="0"/>
        <w:ind w:left="580" w:right="459" w:hanging="361"/>
        <w:jc w:val="left"/>
        <w:rPr>
          <w:sz w:val="22"/>
        </w:rPr>
      </w:pPr>
      <w:r>
        <w:rPr>
          <w:sz w:val="22"/>
        </w:rPr>
        <w:t>Walker JT, Marsh EP: Microbial film formation and contamination of dental unit</w:t>
      </w:r>
      <w:r>
        <w:rPr>
          <w:spacing w:val="-38"/>
          <w:sz w:val="22"/>
        </w:rPr>
        <w:t> </w:t>
      </w:r>
      <w:r>
        <w:rPr>
          <w:sz w:val="22"/>
        </w:rPr>
        <w:t>water systems </w:t>
      </w:r>
      <w:r>
        <w:rPr>
          <w:spacing w:val="-3"/>
          <w:sz w:val="22"/>
        </w:rPr>
        <w:t>in </w:t>
      </w:r>
      <w:r>
        <w:rPr>
          <w:sz w:val="22"/>
        </w:rPr>
        <w:t>general dental practice.J Dent. [Revista en internet) 2007[revisado el </w:t>
      </w:r>
      <w:r>
        <w:rPr>
          <w:spacing w:val="3"/>
          <w:sz w:val="22"/>
        </w:rPr>
        <w:t>10- </w:t>
      </w:r>
      <w:r>
        <w:rPr>
          <w:sz w:val="22"/>
        </w:rPr>
        <w:t>08-2012) Sep;35(9):721-30. Epub 2007 Aug 21. Disponible en </w:t>
      </w:r>
      <w:hyperlink r:id="rId81">
        <w:r>
          <w:rPr>
            <w:sz w:val="22"/>
          </w:rPr>
          <w:t>www.ncbi.nlm.nih.gov/pubmed/</w:t>
        </w:r>
      </w:hyperlink>
    </w:p>
    <w:p>
      <w:pPr>
        <w:pStyle w:val="ListParagraph"/>
        <w:numPr>
          <w:ilvl w:val="0"/>
          <w:numId w:val="13"/>
        </w:numPr>
        <w:tabs>
          <w:tab w:pos="581" w:val="left" w:leader="none"/>
        </w:tabs>
        <w:spacing w:line="362" w:lineRule="auto" w:before="3" w:after="0"/>
        <w:ind w:left="580" w:right="305" w:hanging="361"/>
        <w:jc w:val="left"/>
        <w:rPr>
          <w:sz w:val="22"/>
        </w:rPr>
      </w:pPr>
      <w:r>
        <w:rPr>
          <w:sz w:val="22"/>
        </w:rPr>
        <w:t>Arraigada A, Larrucea C, Padilla </w:t>
      </w:r>
      <w:r>
        <w:rPr>
          <w:spacing w:val="-2"/>
          <w:sz w:val="22"/>
        </w:rPr>
        <w:t>CG. </w:t>
      </w:r>
      <w:r>
        <w:rPr>
          <w:sz w:val="22"/>
        </w:rPr>
        <w:t>Control de infecciones en los conductos de equipos dentales de las clínicas odontológicas de la universidad de Talca. Revista dental de Chile [Revista en Interne).2004 [Consultado el 12-08-2012);11(6) Disponible en</w:t>
      </w:r>
      <w:r>
        <w:rPr>
          <w:spacing w:val="-15"/>
          <w:sz w:val="22"/>
        </w:rPr>
        <w:t> </w:t>
      </w:r>
      <w:hyperlink r:id="rId82">
        <w:r>
          <w:rPr>
            <w:sz w:val="22"/>
          </w:rPr>
          <w:t>http://redalyc.uaemex.mx/</w:t>
        </w:r>
      </w:hyperlink>
    </w:p>
    <w:p>
      <w:pPr>
        <w:pStyle w:val="ListParagraph"/>
        <w:numPr>
          <w:ilvl w:val="0"/>
          <w:numId w:val="13"/>
        </w:numPr>
        <w:tabs>
          <w:tab w:pos="581" w:val="left" w:leader="none"/>
        </w:tabs>
        <w:spacing w:line="360" w:lineRule="auto" w:before="1" w:after="0"/>
        <w:ind w:left="580" w:right="255" w:hanging="361"/>
        <w:jc w:val="left"/>
        <w:rPr>
          <w:sz w:val="22"/>
        </w:rPr>
      </w:pPr>
      <w:r>
        <w:rPr>
          <w:sz w:val="22"/>
        </w:rPr>
        <w:t>Sdel AJ, Marsh PD, Bradshaw DJ, Et all: Comparision of the efficacies of</w:t>
      </w:r>
      <w:r>
        <w:rPr>
          <w:spacing w:val="-39"/>
          <w:sz w:val="22"/>
        </w:rPr>
        <w:t> </w:t>
      </w:r>
      <w:r>
        <w:rPr>
          <w:sz w:val="22"/>
        </w:rPr>
        <w:t>desinfectants to control microbial contamination in dental unit water systems in general dental practices across the European Union. Appl environ microbial [Revista en Interne).2006 [Consultado el 12-08-2012);72(2) Disponible en</w:t>
      </w:r>
      <w:r>
        <w:rPr>
          <w:spacing w:val="-42"/>
          <w:sz w:val="22"/>
        </w:rPr>
        <w:t> </w:t>
      </w:r>
      <w:hyperlink r:id="rId81">
        <w:r>
          <w:rPr>
            <w:sz w:val="22"/>
          </w:rPr>
          <w:t>www.ncbi.nlm.nih.gov/pubmed/</w:t>
        </w:r>
      </w:hyperlink>
    </w:p>
    <w:p>
      <w:pPr>
        <w:pStyle w:val="ListParagraph"/>
        <w:numPr>
          <w:ilvl w:val="0"/>
          <w:numId w:val="13"/>
        </w:numPr>
        <w:tabs>
          <w:tab w:pos="581" w:val="left" w:leader="none"/>
        </w:tabs>
        <w:spacing w:line="240" w:lineRule="auto" w:before="3" w:after="0"/>
        <w:ind w:left="580" w:right="0" w:hanging="361"/>
        <w:jc w:val="left"/>
        <w:rPr>
          <w:sz w:val="22"/>
        </w:rPr>
      </w:pPr>
      <w:r>
        <w:rPr>
          <w:sz w:val="22"/>
        </w:rPr>
        <w:t>Stuart TW: “Microbiología” </w:t>
      </w:r>
      <w:r>
        <w:rPr>
          <w:spacing w:val="-4"/>
          <w:sz w:val="22"/>
        </w:rPr>
        <w:t>Mc </w:t>
      </w:r>
      <w:r>
        <w:rPr>
          <w:sz w:val="22"/>
        </w:rPr>
        <w:t>Graw Hill Interamericana. 5a</w:t>
      </w:r>
      <w:r>
        <w:rPr>
          <w:spacing w:val="-10"/>
          <w:sz w:val="22"/>
        </w:rPr>
        <w:t> </w:t>
      </w:r>
      <w:r>
        <w:rPr>
          <w:sz w:val="22"/>
        </w:rPr>
        <w:t>Ed.</w:t>
      </w:r>
    </w:p>
    <w:p>
      <w:pPr>
        <w:pStyle w:val="ListParagraph"/>
        <w:numPr>
          <w:ilvl w:val="0"/>
          <w:numId w:val="13"/>
        </w:numPr>
        <w:tabs>
          <w:tab w:pos="581" w:val="left" w:leader="none"/>
        </w:tabs>
        <w:spacing w:line="240" w:lineRule="auto" w:before="126" w:after="0"/>
        <w:ind w:left="580" w:right="0" w:hanging="361"/>
        <w:jc w:val="left"/>
        <w:rPr>
          <w:sz w:val="22"/>
        </w:rPr>
      </w:pPr>
      <w:r>
        <w:rPr>
          <w:sz w:val="22"/>
        </w:rPr>
        <w:t>Prescott, Halley, Klein Microbiología” </w:t>
      </w:r>
      <w:r>
        <w:rPr>
          <w:spacing w:val="-4"/>
          <w:sz w:val="22"/>
        </w:rPr>
        <w:t>Mc </w:t>
      </w:r>
      <w:r>
        <w:rPr>
          <w:sz w:val="22"/>
        </w:rPr>
        <w:t>Graw Hill Interamericana. 4a</w:t>
      </w:r>
      <w:r>
        <w:rPr>
          <w:spacing w:val="-25"/>
          <w:sz w:val="22"/>
        </w:rPr>
        <w:t> </w:t>
      </w:r>
      <w:r>
        <w:rPr>
          <w:sz w:val="22"/>
        </w:rPr>
        <w:t>Ed</w:t>
      </w:r>
    </w:p>
    <w:p>
      <w:pPr>
        <w:pStyle w:val="ListParagraph"/>
        <w:numPr>
          <w:ilvl w:val="0"/>
          <w:numId w:val="13"/>
        </w:numPr>
        <w:tabs>
          <w:tab w:pos="581" w:val="left" w:leader="none"/>
        </w:tabs>
        <w:spacing w:line="240" w:lineRule="auto" w:before="121" w:after="0"/>
        <w:ind w:left="580" w:right="0" w:hanging="361"/>
        <w:jc w:val="left"/>
        <w:rPr>
          <w:sz w:val="22"/>
        </w:rPr>
      </w:pPr>
      <w:r>
        <w:rPr>
          <w:sz w:val="22"/>
        </w:rPr>
        <w:t>Romero C, Microbiología y parasitología humana” Panamericana. 2ª</w:t>
      </w:r>
      <w:r>
        <w:rPr>
          <w:spacing w:val="-40"/>
          <w:sz w:val="22"/>
        </w:rPr>
        <w:t> </w:t>
      </w:r>
      <w:r>
        <w:rPr>
          <w:sz w:val="22"/>
        </w:rPr>
        <w:t>Ed.</w:t>
      </w:r>
    </w:p>
    <w:p>
      <w:pPr>
        <w:pStyle w:val="BodyText"/>
        <w:rPr>
          <w:sz w:val="22"/>
        </w:rPr>
      </w:pPr>
    </w:p>
    <w:p>
      <w:pPr>
        <w:pStyle w:val="BodyText"/>
        <w:rPr>
          <w:sz w:val="22"/>
        </w:rPr>
      </w:pPr>
    </w:p>
    <w:p>
      <w:pPr>
        <w:pStyle w:val="BodyText"/>
        <w:spacing w:before="11"/>
        <w:rPr>
          <w:sz w:val="17"/>
        </w:rPr>
      </w:pPr>
    </w:p>
    <w:p>
      <w:pPr>
        <w:pStyle w:val="ListParagraph"/>
        <w:numPr>
          <w:ilvl w:val="0"/>
          <w:numId w:val="13"/>
        </w:numPr>
        <w:tabs>
          <w:tab w:pos="581" w:val="left" w:leader="none"/>
        </w:tabs>
        <w:spacing w:line="360" w:lineRule="auto" w:before="0" w:after="0"/>
        <w:ind w:left="580" w:right="524" w:hanging="361"/>
        <w:jc w:val="left"/>
        <w:rPr>
          <w:sz w:val="22"/>
        </w:rPr>
      </w:pPr>
      <w:r>
        <w:rPr>
          <w:sz w:val="22"/>
        </w:rPr>
        <w:t>Miller</w:t>
      </w:r>
      <w:r>
        <w:rPr>
          <w:spacing w:val="-5"/>
          <w:sz w:val="22"/>
        </w:rPr>
        <w:t> </w:t>
      </w:r>
      <w:r>
        <w:rPr>
          <w:sz w:val="22"/>
        </w:rPr>
        <w:t>CH,</w:t>
      </w:r>
      <w:r>
        <w:rPr>
          <w:spacing w:val="-2"/>
          <w:sz w:val="22"/>
        </w:rPr>
        <w:t> </w:t>
      </w:r>
      <w:r>
        <w:rPr>
          <w:sz w:val="22"/>
        </w:rPr>
        <w:t>Cottone</w:t>
      </w:r>
      <w:r>
        <w:rPr>
          <w:spacing w:val="-2"/>
          <w:sz w:val="22"/>
        </w:rPr>
        <w:t> </w:t>
      </w:r>
      <w:r>
        <w:rPr>
          <w:sz w:val="22"/>
        </w:rPr>
        <w:t>JC:</w:t>
      </w:r>
      <w:r>
        <w:rPr>
          <w:spacing w:val="-2"/>
          <w:sz w:val="22"/>
        </w:rPr>
        <w:t> </w:t>
      </w:r>
      <w:r>
        <w:rPr>
          <w:sz w:val="22"/>
        </w:rPr>
        <w:t>The</w:t>
      </w:r>
      <w:r>
        <w:rPr>
          <w:spacing w:val="-5"/>
          <w:sz w:val="22"/>
        </w:rPr>
        <w:t> </w:t>
      </w:r>
      <w:r>
        <w:rPr>
          <w:sz w:val="22"/>
        </w:rPr>
        <w:t>basic</w:t>
      </w:r>
      <w:r>
        <w:rPr>
          <w:spacing w:val="-7"/>
          <w:sz w:val="22"/>
        </w:rPr>
        <w:t> </w:t>
      </w:r>
      <w:r>
        <w:rPr>
          <w:sz w:val="22"/>
        </w:rPr>
        <w:t>principies</w:t>
      </w:r>
      <w:r>
        <w:rPr>
          <w:spacing w:val="-7"/>
          <w:sz w:val="22"/>
        </w:rPr>
        <w:t> </w:t>
      </w:r>
      <w:r>
        <w:rPr>
          <w:sz w:val="22"/>
        </w:rPr>
        <w:t>of</w:t>
      </w:r>
      <w:r>
        <w:rPr>
          <w:spacing w:val="-2"/>
          <w:sz w:val="22"/>
        </w:rPr>
        <w:t> </w:t>
      </w:r>
      <w:r>
        <w:rPr>
          <w:sz w:val="22"/>
        </w:rPr>
        <w:t>infectious</w:t>
      </w:r>
      <w:r>
        <w:rPr>
          <w:spacing w:val="-7"/>
          <w:sz w:val="22"/>
        </w:rPr>
        <w:t> </w:t>
      </w:r>
      <w:r>
        <w:rPr>
          <w:sz w:val="22"/>
        </w:rPr>
        <w:t>disease</w:t>
      </w:r>
      <w:r>
        <w:rPr>
          <w:spacing w:val="-2"/>
          <w:sz w:val="22"/>
        </w:rPr>
        <w:t> </w:t>
      </w:r>
      <w:r>
        <w:rPr>
          <w:sz w:val="22"/>
        </w:rPr>
        <w:t>as</w:t>
      </w:r>
      <w:r>
        <w:rPr>
          <w:spacing w:val="-7"/>
          <w:sz w:val="22"/>
        </w:rPr>
        <w:t> </w:t>
      </w:r>
      <w:r>
        <w:rPr>
          <w:sz w:val="22"/>
        </w:rPr>
        <w:t>related</w:t>
      </w:r>
      <w:r>
        <w:rPr>
          <w:spacing w:val="-2"/>
          <w:sz w:val="22"/>
        </w:rPr>
        <w:t> </w:t>
      </w:r>
      <w:r>
        <w:rPr>
          <w:sz w:val="22"/>
        </w:rPr>
        <w:t>to</w:t>
      </w:r>
      <w:r>
        <w:rPr>
          <w:spacing w:val="-2"/>
          <w:sz w:val="22"/>
        </w:rPr>
        <w:t> </w:t>
      </w:r>
      <w:r>
        <w:rPr>
          <w:sz w:val="22"/>
        </w:rPr>
        <w:t>dental practice. Dent Clin No Amer; 37(1): 1-20,</w:t>
      </w:r>
      <w:r>
        <w:rPr>
          <w:spacing w:val="-18"/>
          <w:sz w:val="22"/>
        </w:rPr>
        <w:t> </w:t>
      </w:r>
      <w:r>
        <w:rPr>
          <w:sz w:val="22"/>
        </w:rPr>
        <w:t>1999</w:t>
      </w:r>
    </w:p>
    <w:p>
      <w:pPr>
        <w:pStyle w:val="ListParagraph"/>
        <w:numPr>
          <w:ilvl w:val="0"/>
          <w:numId w:val="13"/>
        </w:numPr>
        <w:tabs>
          <w:tab w:pos="581" w:val="left" w:leader="none"/>
        </w:tabs>
        <w:spacing w:line="360" w:lineRule="auto" w:before="3" w:after="0"/>
        <w:ind w:left="580" w:right="722" w:hanging="361"/>
        <w:jc w:val="left"/>
        <w:rPr>
          <w:sz w:val="22"/>
        </w:rPr>
      </w:pPr>
      <w:r>
        <w:rPr>
          <w:sz w:val="22"/>
        </w:rPr>
        <w:t>Garza AG. Control de infecciones y seguridad en odontología. 2ª Edición.</w:t>
      </w:r>
      <w:r>
        <w:rPr>
          <w:spacing w:val="-39"/>
          <w:sz w:val="22"/>
        </w:rPr>
        <w:t> </w:t>
      </w:r>
      <w:r>
        <w:rPr>
          <w:sz w:val="22"/>
        </w:rPr>
        <w:t>México: Manual Moderno.</w:t>
      </w:r>
      <w:r>
        <w:rPr>
          <w:spacing w:val="-15"/>
          <w:sz w:val="22"/>
        </w:rPr>
        <w:t> </w:t>
      </w:r>
      <w:r>
        <w:rPr>
          <w:sz w:val="22"/>
        </w:rPr>
        <w:t>2007:81-84,127-132</w:t>
      </w:r>
    </w:p>
    <w:p>
      <w:pPr>
        <w:spacing w:after="0" w:line="360" w:lineRule="auto"/>
        <w:jc w:val="left"/>
        <w:rPr>
          <w:sz w:val="22"/>
        </w:rPr>
        <w:sectPr>
          <w:footerReference w:type="default" r:id="rId80"/>
          <w:pgSz w:w="12240" w:h="15840"/>
          <w:pgMar w:footer="1012" w:header="731" w:top="1160" w:bottom="1200" w:left="1480" w:right="1480"/>
          <w:pgNumType w:start="111"/>
        </w:sectPr>
      </w:pPr>
    </w:p>
    <w:p>
      <w:pPr>
        <w:pStyle w:val="BodyText"/>
        <w:rPr>
          <w:sz w:val="17"/>
        </w:rPr>
      </w:pPr>
    </w:p>
    <w:p>
      <w:pPr>
        <w:pStyle w:val="ListParagraph"/>
        <w:numPr>
          <w:ilvl w:val="0"/>
          <w:numId w:val="13"/>
        </w:numPr>
        <w:tabs>
          <w:tab w:pos="581" w:val="left" w:leader="none"/>
        </w:tabs>
        <w:spacing w:line="360" w:lineRule="auto" w:before="73" w:after="0"/>
        <w:ind w:left="580" w:right="267" w:hanging="361"/>
        <w:jc w:val="left"/>
        <w:rPr>
          <w:sz w:val="22"/>
        </w:rPr>
      </w:pPr>
      <w:r>
        <w:rPr>
          <w:sz w:val="22"/>
        </w:rPr>
        <w:t>García</w:t>
      </w:r>
      <w:r>
        <w:rPr>
          <w:spacing w:val="-1"/>
          <w:sz w:val="22"/>
        </w:rPr>
        <w:t> </w:t>
      </w:r>
      <w:r>
        <w:rPr>
          <w:sz w:val="22"/>
        </w:rPr>
        <w:t>N.</w:t>
      </w:r>
      <w:r>
        <w:rPr>
          <w:spacing w:val="-1"/>
          <w:sz w:val="22"/>
        </w:rPr>
        <w:t> </w:t>
      </w:r>
      <w:r>
        <w:rPr>
          <w:sz w:val="22"/>
        </w:rPr>
        <w:t>Contaminación</w:t>
      </w:r>
      <w:r>
        <w:rPr>
          <w:spacing w:val="-1"/>
          <w:sz w:val="22"/>
        </w:rPr>
        <w:t> </w:t>
      </w:r>
      <w:r>
        <w:rPr>
          <w:sz w:val="22"/>
        </w:rPr>
        <w:t>en</w:t>
      </w:r>
      <w:r>
        <w:rPr>
          <w:spacing w:val="-1"/>
          <w:sz w:val="22"/>
        </w:rPr>
        <w:t> </w:t>
      </w:r>
      <w:r>
        <w:rPr>
          <w:sz w:val="22"/>
        </w:rPr>
        <w:t>los</w:t>
      </w:r>
      <w:r>
        <w:rPr>
          <w:spacing w:val="-7"/>
          <w:sz w:val="22"/>
        </w:rPr>
        <w:t> </w:t>
      </w:r>
      <w:r>
        <w:rPr>
          <w:sz w:val="22"/>
        </w:rPr>
        <w:t>ductos</w:t>
      </w:r>
      <w:r>
        <w:rPr>
          <w:spacing w:val="-7"/>
          <w:sz w:val="22"/>
        </w:rPr>
        <w:t> </w:t>
      </w:r>
      <w:r>
        <w:rPr>
          <w:sz w:val="22"/>
        </w:rPr>
        <w:t>de</w:t>
      </w:r>
      <w:r>
        <w:rPr>
          <w:spacing w:val="-5"/>
          <w:sz w:val="22"/>
        </w:rPr>
        <w:t> </w:t>
      </w:r>
      <w:r>
        <w:rPr>
          <w:sz w:val="22"/>
        </w:rPr>
        <w:t>agua</w:t>
      </w:r>
      <w:r>
        <w:rPr>
          <w:spacing w:val="-5"/>
          <w:sz w:val="22"/>
        </w:rPr>
        <w:t> </w:t>
      </w:r>
      <w:r>
        <w:rPr>
          <w:sz w:val="22"/>
        </w:rPr>
        <w:t>de</w:t>
      </w:r>
      <w:r>
        <w:rPr>
          <w:spacing w:val="-1"/>
          <w:sz w:val="22"/>
        </w:rPr>
        <w:t> </w:t>
      </w:r>
      <w:r>
        <w:rPr>
          <w:sz w:val="22"/>
        </w:rPr>
        <w:t>las</w:t>
      </w:r>
      <w:r>
        <w:rPr>
          <w:spacing w:val="-7"/>
          <w:sz w:val="22"/>
        </w:rPr>
        <w:t> </w:t>
      </w:r>
      <w:r>
        <w:rPr>
          <w:sz w:val="22"/>
        </w:rPr>
        <w:t>unidades</w:t>
      </w:r>
      <w:r>
        <w:rPr>
          <w:spacing w:val="-7"/>
          <w:sz w:val="22"/>
        </w:rPr>
        <w:t> </w:t>
      </w:r>
      <w:r>
        <w:rPr>
          <w:sz w:val="22"/>
        </w:rPr>
        <w:t>dentales.</w:t>
      </w:r>
      <w:r>
        <w:rPr>
          <w:spacing w:val="-1"/>
          <w:sz w:val="22"/>
        </w:rPr>
        <w:t> </w:t>
      </w:r>
      <w:r>
        <w:rPr>
          <w:sz w:val="22"/>
        </w:rPr>
        <w:t>En</w:t>
      </w:r>
      <w:r>
        <w:rPr>
          <w:spacing w:val="-5"/>
          <w:sz w:val="22"/>
        </w:rPr>
        <w:t> </w:t>
      </w:r>
      <w:r>
        <w:rPr>
          <w:sz w:val="22"/>
        </w:rPr>
        <w:t>ejercicio profesional y administración. Tribuna odontológica (revista en Internet) 2004 (consultado el 12-08-2012). Disponible en</w:t>
      </w:r>
      <w:r>
        <w:rPr>
          <w:spacing w:val="-36"/>
          <w:sz w:val="22"/>
        </w:rPr>
        <w:t> </w:t>
      </w:r>
      <w:hyperlink r:id="rId81">
        <w:r>
          <w:rPr>
            <w:sz w:val="22"/>
          </w:rPr>
          <w:t>www.ncbi.nlm.nih.gov/pubmed/</w:t>
        </w:r>
      </w:hyperlink>
      <w:r>
        <w:rPr>
          <w:sz w:val="22"/>
        </w:rPr>
        <w:t>}</w:t>
      </w:r>
    </w:p>
    <w:p>
      <w:pPr>
        <w:pStyle w:val="ListParagraph"/>
        <w:numPr>
          <w:ilvl w:val="0"/>
          <w:numId w:val="13"/>
        </w:numPr>
        <w:tabs>
          <w:tab w:pos="581" w:val="left" w:leader="none"/>
        </w:tabs>
        <w:spacing w:line="360" w:lineRule="auto" w:before="8" w:after="0"/>
        <w:ind w:left="580" w:right="254" w:hanging="361"/>
        <w:jc w:val="left"/>
        <w:rPr>
          <w:sz w:val="22"/>
        </w:rPr>
      </w:pPr>
      <w:r>
        <w:rPr>
          <w:sz w:val="22"/>
        </w:rPr>
        <w:t>Chris </w:t>
      </w:r>
      <w:r>
        <w:rPr>
          <w:spacing w:val="-3"/>
          <w:sz w:val="22"/>
        </w:rPr>
        <w:t>HM, </w:t>
      </w:r>
      <w:r>
        <w:rPr>
          <w:sz w:val="22"/>
        </w:rPr>
        <w:t>Palenik CHJ. Control de infección y manejo de materiales peligrosos para el equipo de profesionales de la salud dental. Harcourt. 2ª Ed.</w:t>
      </w:r>
      <w:r>
        <w:rPr>
          <w:spacing w:val="-37"/>
          <w:sz w:val="22"/>
        </w:rPr>
        <w:t> </w:t>
      </w:r>
      <w:r>
        <w:rPr>
          <w:sz w:val="22"/>
        </w:rPr>
        <w:t>2006</w:t>
      </w:r>
    </w:p>
    <w:p>
      <w:pPr>
        <w:pStyle w:val="ListParagraph"/>
        <w:numPr>
          <w:ilvl w:val="0"/>
          <w:numId w:val="13"/>
        </w:numPr>
        <w:tabs>
          <w:tab w:pos="581" w:val="left" w:leader="none"/>
        </w:tabs>
        <w:spacing w:line="360" w:lineRule="auto" w:before="3" w:after="0"/>
        <w:ind w:left="580" w:right="243" w:hanging="361"/>
        <w:jc w:val="left"/>
        <w:rPr>
          <w:sz w:val="22"/>
        </w:rPr>
      </w:pPr>
      <w:r>
        <w:rPr>
          <w:sz w:val="22"/>
        </w:rPr>
        <w:t>Kettering JD Stephens JA, Muñoz-Viveros CA, WP Naylor. La reducción de la carga bacteriana en el agua de la unidad dental: el agua del grifo frente al agua destilada J Contemp Dent Pract[revista en internet). 2002[revisado el 12-08-2012 Aug 15;3(3):1-9. Disponible en</w:t>
      </w:r>
      <w:r>
        <w:rPr>
          <w:spacing w:val="-26"/>
          <w:sz w:val="22"/>
        </w:rPr>
        <w:t> </w:t>
      </w:r>
      <w:hyperlink r:id="rId81">
        <w:r>
          <w:rPr>
            <w:sz w:val="22"/>
          </w:rPr>
          <w:t>www.ncbi.nlm.nih.gov/pubmed/</w:t>
        </w:r>
      </w:hyperlink>
    </w:p>
    <w:p>
      <w:pPr>
        <w:pStyle w:val="ListParagraph"/>
        <w:numPr>
          <w:ilvl w:val="0"/>
          <w:numId w:val="13"/>
        </w:numPr>
        <w:tabs>
          <w:tab w:pos="581" w:val="left" w:leader="none"/>
        </w:tabs>
        <w:spacing w:line="360" w:lineRule="auto" w:before="3" w:after="0"/>
        <w:ind w:left="580" w:right="642" w:hanging="361"/>
        <w:jc w:val="both"/>
        <w:rPr>
          <w:sz w:val="22"/>
        </w:rPr>
      </w:pPr>
      <w:r>
        <w:rPr>
          <w:sz w:val="22"/>
        </w:rPr>
        <w:t>Sheperd PA, Shuja MA, Eleazar PD, </w:t>
      </w:r>
      <w:r>
        <w:rPr>
          <w:spacing w:val="-3"/>
          <w:sz w:val="22"/>
        </w:rPr>
        <w:t>Van </w:t>
      </w:r>
      <w:r>
        <w:rPr>
          <w:sz w:val="22"/>
        </w:rPr>
        <w:t>SA, Staat RH: Clearance of biofilms from dental unit waterlines through the use of hidroperoxide ion-phase transfer catalyst. Quintessence Int 2001, 32,</w:t>
      </w:r>
      <w:r>
        <w:rPr>
          <w:spacing w:val="-17"/>
          <w:sz w:val="22"/>
        </w:rPr>
        <w:t> </w:t>
      </w:r>
      <w:r>
        <w:rPr>
          <w:sz w:val="22"/>
        </w:rPr>
        <w:t>55.76</w:t>
      </w:r>
    </w:p>
    <w:p>
      <w:pPr>
        <w:pStyle w:val="ListParagraph"/>
        <w:numPr>
          <w:ilvl w:val="0"/>
          <w:numId w:val="13"/>
        </w:numPr>
        <w:tabs>
          <w:tab w:pos="581" w:val="left" w:leader="none"/>
        </w:tabs>
        <w:spacing w:line="360" w:lineRule="auto" w:before="3" w:after="0"/>
        <w:ind w:left="580" w:right="329" w:hanging="361"/>
        <w:jc w:val="left"/>
        <w:rPr>
          <w:sz w:val="22"/>
        </w:rPr>
      </w:pPr>
      <w:r>
        <w:rPr>
          <w:sz w:val="22"/>
        </w:rPr>
        <w:t>Fiehn NE, Larsen T: The effect of drying dental unit waterline biofilms on the bacterial load of dental unit water. Int Dent J [Revista en internet) 2000[revisado el 10-08-2012) 2002, 52,</w:t>
      </w:r>
      <w:r>
        <w:rPr>
          <w:spacing w:val="-3"/>
          <w:sz w:val="22"/>
        </w:rPr>
        <w:t> </w:t>
      </w:r>
      <w:r>
        <w:rPr>
          <w:sz w:val="22"/>
        </w:rPr>
        <w:t>251-254.</w:t>
      </w:r>
    </w:p>
    <w:p>
      <w:pPr>
        <w:pStyle w:val="ListParagraph"/>
        <w:numPr>
          <w:ilvl w:val="0"/>
          <w:numId w:val="13"/>
        </w:numPr>
        <w:tabs>
          <w:tab w:pos="581" w:val="left" w:leader="none"/>
        </w:tabs>
        <w:spacing w:line="360" w:lineRule="auto" w:before="3" w:after="0"/>
        <w:ind w:left="580" w:right="233" w:hanging="361"/>
        <w:jc w:val="left"/>
        <w:rPr>
          <w:sz w:val="22"/>
        </w:rPr>
      </w:pPr>
      <w:r>
        <w:rPr>
          <w:sz w:val="22"/>
        </w:rPr>
        <w:t>Linger</w:t>
      </w:r>
      <w:r>
        <w:rPr>
          <w:spacing w:val="-4"/>
          <w:sz w:val="22"/>
        </w:rPr>
        <w:t> </w:t>
      </w:r>
      <w:r>
        <w:rPr>
          <w:sz w:val="22"/>
        </w:rPr>
        <w:t>JB,</w:t>
      </w:r>
      <w:r>
        <w:rPr>
          <w:spacing w:val="-1"/>
          <w:sz w:val="22"/>
        </w:rPr>
        <w:t> </w:t>
      </w:r>
      <w:r>
        <w:rPr>
          <w:sz w:val="22"/>
        </w:rPr>
        <w:t>Molinari</w:t>
      </w:r>
      <w:r>
        <w:rPr>
          <w:spacing w:val="-3"/>
          <w:sz w:val="22"/>
        </w:rPr>
        <w:t> </w:t>
      </w:r>
      <w:r>
        <w:rPr>
          <w:sz w:val="22"/>
        </w:rPr>
        <w:t>JA,</w:t>
      </w:r>
      <w:r>
        <w:rPr>
          <w:spacing w:val="-1"/>
          <w:sz w:val="22"/>
        </w:rPr>
        <w:t> </w:t>
      </w:r>
      <w:r>
        <w:rPr>
          <w:sz w:val="22"/>
        </w:rPr>
        <w:t>Forbes</w:t>
      </w:r>
      <w:r>
        <w:rPr>
          <w:spacing w:val="-11"/>
          <w:sz w:val="22"/>
        </w:rPr>
        <w:t> </w:t>
      </w:r>
      <w:r>
        <w:rPr>
          <w:sz w:val="22"/>
        </w:rPr>
        <w:t>WC,</w:t>
      </w:r>
      <w:r>
        <w:rPr>
          <w:spacing w:val="-6"/>
          <w:sz w:val="22"/>
        </w:rPr>
        <w:t> </w:t>
      </w:r>
      <w:r>
        <w:rPr>
          <w:sz w:val="22"/>
        </w:rPr>
        <w:t>Farthing</w:t>
      </w:r>
      <w:r>
        <w:rPr>
          <w:spacing w:val="-1"/>
          <w:sz w:val="22"/>
        </w:rPr>
        <w:t> </w:t>
      </w:r>
      <w:r>
        <w:rPr>
          <w:sz w:val="22"/>
        </w:rPr>
        <w:t>CF,</w:t>
      </w:r>
      <w:r>
        <w:rPr>
          <w:spacing w:val="-6"/>
          <w:sz w:val="22"/>
        </w:rPr>
        <w:t> </w:t>
      </w:r>
      <w:r>
        <w:rPr>
          <w:sz w:val="22"/>
        </w:rPr>
        <w:t>Wingret</w:t>
      </w:r>
      <w:r>
        <w:rPr>
          <w:spacing w:val="-10"/>
          <w:sz w:val="22"/>
        </w:rPr>
        <w:t> </w:t>
      </w:r>
      <w:r>
        <w:rPr>
          <w:spacing w:val="2"/>
          <w:sz w:val="22"/>
        </w:rPr>
        <w:t>WJ:</w:t>
      </w:r>
      <w:r>
        <w:rPr>
          <w:spacing w:val="-6"/>
          <w:sz w:val="22"/>
        </w:rPr>
        <w:t> </w:t>
      </w:r>
      <w:r>
        <w:rPr>
          <w:sz w:val="22"/>
        </w:rPr>
        <w:t>Evaluation</w:t>
      </w:r>
      <w:r>
        <w:rPr>
          <w:spacing w:val="-5"/>
          <w:sz w:val="22"/>
        </w:rPr>
        <w:t> </w:t>
      </w:r>
      <w:r>
        <w:rPr>
          <w:sz w:val="22"/>
        </w:rPr>
        <w:t>of</w:t>
      </w:r>
      <w:r>
        <w:rPr>
          <w:spacing w:val="-1"/>
          <w:sz w:val="22"/>
        </w:rPr>
        <w:t> </w:t>
      </w:r>
      <w:r>
        <w:rPr>
          <w:sz w:val="22"/>
        </w:rPr>
        <w:t>a</w:t>
      </w:r>
      <w:r>
        <w:rPr>
          <w:spacing w:val="-1"/>
          <w:sz w:val="22"/>
        </w:rPr>
        <w:t> </w:t>
      </w:r>
      <w:r>
        <w:rPr>
          <w:sz w:val="22"/>
        </w:rPr>
        <w:t>hydrogen peroxide disinfectant for dental unitwaterlines. J Am Dent Assoc 2001, 132, 1287- 1291.</w:t>
      </w:r>
    </w:p>
    <w:p>
      <w:pPr>
        <w:pStyle w:val="ListParagraph"/>
        <w:numPr>
          <w:ilvl w:val="0"/>
          <w:numId w:val="13"/>
        </w:numPr>
        <w:tabs>
          <w:tab w:pos="581" w:val="left" w:leader="none"/>
        </w:tabs>
        <w:spacing w:line="360" w:lineRule="auto" w:before="3" w:after="0"/>
        <w:ind w:left="580" w:right="232" w:hanging="361"/>
        <w:jc w:val="left"/>
        <w:rPr>
          <w:sz w:val="22"/>
        </w:rPr>
      </w:pPr>
      <w:r>
        <w:rPr>
          <w:sz w:val="22"/>
        </w:rPr>
        <w:t>McDonnell</w:t>
      </w:r>
      <w:r>
        <w:rPr>
          <w:spacing w:val="-3"/>
          <w:sz w:val="22"/>
        </w:rPr>
        <w:t> </w:t>
      </w:r>
      <w:r>
        <w:rPr>
          <w:sz w:val="22"/>
        </w:rPr>
        <w:t>G,</w:t>
      </w:r>
      <w:r>
        <w:rPr>
          <w:spacing w:val="-6"/>
          <w:sz w:val="22"/>
        </w:rPr>
        <w:t> </w:t>
      </w:r>
      <w:r>
        <w:rPr>
          <w:sz w:val="22"/>
        </w:rPr>
        <w:t>Russell</w:t>
      </w:r>
      <w:r>
        <w:rPr>
          <w:spacing w:val="-3"/>
          <w:sz w:val="22"/>
        </w:rPr>
        <w:t> </w:t>
      </w:r>
      <w:r>
        <w:rPr>
          <w:sz w:val="22"/>
        </w:rPr>
        <w:t>AD.</w:t>
      </w:r>
      <w:r>
        <w:rPr>
          <w:spacing w:val="-6"/>
          <w:sz w:val="22"/>
        </w:rPr>
        <w:t> </w:t>
      </w:r>
      <w:r>
        <w:rPr>
          <w:sz w:val="22"/>
        </w:rPr>
        <w:t>Antiseptics</w:t>
      </w:r>
      <w:r>
        <w:rPr>
          <w:spacing w:val="-7"/>
          <w:sz w:val="22"/>
        </w:rPr>
        <w:t> </w:t>
      </w:r>
      <w:r>
        <w:rPr>
          <w:sz w:val="22"/>
        </w:rPr>
        <w:t>and</w:t>
      </w:r>
      <w:r>
        <w:rPr>
          <w:spacing w:val="-2"/>
          <w:sz w:val="22"/>
        </w:rPr>
        <w:t> </w:t>
      </w:r>
      <w:r>
        <w:rPr>
          <w:sz w:val="22"/>
        </w:rPr>
        <w:t>Disinfectants:</w:t>
      </w:r>
      <w:r>
        <w:rPr>
          <w:spacing w:val="-6"/>
          <w:sz w:val="22"/>
        </w:rPr>
        <w:t> </w:t>
      </w:r>
      <w:r>
        <w:rPr>
          <w:sz w:val="22"/>
        </w:rPr>
        <w:t>activity,</w:t>
      </w:r>
      <w:r>
        <w:rPr>
          <w:spacing w:val="-6"/>
          <w:sz w:val="22"/>
        </w:rPr>
        <w:t> </w:t>
      </w:r>
      <w:r>
        <w:rPr>
          <w:sz w:val="22"/>
        </w:rPr>
        <w:t>action</w:t>
      </w:r>
      <w:r>
        <w:rPr>
          <w:spacing w:val="-5"/>
          <w:sz w:val="22"/>
        </w:rPr>
        <w:t> </w:t>
      </w:r>
      <w:r>
        <w:rPr>
          <w:sz w:val="22"/>
        </w:rPr>
        <w:t>and</w:t>
      </w:r>
      <w:r>
        <w:rPr>
          <w:spacing w:val="-5"/>
          <w:sz w:val="22"/>
        </w:rPr>
        <w:t> </w:t>
      </w:r>
      <w:r>
        <w:rPr>
          <w:sz w:val="22"/>
        </w:rPr>
        <w:t>resistance. Clin Microbiol Rev.</w:t>
      </w:r>
      <w:r>
        <w:rPr>
          <w:spacing w:val="-11"/>
          <w:sz w:val="22"/>
        </w:rPr>
        <w:t> </w:t>
      </w:r>
      <w:r>
        <w:rPr>
          <w:sz w:val="22"/>
        </w:rPr>
        <w:t>1999;12:147-79</w:t>
      </w:r>
    </w:p>
    <w:p>
      <w:pPr>
        <w:pStyle w:val="ListParagraph"/>
        <w:numPr>
          <w:ilvl w:val="0"/>
          <w:numId w:val="13"/>
        </w:numPr>
        <w:tabs>
          <w:tab w:pos="581" w:val="left" w:leader="none"/>
        </w:tabs>
        <w:spacing w:line="364" w:lineRule="auto" w:before="3" w:after="0"/>
        <w:ind w:left="580" w:right="643" w:hanging="361"/>
        <w:jc w:val="left"/>
        <w:rPr>
          <w:sz w:val="22"/>
        </w:rPr>
      </w:pPr>
      <w:r>
        <w:rPr>
          <w:sz w:val="22"/>
        </w:rPr>
        <w:t>Drosau A, Falabella A, Kirsner </w:t>
      </w:r>
      <w:r>
        <w:rPr>
          <w:spacing w:val="-2"/>
          <w:sz w:val="22"/>
        </w:rPr>
        <w:t>RS. </w:t>
      </w:r>
      <w:r>
        <w:rPr>
          <w:sz w:val="22"/>
        </w:rPr>
        <w:t>Antiseptics on wounds: An Area of controversy. Wounds</w:t>
      </w:r>
      <w:r>
        <w:rPr>
          <w:spacing w:val="-3"/>
          <w:sz w:val="22"/>
        </w:rPr>
        <w:t> </w:t>
      </w:r>
      <w:r>
        <w:rPr>
          <w:sz w:val="22"/>
        </w:rPr>
        <w:t>2003;15:149-66</w:t>
      </w:r>
    </w:p>
    <w:p>
      <w:pPr>
        <w:pStyle w:val="ListParagraph"/>
        <w:numPr>
          <w:ilvl w:val="0"/>
          <w:numId w:val="13"/>
        </w:numPr>
        <w:tabs>
          <w:tab w:pos="581" w:val="left" w:leader="none"/>
        </w:tabs>
        <w:spacing w:line="360" w:lineRule="auto" w:before="0" w:after="0"/>
        <w:ind w:left="580" w:right="402" w:hanging="361"/>
        <w:jc w:val="left"/>
        <w:rPr>
          <w:sz w:val="22"/>
        </w:rPr>
      </w:pPr>
      <w:r>
        <w:rPr>
          <w:sz w:val="22"/>
        </w:rPr>
        <w:t>Brown MRW. Gilbert P. Sensitivity of biofilms to antimicrobial agents. J Appl Bacteriol Symp.</w:t>
      </w:r>
      <w:r>
        <w:rPr>
          <w:spacing w:val="-7"/>
          <w:sz w:val="22"/>
        </w:rPr>
        <w:t> </w:t>
      </w:r>
      <w:r>
        <w:rPr>
          <w:sz w:val="22"/>
        </w:rPr>
        <w:t>1993;74:87S-97S.</w:t>
      </w:r>
    </w:p>
    <w:p>
      <w:pPr>
        <w:pStyle w:val="ListParagraph"/>
        <w:numPr>
          <w:ilvl w:val="0"/>
          <w:numId w:val="13"/>
        </w:numPr>
        <w:tabs>
          <w:tab w:pos="581" w:val="left" w:leader="none"/>
        </w:tabs>
        <w:spacing w:line="240" w:lineRule="auto" w:before="3" w:after="0"/>
        <w:ind w:left="580" w:right="0" w:hanging="361"/>
        <w:jc w:val="left"/>
        <w:rPr>
          <w:sz w:val="22"/>
        </w:rPr>
      </w:pPr>
      <w:r>
        <w:rPr>
          <w:sz w:val="22"/>
        </w:rPr>
        <w:t>Lio PA, Kaye ET. Topical antibacterial agents. Infect Dis Clin N Am 2004;</w:t>
      </w:r>
      <w:r>
        <w:rPr>
          <w:spacing w:val="-30"/>
          <w:sz w:val="22"/>
        </w:rPr>
        <w:t> </w:t>
      </w:r>
      <w:r>
        <w:rPr>
          <w:sz w:val="22"/>
        </w:rPr>
        <w:t>18:717-33.</w:t>
      </w:r>
    </w:p>
    <w:p>
      <w:pPr>
        <w:pStyle w:val="ListParagraph"/>
        <w:numPr>
          <w:ilvl w:val="0"/>
          <w:numId w:val="13"/>
        </w:numPr>
        <w:tabs>
          <w:tab w:pos="581" w:val="left" w:leader="none"/>
        </w:tabs>
        <w:spacing w:line="360" w:lineRule="auto" w:before="126" w:after="0"/>
        <w:ind w:left="580" w:right="423" w:hanging="361"/>
        <w:jc w:val="left"/>
        <w:rPr>
          <w:sz w:val="22"/>
        </w:rPr>
      </w:pPr>
      <w:r>
        <w:rPr>
          <w:sz w:val="22"/>
        </w:rPr>
        <w:t>Russell AD, Day </w:t>
      </w:r>
      <w:r>
        <w:rPr>
          <w:spacing w:val="-3"/>
          <w:sz w:val="22"/>
        </w:rPr>
        <w:t>MJ. </w:t>
      </w:r>
      <w:r>
        <w:rPr>
          <w:sz w:val="22"/>
        </w:rPr>
        <w:t>Antibacterial activity of clorhexidine. J Hosp Infect 1993;25:229- 38</w:t>
      </w:r>
    </w:p>
    <w:p>
      <w:pPr>
        <w:pStyle w:val="ListParagraph"/>
        <w:numPr>
          <w:ilvl w:val="0"/>
          <w:numId w:val="13"/>
        </w:numPr>
        <w:tabs>
          <w:tab w:pos="581" w:val="left" w:leader="none"/>
        </w:tabs>
        <w:spacing w:line="360" w:lineRule="auto" w:before="3" w:after="0"/>
        <w:ind w:left="580" w:right="462" w:hanging="361"/>
        <w:jc w:val="left"/>
        <w:rPr>
          <w:sz w:val="22"/>
        </w:rPr>
      </w:pPr>
      <w:r>
        <w:rPr>
          <w:sz w:val="22"/>
        </w:rPr>
        <w:t>Al-Tannir </w:t>
      </w:r>
      <w:r>
        <w:rPr>
          <w:spacing w:val="-4"/>
          <w:sz w:val="22"/>
        </w:rPr>
        <w:t>M, </w:t>
      </w:r>
      <w:r>
        <w:rPr>
          <w:sz w:val="22"/>
        </w:rPr>
        <w:t>Goodman H. A review of clorhexidine and its use in special populations. Spec Care Dent 14: 116-122,</w:t>
      </w:r>
      <w:r>
        <w:rPr>
          <w:spacing w:val="-9"/>
          <w:sz w:val="22"/>
        </w:rPr>
        <w:t> </w:t>
      </w:r>
      <w:r>
        <w:rPr>
          <w:sz w:val="22"/>
        </w:rPr>
        <w:t>1994.</w:t>
      </w:r>
    </w:p>
    <w:p>
      <w:pPr>
        <w:pStyle w:val="ListParagraph"/>
        <w:numPr>
          <w:ilvl w:val="0"/>
          <w:numId w:val="13"/>
        </w:numPr>
        <w:tabs>
          <w:tab w:pos="581" w:val="left" w:leader="none"/>
        </w:tabs>
        <w:spacing w:line="240" w:lineRule="auto" w:before="3" w:after="0"/>
        <w:ind w:left="580" w:right="0" w:hanging="361"/>
        <w:jc w:val="left"/>
        <w:rPr>
          <w:sz w:val="22"/>
        </w:rPr>
      </w:pPr>
      <w:r>
        <w:rPr>
          <w:sz w:val="22"/>
        </w:rPr>
        <w:t>Nava R.J. “El uso de clorhexidina en odontología” Toluca, México: </w:t>
      </w:r>
      <w:r>
        <w:rPr>
          <w:spacing w:val="-3"/>
          <w:sz w:val="22"/>
        </w:rPr>
        <w:t>UAEM,</w:t>
      </w:r>
      <w:r>
        <w:rPr>
          <w:spacing w:val="-20"/>
          <w:sz w:val="22"/>
        </w:rPr>
        <w:t> </w:t>
      </w:r>
      <w:r>
        <w:rPr>
          <w:sz w:val="22"/>
        </w:rPr>
        <w:t>1995.</w:t>
      </w:r>
    </w:p>
    <w:p>
      <w:pPr>
        <w:pStyle w:val="ListParagraph"/>
        <w:numPr>
          <w:ilvl w:val="0"/>
          <w:numId w:val="13"/>
        </w:numPr>
        <w:tabs>
          <w:tab w:pos="581" w:val="left" w:leader="none"/>
        </w:tabs>
        <w:spacing w:line="360" w:lineRule="auto" w:before="127" w:after="0"/>
        <w:ind w:left="580" w:right="832" w:hanging="361"/>
        <w:jc w:val="left"/>
        <w:rPr>
          <w:sz w:val="22"/>
        </w:rPr>
      </w:pPr>
      <w:r>
        <w:rPr>
          <w:sz w:val="22"/>
        </w:rPr>
        <w:t>Canosa C.E. “Bioquímica: conceptos esenciales”. Madrid, Mexico, Buenos</w:t>
      </w:r>
      <w:r>
        <w:rPr>
          <w:spacing w:val="-41"/>
          <w:sz w:val="22"/>
        </w:rPr>
        <w:t> </w:t>
      </w:r>
      <w:r>
        <w:rPr>
          <w:sz w:val="22"/>
        </w:rPr>
        <w:t>Aires: Medica Panamericana.</w:t>
      </w:r>
      <w:r>
        <w:rPr>
          <w:spacing w:val="-10"/>
          <w:sz w:val="22"/>
        </w:rPr>
        <w:t> </w:t>
      </w:r>
      <w:r>
        <w:rPr>
          <w:sz w:val="22"/>
        </w:rPr>
        <w:t>2010</w:t>
      </w:r>
    </w:p>
    <w:p>
      <w:pPr>
        <w:pStyle w:val="ListParagraph"/>
        <w:numPr>
          <w:ilvl w:val="0"/>
          <w:numId w:val="13"/>
        </w:numPr>
        <w:tabs>
          <w:tab w:pos="581" w:val="left" w:leader="none"/>
        </w:tabs>
        <w:spacing w:line="360" w:lineRule="auto" w:before="3" w:after="0"/>
        <w:ind w:left="580" w:right="281" w:hanging="361"/>
        <w:jc w:val="left"/>
        <w:rPr>
          <w:sz w:val="22"/>
        </w:rPr>
      </w:pPr>
      <w:r>
        <w:rPr>
          <w:sz w:val="22"/>
        </w:rPr>
        <w:t>Klasen HJ. A historical review of the use of silver </w:t>
      </w:r>
      <w:r>
        <w:rPr>
          <w:spacing w:val="-3"/>
          <w:sz w:val="22"/>
        </w:rPr>
        <w:t>in </w:t>
      </w:r>
      <w:r>
        <w:rPr>
          <w:sz w:val="22"/>
        </w:rPr>
        <w:t>the treatment of burns </w:t>
      </w:r>
      <w:r>
        <w:rPr>
          <w:spacing w:val="-3"/>
          <w:sz w:val="22"/>
        </w:rPr>
        <w:t>II. </w:t>
      </w:r>
      <w:r>
        <w:rPr>
          <w:sz w:val="22"/>
        </w:rPr>
        <w:t>Renewed interest for silver. Burns</w:t>
      </w:r>
      <w:r>
        <w:rPr>
          <w:spacing w:val="-14"/>
          <w:sz w:val="22"/>
        </w:rPr>
        <w:t> </w:t>
      </w:r>
      <w:r>
        <w:rPr>
          <w:sz w:val="22"/>
        </w:rPr>
        <w:t>2000;26:131-8</w:t>
      </w:r>
    </w:p>
    <w:p>
      <w:pPr>
        <w:spacing w:after="0" w:line="360" w:lineRule="auto"/>
        <w:jc w:val="left"/>
        <w:rPr>
          <w:sz w:val="22"/>
        </w:rPr>
        <w:sectPr>
          <w:pgSz w:w="12240" w:h="15840"/>
          <w:pgMar w:header="731" w:footer="1012" w:top="1160" w:bottom="1200" w:left="1480" w:right="1480"/>
        </w:sectPr>
      </w:pPr>
    </w:p>
    <w:p>
      <w:pPr>
        <w:pStyle w:val="BodyText"/>
        <w:rPr>
          <w:sz w:val="17"/>
        </w:rPr>
      </w:pPr>
    </w:p>
    <w:p>
      <w:pPr>
        <w:pStyle w:val="ListParagraph"/>
        <w:numPr>
          <w:ilvl w:val="0"/>
          <w:numId w:val="13"/>
        </w:numPr>
        <w:tabs>
          <w:tab w:pos="581" w:val="left" w:leader="none"/>
        </w:tabs>
        <w:spacing w:line="360" w:lineRule="auto" w:before="73" w:after="0"/>
        <w:ind w:left="580" w:right="523" w:hanging="361"/>
        <w:jc w:val="left"/>
        <w:rPr>
          <w:sz w:val="22"/>
        </w:rPr>
      </w:pPr>
      <w:r>
        <w:rPr>
          <w:sz w:val="22"/>
        </w:rPr>
        <w:t>Bowler PG, Jones SA, Walker </w:t>
      </w:r>
      <w:r>
        <w:rPr>
          <w:spacing w:val="-4"/>
          <w:sz w:val="22"/>
        </w:rPr>
        <w:t>M, </w:t>
      </w:r>
      <w:r>
        <w:rPr>
          <w:sz w:val="22"/>
        </w:rPr>
        <w:t>et al. Microbicidal properties of a silver-containing hydrofiber dressing against a variety of burn wound pathogens. J Burn Care</w:t>
      </w:r>
      <w:r>
        <w:rPr>
          <w:spacing w:val="-40"/>
          <w:sz w:val="22"/>
        </w:rPr>
        <w:t> </w:t>
      </w:r>
      <w:r>
        <w:rPr>
          <w:sz w:val="22"/>
        </w:rPr>
        <w:t>Rehabil 2004;25:192-6</w:t>
      </w:r>
    </w:p>
    <w:p>
      <w:pPr>
        <w:pStyle w:val="ListParagraph"/>
        <w:numPr>
          <w:ilvl w:val="0"/>
          <w:numId w:val="13"/>
        </w:numPr>
        <w:tabs>
          <w:tab w:pos="581" w:val="left" w:leader="none"/>
        </w:tabs>
        <w:spacing w:line="360" w:lineRule="auto" w:before="8" w:after="0"/>
        <w:ind w:left="580" w:right="417" w:hanging="361"/>
        <w:jc w:val="left"/>
        <w:rPr>
          <w:sz w:val="22"/>
        </w:rPr>
      </w:pPr>
      <w:r>
        <w:rPr>
          <w:sz w:val="22"/>
        </w:rPr>
        <w:t>Fraser JF, Bodman J, Sturgess R, et al. An in vitro study of the anti-microbial efficacy of a 1% silver sulphadiazine and 0.2% chlorhexidine digluonate cream, 1% silver sulphadiazine cream and a silver coated dressing. Burns</w:t>
      </w:r>
      <w:r>
        <w:rPr>
          <w:spacing w:val="-22"/>
          <w:sz w:val="22"/>
        </w:rPr>
        <w:t> </w:t>
      </w:r>
      <w:r>
        <w:rPr>
          <w:sz w:val="22"/>
        </w:rPr>
        <w:t>2004;30:35-41</w:t>
      </w:r>
    </w:p>
    <w:p>
      <w:pPr>
        <w:pStyle w:val="ListParagraph"/>
        <w:numPr>
          <w:ilvl w:val="0"/>
          <w:numId w:val="13"/>
        </w:numPr>
        <w:tabs>
          <w:tab w:pos="581" w:val="left" w:leader="none"/>
        </w:tabs>
        <w:spacing w:line="360" w:lineRule="auto" w:before="3" w:after="0"/>
        <w:ind w:left="580" w:right="357" w:hanging="361"/>
        <w:jc w:val="left"/>
        <w:rPr>
          <w:sz w:val="22"/>
        </w:rPr>
      </w:pPr>
      <w:r>
        <w:rPr>
          <w:sz w:val="22"/>
        </w:rPr>
        <w:t>Amit Gupta , Maria Maynes. Efectos de halogenuros de plata sobre la resistencia mediada</w:t>
      </w:r>
      <w:r>
        <w:rPr>
          <w:spacing w:val="-6"/>
          <w:sz w:val="22"/>
        </w:rPr>
        <w:t> </w:t>
      </w:r>
      <w:r>
        <w:rPr>
          <w:sz w:val="22"/>
        </w:rPr>
        <w:t>por</w:t>
      </w:r>
      <w:r>
        <w:rPr>
          <w:spacing w:val="-5"/>
          <w:sz w:val="22"/>
        </w:rPr>
        <w:t> </w:t>
      </w:r>
      <w:r>
        <w:rPr>
          <w:sz w:val="22"/>
        </w:rPr>
        <w:t>plásmidos</w:t>
      </w:r>
      <w:r>
        <w:rPr>
          <w:spacing w:val="-8"/>
          <w:sz w:val="22"/>
        </w:rPr>
        <w:t> </w:t>
      </w:r>
      <w:r>
        <w:rPr>
          <w:sz w:val="22"/>
        </w:rPr>
        <w:t>de</w:t>
      </w:r>
      <w:r>
        <w:rPr>
          <w:spacing w:val="-2"/>
          <w:sz w:val="22"/>
        </w:rPr>
        <w:t> </w:t>
      </w:r>
      <w:r>
        <w:rPr>
          <w:sz w:val="22"/>
        </w:rPr>
        <w:t>Escherichiacoli.</w:t>
      </w:r>
      <w:r>
        <w:rPr>
          <w:spacing w:val="-2"/>
          <w:sz w:val="22"/>
        </w:rPr>
        <w:t> </w:t>
      </w:r>
      <w:r>
        <w:rPr>
          <w:sz w:val="22"/>
        </w:rPr>
        <w:t>Appl</w:t>
      </w:r>
      <w:r>
        <w:rPr>
          <w:spacing w:val="-9"/>
          <w:sz w:val="22"/>
        </w:rPr>
        <w:t> </w:t>
      </w:r>
      <w:r>
        <w:rPr>
          <w:sz w:val="22"/>
        </w:rPr>
        <w:t>Environ</w:t>
      </w:r>
      <w:r>
        <w:rPr>
          <w:spacing w:val="-2"/>
          <w:sz w:val="22"/>
        </w:rPr>
        <w:t> </w:t>
      </w:r>
      <w:r>
        <w:rPr>
          <w:sz w:val="22"/>
        </w:rPr>
        <w:t>Microbiol</w:t>
      </w:r>
      <w:r>
        <w:rPr>
          <w:spacing w:val="-9"/>
          <w:sz w:val="22"/>
        </w:rPr>
        <w:t> </w:t>
      </w:r>
      <w:r>
        <w:rPr>
          <w:sz w:val="22"/>
        </w:rPr>
        <w:t>de</w:t>
      </w:r>
      <w:r>
        <w:rPr>
          <w:spacing w:val="-6"/>
          <w:sz w:val="22"/>
        </w:rPr>
        <w:t> </w:t>
      </w:r>
      <w:r>
        <w:rPr>
          <w:sz w:val="22"/>
        </w:rPr>
        <w:t>diciembre</w:t>
      </w:r>
      <w:r>
        <w:rPr>
          <w:spacing w:val="-6"/>
          <w:sz w:val="22"/>
        </w:rPr>
        <w:t> </w:t>
      </w:r>
      <w:r>
        <w:rPr>
          <w:sz w:val="22"/>
        </w:rPr>
        <w:t>1998; 64 (12) : desde 5.042 hasta 5045. disponible en</w:t>
      </w:r>
      <w:r>
        <w:rPr>
          <w:spacing w:val="15"/>
          <w:sz w:val="22"/>
        </w:rPr>
        <w:t> </w:t>
      </w:r>
      <w:hyperlink r:id="rId81">
        <w:r>
          <w:rPr>
            <w:sz w:val="22"/>
          </w:rPr>
          <w:t>www.ncbi.nlm.nih.gov/pubmed/</w:t>
        </w:r>
      </w:hyperlink>
    </w:p>
    <w:p>
      <w:pPr>
        <w:pStyle w:val="ListParagraph"/>
        <w:numPr>
          <w:ilvl w:val="0"/>
          <w:numId w:val="13"/>
        </w:numPr>
        <w:tabs>
          <w:tab w:pos="581" w:val="left" w:leader="none"/>
        </w:tabs>
        <w:spacing w:line="360" w:lineRule="auto" w:before="3" w:after="0"/>
        <w:ind w:left="580" w:right="450" w:hanging="361"/>
        <w:jc w:val="left"/>
        <w:rPr>
          <w:sz w:val="22"/>
        </w:rPr>
      </w:pPr>
      <w:r>
        <w:rPr>
          <w:sz w:val="22"/>
        </w:rPr>
        <w:t>Kamyar Shameli , Mansor Bin Ahmad. Síntesis y caracterización de plata / montmorillonita</w:t>
      </w:r>
      <w:r>
        <w:rPr>
          <w:spacing w:val="-5"/>
          <w:sz w:val="22"/>
        </w:rPr>
        <w:t> </w:t>
      </w:r>
      <w:r>
        <w:rPr>
          <w:sz w:val="22"/>
        </w:rPr>
        <w:t>/</w:t>
      </w:r>
      <w:r>
        <w:rPr>
          <w:spacing w:val="-6"/>
          <w:sz w:val="22"/>
        </w:rPr>
        <w:t> </w:t>
      </w:r>
      <w:r>
        <w:rPr>
          <w:sz w:val="22"/>
        </w:rPr>
        <w:t>quitosanobionanocomposites</w:t>
      </w:r>
      <w:r>
        <w:rPr>
          <w:spacing w:val="-7"/>
          <w:sz w:val="22"/>
        </w:rPr>
        <w:t> </w:t>
      </w:r>
      <w:r>
        <w:rPr>
          <w:sz w:val="22"/>
        </w:rPr>
        <w:t>por</w:t>
      </w:r>
      <w:r>
        <w:rPr>
          <w:spacing w:val="-9"/>
          <w:sz w:val="22"/>
        </w:rPr>
        <w:t> </w:t>
      </w:r>
      <w:r>
        <w:rPr>
          <w:sz w:val="22"/>
        </w:rPr>
        <w:t>el</w:t>
      </w:r>
      <w:r>
        <w:rPr>
          <w:spacing w:val="-3"/>
          <w:sz w:val="22"/>
        </w:rPr>
        <w:t> </w:t>
      </w:r>
      <w:r>
        <w:rPr>
          <w:sz w:val="22"/>
        </w:rPr>
        <w:t>método</w:t>
      </w:r>
      <w:r>
        <w:rPr>
          <w:spacing w:val="-5"/>
          <w:sz w:val="22"/>
        </w:rPr>
        <w:t> </w:t>
      </w:r>
      <w:r>
        <w:rPr>
          <w:sz w:val="22"/>
        </w:rPr>
        <w:t>de</w:t>
      </w:r>
      <w:r>
        <w:rPr>
          <w:spacing w:val="-5"/>
          <w:sz w:val="22"/>
        </w:rPr>
        <w:t> </w:t>
      </w:r>
      <w:r>
        <w:rPr>
          <w:sz w:val="22"/>
        </w:rPr>
        <w:t>reducción</w:t>
      </w:r>
      <w:r>
        <w:rPr>
          <w:spacing w:val="-5"/>
          <w:sz w:val="22"/>
        </w:rPr>
        <w:t> </w:t>
      </w:r>
      <w:r>
        <w:rPr>
          <w:sz w:val="22"/>
        </w:rPr>
        <w:t>química</w:t>
      </w:r>
      <w:r>
        <w:rPr>
          <w:spacing w:val="-1"/>
          <w:sz w:val="22"/>
        </w:rPr>
        <w:t> </w:t>
      </w:r>
      <w:r>
        <w:rPr>
          <w:sz w:val="22"/>
        </w:rPr>
        <w:t>y su actividad antibacteriana. Int J Nanomedicina. 2011; 6: 271-284. Publicado en Internet el 27 de enero 2011 disponible en</w:t>
      </w:r>
      <w:r>
        <w:rPr>
          <w:spacing w:val="22"/>
          <w:sz w:val="22"/>
        </w:rPr>
        <w:t> </w:t>
      </w:r>
      <w:hyperlink r:id="rId81">
        <w:r>
          <w:rPr>
            <w:sz w:val="22"/>
          </w:rPr>
          <w:t>www.ncbi.nlm.nih.gov/pubmed/</w:t>
        </w:r>
      </w:hyperlink>
    </w:p>
    <w:p>
      <w:pPr>
        <w:pStyle w:val="ListParagraph"/>
        <w:numPr>
          <w:ilvl w:val="0"/>
          <w:numId w:val="13"/>
        </w:numPr>
        <w:tabs>
          <w:tab w:pos="581" w:val="left" w:leader="none"/>
        </w:tabs>
        <w:spacing w:line="360" w:lineRule="auto" w:before="3" w:after="0"/>
        <w:ind w:left="580" w:right="411" w:hanging="361"/>
        <w:jc w:val="left"/>
        <w:rPr>
          <w:sz w:val="22"/>
        </w:rPr>
      </w:pPr>
      <w:r>
        <w:rPr>
          <w:sz w:val="22"/>
        </w:rPr>
        <w:t>Harrel SK, Molinari J. Aerosols and splatter in dentistry: a brief review</w:t>
      </w:r>
      <w:r>
        <w:rPr>
          <w:spacing w:val="-42"/>
          <w:sz w:val="22"/>
        </w:rPr>
        <w:t> </w:t>
      </w:r>
      <w:r>
        <w:rPr>
          <w:sz w:val="22"/>
        </w:rPr>
        <w:t>of the literature and infection control implications. J Am Dent Assoc</w:t>
      </w:r>
      <w:r>
        <w:rPr>
          <w:spacing w:val="-26"/>
          <w:sz w:val="22"/>
        </w:rPr>
        <w:t> </w:t>
      </w:r>
      <w:r>
        <w:rPr>
          <w:sz w:val="22"/>
        </w:rPr>
        <w:t>2004;135:429–37.</w:t>
      </w:r>
    </w:p>
    <w:p>
      <w:pPr>
        <w:pStyle w:val="ListParagraph"/>
        <w:numPr>
          <w:ilvl w:val="0"/>
          <w:numId w:val="13"/>
        </w:numPr>
        <w:tabs>
          <w:tab w:pos="581" w:val="left" w:leader="none"/>
        </w:tabs>
        <w:spacing w:line="360" w:lineRule="auto" w:before="3" w:after="0"/>
        <w:ind w:left="580" w:right="1132" w:hanging="361"/>
        <w:jc w:val="left"/>
        <w:rPr>
          <w:sz w:val="22"/>
        </w:rPr>
      </w:pPr>
      <w:r>
        <w:rPr>
          <w:sz w:val="22"/>
        </w:rPr>
        <w:t>Martin MV. The significance of the bacterial contamination of dental unit</w:t>
      </w:r>
      <w:r>
        <w:rPr>
          <w:spacing w:val="-36"/>
          <w:sz w:val="22"/>
        </w:rPr>
        <w:t> </w:t>
      </w:r>
      <w:r>
        <w:rPr>
          <w:sz w:val="22"/>
        </w:rPr>
        <w:t>water systems. Br Dent J 1987; 163:</w:t>
      </w:r>
      <w:r>
        <w:rPr>
          <w:spacing w:val="-12"/>
          <w:sz w:val="22"/>
        </w:rPr>
        <w:t> </w:t>
      </w:r>
      <w:r>
        <w:rPr>
          <w:sz w:val="22"/>
        </w:rPr>
        <w:t>152-154.</w:t>
      </w:r>
    </w:p>
    <w:p>
      <w:pPr>
        <w:pStyle w:val="ListParagraph"/>
        <w:numPr>
          <w:ilvl w:val="0"/>
          <w:numId w:val="13"/>
        </w:numPr>
        <w:tabs>
          <w:tab w:pos="581" w:val="left" w:leader="none"/>
        </w:tabs>
        <w:spacing w:line="360" w:lineRule="auto" w:before="3" w:after="0"/>
        <w:ind w:left="580" w:right="826" w:hanging="361"/>
        <w:jc w:val="both"/>
        <w:rPr>
          <w:sz w:val="22"/>
        </w:rPr>
      </w:pPr>
      <w:r>
        <w:rPr>
          <w:sz w:val="22"/>
        </w:rPr>
        <w:t>Singh R, Stine OC, Smith DL, Jr Spitznagel J.K., Labib ME. Microbial Diversity of Biofilms in Dental Unit Water Systems. Appl. Environ. Microbiol., 2003; 69:</w:t>
      </w:r>
      <w:r>
        <w:rPr>
          <w:spacing w:val="-39"/>
          <w:sz w:val="22"/>
        </w:rPr>
        <w:t> </w:t>
      </w:r>
      <w:r>
        <w:rPr>
          <w:spacing w:val="2"/>
          <w:sz w:val="22"/>
        </w:rPr>
        <w:t>3412- </w:t>
      </w:r>
      <w:r>
        <w:rPr>
          <w:sz w:val="22"/>
        </w:rPr>
        <w:t>3420[PubMed]</w:t>
      </w:r>
    </w:p>
    <w:p>
      <w:pPr>
        <w:pStyle w:val="ListParagraph"/>
        <w:numPr>
          <w:ilvl w:val="0"/>
          <w:numId w:val="13"/>
        </w:numPr>
        <w:tabs>
          <w:tab w:pos="581" w:val="left" w:leader="none"/>
        </w:tabs>
        <w:spacing w:line="240" w:lineRule="auto" w:before="3" w:after="0"/>
        <w:ind w:left="580" w:right="0" w:hanging="361"/>
        <w:jc w:val="left"/>
        <w:rPr>
          <w:sz w:val="22"/>
        </w:rPr>
      </w:pPr>
      <w:r>
        <w:rPr>
          <w:sz w:val="22"/>
        </w:rPr>
        <w:t>Nawaz </w:t>
      </w:r>
      <w:r>
        <w:rPr>
          <w:spacing w:val="-4"/>
          <w:sz w:val="22"/>
        </w:rPr>
        <w:t>M, </w:t>
      </w:r>
      <w:r>
        <w:rPr>
          <w:sz w:val="22"/>
        </w:rPr>
        <w:t>Han </w:t>
      </w:r>
      <w:r>
        <w:rPr>
          <w:spacing w:val="-4"/>
          <w:sz w:val="22"/>
        </w:rPr>
        <w:t>MY, </w:t>
      </w:r>
      <w:r>
        <w:rPr>
          <w:sz w:val="22"/>
        </w:rPr>
        <w:t>Manzoor </w:t>
      </w:r>
      <w:r>
        <w:rPr>
          <w:spacing w:val="-3"/>
          <w:sz w:val="22"/>
        </w:rPr>
        <w:t>MT. </w:t>
      </w:r>
      <w:r>
        <w:rPr>
          <w:sz w:val="22"/>
        </w:rPr>
        <w:t>Silver disinfection of Pseudomonas aeruginosa</w:t>
      </w:r>
      <w:r>
        <w:rPr>
          <w:spacing w:val="-4"/>
          <w:sz w:val="22"/>
        </w:rPr>
        <w:t> </w:t>
      </w:r>
      <w:r>
        <w:rPr>
          <w:sz w:val="22"/>
        </w:rPr>
        <w:t>and</w:t>
      </w:r>
    </w:p>
    <w:p>
      <w:pPr>
        <w:spacing w:line="360" w:lineRule="auto" w:before="131"/>
        <w:ind w:left="580" w:right="449" w:firstLine="0"/>
        <w:jc w:val="left"/>
        <w:rPr>
          <w:sz w:val="22"/>
        </w:rPr>
      </w:pPr>
      <w:r>
        <w:rPr>
          <w:sz w:val="22"/>
        </w:rPr>
        <w:t>E. coli in rooftop harvested rainwater for potable purposes. Sci Tot Environ 2013 20– 25[PubMed]</w:t>
      </w:r>
    </w:p>
    <w:p>
      <w:pPr>
        <w:pStyle w:val="ListParagraph"/>
        <w:numPr>
          <w:ilvl w:val="0"/>
          <w:numId w:val="13"/>
        </w:numPr>
        <w:tabs>
          <w:tab w:pos="581" w:val="left" w:leader="none"/>
        </w:tabs>
        <w:spacing w:line="360" w:lineRule="auto" w:before="3" w:after="0"/>
        <w:ind w:left="580" w:right="731" w:hanging="361"/>
        <w:jc w:val="left"/>
        <w:rPr>
          <w:sz w:val="22"/>
        </w:rPr>
      </w:pPr>
      <w:r>
        <w:rPr>
          <w:sz w:val="22"/>
        </w:rPr>
        <w:t>Feng QL, </w:t>
      </w:r>
      <w:r>
        <w:rPr>
          <w:spacing w:val="3"/>
          <w:sz w:val="22"/>
        </w:rPr>
        <w:t>Wu </w:t>
      </w:r>
      <w:r>
        <w:rPr>
          <w:sz w:val="22"/>
        </w:rPr>
        <w:t>J, Chen GQ, Cui FZ, Kim TN, Kim JO. A mechanistic study of the antibacterial effect of silver ions on Escherichia coli and Staphylococcus aureus. J Biomed Mater Res</w:t>
      </w:r>
      <w:r>
        <w:rPr>
          <w:spacing w:val="-16"/>
          <w:sz w:val="22"/>
        </w:rPr>
        <w:t> </w:t>
      </w:r>
      <w:r>
        <w:rPr>
          <w:sz w:val="22"/>
        </w:rPr>
        <w:t>2000;52:662–8[PubMed]</w:t>
      </w:r>
    </w:p>
    <w:p>
      <w:pPr>
        <w:pStyle w:val="ListParagraph"/>
        <w:numPr>
          <w:ilvl w:val="0"/>
          <w:numId w:val="13"/>
        </w:numPr>
        <w:tabs>
          <w:tab w:pos="581" w:val="left" w:leader="none"/>
        </w:tabs>
        <w:spacing w:line="360" w:lineRule="auto" w:before="3" w:after="0"/>
        <w:ind w:left="580" w:right="340" w:hanging="361"/>
        <w:jc w:val="left"/>
        <w:rPr>
          <w:sz w:val="22"/>
        </w:rPr>
      </w:pPr>
      <w:r>
        <w:rPr>
          <w:sz w:val="22"/>
        </w:rPr>
        <w:t>Silvestry-Rodriguez N, Bright KR, Uhlmann DR, Slack DC, Gerba CP. Inactivation of Pseudomonas aeruginosa and Aeromonas hydrophila by silver in tap water. J Environ Sci Health A</w:t>
      </w:r>
      <w:r>
        <w:rPr>
          <w:spacing w:val="-16"/>
          <w:sz w:val="22"/>
        </w:rPr>
        <w:t> </w:t>
      </w:r>
      <w:r>
        <w:rPr>
          <w:sz w:val="22"/>
        </w:rPr>
        <w:t>2007b;42:1579–84[PubMed]</w:t>
      </w:r>
    </w:p>
    <w:p>
      <w:pPr>
        <w:pStyle w:val="ListParagraph"/>
        <w:numPr>
          <w:ilvl w:val="0"/>
          <w:numId w:val="13"/>
        </w:numPr>
        <w:tabs>
          <w:tab w:pos="581" w:val="left" w:leader="none"/>
        </w:tabs>
        <w:spacing w:line="360" w:lineRule="auto" w:before="3" w:after="0"/>
        <w:ind w:left="580" w:right="422" w:hanging="361"/>
        <w:jc w:val="left"/>
        <w:rPr>
          <w:sz w:val="22"/>
        </w:rPr>
      </w:pPr>
      <w:r>
        <w:rPr>
          <w:sz w:val="22"/>
        </w:rPr>
        <w:t>Stout JE, Lin YSE, Goetz AM, Controlling Legionella in Hospital water systems:</w:t>
      </w:r>
      <w:r>
        <w:rPr>
          <w:spacing w:val="-41"/>
          <w:sz w:val="22"/>
        </w:rPr>
        <w:t> </w:t>
      </w:r>
      <w:r>
        <w:rPr>
          <w:sz w:val="22"/>
        </w:rPr>
        <w:t>silver ionization. Infect Control Hosp epidemiol</w:t>
      </w:r>
      <w:r>
        <w:rPr>
          <w:spacing w:val="-30"/>
          <w:sz w:val="22"/>
        </w:rPr>
        <w:t> </w:t>
      </w:r>
      <w:r>
        <w:rPr>
          <w:sz w:val="22"/>
        </w:rPr>
        <w:t>2012;19:911-914[PubMed]</w:t>
      </w:r>
    </w:p>
    <w:p>
      <w:pPr>
        <w:pStyle w:val="ListParagraph"/>
        <w:numPr>
          <w:ilvl w:val="0"/>
          <w:numId w:val="13"/>
        </w:numPr>
        <w:tabs>
          <w:tab w:pos="581" w:val="left" w:leader="none"/>
        </w:tabs>
        <w:spacing w:line="360" w:lineRule="auto" w:before="3" w:after="0"/>
        <w:ind w:left="580" w:right="1100" w:hanging="361"/>
        <w:jc w:val="left"/>
        <w:rPr>
          <w:sz w:val="22"/>
        </w:rPr>
      </w:pPr>
      <w:r>
        <w:rPr>
          <w:sz w:val="22"/>
        </w:rPr>
        <w:t>Meiller TF, Kelley, J.I., Baqui</w:t>
      </w:r>
      <w:r>
        <w:rPr>
          <w:spacing w:val="-43"/>
          <w:sz w:val="22"/>
        </w:rPr>
        <w:t> </w:t>
      </w:r>
      <w:r>
        <w:rPr>
          <w:sz w:val="22"/>
        </w:rPr>
        <w:t>A.A. and DePaola L.G. Disinfection of dental unit waterlines with an oral antiseptic. J. Clin. Dent. 1999; 20: 11-15.</w:t>
      </w:r>
      <w:r>
        <w:rPr>
          <w:spacing w:val="-31"/>
          <w:sz w:val="22"/>
        </w:rPr>
        <w:t> </w:t>
      </w:r>
      <w:r>
        <w:rPr>
          <w:sz w:val="22"/>
        </w:rPr>
        <w:t>[PubMed]</w:t>
      </w:r>
    </w:p>
    <w:p>
      <w:pPr>
        <w:spacing w:after="0" w:line="360" w:lineRule="auto"/>
        <w:jc w:val="left"/>
        <w:rPr>
          <w:sz w:val="22"/>
        </w:rPr>
        <w:sectPr>
          <w:pgSz w:w="12240" w:h="15840"/>
          <w:pgMar w:header="731" w:footer="1012" w:top="1160" w:bottom="1200" w:left="1480" w:right="1480"/>
        </w:sectPr>
      </w:pPr>
    </w:p>
    <w:p>
      <w:pPr>
        <w:pStyle w:val="BodyText"/>
        <w:rPr>
          <w:sz w:val="17"/>
        </w:rPr>
      </w:pPr>
    </w:p>
    <w:p>
      <w:pPr>
        <w:pStyle w:val="ListParagraph"/>
        <w:numPr>
          <w:ilvl w:val="0"/>
          <w:numId w:val="13"/>
        </w:numPr>
        <w:tabs>
          <w:tab w:pos="581" w:val="left" w:leader="none"/>
        </w:tabs>
        <w:spacing w:line="360" w:lineRule="auto" w:before="73" w:after="0"/>
        <w:ind w:left="580" w:right="586" w:hanging="361"/>
        <w:jc w:val="left"/>
        <w:rPr>
          <w:sz w:val="22"/>
        </w:rPr>
      </w:pPr>
      <w:r>
        <w:rPr>
          <w:sz w:val="22"/>
        </w:rPr>
        <w:t>Montebugnoli</w:t>
      </w:r>
      <w:r>
        <w:rPr>
          <w:spacing w:val="-8"/>
          <w:sz w:val="22"/>
        </w:rPr>
        <w:t> </w:t>
      </w:r>
      <w:r>
        <w:rPr>
          <w:sz w:val="22"/>
        </w:rPr>
        <w:t>L,</w:t>
      </w:r>
      <w:r>
        <w:rPr>
          <w:spacing w:val="-1"/>
          <w:sz w:val="22"/>
        </w:rPr>
        <w:t> </w:t>
      </w:r>
      <w:r>
        <w:rPr>
          <w:sz w:val="22"/>
        </w:rPr>
        <w:t>Dolci</w:t>
      </w:r>
      <w:r>
        <w:rPr>
          <w:spacing w:val="-3"/>
          <w:sz w:val="22"/>
        </w:rPr>
        <w:t> </w:t>
      </w:r>
      <w:r>
        <w:rPr>
          <w:sz w:val="22"/>
        </w:rPr>
        <w:t>G.</w:t>
      </w:r>
      <w:r>
        <w:rPr>
          <w:spacing w:val="-6"/>
          <w:sz w:val="22"/>
        </w:rPr>
        <w:t> </w:t>
      </w:r>
      <w:r>
        <w:rPr>
          <w:sz w:val="22"/>
        </w:rPr>
        <w:t>A</w:t>
      </w:r>
      <w:r>
        <w:rPr>
          <w:spacing w:val="-6"/>
          <w:sz w:val="22"/>
        </w:rPr>
        <w:t> </w:t>
      </w:r>
      <w:r>
        <w:rPr>
          <w:sz w:val="22"/>
        </w:rPr>
        <w:t>new</w:t>
      </w:r>
      <w:r>
        <w:rPr>
          <w:spacing w:val="-3"/>
          <w:sz w:val="22"/>
        </w:rPr>
        <w:t> </w:t>
      </w:r>
      <w:r>
        <w:rPr>
          <w:sz w:val="22"/>
        </w:rPr>
        <w:t>chemical</w:t>
      </w:r>
      <w:r>
        <w:rPr>
          <w:spacing w:val="-8"/>
          <w:sz w:val="22"/>
        </w:rPr>
        <w:t> </w:t>
      </w:r>
      <w:r>
        <w:rPr>
          <w:sz w:val="22"/>
        </w:rPr>
        <w:t>formulation</w:t>
      </w:r>
      <w:r>
        <w:rPr>
          <w:spacing w:val="-5"/>
          <w:sz w:val="22"/>
        </w:rPr>
        <w:t> </w:t>
      </w:r>
      <w:r>
        <w:rPr>
          <w:sz w:val="22"/>
        </w:rPr>
        <w:t>for</w:t>
      </w:r>
      <w:r>
        <w:rPr>
          <w:spacing w:val="-4"/>
          <w:sz w:val="22"/>
        </w:rPr>
        <w:t> </w:t>
      </w:r>
      <w:r>
        <w:rPr>
          <w:sz w:val="22"/>
        </w:rPr>
        <w:t>control</w:t>
      </w:r>
      <w:r>
        <w:rPr>
          <w:spacing w:val="-3"/>
          <w:sz w:val="22"/>
        </w:rPr>
        <w:t> </w:t>
      </w:r>
      <w:r>
        <w:rPr>
          <w:sz w:val="22"/>
        </w:rPr>
        <w:t>of</w:t>
      </w:r>
      <w:r>
        <w:rPr>
          <w:spacing w:val="-1"/>
          <w:sz w:val="22"/>
        </w:rPr>
        <w:t> </w:t>
      </w:r>
      <w:r>
        <w:rPr>
          <w:sz w:val="22"/>
        </w:rPr>
        <w:t>dental</w:t>
      </w:r>
      <w:r>
        <w:rPr>
          <w:spacing w:val="-8"/>
          <w:sz w:val="22"/>
        </w:rPr>
        <w:t> </w:t>
      </w:r>
      <w:r>
        <w:rPr>
          <w:sz w:val="22"/>
        </w:rPr>
        <w:t>unit</w:t>
      </w:r>
      <w:r>
        <w:rPr>
          <w:spacing w:val="-1"/>
          <w:sz w:val="22"/>
        </w:rPr>
        <w:t> </w:t>
      </w:r>
      <w:r>
        <w:rPr>
          <w:sz w:val="22"/>
        </w:rPr>
        <w:t>water line contamination: an </w:t>
      </w:r>
      <w:r>
        <w:rPr>
          <w:spacing w:val="-3"/>
          <w:sz w:val="22"/>
        </w:rPr>
        <w:t>in </w:t>
      </w:r>
      <w:r>
        <w:rPr>
          <w:sz w:val="22"/>
        </w:rPr>
        <w:t>vitro and clinical study. </w:t>
      </w:r>
      <w:r>
        <w:rPr>
          <w:spacing w:val="-4"/>
          <w:sz w:val="22"/>
        </w:rPr>
        <w:t>BMC. </w:t>
      </w:r>
      <w:r>
        <w:rPr>
          <w:sz w:val="22"/>
        </w:rPr>
        <w:t>Oral. Health., 2002; 2:1. [PubMed]</w:t>
      </w:r>
    </w:p>
    <w:p>
      <w:pPr>
        <w:pStyle w:val="ListParagraph"/>
        <w:numPr>
          <w:ilvl w:val="0"/>
          <w:numId w:val="13"/>
        </w:numPr>
        <w:tabs>
          <w:tab w:pos="581" w:val="left" w:leader="none"/>
        </w:tabs>
        <w:spacing w:line="360" w:lineRule="auto" w:before="8" w:after="0"/>
        <w:ind w:left="580" w:right="501" w:hanging="361"/>
        <w:jc w:val="left"/>
        <w:rPr>
          <w:sz w:val="22"/>
        </w:rPr>
      </w:pPr>
      <w:r>
        <w:rPr>
          <w:sz w:val="22"/>
        </w:rPr>
        <w:t>Chacón CH. Isvelia MA, Yépez G, Jenair del VA, Castillo C, José LB, Urdaneta P, Leonidas EC, Chidiak T, Soleyd, Jarpa R, Patricio JE, Ballester LF. Aislamiento de especies</w:t>
      </w:r>
      <w:r>
        <w:rPr>
          <w:spacing w:val="-6"/>
          <w:sz w:val="22"/>
        </w:rPr>
        <w:t> </w:t>
      </w:r>
      <w:r>
        <w:rPr>
          <w:sz w:val="22"/>
        </w:rPr>
        <w:t>de</w:t>
      </w:r>
      <w:r>
        <w:rPr>
          <w:spacing w:val="-5"/>
          <w:sz w:val="22"/>
        </w:rPr>
        <w:t> </w:t>
      </w:r>
      <w:r>
        <w:rPr>
          <w:sz w:val="22"/>
        </w:rPr>
        <w:t>pseudomonas</w:t>
      </w:r>
      <w:r>
        <w:rPr>
          <w:spacing w:val="-6"/>
          <w:sz w:val="22"/>
        </w:rPr>
        <w:t> </w:t>
      </w:r>
      <w:r>
        <w:rPr>
          <w:sz w:val="22"/>
        </w:rPr>
        <w:t>de</w:t>
      </w:r>
      <w:r>
        <w:rPr>
          <w:spacing w:val="-1"/>
          <w:sz w:val="22"/>
        </w:rPr>
        <w:t> </w:t>
      </w:r>
      <w:r>
        <w:rPr>
          <w:sz w:val="22"/>
        </w:rPr>
        <w:t>las</w:t>
      </w:r>
      <w:r>
        <w:rPr>
          <w:spacing w:val="-2"/>
          <w:sz w:val="22"/>
        </w:rPr>
        <w:t> </w:t>
      </w:r>
      <w:r>
        <w:rPr>
          <w:sz w:val="22"/>
        </w:rPr>
        <w:t>líneas</w:t>
      </w:r>
      <w:r>
        <w:rPr>
          <w:spacing w:val="-6"/>
          <w:sz w:val="22"/>
        </w:rPr>
        <w:t> </w:t>
      </w:r>
      <w:r>
        <w:rPr>
          <w:sz w:val="22"/>
        </w:rPr>
        <w:t>de</w:t>
      </w:r>
      <w:r>
        <w:rPr>
          <w:spacing w:val="-5"/>
          <w:sz w:val="22"/>
        </w:rPr>
        <w:t> </w:t>
      </w:r>
      <w:r>
        <w:rPr>
          <w:sz w:val="22"/>
        </w:rPr>
        <w:t>agua</w:t>
      </w:r>
      <w:r>
        <w:rPr>
          <w:spacing w:val="-9"/>
          <w:sz w:val="22"/>
        </w:rPr>
        <w:t> </w:t>
      </w:r>
      <w:r>
        <w:rPr>
          <w:sz w:val="22"/>
        </w:rPr>
        <w:t>de</w:t>
      </w:r>
      <w:r>
        <w:rPr>
          <w:spacing w:val="-1"/>
          <w:sz w:val="22"/>
        </w:rPr>
        <w:t> </w:t>
      </w:r>
      <w:r>
        <w:rPr>
          <w:sz w:val="22"/>
        </w:rPr>
        <w:t>las</w:t>
      </w:r>
      <w:r>
        <w:rPr>
          <w:spacing w:val="-2"/>
          <w:sz w:val="22"/>
        </w:rPr>
        <w:t> </w:t>
      </w:r>
      <w:r>
        <w:rPr>
          <w:sz w:val="22"/>
        </w:rPr>
        <w:t>unidades</w:t>
      </w:r>
      <w:r>
        <w:rPr>
          <w:spacing w:val="-6"/>
          <w:sz w:val="22"/>
        </w:rPr>
        <w:t> </w:t>
      </w:r>
      <w:r>
        <w:rPr>
          <w:sz w:val="22"/>
        </w:rPr>
        <w:t>odontológicas,</w:t>
      </w:r>
      <w:r>
        <w:rPr>
          <w:spacing w:val="-1"/>
          <w:sz w:val="22"/>
        </w:rPr>
        <w:t> </w:t>
      </w:r>
      <w:r>
        <w:rPr>
          <w:sz w:val="22"/>
        </w:rPr>
        <w:t>act odont ven, 2010; 48:</w:t>
      </w:r>
      <w:r>
        <w:rPr>
          <w:spacing w:val="-9"/>
          <w:sz w:val="22"/>
        </w:rPr>
        <w:t> </w:t>
      </w:r>
      <w:r>
        <w:rPr>
          <w:sz w:val="22"/>
        </w:rPr>
        <w:t>1</w:t>
      </w:r>
    </w:p>
    <w:p>
      <w:pPr>
        <w:pStyle w:val="ListParagraph"/>
        <w:numPr>
          <w:ilvl w:val="0"/>
          <w:numId w:val="13"/>
        </w:numPr>
        <w:tabs>
          <w:tab w:pos="581" w:val="left" w:leader="none"/>
        </w:tabs>
        <w:spacing w:line="240" w:lineRule="auto" w:before="3" w:after="0"/>
        <w:ind w:left="580" w:right="0" w:hanging="361"/>
        <w:jc w:val="left"/>
        <w:rPr>
          <w:sz w:val="22"/>
        </w:rPr>
      </w:pPr>
      <w:r>
        <w:rPr>
          <w:sz w:val="22"/>
        </w:rPr>
        <w:t>Dinatale P E,  diseminación de </w:t>
      </w:r>
      <w:r>
        <w:rPr>
          <w:spacing w:val="-3"/>
          <w:sz w:val="22"/>
        </w:rPr>
        <w:t>la </w:t>
      </w:r>
      <w:r>
        <w:rPr>
          <w:sz w:val="22"/>
        </w:rPr>
        <w:t>infección odontogénica. Act odont ven,</w:t>
      </w:r>
      <w:r>
        <w:rPr>
          <w:spacing w:val="-30"/>
          <w:sz w:val="22"/>
        </w:rPr>
        <w:t> </w:t>
      </w:r>
      <w:r>
        <w:rPr>
          <w:sz w:val="22"/>
        </w:rPr>
        <w:t>2000;38:1</w:t>
      </w:r>
    </w:p>
    <w:p>
      <w:pPr>
        <w:pStyle w:val="ListParagraph"/>
        <w:numPr>
          <w:ilvl w:val="0"/>
          <w:numId w:val="13"/>
        </w:numPr>
        <w:tabs>
          <w:tab w:pos="581" w:val="left" w:leader="none"/>
        </w:tabs>
        <w:spacing w:line="360" w:lineRule="auto" w:before="126" w:after="0"/>
        <w:ind w:left="580" w:right="391" w:hanging="361"/>
        <w:jc w:val="left"/>
        <w:rPr>
          <w:sz w:val="22"/>
        </w:rPr>
      </w:pPr>
      <w:r>
        <w:rPr>
          <w:sz w:val="22"/>
        </w:rPr>
        <w:t>Genc A, Kadir T, Ercalik S, Erdem H, Demirbas B. The probability of microbial contamination</w:t>
      </w:r>
      <w:r>
        <w:rPr>
          <w:spacing w:val="-4"/>
          <w:sz w:val="22"/>
        </w:rPr>
        <w:t> </w:t>
      </w:r>
      <w:r>
        <w:rPr>
          <w:sz w:val="22"/>
        </w:rPr>
        <w:t>by</w:t>
      </w:r>
      <w:r>
        <w:rPr>
          <w:spacing w:val="-4"/>
          <w:sz w:val="22"/>
        </w:rPr>
        <w:t> </w:t>
      </w:r>
      <w:r>
        <w:rPr>
          <w:sz w:val="22"/>
        </w:rPr>
        <w:t>the</w:t>
      </w:r>
      <w:r>
        <w:rPr>
          <w:spacing w:val="-4"/>
          <w:sz w:val="22"/>
        </w:rPr>
        <w:t> </w:t>
      </w:r>
      <w:r>
        <w:rPr>
          <w:sz w:val="22"/>
        </w:rPr>
        <w:t>internal</w:t>
      </w:r>
      <w:r>
        <w:rPr>
          <w:spacing w:val="-5"/>
          <w:sz w:val="22"/>
        </w:rPr>
        <w:t> </w:t>
      </w:r>
      <w:r>
        <w:rPr>
          <w:sz w:val="22"/>
        </w:rPr>
        <w:t>water/air</w:t>
      </w:r>
      <w:r>
        <w:rPr>
          <w:spacing w:val="-6"/>
          <w:sz w:val="22"/>
        </w:rPr>
        <w:t> </w:t>
      </w:r>
      <w:r>
        <w:rPr>
          <w:sz w:val="22"/>
        </w:rPr>
        <w:t>lines</w:t>
      </w:r>
      <w:r>
        <w:rPr>
          <w:spacing w:val="-4"/>
          <w:sz w:val="22"/>
        </w:rPr>
        <w:t> </w:t>
      </w:r>
      <w:r>
        <w:rPr>
          <w:sz w:val="22"/>
        </w:rPr>
        <w:t>of</w:t>
      </w:r>
      <w:r>
        <w:rPr>
          <w:spacing w:val="-4"/>
          <w:sz w:val="22"/>
        </w:rPr>
        <w:t> </w:t>
      </w:r>
      <w:r>
        <w:rPr>
          <w:sz w:val="22"/>
        </w:rPr>
        <w:t>turbines.</w:t>
      </w:r>
      <w:r>
        <w:rPr>
          <w:spacing w:val="-4"/>
          <w:sz w:val="22"/>
        </w:rPr>
        <w:t> </w:t>
      </w:r>
      <w:r>
        <w:rPr>
          <w:sz w:val="22"/>
        </w:rPr>
        <w:t>Turkish</w:t>
      </w:r>
      <w:r>
        <w:rPr>
          <w:spacing w:val="-4"/>
          <w:sz w:val="22"/>
        </w:rPr>
        <w:t> </w:t>
      </w:r>
      <w:r>
        <w:rPr>
          <w:sz w:val="22"/>
        </w:rPr>
        <w:t>Dental</w:t>
      </w:r>
      <w:r>
        <w:rPr>
          <w:spacing w:val="-5"/>
          <w:sz w:val="22"/>
        </w:rPr>
        <w:t> </w:t>
      </w:r>
      <w:r>
        <w:rPr>
          <w:sz w:val="22"/>
        </w:rPr>
        <w:t>Association</w:t>
      </w:r>
      <w:r>
        <w:rPr>
          <w:spacing w:val="-7"/>
          <w:sz w:val="22"/>
        </w:rPr>
        <w:t> </w:t>
      </w:r>
      <w:r>
        <w:rPr>
          <w:sz w:val="22"/>
        </w:rPr>
        <w:t>IV International Dental Congress; Istanbul, TR. 1997. p.</w:t>
      </w:r>
      <w:r>
        <w:rPr>
          <w:spacing w:val="-23"/>
          <w:sz w:val="22"/>
        </w:rPr>
        <w:t> </w:t>
      </w:r>
      <w:r>
        <w:rPr>
          <w:sz w:val="22"/>
        </w:rPr>
        <w:t>131</w:t>
      </w:r>
    </w:p>
    <w:p>
      <w:pPr>
        <w:pStyle w:val="ListParagraph"/>
        <w:numPr>
          <w:ilvl w:val="0"/>
          <w:numId w:val="13"/>
        </w:numPr>
        <w:tabs>
          <w:tab w:pos="581" w:val="left" w:leader="none"/>
        </w:tabs>
        <w:spacing w:line="360" w:lineRule="auto" w:before="3" w:after="0"/>
        <w:ind w:left="580" w:right="316" w:hanging="361"/>
        <w:jc w:val="left"/>
        <w:rPr>
          <w:sz w:val="22"/>
        </w:rPr>
      </w:pPr>
      <w:r>
        <w:rPr>
          <w:sz w:val="22"/>
        </w:rPr>
        <w:t>Szymanska J. Control methods of the microbial water quality in dental</w:t>
      </w:r>
      <w:r>
        <w:rPr>
          <w:spacing w:val="-43"/>
          <w:sz w:val="22"/>
        </w:rPr>
        <w:t> </w:t>
      </w:r>
      <w:r>
        <w:rPr>
          <w:sz w:val="22"/>
        </w:rPr>
        <w:t>unit water lines” Ann Agric Environ Med [Revista en Interne).2003[Consultado el 12-08-2012);10. Disponible en</w:t>
      </w:r>
      <w:r>
        <w:rPr>
          <w:spacing w:val="-29"/>
          <w:sz w:val="22"/>
        </w:rPr>
        <w:t> </w:t>
      </w:r>
      <w:hyperlink r:id="rId83">
        <w:r>
          <w:rPr>
            <w:sz w:val="22"/>
          </w:rPr>
          <w:t>www.ncbi.nlm.nih.gov/pubmed</w:t>
        </w:r>
      </w:hyperlink>
    </w:p>
    <w:p>
      <w:pPr>
        <w:pStyle w:val="ListParagraph"/>
        <w:numPr>
          <w:ilvl w:val="0"/>
          <w:numId w:val="13"/>
        </w:numPr>
        <w:tabs>
          <w:tab w:pos="581" w:val="left" w:leader="none"/>
        </w:tabs>
        <w:spacing w:line="360" w:lineRule="auto" w:before="3" w:after="0"/>
        <w:ind w:left="580" w:right="860" w:hanging="361"/>
        <w:jc w:val="left"/>
        <w:rPr>
          <w:sz w:val="22"/>
        </w:rPr>
      </w:pPr>
      <w:r>
        <w:rPr>
          <w:sz w:val="22"/>
        </w:rPr>
        <w:t>Panagakos FS1, Lassiter </w:t>
      </w:r>
      <w:r>
        <w:rPr>
          <w:spacing w:val="-3"/>
          <w:sz w:val="22"/>
        </w:rPr>
        <w:t>T, </w:t>
      </w:r>
      <w:r>
        <w:rPr>
          <w:sz w:val="22"/>
        </w:rPr>
        <w:t>Kumar E. Dental unit waterlines: review and product evaluation. J N J Dent Assoc. 2001 Spring;72(2):20-5,</w:t>
      </w:r>
      <w:r>
        <w:rPr>
          <w:spacing w:val="-22"/>
          <w:sz w:val="22"/>
        </w:rPr>
        <w:t> </w:t>
      </w:r>
      <w:r>
        <w:rPr>
          <w:sz w:val="22"/>
        </w:rPr>
        <w:t>38.</w:t>
      </w:r>
    </w:p>
    <w:p>
      <w:pPr>
        <w:pStyle w:val="ListParagraph"/>
        <w:numPr>
          <w:ilvl w:val="0"/>
          <w:numId w:val="13"/>
        </w:numPr>
        <w:tabs>
          <w:tab w:pos="581" w:val="left" w:leader="none"/>
        </w:tabs>
        <w:spacing w:line="360" w:lineRule="auto" w:before="3" w:after="0"/>
        <w:ind w:left="580" w:right="602" w:hanging="361"/>
        <w:jc w:val="left"/>
        <w:rPr>
          <w:sz w:val="22"/>
        </w:rPr>
      </w:pPr>
      <w:r>
        <w:rPr>
          <w:sz w:val="22"/>
        </w:rPr>
        <w:t>Vidal-Graniel JE. Escherichia coli enteropatógena</w:t>
      </w:r>
      <w:r>
        <w:rPr>
          <w:spacing w:val="-44"/>
          <w:sz w:val="22"/>
        </w:rPr>
        <w:t> </w:t>
      </w:r>
      <w:r>
        <w:rPr>
          <w:sz w:val="22"/>
        </w:rPr>
        <w:t>(EPEC): Una causa frecuente de diarrea infantil. Salud en Tabasco</w:t>
      </w:r>
      <w:r>
        <w:rPr>
          <w:spacing w:val="-22"/>
          <w:sz w:val="22"/>
        </w:rPr>
        <w:t> </w:t>
      </w:r>
      <w:r>
        <w:rPr>
          <w:sz w:val="22"/>
        </w:rPr>
        <w:t>2003;9:188-193,</w:t>
      </w:r>
    </w:p>
    <w:p>
      <w:pPr>
        <w:pStyle w:val="ListParagraph"/>
        <w:numPr>
          <w:ilvl w:val="0"/>
          <w:numId w:val="13"/>
        </w:numPr>
        <w:tabs>
          <w:tab w:pos="581" w:val="left" w:leader="none"/>
        </w:tabs>
        <w:spacing w:line="360" w:lineRule="auto" w:before="3" w:after="0"/>
        <w:ind w:left="580" w:right="618" w:hanging="361"/>
        <w:jc w:val="left"/>
        <w:rPr>
          <w:sz w:val="22"/>
        </w:rPr>
      </w:pPr>
      <w:r>
        <w:rPr>
          <w:sz w:val="22"/>
        </w:rPr>
        <w:t>Alper, J. Data Gaps Need Bridging </w:t>
      </w:r>
      <w:r>
        <w:rPr>
          <w:spacing w:val="-3"/>
          <w:sz w:val="22"/>
        </w:rPr>
        <w:t>To </w:t>
      </w:r>
      <w:r>
        <w:rPr>
          <w:sz w:val="22"/>
        </w:rPr>
        <w:t>Assess Infectious Gastrointestinal Diseases. ASM News. 2003;</w:t>
      </w:r>
      <w:r>
        <w:rPr>
          <w:spacing w:val="-12"/>
          <w:sz w:val="22"/>
        </w:rPr>
        <w:t> </w:t>
      </w:r>
      <w:r>
        <w:rPr>
          <w:sz w:val="22"/>
        </w:rPr>
        <w:t>69:65-68</w:t>
      </w:r>
    </w:p>
    <w:p>
      <w:pPr>
        <w:pStyle w:val="ListParagraph"/>
        <w:numPr>
          <w:ilvl w:val="0"/>
          <w:numId w:val="13"/>
        </w:numPr>
        <w:tabs>
          <w:tab w:pos="581" w:val="left" w:leader="none"/>
        </w:tabs>
        <w:spacing w:line="364" w:lineRule="auto" w:before="3" w:after="0"/>
        <w:ind w:left="580" w:right="621" w:hanging="361"/>
        <w:jc w:val="left"/>
        <w:rPr>
          <w:sz w:val="22"/>
        </w:rPr>
      </w:pPr>
      <w:r>
        <w:rPr>
          <w:sz w:val="22"/>
        </w:rPr>
        <w:t>Nataro</w:t>
      </w:r>
      <w:r>
        <w:rPr>
          <w:spacing w:val="-6"/>
          <w:sz w:val="22"/>
        </w:rPr>
        <w:t> </w:t>
      </w:r>
      <w:r>
        <w:rPr>
          <w:sz w:val="22"/>
        </w:rPr>
        <w:t>JP,</w:t>
      </w:r>
      <w:r>
        <w:rPr>
          <w:spacing w:val="-2"/>
          <w:sz w:val="22"/>
        </w:rPr>
        <w:t> </w:t>
      </w:r>
      <w:r>
        <w:rPr>
          <w:sz w:val="22"/>
        </w:rPr>
        <w:t>and</w:t>
      </w:r>
      <w:r>
        <w:rPr>
          <w:spacing w:val="-6"/>
          <w:sz w:val="22"/>
        </w:rPr>
        <w:t> </w:t>
      </w:r>
      <w:r>
        <w:rPr>
          <w:sz w:val="22"/>
        </w:rPr>
        <w:t>JB</w:t>
      </w:r>
      <w:r>
        <w:rPr>
          <w:spacing w:val="-6"/>
          <w:sz w:val="22"/>
        </w:rPr>
        <w:t> </w:t>
      </w:r>
      <w:r>
        <w:rPr>
          <w:sz w:val="22"/>
        </w:rPr>
        <w:t>Kaper.</w:t>
      </w:r>
      <w:r>
        <w:rPr>
          <w:spacing w:val="-6"/>
          <w:sz w:val="22"/>
        </w:rPr>
        <w:t> </w:t>
      </w:r>
      <w:r>
        <w:rPr>
          <w:sz w:val="22"/>
        </w:rPr>
        <w:t>Diarrheagenic</w:t>
      </w:r>
      <w:r>
        <w:rPr>
          <w:spacing w:val="-7"/>
          <w:sz w:val="22"/>
        </w:rPr>
        <w:t> </w:t>
      </w:r>
      <w:r>
        <w:rPr>
          <w:sz w:val="22"/>
        </w:rPr>
        <w:t>Escherichia</w:t>
      </w:r>
      <w:r>
        <w:rPr>
          <w:spacing w:val="-2"/>
          <w:sz w:val="22"/>
        </w:rPr>
        <w:t> </w:t>
      </w:r>
      <w:r>
        <w:rPr>
          <w:sz w:val="22"/>
        </w:rPr>
        <w:t>coli.</w:t>
      </w:r>
      <w:r>
        <w:rPr>
          <w:spacing w:val="-2"/>
          <w:sz w:val="22"/>
        </w:rPr>
        <w:t> </w:t>
      </w:r>
      <w:r>
        <w:rPr>
          <w:sz w:val="22"/>
        </w:rPr>
        <w:t>Clin</w:t>
      </w:r>
      <w:r>
        <w:rPr>
          <w:spacing w:val="-2"/>
          <w:sz w:val="22"/>
        </w:rPr>
        <w:t> </w:t>
      </w:r>
      <w:r>
        <w:rPr>
          <w:sz w:val="22"/>
        </w:rPr>
        <w:t>Microbiol</w:t>
      </w:r>
      <w:r>
        <w:rPr>
          <w:spacing w:val="-4"/>
          <w:sz w:val="22"/>
        </w:rPr>
        <w:t> </w:t>
      </w:r>
      <w:r>
        <w:rPr>
          <w:sz w:val="22"/>
        </w:rPr>
        <w:t>Rev.</w:t>
      </w:r>
      <w:r>
        <w:rPr>
          <w:spacing w:val="-6"/>
          <w:sz w:val="22"/>
        </w:rPr>
        <w:t> </w:t>
      </w:r>
      <w:r>
        <w:rPr>
          <w:sz w:val="22"/>
        </w:rPr>
        <w:t>1998; 11:142-201.</w:t>
      </w:r>
    </w:p>
    <w:p>
      <w:pPr>
        <w:pStyle w:val="ListParagraph"/>
        <w:numPr>
          <w:ilvl w:val="0"/>
          <w:numId w:val="13"/>
        </w:numPr>
        <w:tabs>
          <w:tab w:pos="581" w:val="left" w:leader="none"/>
        </w:tabs>
        <w:spacing w:line="360" w:lineRule="auto" w:before="0" w:after="0"/>
        <w:ind w:left="580" w:right="744" w:hanging="361"/>
        <w:jc w:val="left"/>
        <w:rPr>
          <w:sz w:val="22"/>
        </w:rPr>
      </w:pPr>
      <w:r>
        <w:rPr>
          <w:sz w:val="22"/>
        </w:rPr>
        <w:t>Göksay D, Çotuk A, Zeybek Z. Microbial contamination of dental unit waterlines in Istanbul, Turkey. Environ Monit Assess.</w:t>
      </w:r>
      <w:r>
        <w:rPr>
          <w:spacing w:val="-22"/>
          <w:sz w:val="22"/>
        </w:rPr>
        <w:t> </w:t>
      </w:r>
      <w:r>
        <w:rPr>
          <w:sz w:val="22"/>
        </w:rPr>
        <w:t>2008;147:265–269.</w:t>
      </w:r>
    </w:p>
    <w:p>
      <w:pPr>
        <w:pStyle w:val="ListParagraph"/>
        <w:numPr>
          <w:ilvl w:val="0"/>
          <w:numId w:val="13"/>
        </w:numPr>
        <w:tabs>
          <w:tab w:pos="581" w:val="left" w:leader="none"/>
        </w:tabs>
        <w:spacing w:line="360" w:lineRule="auto" w:before="3" w:after="0"/>
        <w:ind w:left="580" w:right="516" w:hanging="361"/>
        <w:jc w:val="left"/>
        <w:rPr>
          <w:sz w:val="22"/>
        </w:rPr>
      </w:pPr>
      <w:r>
        <w:rPr>
          <w:sz w:val="22"/>
        </w:rPr>
        <w:t>Araujo R, Contreras N. Microbiological contamination of dental unit water</w:t>
      </w:r>
      <w:r>
        <w:rPr>
          <w:spacing w:val="-43"/>
          <w:sz w:val="22"/>
        </w:rPr>
        <w:t> </w:t>
      </w:r>
      <w:r>
        <w:rPr>
          <w:sz w:val="22"/>
        </w:rPr>
        <w:t>systems </w:t>
      </w:r>
      <w:r>
        <w:rPr>
          <w:spacing w:val="-3"/>
          <w:sz w:val="22"/>
        </w:rPr>
        <w:t>in </w:t>
      </w:r>
      <w:r>
        <w:rPr>
          <w:sz w:val="22"/>
        </w:rPr>
        <w:t>general practices from Barcelona (Spain) Water Sci Technol.</w:t>
      </w:r>
      <w:r>
        <w:rPr>
          <w:spacing w:val="-33"/>
          <w:sz w:val="22"/>
        </w:rPr>
        <w:t> </w:t>
      </w:r>
      <w:r>
        <w:rPr>
          <w:sz w:val="22"/>
        </w:rPr>
        <w:t>2004;4:1–5.</w:t>
      </w:r>
    </w:p>
    <w:p>
      <w:pPr>
        <w:pStyle w:val="ListParagraph"/>
        <w:numPr>
          <w:ilvl w:val="0"/>
          <w:numId w:val="13"/>
        </w:numPr>
        <w:tabs>
          <w:tab w:pos="581" w:val="left" w:leader="none"/>
        </w:tabs>
        <w:spacing w:line="360" w:lineRule="auto" w:before="3" w:after="0"/>
        <w:ind w:left="580" w:right="311" w:hanging="361"/>
        <w:jc w:val="left"/>
        <w:rPr>
          <w:sz w:val="22"/>
        </w:rPr>
      </w:pPr>
      <w:r>
        <w:rPr>
          <w:sz w:val="22"/>
        </w:rPr>
        <w:t>Szymanska J. Control methods of the microbial water quality in dental unit water</w:t>
      </w:r>
      <w:r>
        <w:rPr>
          <w:spacing w:val="-38"/>
          <w:sz w:val="22"/>
        </w:rPr>
        <w:t> </w:t>
      </w:r>
      <w:r>
        <w:rPr>
          <w:sz w:val="22"/>
        </w:rPr>
        <w:t>lines” Ann Agric Environ Med</w:t>
      </w:r>
      <w:r>
        <w:rPr>
          <w:spacing w:val="-14"/>
          <w:sz w:val="22"/>
        </w:rPr>
        <w:t> </w:t>
      </w:r>
      <w:r>
        <w:rPr>
          <w:sz w:val="22"/>
        </w:rPr>
        <w:t>.2003</w:t>
      </w:r>
    </w:p>
    <w:p>
      <w:pPr>
        <w:pStyle w:val="ListParagraph"/>
        <w:numPr>
          <w:ilvl w:val="0"/>
          <w:numId w:val="13"/>
        </w:numPr>
        <w:tabs>
          <w:tab w:pos="581" w:val="left" w:leader="none"/>
        </w:tabs>
        <w:spacing w:line="355" w:lineRule="auto" w:before="3" w:after="0"/>
        <w:ind w:left="580" w:right="473" w:hanging="361"/>
        <w:jc w:val="left"/>
        <w:rPr>
          <w:sz w:val="22"/>
        </w:rPr>
      </w:pPr>
      <w:r>
        <w:rPr>
          <w:sz w:val="22"/>
        </w:rPr>
        <w:t>Szymanska J. Evaluation of mycological contamination of dental unit waterlines.</w:t>
      </w:r>
      <w:r>
        <w:rPr>
          <w:spacing w:val="-38"/>
          <w:sz w:val="22"/>
        </w:rPr>
        <w:t> </w:t>
      </w:r>
      <w:r>
        <w:rPr>
          <w:sz w:val="22"/>
        </w:rPr>
        <w:t>Ann Agric Environ Med.</w:t>
      </w:r>
      <w:r>
        <w:rPr>
          <w:spacing w:val="-13"/>
          <w:sz w:val="22"/>
        </w:rPr>
        <w:t> </w:t>
      </w:r>
      <w:r>
        <w:rPr>
          <w:sz w:val="22"/>
        </w:rPr>
        <w:t>2005a;12:153–155.</w:t>
      </w:r>
    </w:p>
    <w:p>
      <w:pPr>
        <w:spacing w:after="0" w:line="355" w:lineRule="auto"/>
        <w:jc w:val="left"/>
        <w:rPr>
          <w:sz w:val="22"/>
        </w:rPr>
        <w:sectPr>
          <w:pgSz w:w="12240" w:h="15840"/>
          <w:pgMar w:header="731" w:footer="1012" w:top="1160" w:bottom="1200" w:left="1480" w:right="1480"/>
        </w:sectPr>
      </w:pPr>
    </w:p>
    <w:p>
      <w:pPr>
        <w:pStyle w:val="BodyText"/>
        <w:spacing w:before="6"/>
        <w:rPr>
          <w:sz w:val="16"/>
        </w:rPr>
      </w:pPr>
    </w:p>
    <w:p>
      <w:pPr>
        <w:pStyle w:val="Heading2"/>
        <w:numPr>
          <w:ilvl w:val="0"/>
          <w:numId w:val="6"/>
        </w:numPr>
        <w:tabs>
          <w:tab w:pos="4393" w:val="left" w:leader="none"/>
        </w:tabs>
        <w:spacing w:line="240" w:lineRule="auto" w:before="69" w:after="0"/>
        <w:ind w:left="4392" w:right="142" w:hanging="518"/>
        <w:jc w:val="center"/>
      </w:pPr>
      <w:r>
        <w:rPr/>
        <w:t>ANEXOS</w:t>
      </w:r>
    </w:p>
    <w:p>
      <w:pPr>
        <w:pStyle w:val="BodyText"/>
        <w:rPr>
          <w:b/>
          <w:sz w:val="20"/>
        </w:rPr>
      </w:pPr>
    </w:p>
    <w:p>
      <w:pPr>
        <w:pStyle w:val="BodyText"/>
        <w:spacing w:before="2"/>
        <w:rPr>
          <w:b/>
          <w:sz w:val="22"/>
        </w:rPr>
      </w:pPr>
    </w:p>
    <w:p>
      <w:pPr>
        <w:spacing w:before="70"/>
        <w:ind w:left="219" w:right="0" w:firstLine="0"/>
        <w:jc w:val="left"/>
        <w:rPr>
          <w:b/>
          <w:sz w:val="24"/>
        </w:rPr>
      </w:pPr>
      <w:r>
        <w:rPr>
          <w:b/>
          <w:sz w:val="24"/>
        </w:rPr>
        <w:t>Base de datos</w:t>
      </w:r>
    </w:p>
    <w:p>
      <w:pPr>
        <w:pStyle w:val="BodyText"/>
        <w:rPr>
          <w:b/>
          <w:sz w:val="20"/>
        </w:rPr>
      </w:pPr>
    </w:p>
    <w:p>
      <w:pPr>
        <w:pStyle w:val="BodyText"/>
        <w:spacing w:before="2"/>
        <w:rPr>
          <w:b/>
          <w:sz w:val="25"/>
        </w:rPr>
      </w:pPr>
      <w:r>
        <w:rPr/>
        <w:drawing>
          <wp:anchor distT="0" distB="0" distL="0" distR="0" allowOverlap="1" layoutInCell="1" locked="0" behindDoc="0" simplePos="0" relativeHeight="3136">
            <wp:simplePos x="0" y="0"/>
            <wp:positionH relativeFrom="page">
              <wp:posOffset>1080135</wp:posOffset>
            </wp:positionH>
            <wp:positionV relativeFrom="paragraph">
              <wp:posOffset>209143</wp:posOffset>
            </wp:positionV>
            <wp:extent cx="5769713" cy="3122485"/>
            <wp:effectExtent l="0" t="0" r="0" b="0"/>
            <wp:wrapTopAndBottom/>
            <wp:docPr id="33" name="image48.png" descr=""/>
            <wp:cNvGraphicFramePr>
              <a:graphicFrameLocks noChangeAspect="1"/>
            </wp:cNvGraphicFramePr>
            <a:graphic>
              <a:graphicData uri="http://schemas.openxmlformats.org/drawingml/2006/picture">
                <pic:pic>
                  <pic:nvPicPr>
                    <pic:cNvPr id="34" name="image48.png"/>
                    <pic:cNvPicPr/>
                  </pic:nvPicPr>
                  <pic:blipFill>
                    <a:blip r:embed="rId84" cstate="print"/>
                    <a:stretch>
                      <a:fillRect/>
                    </a:stretch>
                  </pic:blipFill>
                  <pic:spPr>
                    <a:xfrm>
                      <a:off x="0" y="0"/>
                      <a:ext cx="5769713" cy="3122485"/>
                    </a:xfrm>
                    <a:prstGeom prst="rect">
                      <a:avLst/>
                    </a:prstGeom>
                  </pic:spPr>
                </pic:pic>
              </a:graphicData>
            </a:graphic>
          </wp:anchor>
        </w:drawing>
      </w:r>
    </w:p>
    <w:p>
      <w:pPr>
        <w:pStyle w:val="BodyText"/>
        <w:rPr>
          <w:b/>
        </w:rPr>
      </w:pPr>
    </w:p>
    <w:p>
      <w:pPr>
        <w:pStyle w:val="BodyText"/>
        <w:spacing w:before="5"/>
        <w:rPr>
          <w:b/>
          <w:sz w:val="21"/>
        </w:rPr>
      </w:pPr>
    </w:p>
    <w:p>
      <w:pPr>
        <w:spacing w:before="0"/>
        <w:ind w:left="219" w:right="0" w:firstLine="0"/>
        <w:jc w:val="left"/>
        <w:rPr>
          <w:b/>
          <w:sz w:val="24"/>
        </w:rPr>
      </w:pPr>
      <w:r>
        <w:rPr>
          <w:b/>
          <w:sz w:val="24"/>
        </w:rPr>
        <w:t>Formatos</w:t>
      </w:r>
    </w:p>
    <w:p>
      <w:pPr>
        <w:pStyle w:val="BodyText"/>
        <w:rPr>
          <w:b/>
          <w:sz w:val="9"/>
        </w:rPr>
      </w:pPr>
      <w:r>
        <w:rPr/>
        <w:pict>
          <v:group style="position:absolute;margin-left:100.800003pt;margin-top:7.157045pt;width:422.95pt;height:260.25pt;mso-position-horizontal-relative:page;mso-position-vertical-relative:paragraph;z-index:3160;mso-wrap-distance-left:0;mso-wrap-distance-right:0" coordorigin="2016,143" coordsize="8459,5205">
            <v:shape style="position:absolute;left:2421;top:143;width:8054;height:5205" type="#_x0000_t75" stroked="false">
              <v:imagedata r:id="rId85" o:title=""/>
            </v:shape>
            <v:shape style="position:absolute;left:2016;top:169;width:785;height:837" type="#_x0000_t75" stroked="false">
              <v:imagedata r:id="rId86" o:title=""/>
            </v:shape>
            <w10:wrap type="topAndBottom"/>
          </v:group>
        </w:pict>
      </w:r>
    </w:p>
    <w:p>
      <w:pPr>
        <w:spacing w:after="0"/>
        <w:rPr>
          <w:sz w:val="9"/>
        </w:rPr>
        <w:sectPr>
          <w:pgSz w:w="12240" w:h="15840"/>
          <w:pgMar w:header="731" w:footer="1012" w:top="1160" w:bottom="1200" w:left="1480" w:right="1340"/>
        </w:sectPr>
      </w:pPr>
    </w:p>
    <w:p>
      <w:pPr>
        <w:pStyle w:val="BodyText"/>
        <w:spacing w:before="5"/>
        <w:rPr>
          <w:rFonts w:ascii="Times New Roman"/>
          <w:sz w:val="23"/>
        </w:rPr>
      </w:pPr>
    </w:p>
    <w:p>
      <w:pPr>
        <w:pStyle w:val="BodyText"/>
        <w:ind w:left="1052"/>
        <w:rPr>
          <w:rFonts w:ascii="Times New Roman"/>
          <w:sz w:val="20"/>
        </w:rPr>
      </w:pPr>
      <w:r>
        <w:rPr>
          <w:rFonts w:ascii="Times New Roman"/>
          <w:sz w:val="20"/>
        </w:rPr>
        <w:drawing>
          <wp:inline distT="0" distB="0" distL="0" distR="0">
            <wp:extent cx="5011928" cy="3133725"/>
            <wp:effectExtent l="0" t="0" r="0" b="0"/>
            <wp:docPr id="35" name="image51.jpeg" descr=""/>
            <wp:cNvGraphicFramePr>
              <a:graphicFrameLocks noChangeAspect="1"/>
            </wp:cNvGraphicFramePr>
            <a:graphic>
              <a:graphicData uri="http://schemas.openxmlformats.org/drawingml/2006/picture">
                <pic:pic>
                  <pic:nvPicPr>
                    <pic:cNvPr id="36" name="image51.jpeg"/>
                    <pic:cNvPicPr/>
                  </pic:nvPicPr>
                  <pic:blipFill>
                    <a:blip r:embed="rId87" cstate="print"/>
                    <a:stretch>
                      <a:fillRect/>
                    </a:stretch>
                  </pic:blipFill>
                  <pic:spPr>
                    <a:xfrm>
                      <a:off x="0" y="0"/>
                      <a:ext cx="5011928" cy="3133725"/>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3"/>
        </w:rPr>
      </w:pPr>
      <w:r>
        <w:rPr/>
        <w:drawing>
          <wp:anchor distT="0" distB="0" distL="0" distR="0" allowOverlap="1" layoutInCell="1" locked="0" behindDoc="0" simplePos="0" relativeHeight="3184">
            <wp:simplePos x="0" y="0"/>
            <wp:positionH relativeFrom="page">
              <wp:posOffset>1389380</wp:posOffset>
            </wp:positionH>
            <wp:positionV relativeFrom="paragraph">
              <wp:posOffset>126451</wp:posOffset>
            </wp:positionV>
            <wp:extent cx="4979087" cy="3095625"/>
            <wp:effectExtent l="0" t="0" r="0" b="0"/>
            <wp:wrapTopAndBottom/>
            <wp:docPr id="37" name="image52.png" descr=""/>
            <wp:cNvGraphicFramePr>
              <a:graphicFrameLocks noChangeAspect="1"/>
            </wp:cNvGraphicFramePr>
            <a:graphic>
              <a:graphicData uri="http://schemas.openxmlformats.org/drawingml/2006/picture">
                <pic:pic>
                  <pic:nvPicPr>
                    <pic:cNvPr id="38" name="image52.png"/>
                    <pic:cNvPicPr/>
                  </pic:nvPicPr>
                  <pic:blipFill>
                    <a:blip r:embed="rId88" cstate="print"/>
                    <a:stretch>
                      <a:fillRect/>
                    </a:stretch>
                  </pic:blipFill>
                  <pic:spPr>
                    <a:xfrm>
                      <a:off x="0" y="0"/>
                      <a:ext cx="4979087" cy="3095625"/>
                    </a:xfrm>
                    <a:prstGeom prst="rect">
                      <a:avLst/>
                    </a:prstGeom>
                  </pic:spPr>
                </pic:pic>
              </a:graphicData>
            </a:graphic>
          </wp:anchor>
        </w:drawing>
      </w:r>
    </w:p>
    <w:p>
      <w:pPr>
        <w:spacing w:after="0"/>
        <w:rPr>
          <w:rFonts w:ascii="Times New Roman"/>
          <w:sz w:val="13"/>
        </w:rPr>
        <w:sectPr>
          <w:pgSz w:w="12240" w:h="15840"/>
          <w:pgMar w:header="731" w:footer="1012" w:top="1160" w:bottom="1200" w:left="1480" w:right="1480"/>
        </w:sectPr>
      </w:pPr>
    </w:p>
    <w:p>
      <w:pPr>
        <w:pStyle w:val="BodyText"/>
        <w:spacing w:before="6"/>
        <w:rPr>
          <w:rFonts w:ascii="Times New Roman"/>
          <w:sz w:val="16"/>
        </w:rPr>
      </w:pPr>
    </w:p>
    <w:p>
      <w:pPr>
        <w:spacing w:before="69"/>
        <w:ind w:left="219" w:right="387" w:firstLine="0"/>
        <w:jc w:val="left"/>
        <w:rPr>
          <w:b/>
          <w:sz w:val="24"/>
        </w:rPr>
      </w:pPr>
      <w:r>
        <w:rPr>
          <w:b/>
          <w:sz w:val="24"/>
        </w:rPr>
        <w:t>Oficios</w:t>
      </w:r>
    </w:p>
    <w:p>
      <w:pPr>
        <w:pStyle w:val="BodyText"/>
        <w:rPr>
          <w:b/>
          <w:sz w:val="20"/>
        </w:rPr>
      </w:pPr>
    </w:p>
    <w:p>
      <w:pPr>
        <w:pStyle w:val="BodyText"/>
        <w:spacing w:before="3"/>
        <w:rPr>
          <w:b/>
          <w:sz w:val="22"/>
        </w:rPr>
      </w:pPr>
    </w:p>
    <w:p>
      <w:pPr>
        <w:spacing w:before="73"/>
        <w:ind w:left="4099" w:right="0" w:firstLine="0"/>
        <w:jc w:val="left"/>
        <w:rPr>
          <w:sz w:val="22"/>
        </w:rPr>
      </w:pPr>
      <w:r>
        <w:rPr>
          <w:sz w:val="22"/>
        </w:rPr>
        <w:t>Toluca, Estado de México., a 1° de enero de 2013.</w:t>
      </w:r>
    </w:p>
    <w:p>
      <w:pPr>
        <w:pStyle w:val="BodyText"/>
        <w:rPr>
          <w:sz w:val="22"/>
        </w:rPr>
      </w:pPr>
    </w:p>
    <w:p>
      <w:pPr>
        <w:pStyle w:val="BodyText"/>
        <w:rPr>
          <w:sz w:val="22"/>
        </w:rPr>
      </w:pPr>
    </w:p>
    <w:p>
      <w:pPr>
        <w:pStyle w:val="BodyText"/>
        <w:rPr>
          <w:sz w:val="22"/>
        </w:rPr>
      </w:pPr>
    </w:p>
    <w:p>
      <w:pPr>
        <w:pStyle w:val="BodyText"/>
        <w:spacing w:before="1"/>
        <w:rPr>
          <w:sz w:val="20"/>
        </w:rPr>
      </w:pPr>
    </w:p>
    <w:p>
      <w:pPr>
        <w:spacing w:before="0"/>
        <w:ind w:left="219" w:right="3455" w:firstLine="0"/>
        <w:jc w:val="left"/>
        <w:rPr>
          <w:b/>
          <w:sz w:val="22"/>
        </w:rPr>
      </w:pPr>
      <w:r>
        <w:rPr>
          <w:b/>
          <w:sz w:val="22"/>
        </w:rPr>
        <w:t>DRA. EN O. NORMA MARGARITA MONTIEL BASTIDA COORDINADORA DEL CIEAO</w:t>
      </w:r>
    </w:p>
    <w:p>
      <w:pPr>
        <w:spacing w:line="250" w:lineRule="exact" w:before="7"/>
        <w:ind w:left="219" w:right="3287" w:firstLine="0"/>
        <w:jc w:val="left"/>
        <w:rPr>
          <w:b/>
          <w:sz w:val="22"/>
        </w:rPr>
      </w:pPr>
      <w:r>
        <w:rPr>
          <w:b/>
          <w:sz w:val="22"/>
        </w:rPr>
        <w:t>UNIVERSIDAD AUTÓNOMA DEL ESTADO DE MÉXICO P R E S E N T E</w:t>
      </w:r>
    </w:p>
    <w:p>
      <w:pPr>
        <w:pStyle w:val="BodyText"/>
        <w:rPr>
          <w:b/>
          <w:sz w:val="22"/>
        </w:rPr>
      </w:pPr>
    </w:p>
    <w:p>
      <w:pPr>
        <w:pStyle w:val="BodyText"/>
        <w:rPr>
          <w:b/>
          <w:sz w:val="22"/>
        </w:rPr>
      </w:pPr>
    </w:p>
    <w:p>
      <w:pPr>
        <w:pStyle w:val="BodyText"/>
        <w:rPr>
          <w:b/>
          <w:sz w:val="22"/>
        </w:rPr>
      </w:pPr>
    </w:p>
    <w:p>
      <w:pPr>
        <w:pStyle w:val="BodyText"/>
        <w:rPr>
          <w:b/>
          <w:sz w:val="22"/>
        </w:rPr>
      </w:pPr>
    </w:p>
    <w:p>
      <w:pPr>
        <w:pStyle w:val="BodyText"/>
        <w:spacing w:before="3"/>
        <w:rPr>
          <w:b/>
          <w:sz w:val="18"/>
        </w:rPr>
      </w:pPr>
    </w:p>
    <w:p>
      <w:pPr>
        <w:spacing w:line="276" w:lineRule="auto" w:before="0"/>
        <w:ind w:left="219" w:right="217" w:firstLine="706"/>
        <w:jc w:val="both"/>
        <w:rPr>
          <w:sz w:val="22"/>
        </w:rPr>
      </w:pPr>
      <w:r>
        <w:rPr>
          <w:sz w:val="22"/>
        </w:rPr>
        <w:t>Por medio del presente me dirijo a usted para solicitarle su autorización y apoyo para hacer uso de las unidades dentales de las clínicas de posgrado de endodoncia y odontopediatría, con el fin de llevar a cabo mi proyecto de  investigación  titulado: </w:t>
      </w:r>
      <w:r>
        <w:rPr>
          <w:b/>
          <w:sz w:val="22"/>
        </w:rPr>
        <w:t>“Estudio de la efectividad de la plata coloidal respecto al gluconato de Clorhexidina en el control de biopelícula de líneas de agua de alta velocidad de clínicas de la Facultad de Odontología de la UAEM, 2013” </w:t>
      </w:r>
      <w:r>
        <w:rPr>
          <w:sz w:val="22"/>
        </w:rPr>
        <w:t>para sustentar el grado de Maestría en Ciencias Odontológicas, del cual funge como tutora académica la Dra. en O. Norma Margarita Montiel Bastida y como asesoras la M. en C.S. Sara Gabriela María Eugenia del Real Sánchez y la M. en D.A.E.S.  Rosa Isela Flores Chávez.</w:t>
      </w:r>
    </w:p>
    <w:p>
      <w:pPr>
        <w:pStyle w:val="BodyText"/>
        <w:rPr>
          <w:sz w:val="22"/>
        </w:rPr>
      </w:pPr>
    </w:p>
    <w:p>
      <w:pPr>
        <w:pStyle w:val="BodyText"/>
        <w:spacing w:before="6"/>
        <w:rPr>
          <w:sz w:val="17"/>
        </w:rPr>
      </w:pPr>
    </w:p>
    <w:p>
      <w:pPr>
        <w:spacing w:line="278" w:lineRule="auto" w:before="0"/>
        <w:ind w:left="219" w:right="553" w:firstLine="0"/>
        <w:jc w:val="left"/>
        <w:rPr>
          <w:sz w:val="22"/>
        </w:rPr>
      </w:pPr>
      <w:r>
        <w:rPr>
          <w:sz w:val="22"/>
        </w:rPr>
        <w:t>Agradeciendo de antemano su respuesta favorable a esta solicitud le envío un atento y cordial saludo.</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53"/>
        <w:ind w:left="585" w:right="584" w:firstLine="0"/>
        <w:jc w:val="center"/>
        <w:rPr>
          <w:sz w:val="22"/>
        </w:rPr>
      </w:pPr>
      <w:r>
        <w:rPr>
          <w:sz w:val="22"/>
        </w:rPr>
        <w:t>Atentamente:</w:t>
      </w:r>
    </w:p>
    <w:p>
      <w:pPr>
        <w:pStyle w:val="BodyText"/>
        <w:spacing w:before="7"/>
        <w:rPr>
          <w:sz w:val="20"/>
        </w:rPr>
      </w:pPr>
    </w:p>
    <w:p>
      <w:pPr>
        <w:spacing w:before="0"/>
        <w:ind w:left="2803" w:right="387" w:firstLine="0"/>
        <w:jc w:val="left"/>
        <w:rPr>
          <w:sz w:val="22"/>
        </w:rPr>
      </w:pPr>
      <w:r>
        <w:rPr>
          <w:sz w:val="22"/>
        </w:rPr>
        <w:t>C.D. Gauddy Lizeth Manzanares Leal</w:t>
      </w:r>
    </w:p>
    <w:p>
      <w:pPr>
        <w:spacing w:line="250" w:lineRule="exact" w:before="7"/>
        <w:ind w:left="1259" w:right="1268" w:firstLine="0"/>
        <w:jc w:val="center"/>
        <w:rPr>
          <w:sz w:val="22"/>
        </w:rPr>
      </w:pPr>
      <w:r>
        <w:rPr>
          <w:sz w:val="22"/>
        </w:rPr>
        <w:t>Alumna del primer periodo de la Maestría en Ciencias Odontológicas 4a promoción.</w:t>
      </w:r>
    </w:p>
    <w:p>
      <w:pPr>
        <w:spacing w:after="0" w:line="250" w:lineRule="exact"/>
        <w:jc w:val="center"/>
        <w:rPr>
          <w:sz w:val="22"/>
        </w:rPr>
        <w:sectPr>
          <w:pgSz w:w="12240" w:h="15840"/>
          <w:pgMar w:header="731" w:footer="1012" w:top="1160" w:bottom="1200" w:left="1480" w:right="1480"/>
        </w:sectPr>
      </w:pPr>
    </w:p>
    <w:p>
      <w:pPr>
        <w:pStyle w:val="BodyText"/>
        <w:rPr>
          <w:sz w:val="20"/>
        </w:rPr>
      </w:pPr>
    </w:p>
    <w:p>
      <w:pPr>
        <w:pStyle w:val="BodyText"/>
        <w:rPr>
          <w:sz w:val="20"/>
        </w:rPr>
      </w:pPr>
    </w:p>
    <w:p>
      <w:pPr>
        <w:pStyle w:val="BodyText"/>
        <w:spacing w:before="9"/>
        <w:rPr>
          <w:sz w:val="20"/>
        </w:rPr>
      </w:pPr>
    </w:p>
    <w:p>
      <w:pPr>
        <w:spacing w:before="69"/>
        <w:ind w:left="4094" w:right="0" w:firstLine="0"/>
        <w:jc w:val="left"/>
        <w:rPr>
          <w:sz w:val="24"/>
        </w:rPr>
      </w:pPr>
      <w:r>
        <w:rPr>
          <w:sz w:val="22"/>
        </w:rPr>
        <w:t>Toluca, Estado de México., a 1° de enero de 2013</w:t>
      </w:r>
      <w:r>
        <w:rPr>
          <w:sz w:val="24"/>
        </w:rPr>
        <w:t>.</w:t>
      </w:r>
    </w:p>
    <w:p>
      <w:pPr>
        <w:pStyle w:val="BodyText"/>
      </w:pPr>
    </w:p>
    <w:p>
      <w:pPr>
        <w:pStyle w:val="BodyText"/>
      </w:pPr>
    </w:p>
    <w:p>
      <w:pPr>
        <w:pStyle w:val="BodyText"/>
      </w:pPr>
    </w:p>
    <w:p>
      <w:pPr>
        <w:pStyle w:val="BodyText"/>
        <w:spacing w:before="4"/>
        <w:rPr>
          <w:sz w:val="21"/>
        </w:rPr>
      </w:pPr>
    </w:p>
    <w:p>
      <w:pPr>
        <w:pStyle w:val="Heading2"/>
        <w:spacing w:line="275" w:lineRule="exact"/>
        <w:ind w:right="387"/>
      </w:pPr>
      <w:r>
        <w:rPr/>
        <w:t>DR. EN E. P. ALBERTO SALGADO VALDÉS</w:t>
      </w:r>
    </w:p>
    <w:p>
      <w:pPr>
        <w:spacing w:line="242" w:lineRule="auto" w:before="0"/>
        <w:ind w:left="219" w:right="2561" w:firstLine="0"/>
        <w:jc w:val="left"/>
        <w:rPr>
          <w:b/>
          <w:sz w:val="24"/>
        </w:rPr>
      </w:pPr>
      <w:r>
        <w:rPr>
          <w:b/>
          <w:sz w:val="24"/>
        </w:rPr>
        <w:t>DIRECTOR DE LA FACULTAD DE ODONTOLOGÍA DE LA UNIVERSIDAD AUTÓNOMA DEL ESTADO DE MÉXICO</w:t>
      </w:r>
    </w:p>
    <w:p>
      <w:pPr>
        <w:spacing w:line="266" w:lineRule="exact" w:before="0"/>
        <w:ind w:left="219" w:right="387" w:firstLine="0"/>
        <w:jc w:val="left"/>
        <w:rPr>
          <w:b/>
          <w:sz w:val="24"/>
        </w:rPr>
      </w:pPr>
      <w:r>
        <w:rPr>
          <w:b/>
          <w:sz w:val="24"/>
        </w:rPr>
        <w:t>P R E S E N T E</w:t>
      </w:r>
    </w:p>
    <w:p>
      <w:pPr>
        <w:pStyle w:val="BodyText"/>
        <w:rPr>
          <w:b/>
        </w:rPr>
      </w:pPr>
    </w:p>
    <w:p>
      <w:pPr>
        <w:pStyle w:val="BodyText"/>
        <w:rPr>
          <w:b/>
        </w:rPr>
      </w:pPr>
    </w:p>
    <w:p>
      <w:pPr>
        <w:pStyle w:val="BodyText"/>
        <w:rPr>
          <w:b/>
          <w:sz w:val="19"/>
        </w:rPr>
      </w:pPr>
    </w:p>
    <w:p>
      <w:pPr>
        <w:spacing w:line="276" w:lineRule="auto" w:before="0"/>
        <w:ind w:left="219" w:right="212" w:firstLine="706"/>
        <w:jc w:val="both"/>
        <w:rPr>
          <w:sz w:val="22"/>
        </w:rPr>
      </w:pPr>
      <w:r>
        <w:rPr>
          <w:sz w:val="24"/>
        </w:rPr>
        <w:t>Por medio del presente </w:t>
      </w:r>
      <w:r>
        <w:rPr>
          <w:spacing w:val="-4"/>
          <w:sz w:val="24"/>
        </w:rPr>
        <w:t>me </w:t>
      </w:r>
      <w:r>
        <w:rPr>
          <w:sz w:val="24"/>
        </w:rPr>
        <w:t>dirijo a usted para solicitarle su autorización y apoyo para hacer uso de 12 unidades dentales de la clínica número </w:t>
      </w:r>
      <w:r>
        <w:rPr>
          <w:spacing w:val="2"/>
          <w:sz w:val="24"/>
        </w:rPr>
        <w:t>2, </w:t>
      </w:r>
      <w:r>
        <w:rPr>
          <w:sz w:val="24"/>
        </w:rPr>
        <w:t>con el fin  de llevar a cabo </w:t>
      </w:r>
      <w:r>
        <w:rPr>
          <w:spacing w:val="-4"/>
          <w:sz w:val="24"/>
        </w:rPr>
        <w:t>mi </w:t>
      </w:r>
      <w:r>
        <w:rPr>
          <w:sz w:val="24"/>
        </w:rPr>
        <w:t>proyecto de investigación titulado </w:t>
      </w:r>
      <w:r>
        <w:rPr>
          <w:b/>
          <w:sz w:val="22"/>
        </w:rPr>
        <w:t>“Estudio de la efectividad de la plata coloidal respecto al gluconato </w:t>
      </w:r>
      <w:r>
        <w:rPr>
          <w:b/>
          <w:spacing w:val="-3"/>
          <w:sz w:val="22"/>
        </w:rPr>
        <w:t>de </w:t>
      </w:r>
      <w:r>
        <w:rPr>
          <w:b/>
          <w:sz w:val="22"/>
        </w:rPr>
        <w:t>Clorhexidina en el control de biopelícula de líneas </w:t>
      </w:r>
      <w:r>
        <w:rPr>
          <w:b/>
          <w:spacing w:val="-3"/>
          <w:sz w:val="22"/>
        </w:rPr>
        <w:t>de </w:t>
      </w:r>
      <w:r>
        <w:rPr>
          <w:b/>
          <w:sz w:val="22"/>
        </w:rPr>
        <w:t>agua </w:t>
      </w:r>
      <w:r>
        <w:rPr>
          <w:b/>
          <w:spacing w:val="-3"/>
          <w:sz w:val="22"/>
        </w:rPr>
        <w:t>de </w:t>
      </w:r>
      <w:r>
        <w:rPr>
          <w:b/>
          <w:sz w:val="22"/>
        </w:rPr>
        <w:t>alta velocidad de clínicas de la Facultad de Odontología </w:t>
      </w:r>
      <w:r>
        <w:rPr>
          <w:b/>
          <w:spacing w:val="-3"/>
          <w:sz w:val="22"/>
        </w:rPr>
        <w:t>de </w:t>
      </w:r>
      <w:r>
        <w:rPr>
          <w:b/>
          <w:sz w:val="22"/>
        </w:rPr>
        <w:t>la UAEM, 2013” </w:t>
      </w:r>
      <w:r>
        <w:rPr>
          <w:sz w:val="24"/>
        </w:rPr>
        <w:t>para sustentar el grado de Maestría en Ciencias Odontológicas </w:t>
      </w:r>
      <w:r>
        <w:rPr>
          <w:sz w:val="22"/>
        </w:rPr>
        <w:t>del cual funge como tutora académica la Dra. en O. Norma Margarita Montiel Bastida y como asesoras  la  </w:t>
      </w:r>
      <w:r>
        <w:rPr>
          <w:spacing w:val="-4"/>
          <w:sz w:val="22"/>
        </w:rPr>
        <w:t>M.  </w:t>
      </w:r>
      <w:r>
        <w:rPr>
          <w:sz w:val="22"/>
        </w:rPr>
        <w:t>en  C.S.  Sara  Gabriela  </w:t>
      </w:r>
      <w:r>
        <w:rPr>
          <w:spacing w:val="-3"/>
          <w:sz w:val="22"/>
        </w:rPr>
        <w:t>María  </w:t>
      </w:r>
      <w:r>
        <w:rPr>
          <w:sz w:val="22"/>
        </w:rPr>
        <w:t>Eugenia  del  Real  Sánchez  y  la  </w:t>
      </w:r>
      <w:r>
        <w:rPr>
          <w:spacing w:val="-4"/>
          <w:sz w:val="22"/>
        </w:rPr>
        <w:t>M.</w:t>
      </w:r>
      <w:r>
        <w:rPr>
          <w:spacing w:val="48"/>
          <w:sz w:val="22"/>
        </w:rPr>
        <w:t> </w:t>
      </w:r>
      <w:r>
        <w:rPr>
          <w:sz w:val="22"/>
        </w:rPr>
        <w:t>en</w:t>
      </w:r>
    </w:p>
    <w:p>
      <w:pPr>
        <w:spacing w:before="3"/>
        <w:ind w:left="219" w:right="387" w:firstLine="0"/>
        <w:jc w:val="left"/>
        <w:rPr>
          <w:sz w:val="22"/>
        </w:rPr>
      </w:pPr>
      <w:r>
        <w:rPr>
          <w:sz w:val="22"/>
        </w:rPr>
        <w:t>D.A.E.S.  Rosa Isela Flores Chávez.</w:t>
      </w:r>
    </w:p>
    <w:p>
      <w:pPr>
        <w:pStyle w:val="BodyText"/>
        <w:spacing w:before="2"/>
        <w:rPr>
          <w:sz w:val="20"/>
        </w:rPr>
      </w:pPr>
    </w:p>
    <w:p>
      <w:pPr>
        <w:pStyle w:val="BodyText"/>
        <w:ind w:left="925"/>
      </w:pPr>
      <w:r>
        <w:rPr>
          <w:w w:val="100"/>
        </w:rPr>
        <w:t>.</w:t>
      </w:r>
    </w:p>
    <w:p>
      <w:pPr>
        <w:pStyle w:val="BodyText"/>
      </w:pPr>
    </w:p>
    <w:p>
      <w:pPr>
        <w:pStyle w:val="BodyText"/>
        <w:spacing w:before="3"/>
        <w:rPr>
          <w:sz w:val="21"/>
        </w:rPr>
      </w:pPr>
    </w:p>
    <w:p>
      <w:pPr>
        <w:pStyle w:val="BodyText"/>
        <w:spacing w:line="271" w:lineRule="auto"/>
        <w:ind w:left="219" w:right="387"/>
      </w:pPr>
      <w:r>
        <w:rPr/>
        <w:t>Agradeciendo de antemano su respuesta favorable a esta solicitud le envío un atento y cordial saludo.</w:t>
      </w:r>
    </w:p>
    <w:p>
      <w:pPr>
        <w:pStyle w:val="BodyText"/>
      </w:pPr>
    </w:p>
    <w:p>
      <w:pPr>
        <w:pStyle w:val="BodyText"/>
      </w:pPr>
    </w:p>
    <w:p>
      <w:pPr>
        <w:pStyle w:val="BodyText"/>
      </w:pPr>
    </w:p>
    <w:p>
      <w:pPr>
        <w:pStyle w:val="BodyText"/>
      </w:pPr>
    </w:p>
    <w:p>
      <w:pPr>
        <w:pStyle w:val="BodyText"/>
      </w:pPr>
    </w:p>
    <w:p>
      <w:pPr>
        <w:pStyle w:val="BodyText"/>
        <w:spacing w:before="11"/>
        <w:rPr>
          <w:sz w:val="32"/>
        </w:rPr>
      </w:pPr>
    </w:p>
    <w:p>
      <w:pPr>
        <w:pStyle w:val="BodyText"/>
        <w:ind w:left="585" w:right="585"/>
        <w:jc w:val="center"/>
      </w:pPr>
      <w:r>
        <w:rPr/>
        <w:t>Atentamente:</w:t>
      </w:r>
    </w:p>
    <w:p>
      <w:pPr>
        <w:pStyle w:val="BodyText"/>
        <w:spacing w:before="5"/>
        <w:rPr>
          <w:sz w:val="21"/>
        </w:rPr>
      </w:pPr>
    </w:p>
    <w:p>
      <w:pPr>
        <w:pStyle w:val="BodyText"/>
        <w:ind w:left="2635" w:right="387"/>
      </w:pPr>
      <w:r>
        <w:rPr/>
        <w:t>C.D. Gauddy Lizeth Manzanares Leal</w:t>
      </w:r>
    </w:p>
    <w:p>
      <w:pPr>
        <w:pStyle w:val="BodyText"/>
        <w:spacing w:line="274" w:lineRule="exact" w:before="8"/>
        <w:ind w:left="978" w:right="978"/>
        <w:jc w:val="center"/>
      </w:pPr>
      <w:r>
        <w:rPr/>
        <w:t>Alumna del primer periodo de la Maestría en Ciencias Odontológicas 4a promoción.</w:t>
      </w:r>
    </w:p>
    <w:p>
      <w:pPr>
        <w:spacing w:after="0" w:line="274" w:lineRule="exact"/>
        <w:jc w:val="center"/>
        <w:sectPr>
          <w:pgSz w:w="12240" w:h="15840"/>
          <w:pgMar w:header="731" w:footer="1012" w:top="1160" w:bottom="1200" w:left="1480" w:right="1480"/>
        </w:sectPr>
      </w:pPr>
    </w:p>
    <w:p>
      <w:pPr>
        <w:pStyle w:val="BodyText"/>
        <w:spacing w:before="7"/>
        <w:rPr>
          <w:sz w:val="16"/>
        </w:rPr>
      </w:pPr>
    </w:p>
    <w:p>
      <w:pPr>
        <w:spacing w:before="73"/>
        <w:ind w:left="4162" w:right="0" w:firstLine="0"/>
        <w:jc w:val="left"/>
        <w:rPr>
          <w:sz w:val="22"/>
        </w:rPr>
      </w:pPr>
      <w:r>
        <w:rPr>
          <w:sz w:val="22"/>
        </w:rPr>
        <w:t>Toluca, Estado de México., a 1° de enero de 2013</w:t>
      </w:r>
    </w:p>
    <w:p>
      <w:pPr>
        <w:pStyle w:val="BodyText"/>
        <w:rPr>
          <w:sz w:val="22"/>
        </w:rPr>
      </w:pPr>
    </w:p>
    <w:p>
      <w:pPr>
        <w:pStyle w:val="BodyText"/>
        <w:rPr>
          <w:sz w:val="22"/>
        </w:rPr>
      </w:pPr>
    </w:p>
    <w:p>
      <w:pPr>
        <w:pStyle w:val="BodyText"/>
        <w:rPr>
          <w:sz w:val="22"/>
        </w:rPr>
      </w:pPr>
    </w:p>
    <w:p>
      <w:pPr>
        <w:pStyle w:val="BodyText"/>
        <w:spacing w:before="8"/>
        <w:rPr>
          <w:sz w:val="27"/>
        </w:rPr>
      </w:pPr>
    </w:p>
    <w:p>
      <w:pPr>
        <w:pStyle w:val="Heading2"/>
        <w:ind w:right="387"/>
      </w:pPr>
      <w:r>
        <w:rPr/>
        <w:t>DR. EN E. P. ALBERTO SALGADO VALDÉS</w:t>
      </w:r>
    </w:p>
    <w:p>
      <w:pPr>
        <w:spacing w:line="274" w:lineRule="exact" w:before="8"/>
        <w:ind w:left="219" w:right="2561" w:firstLine="0"/>
        <w:jc w:val="left"/>
        <w:rPr>
          <w:b/>
          <w:sz w:val="24"/>
        </w:rPr>
      </w:pPr>
      <w:r>
        <w:rPr>
          <w:b/>
          <w:sz w:val="24"/>
        </w:rPr>
        <w:t>DIRECTOR DE LA FACULTAD DE ODONTOLOGÍA DE LA UNIVERSIDAD AUTÓNOMA DEL ESTADO DE MÉXICO</w:t>
      </w:r>
    </w:p>
    <w:p>
      <w:pPr>
        <w:spacing w:line="270" w:lineRule="exact" w:before="0"/>
        <w:ind w:left="219" w:right="387" w:firstLine="0"/>
        <w:jc w:val="left"/>
        <w:rPr>
          <w:b/>
          <w:sz w:val="24"/>
        </w:rPr>
      </w:pPr>
      <w:r>
        <w:rPr>
          <w:b/>
          <w:sz w:val="24"/>
        </w:rPr>
        <w:t>P R E S E N T E</w:t>
      </w:r>
    </w:p>
    <w:p>
      <w:pPr>
        <w:pStyle w:val="BodyText"/>
        <w:rPr>
          <w:b/>
        </w:rPr>
      </w:pPr>
    </w:p>
    <w:p>
      <w:pPr>
        <w:pStyle w:val="BodyText"/>
        <w:rPr>
          <w:b/>
        </w:rPr>
      </w:pPr>
    </w:p>
    <w:p>
      <w:pPr>
        <w:spacing w:line="276" w:lineRule="auto" w:before="213"/>
        <w:ind w:left="219" w:right="215" w:firstLine="706"/>
        <w:jc w:val="both"/>
        <w:rPr>
          <w:sz w:val="22"/>
        </w:rPr>
      </w:pPr>
      <w:r>
        <w:rPr>
          <w:sz w:val="24"/>
        </w:rPr>
        <w:t>Por medio del presente </w:t>
      </w:r>
      <w:r>
        <w:rPr>
          <w:spacing w:val="-4"/>
          <w:sz w:val="24"/>
        </w:rPr>
        <w:t>me </w:t>
      </w:r>
      <w:r>
        <w:rPr>
          <w:sz w:val="24"/>
        </w:rPr>
        <w:t>dirijo a usted para solicitarle su autorización y apoyo para hacer uso del </w:t>
      </w:r>
      <w:r>
        <w:rPr>
          <w:b/>
          <w:sz w:val="24"/>
        </w:rPr>
        <w:t>Laboratorio de Biomédicas </w:t>
      </w:r>
      <w:r>
        <w:rPr>
          <w:sz w:val="24"/>
        </w:rPr>
        <w:t>de esta facultad, con el fin de llevar a cabo </w:t>
      </w:r>
      <w:r>
        <w:rPr>
          <w:spacing w:val="-4"/>
          <w:sz w:val="24"/>
        </w:rPr>
        <w:t>mi </w:t>
      </w:r>
      <w:r>
        <w:rPr>
          <w:sz w:val="24"/>
        </w:rPr>
        <w:t>proyecto de investigación titulado:  </w:t>
      </w:r>
      <w:r>
        <w:rPr>
          <w:b/>
          <w:sz w:val="22"/>
        </w:rPr>
        <w:t>“Estudio de la efectividad  de la plata coloidal respecto al gluconato de Clorhexidina en el control de biopelícula de líneas de agua de alta velocidad de clínicas de la Facultad </w:t>
      </w:r>
      <w:r>
        <w:rPr>
          <w:b/>
          <w:spacing w:val="-3"/>
          <w:sz w:val="22"/>
        </w:rPr>
        <w:t>de </w:t>
      </w:r>
      <w:r>
        <w:rPr>
          <w:b/>
          <w:sz w:val="22"/>
        </w:rPr>
        <w:t>Odontología de la </w:t>
      </w:r>
      <w:r>
        <w:rPr>
          <w:b/>
          <w:spacing w:val="-3"/>
          <w:sz w:val="22"/>
        </w:rPr>
        <w:t>UAEM, </w:t>
      </w:r>
      <w:r>
        <w:rPr>
          <w:b/>
          <w:sz w:val="22"/>
        </w:rPr>
        <w:t>2013” </w:t>
      </w:r>
      <w:r>
        <w:rPr>
          <w:sz w:val="24"/>
        </w:rPr>
        <w:t>para sustentar el grado de Maestría en Ciencias Odontológicas </w:t>
      </w:r>
      <w:r>
        <w:rPr>
          <w:sz w:val="22"/>
        </w:rPr>
        <w:t>del cual funge como tutora académica la Dra. en O. Norma Margarita Montiel Bastida y como asesoras la </w:t>
      </w:r>
      <w:r>
        <w:rPr>
          <w:spacing w:val="-4"/>
          <w:sz w:val="22"/>
        </w:rPr>
        <w:t>M. </w:t>
      </w:r>
      <w:r>
        <w:rPr>
          <w:sz w:val="22"/>
        </w:rPr>
        <w:t>en C.S. Sara Gabriela </w:t>
      </w:r>
      <w:r>
        <w:rPr>
          <w:spacing w:val="-3"/>
          <w:sz w:val="22"/>
        </w:rPr>
        <w:t>María </w:t>
      </w:r>
      <w:r>
        <w:rPr>
          <w:sz w:val="22"/>
        </w:rPr>
        <w:t>Eugenia del Real Sánchez y </w:t>
      </w:r>
      <w:r>
        <w:rPr>
          <w:spacing w:val="-3"/>
          <w:sz w:val="22"/>
        </w:rPr>
        <w:t>la </w:t>
      </w:r>
      <w:r>
        <w:rPr>
          <w:spacing w:val="-4"/>
          <w:sz w:val="22"/>
        </w:rPr>
        <w:t>M. </w:t>
      </w:r>
      <w:r>
        <w:rPr>
          <w:sz w:val="22"/>
        </w:rPr>
        <w:t>en D.A.E.S.  Rosa Isela Flores</w:t>
      </w:r>
      <w:r>
        <w:rPr>
          <w:spacing w:val="-1"/>
          <w:sz w:val="22"/>
        </w:rPr>
        <w:t> </w:t>
      </w:r>
      <w:r>
        <w:rPr>
          <w:sz w:val="22"/>
        </w:rPr>
        <w:t>Chávez.</w:t>
      </w:r>
    </w:p>
    <w:p>
      <w:pPr>
        <w:pStyle w:val="BodyText"/>
        <w:spacing w:before="195"/>
        <w:ind w:left="925"/>
      </w:pPr>
      <w:r>
        <w:rPr>
          <w:w w:val="100"/>
        </w:rPr>
        <w:t>.</w:t>
      </w:r>
    </w:p>
    <w:p>
      <w:pPr>
        <w:pStyle w:val="BodyText"/>
      </w:pPr>
    </w:p>
    <w:p>
      <w:pPr>
        <w:pStyle w:val="BodyText"/>
        <w:spacing w:before="3"/>
        <w:rPr>
          <w:sz w:val="21"/>
        </w:rPr>
      </w:pPr>
    </w:p>
    <w:p>
      <w:pPr>
        <w:pStyle w:val="BodyText"/>
        <w:spacing w:line="271" w:lineRule="auto"/>
        <w:ind w:left="219" w:right="702"/>
      </w:pPr>
      <w:r>
        <w:rPr/>
        <w:t>Agradeciendo de antemano su respuesta favorable a esta solicitud le envío un atento y cordial saludo.</w:t>
      </w:r>
    </w:p>
    <w:p>
      <w:pPr>
        <w:pStyle w:val="BodyText"/>
      </w:pPr>
    </w:p>
    <w:p>
      <w:pPr>
        <w:pStyle w:val="BodyText"/>
      </w:pPr>
    </w:p>
    <w:p>
      <w:pPr>
        <w:pStyle w:val="BodyText"/>
      </w:pPr>
    </w:p>
    <w:p>
      <w:pPr>
        <w:pStyle w:val="BodyText"/>
      </w:pPr>
    </w:p>
    <w:p>
      <w:pPr>
        <w:pStyle w:val="BodyText"/>
      </w:pPr>
    </w:p>
    <w:p>
      <w:pPr>
        <w:pStyle w:val="BodyText"/>
        <w:spacing w:before="4"/>
        <w:rPr>
          <w:sz w:val="33"/>
        </w:rPr>
      </w:pPr>
    </w:p>
    <w:p>
      <w:pPr>
        <w:pStyle w:val="BodyText"/>
        <w:ind w:left="585" w:right="585"/>
        <w:jc w:val="center"/>
      </w:pPr>
      <w:r>
        <w:rPr/>
        <w:t>Atentamente:</w:t>
      </w:r>
    </w:p>
    <w:p>
      <w:pPr>
        <w:pStyle w:val="BodyText"/>
        <w:spacing w:before="1"/>
        <w:rPr>
          <w:sz w:val="21"/>
        </w:rPr>
      </w:pPr>
    </w:p>
    <w:p>
      <w:pPr>
        <w:pStyle w:val="BodyText"/>
        <w:ind w:left="2635" w:right="387"/>
      </w:pPr>
      <w:r>
        <w:rPr/>
        <w:t>C.D. Gauddy Lizeth Manzanares Leal</w:t>
      </w:r>
    </w:p>
    <w:p>
      <w:pPr>
        <w:pStyle w:val="BodyText"/>
        <w:spacing w:line="274" w:lineRule="exact" w:before="8"/>
        <w:ind w:left="978" w:right="978"/>
        <w:jc w:val="center"/>
      </w:pPr>
      <w:r>
        <w:rPr/>
        <w:t>Alumna del primer periodo de la Maestría en Ciencias Odontológicas 4a promoción.</w:t>
      </w:r>
    </w:p>
    <w:p>
      <w:pPr>
        <w:spacing w:after="0" w:line="274" w:lineRule="exact"/>
        <w:jc w:val="center"/>
        <w:sectPr>
          <w:pgSz w:w="12240" w:h="15840"/>
          <w:pgMar w:header="731" w:footer="1012" w:top="1160" w:bottom="1200" w:left="1480" w:right="1480"/>
        </w:sectPr>
      </w:pPr>
    </w:p>
    <w:p>
      <w:pPr>
        <w:pStyle w:val="BodyText"/>
        <w:spacing w:before="5"/>
        <w:rPr>
          <w:rFonts w:ascii="Times New Roman"/>
          <w:sz w:val="23"/>
        </w:rPr>
      </w:pPr>
    </w:p>
    <w:p>
      <w:pPr>
        <w:pStyle w:val="BodyText"/>
        <w:ind w:left="221"/>
        <w:rPr>
          <w:rFonts w:ascii="Times New Roman"/>
          <w:sz w:val="20"/>
        </w:rPr>
      </w:pPr>
      <w:r>
        <w:rPr>
          <w:rFonts w:ascii="Times New Roman"/>
          <w:sz w:val="20"/>
        </w:rPr>
        <w:drawing>
          <wp:inline distT="0" distB="0" distL="0" distR="0">
            <wp:extent cx="6016262" cy="8058150"/>
            <wp:effectExtent l="0" t="0" r="0" b="0"/>
            <wp:docPr id="39" name="image53.jpeg" descr=""/>
            <wp:cNvGraphicFramePr>
              <a:graphicFrameLocks noChangeAspect="1"/>
            </wp:cNvGraphicFramePr>
            <a:graphic>
              <a:graphicData uri="http://schemas.openxmlformats.org/drawingml/2006/picture">
                <pic:pic>
                  <pic:nvPicPr>
                    <pic:cNvPr id="40" name="image53.jpeg"/>
                    <pic:cNvPicPr/>
                  </pic:nvPicPr>
                  <pic:blipFill>
                    <a:blip r:embed="rId90" cstate="print"/>
                    <a:stretch>
                      <a:fillRect/>
                    </a:stretch>
                  </pic:blipFill>
                  <pic:spPr>
                    <a:xfrm>
                      <a:off x="0" y="0"/>
                      <a:ext cx="6016262" cy="8058150"/>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89"/>
          <w:pgSz w:w="12240" w:h="15840"/>
          <w:pgMar w:footer="1012" w:header="731" w:top="1160" w:bottom="1200" w:left="1480" w:right="940"/>
        </w:sectPr>
      </w:pPr>
    </w:p>
    <w:p>
      <w:pPr>
        <w:pStyle w:val="BodyText"/>
        <w:spacing w:before="5"/>
        <w:rPr>
          <w:rFonts w:ascii="Times New Roman"/>
          <w:sz w:val="23"/>
        </w:rPr>
      </w:pPr>
    </w:p>
    <w:p>
      <w:pPr>
        <w:pStyle w:val="BodyText"/>
        <w:ind w:left="221"/>
        <w:rPr>
          <w:rFonts w:ascii="Times New Roman"/>
          <w:sz w:val="20"/>
        </w:rPr>
      </w:pPr>
      <w:r>
        <w:rPr>
          <w:rFonts w:ascii="Times New Roman"/>
          <w:sz w:val="20"/>
        </w:rPr>
        <w:drawing>
          <wp:inline distT="0" distB="0" distL="0" distR="0">
            <wp:extent cx="5856070" cy="8181975"/>
            <wp:effectExtent l="0" t="0" r="0" b="0"/>
            <wp:docPr id="41" name="image54.jpeg" descr=""/>
            <wp:cNvGraphicFramePr>
              <a:graphicFrameLocks noChangeAspect="1"/>
            </wp:cNvGraphicFramePr>
            <a:graphic>
              <a:graphicData uri="http://schemas.openxmlformats.org/drawingml/2006/picture">
                <pic:pic>
                  <pic:nvPicPr>
                    <pic:cNvPr id="42" name="image54.jpeg"/>
                    <pic:cNvPicPr/>
                  </pic:nvPicPr>
                  <pic:blipFill>
                    <a:blip r:embed="rId92" cstate="print"/>
                    <a:stretch>
                      <a:fillRect/>
                    </a:stretch>
                  </pic:blipFill>
                  <pic:spPr>
                    <a:xfrm>
                      <a:off x="0" y="0"/>
                      <a:ext cx="5856070" cy="8181975"/>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91"/>
          <w:pgSz w:w="12240" w:h="15840"/>
          <w:pgMar w:footer="1012" w:header="731" w:top="1160" w:bottom="1200" w:left="1480" w:right="1200"/>
          <w:pgNumType w:start="121"/>
        </w:sectPr>
      </w:pPr>
    </w:p>
    <w:p>
      <w:pPr>
        <w:pStyle w:val="BodyText"/>
        <w:spacing w:before="5"/>
        <w:rPr>
          <w:rFonts w:ascii="Times New Roman"/>
          <w:sz w:val="23"/>
        </w:rPr>
      </w:pPr>
    </w:p>
    <w:p>
      <w:pPr>
        <w:pStyle w:val="BodyText"/>
        <w:ind w:left="221"/>
        <w:rPr>
          <w:rFonts w:ascii="Times New Roman"/>
          <w:sz w:val="20"/>
        </w:rPr>
      </w:pPr>
      <w:r>
        <w:rPr>
          <w:rFonts w:ascii="Times New Roman"/>
          <w:sz w:val="20"/>
        </w:rPr>
        <w:drawing>
          <wp:inline distT="0" distB="0" distL="0" distR="0">
            <wp:extent cx="5435951" cy="8001000"/>
            <wp:effectExtent l="0" t="0" r="0" b="0"/>
            <wp:docPr id="43" name="image55.jpeg" descr=""/>
            <wp:cNvGraphicFramePr>
              <a:graphicFrameLocks noChangeAspect="1"/>
            </wp:cNvGraphicFramePr>
            <a:graphic>
              <a:graphicData uri="http://schemas.openxmlformats.org/drawingml/2006/picture">
                <pic:pic>
                  <pic:nvPicPr>
                    <pic:cNvPr id="44" name="image55.jpeg"/>
                    <pic:cNvPicPr/>
                  </pic:nvPicPr>
                  <pic:blipFill>
                    <a:blip r:embed="rId93" cstate="print"/>
                    <a:stretch>
                      <a:fillRect/>
                    </a:stretch>
                  </pic:blipFill>
                  <pic:spPr>
                    <a:xfrm>
                      <a:off x="0" y="0"/>
                      <a:ext cx="5435951" cy="800100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1" w:footer="1012" w:top="1160" w:bottom="1200" w:left="1480" w:right="1480"/>
        </w:sectPr>
      </w:pPr>
    </w:p>
    <w:p>
      <w:pPr>
        <w:pStyle w:val="BodyText"/>
        <w:spacing w:before="1"/>
        <w:rPr>
          <w:rFonts w:ascii="Times New Roman"/>
          <w:sz w:val="16"/>
        </w:rPr>
      </w:pPr>
    </w:p>
    <w:p>
      <w:pPr>
        <w:pStyle w:val="Heading2"/>
        <w:spacing w:before="70"/>
        <w:ind w:right="387"/>
      </w:pPr>
      <w:r>
        <w:rPr/>
        <w:t>Presentaciones</w:t>
      </w:r>
    </w:p>
    <w:p>
      <w:pPr>
        <w:pStyle w:val="BodyText"/>
        <w:rPr>
          <w:b/>
          <w:sz w:val="20"/>
        </w:rPr>
      </w:pPr>
    </w:p>
    <w:p>
      <w:pPr>
        <w:pStyle w:val="BodyText"/>
        <w:rPr>
          <w:b/>
          <w:sz w:val="20"/>
        </w:rPr>
      </w:pPr>
    </w:p>
    <w:p>
      <w:pPr>
        <w:pStyle w:val="BodyText"/>
        <w:rPr>
          <w:b/>
          <w:sz w:val="20"/>
        </w:rPr>
      </w:pPr>
    </w:p>
    <w:p>
      <w:pPr>
        <w:pStyle w:val="BodyText"/>
        <w:spacing w:before="2"/>
        <w:rPr>
          <w:b/>
          <w:sz w:val="20"/>
        </w:rPr>
      </w:pPr>
      <w:r>
        <w:rPr/>
        <w:drawing>
          <wp:anchor distT="0" distB="0" distL="0" distR="0" allowOverlap="1" layoutInCell="1" locked="0" behindDoc="0" simplePos="0" relativeHeight="3208">
            <wp:simplePos x="0" y="0"/>
            <wp:positionH relativeFrom="page">
              <wp:posOffset>1080227</wp:posOffset>
            </wp:positionH>
            <wp:positionV relativeFrom="paragraph">
              <wp:posOffset>172638</wp:posOffset>
            </wp:positionV>
            <wp:extent cx="5285120" cy="7296150"/>
            <wp:effectExtent l="0" t="0" r="0" b="0"/>
            <wp:wrapTopAndBottom/>
            <wp:docPr id="45" name="image56.jpeg" descr=""/>
            <wp:cNvGraphicFramePr>
              <a:graphicFrameLocks noChangeAspect="1"/>
            </wp:cNvGraphicFramePr>
            <a:graphic>
              <a:graphicData uri="http://schemas.openxmlformats.org/drawingml/2006/picture">
                <pic:pic>
                  <pic:nvPicPr>
                    <pic:cNvPr id="46" name="image56.jpeg"/>
                    <pic:cNvPicPr/>
                  </pic:nvPicPr>
                  <pic:blipFill>
                    <a:blip r:embed="rId94" cstate="print"/>
                    <a:stretch>
                      <a:fillRect/>
                    </a:stretch>
                  </pic:blipFill>
                  <pic:spPr>
                    <a:xfrm>
                      <a:off x="0" y="0"/>
                      <a:ext cx="5285120" cy="7296150"/>
                    </a:xfrm>
                    <a:prstGeom prst="rect">
                      <a:avLst/>
                    </a:prstGeom>
                  </pic:spPr>
                </pic:pic>
              </a:graphicData>
            </a:graphic>
          </wp:anchor>
        </w:drawing>
      </w:r>
    </w:p>
    <w:p>
      <w:pPr>
        <w:spacing w:after="0"/>
        <w:rPr>
          <w:sz w:val="20"/>
        </w:rPr>
        <w:sectPr>
          <w:pgSz w:w="12240" w:h="15840"/>
          <w:pgMar w:header="731" w:footer="1012" w:top="1160" w:bottom="1200" w:left="1480" w:right="14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5"/>
        </w:rPr>
      </w:pPr>
    </w:p>
    <w:p>
      <w:pPr>
        <w:pStyle w:val="BodyText"/>
        <w:ind w:left="235"/>
        <w:rPr>
          <w:rFonts w:ascii="Times New Roman"/>
          <w:sz w:val="20"/>
        </w:rPr>
      </w:pPr>
      <w:r>
        <w:rPr>
          <w:rFonts w:ascii="Times New Roman"/>
          <w:sz w:val="20"/>
        </w:rPr>
        <w:drawing>
          <wp:inline distT="0" distB="0" distL="0" distR="0">
            <wp:extent cx="5695226" cy="7422260"/>
            <wp:effectExtent l="0" t="0" r="0" b="0"/>
            <wp:docPr id="47" name="image57.jpeg" descr=""/>
            <wp:cNvGraphicFramePr>
              <a:graphicFrameLocks noChangeAspect="1"/>
            </wp:cNvGraphicFramePr>
            <a:graphic>
              <a:graphicData uri="http://schemas.openxmlformats.org/drawingml/2006/picture">
                <pic:pic>
                  <pic:nvPicPr>
                    <pic:cNvPr id="48" name="image57.jpeg"/>
                    <pic:cNvPicPr/>
                  </pic:nvPicPr>
                  <pic:blipFill>
                    <a:blip r:embed="rId95" cstate="print"/>
                    <a:stretch>
                      <a:fillRect/>
                    </a:stretch>
                  </pic:blipFill>
                  <pic:spPr>
                    <a:xfrm>
                      <a:off x="0" y="0"/>
                      <a:ext cx="5695226" cy="742226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1" w:footer="1012" w:top="1160" w:bottom="1200" w:left="1480" w:right="1420"/>
        </w:sectPr>
      </w:pPr>
    </w:p>
    <w:p>
      <w:pPr>
        <w:pStyle w:val="BodyText"/>
        <w:spacing w:before="5"/>
        <w:rPr>
          <w:rFonts w:ascii="Times New Roman"/>
          <w:sz w:val="23"/>
        </w:rPr>
      </w:pPr>
    </w:p>
    <w:p>
      <w:pPr>
        <w:pStyle w:val="BodyText"/>
        <w:ind w:left="231"/>
        <w:rPr>
          <w:rFonts w:ascii="Times New Roman"/>
          <w:sz w:val="20"/>
        </w:rPr>
      </w:pPr>
      <w:r>
        <w:rPr>
          <w:rFonts w:ascii="Times New Roman"/>
          <w:sz w:val="20"/>
        </w:rPr>
        <w:drawing>
          <wp:inline distT="0" distB="0" distL="0" distR="0">
            <wp:extent cx="5749230" cy="7683341"/>
            <wp:effectExtent l="0" t="0" r="0" b="0"/>
            <wp:docPr id="49" name="image58.jpeg" descr=""/>
            <wp:cNvGraphicFramePr>
              <a:graphicFrameLocks noChangeAspect="1"/>
            </wp:cNvGraphicFramePr>
            <a:graphic>
              <a:graphicData uri="http://schemas.openxmlformats.org/drawingml/2006/picture">
                <pic:pic>
                  <pic:nvPicPr>
                    <pic:cNvPr id="50" name="image58.jpeg"/>
                    <pic:cNvPicPr/>
                  </pic:nvPicPr>
                  <pic:blipFill>
                    <a:blip r:embed="rId96" cstate="print"/>
                    <a:stretch>
                      <a:fillRect/>
                    </a:stretch>
                  </pic:blipFill>
                  <pic:spPr>
                    <a:xfrm>
                      <a:off x="0" y="0"/>
                      <a:ext cx="5749230" cy="7683341"/>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1" w:footer="1012" w:top="1160" w:bottom="1200" w:left="1480" w:right="1260"/>
        </w:sectPr>
      </w:pPr>
    </w:p>
    <w:p>
      <w:pPr>
        <w:pStyle w:val="BodyText"/>
        <w:spacing w:before="5"/>
        <w:rPr>
          <w:rFonts w:ascii="Times New Roman"/>
          <w:sz w:val="23"/>
        </w:rPr>
      </w:pPr>
    </w:p>
    <w:p>
      <w:pPr>
        <w:pStyle w:val="BodyText"/>
        <w:ind w:left="221"/>
        <w:rPr>
          <w:rFonts w:ascii="Times New Roman"/>
          <w:sz w:val="20"/>
        </w:rPr>
      </w:pPr>
      <w:r>
        <w:rPr>
          <w:rFonts w:ascii="Times New Roman"/>
          <w:sz w:val="20"/>
        </w:rPr>
        <w:drawing>
          <wp:inline distT="0" distB="0" distL="0" distR="0">
            <wp:extent cx="5699894" cy="7716392"/>
            <wp:effectExtent l="0" t="0" r="0" b="0"/>
            <wp:docPr id="51" name="image59.jpeg" descr=""/>
            <wp:cNvGraphicFramePr>
              <a:graphicFrameLocks noChangeAspect="1"/>
            </wp:cNvGraphicFramePr>
            <a:graphic>
              <a:graphicData uri="http://schemas.openxmlformats.org/drawingml/2006/picture">
                <pic:pic>
                  <pic:nvPicPr>
                    <pic:cNvPr id="52" name="image59.jpeg"/>
                    <pic:cNvPicPr/>
                  </pic:nvPicPr>
                  <pic:blipFill>
                    <a:blip r:embed="rId97" cstate="print"/>
                    <a:stretch>
                      <a:fillRect/>
                    </a:stretch>
                  </pic:blipFill>
                  <pic:spPr>
                    <a:xfrm>
                      <a:off x="0" y="0"/>
                      <a:ext cx="5699894" cy="771639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1" w:footer="1012" w:top="1160" w:bottom="1200" w:left="1480" w:right="1360"/>
        </w:sectPr>
      </w:pPr>
    </w:p>
    <w:p>
      <w:pPr>
        <w:pStyle w:val="BodyText"/>
        <w:spacing w:before="6"/>
        <w:rPr>
          <w:rFonts w:ascii="Times New Roman"/>
          <w:sz w:val="23"/>
        </w:rPr>
      </w:pPr>
    </w:p>
    <w:p>
      <w:pPr>
        <w:pStyle w:val="BodyText"/>
        <w:ind w:left="222"/>
        <w:rPr>
          <w:rFonts w:ascii="Times New Roman"/>
          <w:sz w:val="20"/>
        </w:rPr>
      </w:pPr>
      <w:r>
        <w:rPr>
          <w:rFonts w:ascii="Times New Roman"/>
          <w:sz w:val="20"/>
        </w:rPr>
        <w:drawing>
          <wp:inline distT="0" distB="0" distL="0" distR="0">
            <wp:extent cx="5626641" cy="7986712"/>
            <wp:effectExtent l="0" t="0" r="0" b="0"/>
            <wp:docPr id="53" name="image60.jpeg" descr=""/>
            <wp:cNvGraphicFramePr>
              <a:graphicFrameLocks noChangeAspect="1"/>
            </wp:cNvGraphicFramePr>
            <a:graphic>
              <a:graphicData uri="http://schemas.openxmlformats.org/drawingml/2006/picture">
                <pic:pic>
                  <pic:nvPicPr>
                    <pic:cNvPr id="54" name="image60.jpeg"/>
                    <pic:cNvPicPr/>
                  </pic:nvPicPr>
                  <pic:blipFill>
                    <a:blip r:embed="rId98" cstate="print"/>
                    <a:stretch>
                      <a:fillRect/>
                    </a:stretch>
                  </pic:blipFill>
                  <pic:spPr>
                    <a:xfrm>
                      <a:off x="0" y="0"/>
                      <a:ext cx="5626641" cy="798671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1" w:footer="1012" w:top="1160" w:bottom="1200" w:left="1480" w:right="14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8"/>
        </w:rPr>
      </w:pPr>
    </w:p>
    <w:p>
      <w:pPr>
        <w:pStyle w:val="BodyText"/>
        <w:ind w:left="221"/>
        <w:rPr>
          <w:rFonts w:ascii="Times New Roman"/>
          <w:sz w:val="20"/>
        </w:rPr>
      </w:pPr>
      <w:r>
        <w:rPr>
          <w:rFonts w:ascii="Times New Roman"/>
          <w:sz w:val="20"/>
        </w:rPr>
        <w:drawing>
          <wp:inline distT="0" distB="0" distL="0" distR="0">
            <wp:extent cx="6171603" cy="6858000"/>
            <wp:effectExtent l="0" t="0" r="0" b="0"/>
            <wp:docPr id="55" name="image61.jpeg" descr=""/>
            <wp:cNvGraphicFramePr>
              <a:graphicFrameLocks noChangeAspect="1"/>
            </wp:cNvGraphicFramePr>
            <a:graphic>
              <a:graphicData uri="http://schemas.openxmlformats.org/drawingml/2006/picture">
                <pic:pic>
                  <pic:nvPicPr>
                    <pic:cNvPr id="56" name="image61.jpeg"/>
                    <pic:cNvPicPr/>
                  </pic:nvPicPr>
                  <pic:blipFill>
                    <a:blip r:embed="rId99" cstate="print"/>
                    <a:stretch>
                      <a:fillRect/>
                    </a:stretch>
                  </pic:blipFill>
                  <pic:spPr>
                    <a:xfrm>
                      <a:off x="0" y="0"/>
                      <a:ext cx="6171603" cy="685800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1" w:footer="1012" w:top="1160" w:bottom="1200" w:left="1480" w:right="700"/>
        </w:sectPr>
      </w:pPr>
    </w:p>
    <w:p>
      <w:pPr>
        <w:pStyle w:val="BodyText"/>
        <w:spacing w:before="5"/>
        <w:rPr>
          <w:rFonts w:ascii="Times New Roman"/>
          <w:sz w:val="23"/>
        </w:rPr>
      </w:pPr>
    </w:p>
    <w:p>
      <w:pPr>
        <w:pStyle w:val="BodyText"/>
        <w:ind w:left="221"/>
        <w:rPr>
          <w:rFonts w:ascii="Times New Roman"/>
          <w:sz w:val="20"/>
        </w:rPr>
      </w:pPr>
      <w:r>
        <w:rPr>
          <w:rFonts w:ascii="Times New Roman"/>
          <w:sz w:val="20"/>
        </w:rPr>
        <w:drawing>
          <wp:inline distT="0" distB="0" distL="0" distR="0">
            <wp:extent cx="5744183" cy="7877175"/>
            <wp:effectExtent l="0" t="0" r="0" b="0"/>
            <wp:docPr id="57" name="image62.jpeg" descr=""/>
            <wp:cNvGraphicFramePr>
              <a:graphicFrameLocks noChangeAspect="1"/>
            </wp:cNvGraphicFramePr>
            <a:graphic>
              <a:graphicData uri="http://schemas.openxmlformats.org/drawingml/2006/picture">
                <pic:pic>
                  <pic:nvPicPr>
                    <pic:cNvPr id="58" name="image62.jpeg"/>
                    <pic:cNvPicPr/>
                  </pic:nvPicPr>
                  <pic:blipFill>
                    <a:blip r:embed="rId100" cstate="print"/>
                    <a:stretch>
                      <a:fillRect/>
                    </a:stretch>
                  </pic:blipFill>
                  <pic:spPr>
                    <a:xfrm>
                      <a:off x="0" y="0"/>
                      <a:ext cx="5744183" cy="7877175"/>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731" w:footer="1012" w:top="1160" w:bottom="1200" w:left="1480" w:right="1380"/>
        </w:sectPr>
      </w:pPr>
    </w:p>
    <w:p>
      <w:pPr>
        <w:pStyle w:val="BodyText"/>
        <w:spacing w:before="1"/>
        <w:rPr>
          <w:rFonts w:ascii="Times New Roman"/>
          <w:sz w:val="16"/>
        </w:rPr>
      </w:pPr>
    </w:p>
    <w:p>
      <w:pPr>
        <w:pStyle w:val="Heading2"/>
        <w:spacing w:before="70"/>
      </w:pPr>
      <w:r>
        <w:rPr/>
        <w:t>Poster</w:t>
      </w:r>
    </w:p>
    <w:p>
      <w:pPr>
        <w:pStyle w:val="BodyText"/>
        <w:spacing w:before="3"/>
        <w:rPr>
          <w:b/>
          <w:sz w:val="27"/>
        </w:rPr>
      </w:pPr>
      <w:r>
        <w:rPr/>
        <w:drawing>
          <wp:anchor distT="0" distB="0" distL="0" distR="0" allowOverlap="1" layoutInCell="1" locked="0" behindDoc="0" simplePos="0" relativeHeight="3232">
            <wp:simplePos x="0" y="0"/>
            <wp:positionH relativeFrom="page">
              <wp:posOffset>1080135</wp:posOffset>
            </wp:positionH>
            <wp:positionV relativeFrom="paragraph">
              <wp:posOffset>224244</wp:posOffset>
            </wp:positionV>
            <wp:extent cx="5734733" cy="7429500"/>
            <wp:effectExtent l="0" t="0" r="0" b="0"/>
            <wp:wrapTopAndBottom/>
            <wp:docPr id="59" name="image63.png" descr=""/>
            <wp:cNvGraphicFramePr>
              <a:graphicFrameLocks noChangeAspect="1"/>
            </wp:cNvGraphicFramePr>
            <a:graphic>
              <a:graphicData uri="http://schemas.openxmlformats.org/drawingml/2006/picture">
                <pic:pic>
                  <pic:nvPicPr>
                    <pic:cNvPr id="60" name="image63.png"/>
                    <pic:cNvPicPr/>
                  </pic:nvPicPr>
                  <pic:blipFill>
                    <a:blip r:embed="rId102" cstate="print"/>
                    <a:stretch>
                      <a:fillRect/>
                    </a:stretch>
                  </pic:blipFill>
                  <pic:spPr>
                    <a:xfrm>
                      <a:off x="0" y="0"/>
                      <a:ext cx="5734733" cy="7429500"/>
                    </a:xfrm>
                    <a:prstGeom prst="rect">
                      <a:avLst/>
                    </a:prstGeom>
                  </pic:spPr>
                </pic:pic>
              </a:graphicData>
            </a:graphic>
          </wp:anchor>
        </w:drawing>
      </w:r>
    </w:p>
    <w:sectPr>
      <w:footerReference w:type="default" r:id="rId101"/>
      <w:pgSz w:w="12240" w:h="15840"/>
      <w:pgMar w:footer="1012" w:header="731" w:top="1160" w:bottom="1200" w:left="1480" w:right="13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Symbol">
    <w:altName w:val="Symbol"/>
    <w:charset w:val="2"/>
    <w:family w:val="roman"/>
    <w:pitch w:val="variable"/>
  </w:font>
  <w:font w:name="Lucida Sans Unicode">
    <w:altName w:val="Lucida Sans Unicode"/>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944" from="83.543999pt,728.639954pt" to="528.453999pt,728.639954pt" stroked="true" strokeweight=".48004pt" strokecolor="#d9d9d9">
          <w10:wrap type="none"/>
        </v:line>
      </w:pict>
    </w:r>
    <w:r>
      <w:rPr/>
      <w:pict>
        <v:shape style="position:absolute;margin-left:467.429993pt;margin-top:731.119995pt;width:61.65pt;height:13.05pt;mso-position-horizontal-relative:page;mso-position-vertical-relative:page;z-index:-131920"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w:t>
                </w:r>
                <w:r>
                  <w:rPr/>
                  <w:fldChar w:fldCharType="begin"/>
                </w:r>
                <w:r>
                  <w:rPr>
                    <w:rFonts w:ascii="Calibri" w:hAnsi="Calibri"/>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512" from="83.543999pt,728.639954pt" to="528.453999pt,728.639954pt" stroked="true" strokeweight=".48004pt" strokecolor="#d9d9d9">
          <w10:wrap type="none"/>
        </v:line>
      </w:pict>
    </w:r>
    <w:r>
      <w:rPr/>
      <w:pict>
        <v:shape style="position:absolute;margin-left:461.890015pt;margin-top:731.119995pt;width:66.1pt;height:13.05pt;mso-position-horizontal-relative:page;mso-position-vertical-relative:page;z-index:-131488"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464" from="83.543999pt,728.639954pt" to="528.453999pt,728.639954pt" stroked="true" strokeweight=".48004pt" strokecolor="#d9d9d9">
          <w10:wrap type="none"/>
        </v:line>
      </w:pict>
    </w:r>
    <w:r>
      <w:rPr/>
      <w:pict>
        <v:shape style="position:absolute;margin-left:461.890015pt;margin-top:731.119995pt;width:67.150pt;height:13.05pt;mso-position-horizontal-relative:page;mso-position-vertical-relative:page;z-index:-131440"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w:t>
                </w:r>
                <w:r>
                  <w:rPr/>
                  <w:fldChar w:fldCharType="begin"/>
                </w:r>
                <w:r>
                  <w:rPr>
                    <w:rFonts w:ascii="Calibri" w:hAns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416" from="83.543999pt,728.639954pt" to="528.453999pt,728.639954pt" stroked="true" strokeweight=".48004pt" strokecolor="#d9d9d9">
          <w10:wrap type="none"/>
        </v:line>
      </w:pict>
    </w:r>
    <w:r>
      <w:rPr/>
      <w:pict>
        <v:shape style="position:absolute;margin-left:461.890015pt;margin-top:731.119995pt;width:66.1pt;height:13.05pt;mso-position-horizontal-relative:page;mso-position-vertical-relative:page;z-index:-131392"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368" from="83.543999pt,728.639954pt" to="528.453999pt,728.639954pt" stroked="true" strokeweight=".48004pt" strokecolor="#d9d9d9">
          <w10:wrap type="none"/>
        </v:line>
      </w:pict>
    </w:r>
    <w:r>
      <w:rPr/>
      <w:pict>
        <v:shape style="position:absolute;margin-left:461.890015pt;margin-top:731.119995pt;width:67.150pt;height:13.05pt;mso-position-horizontal-relative:page;mso-position-vertical-relative:page;z-index:-131344"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w:t>
                </w:r>
                <w:r>
                  <w:rPr/>
                  <w:fldChar w:fldCharType="begin"/>
                </w:r>
                <w:r>
                  <w:rPr>
                    <w:rFonts w:ascii="Calibri" w:hAns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320" from="83.543999pt,728.639954pt" to="528.453999pt,728.639954pt" stroked="true" strokeweight=".48004pt" strokecolor="#d9d9d9">
          <w10:wrap type="none"/>
        </v:line>
      </w:pict>
    </w:r>
    <w:r>
      <w:rPr/>
      <w:pict>
        <v:shape style="position:absolute;margin-left:461.890015pt;margin-top:731.119995pt;width:66.1pt;height:13.05pt;mso-position-horizontal-relative:page;mso-position-vertical-relative:page;z-index:-131296"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272" from="83.543999pt,728.639954pt" to="528.453999pt,728.639954pt" stroked="true" strokeweight=".48004pt" strokecolor="#d9d9d9">
          <w10:wrap type="none"/>
        </v:line>
      </w:pict>
    </w:r>
    <w:r>
      <w:rPr/>
      <w:pict>
        <v:shape style="position:absolute;margin-left:461.890015pt;margin-top:731.119995pt;width:67.150pt;height:13.05pt;mso-position-horizontal-relative:page;mso-position-vertical-relative:page;z-index:-131248"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w:t>
                </w:r>
                <w:r>
                  <w:rPr/>
                  <w:fldChar w:fldCharType="begin"/>
                </w:r>
                <w:r>
                  <w:rPr>
                    <w:rFonts w:ascii="Calibri" w:hAnsi="Calibri"/>
                    <w:sz w:val="22"/>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224" from="83.543999pt,728.639954pt" to="528.453999pt,728.639954pt" stroked="true" strokeweight=".48004pt" strokecolor="#d9d9d9">
          <w10:wrap type="none"/>
        </v:line>
      </w:pict>
    </w:r>
    <w:r>
      <w:rPr/>
      <w:pict>
        <v:shape style="position:absolute;margin-left:461.890015pt;margin-top:731.119995pt;width:66.1pt;height:13.05pt;mso-position-horizontal-relative:page;mso-position-vertical-relative:page;z-index:-131200"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176" from="83.543999pt,728.639954pt" to="528.453999pt,728.639954pt" stroked="true" strokeweight=".48004pt" strokecolor="#d9d9d9">
          <w10:wrap type="none"/>
        </v:line>
      </w:pict>
    </w:r>
    <w:r>
      <w:rPr/>
      <w:pict>
        <v:shape style="position:absolute;margin-left:461.890015pt;margin-top:731.119995pt;width:67.150pt;height:13.05pt;mso-position-horizontal-relative:page;mso-position-vertical-relative:page;z-index:-131152"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w:t>
                </w:r>
                <w:r>
                  <w:rPr/>
                  <w:fldChar w:fldCharType="begin"/>
                </w:r>
                <w:r>
                  <w:rPr>
                    <w:rFonts w:ascii="Calibri" w:hAnsi="Calibri"/>
                    <w:sz w:val="22"/>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128" from="83.543999pt,728.639954pt" to="528.453999pt,728.639954pt" stroked="true" strokeweight=".48004pt" strokecolor="#d9d9d9">
          <w10:wrap type="none"/>
        </v:line>
      </w:pict>
    </w:r>
    <w:r>
      <w:rPr/>
      <w:pict>
        <v:shape style="position:absolute;margin-left:461.890015pt;margin-top:731.119995pt;width:66.1pt;height:13.05pt;mso-position-horizontal-relative:page;mso-position-vertical-relative:page;z-index:-131104"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080" from="83.543999pt,728.639954pt" to="528.453999pt,728.639954pt" stroked="true" strokeweight=".48004pt" strokecolor="#d9d9d9">
          <w10:wrap type="none"/>
        </v:line>
      </w:pict>
    </w:r>
    <w:r>
      <w:rPr/>
      <w:pict>
        <v:shape style="position:absolute;margin-left:461.890015pt;margin-top:731.119995pt;width:67.150pt;height:13.05pt;mso-position-horizontal-relative:page;mso-position-vertical-relative:page;z-index:-131056"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w:t>
                </w:r>
                <w:r>
                  <w:rPr/>
                  <w:fldChar w:fldCharType="begin"/>
                </w:r>
                <w:r>
                  <w:rPr>
                    <w:rFonts w:ascii="Calibri" w:hAnsi="Calibri"/>
                    <w:sz w:val="22"/>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896" from="83.543999pt,728.639954pt" to="528.453999pt,728.639954pt" stroked="true" strokeweight=".48004pt" strokecolor="#d9d9d9">
          <w10:wrap type="none"/>
        </v:line>
      </w:pict>
    </w:r>
    <w:r>
      <w:rPr/>
      <w:pict>
        <v:shape style="position:absolute;margin-left:461.890015pt;margin-top:731.119995pt;width:66.1pt;height:13.05pt;mso-position-horizontal-relative:page;mso-position-vertical-relative:page;z-index:-131872"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032" from="83.543999pt,728.639954pt" to="528.453999pt,728.639954pt" stroked="true" strokeweight=".48004pt" strokecolor="#d9d9d9">
          <w10:wrap type="none"/>
        </v:line>
      </w:pict>
    </w:r>
    <w:r>
      <w:rPr/>
      <w:pict>
        <v:shape style="position:absolute;margin-left:456.369995pt;margin-top:731.119995pt;width:71.650pt;height:13.05pt;mso-position-horizontal-relative:page;mso-position-vertical-relative:page;z-index:-131008"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|100</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0984" from="83.543999pt,728.639954pt" to="528.453999pt,728.639954pt" stroked="true" strokeweight=".48004pt" strokecolor="#d9d9d9">
          <w10:wrap type="none"/>
        </v:line>
      </w:pict>
    </w:r>
    <w:r>
      <w:rPr/>
      <w:pict>
        <v:shape style="position:absolute;margin-left:456.369995pt;margin-top:731.119995pt;width:72.650pt;height:13.05pt;mso-position-horizontal-relative:page;mso-position-vertical-relative:page;z-index:-130960"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w:t>
                </w:r>
                <w:r>
                  <w:rPr/>
                  <w:fldChar w:fldCharType="begin"/>
                </w:r>
                <w:r>
                  <w:rPr>
                    <w:rFonts w:ascii="Calibri" w:hAnsi="Calibri"/>
                    <w:sz w:val="22"/>
                  </w:rPr>
                  <w:instrText> PAGE </w:instrText>
                </w:r>
                <w:r>
                  <w:rPr/>
                  <w:fldChar w:fldCharType="separate"/>
                </w:r>
                <w:r>
                  <w:rPr/>
                  <w:t>101</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0936" from="83.543999pt,728.639954pt" to="528.453999pt,728.639954pt" stroked="true" strokeweight=".48004pt" strokecolor="#d9d9d9">
          <w10:wrap type="none"/>
        </v:line>
      </w:pict>
    </w:r>
    <w:r>
      <w:rPr/>
      <w:pict>
        <v:shape style="position:absolute;margin-left:456.369995pt;margin-top:731.119995pt;width:71.650pt;height:13.05pt;mso-position-horizontal-relative:page;mso-position-vertical-relative:page;z-index:-130912"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|110</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0888" from="83.543999pt,728.639954pt" to="528.453999pt,728.639954pt" stroked="true" strokeweight=".48004pt" strokecolor="#d9d9d9">
          <w10:wrap type="none"/>
        </v:line>
      </w:pict>
    </w:r>
    <w:r>
      <w:rPr/>
      <w:pict>
        <v:shape style="position:absolute;margin-left:456.369995pt;margin-top:731.119995pt;width:72.650pt;height:13.05pt;mso-position-horizontal-relative:page;mso-position-vertical-relative:page;z-index:-130864"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w:t>
                </w:r>
                <w:r>
                  <w:rPr/>
                  <w:fldChar w:fldCharType="begin"/>
                </w:r>
                <w:r>
                  <w:rPr>
                    <w:rFonts w:ascii="Calibri" w:hAnsi="Calibri"/>
                    <w:sz w:val="22"/>
                  </w:rPr>
                  <w:instrText> PAGE </w:instrText>
                </w:r>
                <w:r>
                  <w:rPr/>
                  <w:fldChar w:fldCharType="separate"/>
                </w:r>
                <w:r>
                  <w:rPr/>
                  <w:t>111</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0840" from="83.543999pt,728.639954pt" to="528.453999pt,728.639954pt" stroked="true" strokeweight=".48004pt" strokecolor="#d9d9d9">
          <w10:wrap type="none"/>
        </v:line>
      </w:pict>
    </w:r>
    <w:r>
      <w:rPr/>
      <w:pict>
        <v:shape style="position:absolute;margin-left:456.369995pt;margin-top:731.119995pt;width:71.650pt;height:13.05pt;mso-position-horizontal-relative:page;mso-position-vertical-relative:page;z-index:-130816"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|120</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0792" from="83.543999pt,728.639954pt" to="528.453999pt,728.639954pt" stroked="true" strokeweight=".48004pt" strokecolor="#d9d9d9">
          <w10:wrap type="none"/>
        </v:line>
      </w:pict>
    </w:r>
    <w:r>
      <w:rPr/>
      <w:pict>
        <v:shape style="position:absolute;margin-left:456.369995pt;margin-top:731.119995pt;width:72.650pt;height:13.05pt;mso-position-horizontal-relative:page;mso-position-vertical-relative:page;z-index:-130768"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w:t>
                </w:r>
                <w:r>
                  <w:rPr/>
                  <w:fldChar w:fldCharType="begin"/>
                </w:r>
                <w:r>
                  <w:rPr>
                    <w:rFonts w:ascii="Calibri" w:hAnsi="Calibri"/>
                    <w:sz w:val="22"/>
                  </w:rPr>
                  <w:instrText> PAGE </w:instrText>
                </w:r>
                <w:r>
                  <w:rPr/>
                  <w:fldChar w:fldCharType="separate"/>
                </w:r>
                <w:r>
                  <w:rPr/>
                  <w:t>121</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0744" from="83.543999pt,728.639954pt" to="528.453999pt,728.639954pt" stroked="true" strokeweight=".48004pt" strokecolor="#d9d9d9">
          <w10:wrap type="none"/>
        </v:line>
      </w:pict>
    </w:r>
    <w:r>
      <w:rPr/>
      <w:pict>
        <v:shape style="position:absolute;margin-left:456.369995pt;margin-top:731.119995pt;width:71.650pt;height:13.05pt;mso-position-horizontal-relative:page;mso-position-vertical-relative:page;z-index:-130720"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|130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848" from="83.543999pt,728.639954pt" to="528.453999pt,728.639954pt" stroked="true" strokeweight=".48004pt" strokecolor="#d9d9d9">
          <w10:wrap type="none"/>
        </v:line>
      </w:pict>
    </w:r>
    <w:r>
      <w:rPr/>
      <w:pict>
        <v:shape style="position:absolute;margin-left:461.890015pt;margin-top:731.119995pt;width:67.150pt;height:13.05pt;mso-position-horizontal-relative:page;mso-position-vertical-relative:page;z-index:-131824"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w:t>
                </w:r>
                <w:r>
                  <w:rPr/>
                  <w:fldChar w:fldCharType="begin"/>
                </w:r>
                <w:r>
                  <w:rPr>
                    <w:rFonts w:ascii="Calibri" w:hAns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800" from="83.543999pt,728.639954pt" to="528.453999pt,728.639954pt" stroked="true" strokeweight=".48004pt" strokecolor="#d9d9d9">
          <w10:wrap type="none"/>
        </v:line>
      </w:pict>
    </w:r>
    <w:r>
      <w:rPr/>
      <w:pict>
        <v:shape style="position:absolute;margin-left:461.890015pt;margin-top:731.119995pt;width:66.1pt;height:13.05pt;mso-position-horizontal-relative:page;mso-position-vertical-relative:page;z-index:-131776"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752" from="83.543999pt,728.639954pt" to="528.453999pt,728.639954pt" stroked="true" strokeweight=".48004pt" strokecolor="#d9d9d9">
          <w10:wrap type="none"/>
        </v:line>
      </w:pict>
    </w:r>
    <w:r>
      <w:rPr/>
      <w:pict>
        <v:shape style="position:absolute;margin-left:461.890015pt;margin-top:731.119995pt;width:67.150pt;height:13.05pt;mso-position-horizontal-relative:page;mso-position-vertical-relative:page;z-index:-131728"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w:t>
                </w:r>
                <w:r>
                  <w:rPr/>
                  <w:fldChar w:fldCharType="begin"/>
                </w:r>
                <w:r>
                  <w:rPr>
                    <w:rFonts w:ascii="Calibri" w:hAns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704" from="83.543999pt,728.639954pt" to="528.453999pt,728.639954pt" stroked="true" strokeweight=".48004pt" strokecolor="#d9d9d9">
          <w10:wrap type="none"/>
        </v:line>
      </w:pict>
    </w:r>
    <w:r>
      <w:rPr/>
      <w:pict>
        <v:shape style="position:absolute;margin-left:461.890015pt;margin-top:731.119995pt;width:66.1pt;height:13.05pt;mso-position-horizontal-relative:page;mso-position-vertical-relative:page;z-index:-131680"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656" from="83.543999pt,728.639954pt" to="528.453999pt,728.639954pt" stroked="true" strokeweight=".48004pt" strokecolor="#d9d9d9">
          <w10:wrap type="none"/>
        </v:line>
      </w:pict>
    </w:r>
    <w:r>
      <w:rPr/>
      <w:pict>
        <v:shape style="position:absolute;margin-left:461.890015pt;margin-top:731.119995pt;width:67.150pt;height:13.05pt;mso-position-horizontal-relative:page;mso-position-vertical-relative:page;z-index:-131632"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w:t>
                </w:r>
                <w:r>
                  <w:rPr/>
                  <w:fldChar w:fldCharType="begin"/>
                </w:r>
                <w:r>
                  <w:rPr>
                    <w:rFonts w:ascii="Calibri" w:hAns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608" from="83.543999pt,728.639954pt" to="528.453999pt,728.639954pt" stroked="true" strokeweight=".48004pt" strokecolor="#d9d9d9">
          <w10:wrap type="none"/>
        </v:line>
      </w:pict>
    </w:r>
    <w:r>
      <w:rPr/>
      <w:pict>
        <v:shape style="position:absolute;margin-left:461.890015pt;margin-top:731.119995pt;width:66.1pt;height:13.05pt;mso-position-horizontal-relative:page;mso-position-vertical-relative:page;z-index:-131584"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1560" from="83.543999pt,728.639954pt" to="528.453999pt,728.639954pt" stroked="true" strokeweight=".48004pt" strokecolor="#d9d9d9">
          <w10:wrap type="none"/>
        </v:line>
      </w:pict>
    </w:r>
    <w:r>
      <w:rPr/>
      <w:pict>
        <v:shape style="position:absolute;margin-left:461.890015pt;margin-top:731.119995pt;width:67.150pt;height:13.05pt;mso-position-horizontal-relative:page;mso-position-vertical-relative:page;z-index:-131536" type="#_x0000_t202" filled="false" stroked="false">
          <v:textbox inset="0,0,0,0">
            <w:txbxContent>
              <w:p>
                <w:pPr>
                  <w:spacing w:line="245" w:lineRule="exact" w:before="0"/>
                  <w:ind w:left="20" w:right="0" w:firstLine="0"/>
                  <w:jc w:val="left"/>
                  <w:rPr>
                    <w:rFonts w:ascii="Calibri" w:hAnsi="Calibri"/>
                    <w:sz w:val="22"/>
                  </w:rPr>
                </w:pPr>
                <w:r>
                  <w:rPr>
                    <w:rFonts w:ascii="Calibri" w:hAnsi="Calibri"/>
                    <w:color w:val="808080"/>
                    <w:sz w:val="22"/>
                  </w:rPr>
                  <w:t>P á g i n a  </w:t>
                </w:r>
                <w:r>
                  <w:rPr>
                    <w:rFonts w:ascii="Calibri" w:hAnsi="Calibri"/>
                    <w:sz w:val="22"/>
                  </w:rPr>
                  <w:t>|</w:t>
                </w:r>
                <w:r>
                  <w:rPr/>
                  <w:fldChar w:fldCharType="begin"/>
                </w:r>
                <w:r>
                  <w:rPr>
                    <w:rFonts w:ascii="Calibri" w:hAnsi="Calibri"/>
                    <w:sz w:val="22"/>
                  </w:rPr>
                  <w:instrText> PAGE </w:instrText>
                </w:r>
                <w:r>
                  <w:rPr/>
                  <w:fldChar w:fldCharType="separate"/>
                </w:r>
                <w:r>
                  <w:rPr/>
                  <w:t>41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2016" from="80.664001pt,55.700001pt" to="530.614001pt,55.700001pt" stroked="true" strokeweight="2.88pt" strokecolor="#7e7e7e">
          <w10:wrap type="none"/>
        </v:line>
      </w:pict>
    </w:r>
    <w:r>
      <w:rPr/>
      <w:pict>
        <v:line style="position:absolute;mso-position-horizontal-relative:page;mso-position-vertical-relative:page;z-index:-131992" from="80.664001pt,58.220001pt" to="530.614001pt,58.220001pt" stroked="true" strokeweight=".72pt" strokecolor="#7e7e7e">
          <w10:wrap type="none"/>
        </v:line>
      </w:pict>
    </w:r>
    <w:r>
      <w:rPr/>
      <w:pict>
        <v:shapetype id="_x0000_t202" o:spt="202" coordsize="21600,21600" path="m,l,21600r21600,l21600,xe">
          <v:stroke joinstyle="miter"/>
          <v:path gradientshapeok="t" o:connecttype="rect"/>
        </v:shapetype>
        <v:shape style="position:absolute;margin-left:96.968002pt;margin-top:35.560875pt;width:417.05pt;height:19.55pt;mso-position-horizontal-relative:page;mso-position-vertical-relative:page;z-index:-131968" type="#_x0000_t202" filled="false" stroked="false">
          <v:textbox inset="0,0,0,0">
            <w:txbxContent>
              <w:p>
                <w:pPr>
                  <w:spacing w:line="244" w:lineRule="auto" w:before="0"/>
                  <w:ind w:left="2108" w:right="-10" w:hanging="2089"/>
                  <w:jc w:val="left"/>
                  <w:rPr>
                    <w:rFonts w:ascii="Cambria" w:hAnsi="Cambria"/>
                    <w:sz w:val="16"/>
                  </w:rPr>
                </w:pPr>
                <w:r>
                  <w:rPr>
                    <w:rFonts w:ascii="Cambria" w:hAnsi="Cambria"/>
                    <w:sz w:val="16"/>
                  </w:rPr>
                  <w:t>EFICACIA ANTIMICROBIANA DE LA PLATA COLOIDAL EN COMPARACIÓN CON GLUCONATO DE CLORHEXIDINA PARA EL CONTROL DE BIOPELÍCULA DE UNIDADES DENTALES, 2013</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1"/>
      <w:numFmt w:val="bullet"/>
      <w:lvlText w:val=""/>
      <w:lvlJc w:val="left"/>
      <w:pPr>
        <w:ind w:left="940" w:hanging="360"/>
      </w:pPr>
      <w:rPr>
        <w:rFonts w:hint="default" w:ascii="Symbol" w:hAnsi="Symbol" w:eastAsia="Symbol" w:cs="Symbol"/>
        <w:w w:val="100"/>
        <w:sz w:val="24"/>
        <w:szCs w:val="24"/>
      </w:rPr>
    </w:lvl>
    <w:lvl w:ilvl="1">
      <w:start w:val="1"/>
      <w:numFmt w:val="bullet"/>
      <w:lvlText w:val="•"/>
      <w:lvlJc w:val="left"/>
      <w:pPr>
        <w:ind w:left="1774" w:hanging="360"/>
      </w:pPr>
      <w:rPr>
        <w:rFonts w:hint="default"/>
      </w:rPr>
    </w:lvl>
    <w:lvl w:ilvl="2">
      <w:start w:val="1"/>
      <w:numFmt w:val="bullet"/>
      <w:lvlText w:val="•"/>
      <w:lvlJc w:val="left"/>
      <w:pPr>
        <w:ind w:left="2608" w:hanging="360"/>
      </w:pPr>
      <w:rPr>
        <w:rFonts w:hint="default"/>
      </w:rPr>
    </w:lvl>
    <w:lvl w:ilvl="3">
      <w:start w:val="1"/>
      <w:numFmt w:val="bullet"/>
      <w:lvlText w:val="•"/>
      <w:lvlJc w:val="left"/>
      <w:pPr>
        <w:ind w:left="3442" w:hanging="360"/>
      </w:pPr>
      <w:rPr>
        <w:rFonts w:hint="default"/>
      </w:rPr>
    </w:lvl>
    <w:lvl w:ilvl="4">
      <w:start w:val="1"/>
      <w:numFmt w:val="bullet"/>
      <w:lvlText w:val="•"/>
      <w:lvlJc w:val="left"/>
      <w:pPr>
        <w:ind w:left="4276" w:hanging="360"/>
      </w:pPr>
      <w:rPr>
        <w:rFonts w:hint="default"/>
      </w:rPr>
    </w:lvl>
    <w:lvl w:ilvl="5">
      <w:start w:val="1"/>
      <w:numFmt w:val="bullet"/>
      <w:lvlText w:val="•"/>
      <w:lvlJc w:val="left"/>
      <w:pPr>
        <w:ind w:left="5110" w:hanging="360"/>
      </w:pPr>
      <w:rPr>
        <w:rFonts w:hint="default"/>
      </w:rPr>
    </w:lvl>
    <w:lvl w:ilvl="6">
      <w:start w:val="1"/>
      <w:numFmt w:val="bullet"/>
      <w:lvlText w:val="•"/>
      <w:lvlJc w:val="left"/>
      <w:pPr>
        <w:ind w:left="5944" w:hanging="360"/>
      </w:pPr>
      <w:rPr>
        <w:rFonts w:hint="default"/>
      </w:rPr>
    </w:lvl>
    <w:lvl w:ilvl="7">
      <w:start w:val="1"/>
      <w:numFmt w:val="bullet"/>
      <w:lvlText w:val="•"/>
      <w:lvlJc w:val="left"/>
      <w:pPr>
        <w:ind w:left="6778" w:hanging="360"/>
      </w:pPr>
      <w:rPr>
        <w:rFonts w:hint="default"/>
      </w:rPr>
    </w:lvl>
    <w:lvl w:ilvl="8">
      <w:start w:val="1"/>
      <w:numFmt w:val="bullet"/>
      <w:lvlText w:val="•"/>
      <w:lvlJc w:val="left"/>
      <w:pPr>
        <w:ind w:left="7612" w:hanging="360"/>
      </w:pPr>
      <w:rPr>
        <w:rFonts w:hint="default"/>
      </w:rPr>
    </w:lvl>
  </w:abstractNum>
  <w:abstractNum w:abstractNumId="5">
    <w:multiLevelType w:val="hybridMultilevel"/>
    <w:lvl w:ilvl="0">
      <w:start w:val="5"/>
      <w:numFmt w:val="upperRoman"/>
      <w:lvlText w:val="%1"/>
      <w:lvlJc w:val="left"/>
      <w:pPr>
        <w:ind w:left="4008" w:hanging="341"/>
        <w:jc w:val="right"/>
      </w:pPr>
      <w:rPr>
        <w:rFonts w:hint="default"/>
        <w:b/>
        <w:bCs/>
        <w:w w:val="99"/>
      </w:rPr>
    </w:lvl>
    <w:lvl w:ilvl="1">
      <w:start w:val="1"/>
      <w:numFmt w:val="bullet"/>
      <w:lvlText w:val="•"/>
      <w:lvlJc w:val="left"/>
      <w:pPr>
        <w:ind w:left="4528" w:hanging="341"/>
      </w:pPr>
      <w:rPr>
        <w:rFonts w:hint="default"/>
      </w:rPr>
    </w:lvl>
    <w:lvl w:ilvl="2">
      <w:start w:val="1"/>
      <w:numFmt w:val="bullet"/>
      <w:lvlText w:val="•"/>
      <w:lvlJc w:val="left"/>
      <w:pPr>
        <w:ind w:left="5056" w:hanging="341"/>
      </w:pPr>
      <w:rPr>
        <w:rFonts w:hint="default"/>
      </w:rPr>
    </w:lvl>
    <w:lvl w:ilvl="3">
      <w:start w:val="1"/>
      <w:numFmt w:val="bullet"/>
      <w:lvlText w:val="•"/>
      <w:lvlJc w:val="left"/>
      <w:pPr>
        <w:ind w:left="5584" w:hanging="341"/>
      </w:pPr>
      <w:rPr>
        <w:rFonts w:hint="default"/>
      </w:rPr>
    </w:lvl>
    <w:lvl w:ilvl="4">
      <w:start w:val="1"/>
      <w:numFmt w:val="bullet"/>
      <w:lvlText w:val="•"/>
      <w:lvlJc w:val="left"/>
      <w:pPr>
        <w:ind w:left="6112" w:hanging="341"/>
      </w:pPr>
      <w:rPr>
        <w:rFonts w:hint="default"/>
      </w:rPr>
    </w:lvl>
    <w:lvl w:ilvl="5">
      <w:start w:val="1"/>
      <w:numFmt w:val="bullet"/>
      <w:lvlText w:val="•"/>
      <w:lvlJc w:val="left"/>
      <w:pPr>
        <w:ind w:left="6640" w:hanging="341"/>
      </w:pPr>
      <w:rPr>
        <w:rFonts w:hint="default"/>
      </w:rPr>
    </w:lvl>
    <w:lvl w:ilvl="6">
      <w:start w:val="1"/>
      <w:numFmt w:val="bullet"/>
      <w:lvlText w:val="•"/>
      <w:lvlJc w:val="left"/>
      <w:pPr>
        <w:ind w:left="7168" w:hanging="341"/>
      </w:pPr>
      <w:rPr>
        <w:rFonts w:hint="default"/>
      </w:rPr>
    </w:lvl>
    <w:lvl w:ilvl="7">
      <w:start w:val="1"/>
      <w:numFmt w:val="bullet"/>
      <w:lvlText w:val="•"/>
      <w:lvlJc w:val="left"/>
      <w:pPr>
        <w:ind w:left="7696" w:hanging="341"/>
      </w:pPr>
      <w:rPr>
        <w:rFonts w:hint="default"/>
      </w:rPr>
    </w:lvl>
    <w:lvl w:ilvl="8">
      <w:start w:val="1"/>
      <w:numFmt w:val="bullet"/>
      <w:lvlText w:val="•"/>
      <w:lvlJc w:val="left"/>
      <w:pPr>
        <w:ind w:left="8224" w:hanging="341"/>
      </w:pPr>
      <w:rPr>
        <w:rFonts w:hint="default"/>
      </w:rPr>
    </w:lvl>
  </w:abstractNum>
  <w:abstractNum w:abstractNumId="6">
    <w:multiLevelType w:val="hybridMultilevel"/>
    <w:lvl w:ilvl="0">
      <w:start w:val="1"/>
      <w:numFmt w:val="bullet"/>
      <w:lvlText w:val=""/>
      <w:lvlJc w:val="left"/>
      <w:pPr>
        <w:ind w:left="940" w:hanging="360"/>
      </w:pPr>
      <w:rPr>
        <w:rFonts w:hint="default" w:ascii="Symbol" w:hAnsi="Symbol" w:eastAsia="Symbol" w:cs="Symbol"/>
        <w:w w:val="100"/>
        <w:sz w:val="24"/>
        <w:szCs w:val="24"/>
      </w:rPr>
    </w:lvl>
    <w:lvl w:ilvl="1">
      <w:start w:val="1"/>
      <w:numFmt w:val="bullet"/>
      <w:lvlText w:val="•"/>
      <w:lvlJc w:val="left"/>
      <w:pPr>
        <w:ind w:left="1774" w:hanging="360"/>
      </w:pPr>
      <w:rPr>
        <w:rFonts w:hint="default"/>
      </w:rPr>
    </w:lvl>
    <w:lvl w:ilvl="2">
      <w:start w:val="1"/>
      <w:numFmt w:val="bullet"/>
      <w:lvlText w:val="•"/>
      <w:lvlJc w:val="left"/>
      <w:pPr>
        <w:ind w:left="2608" w:hanging="360"/>
      </w:pPr>
      <w:rPr>
        <w:rFonts w:hint="default"/>
      </w:rPr>
    </w:lvl>
    <w:lvl w:ilvl="3">
      <w:start w:val="1"/>
      <w:numFmt w:val="bullet"/>
      <w:lvlText w:val="•"/>
      <w:lvlJc w:val="left"/>
      <w:pPr>
        <w:ind w:left="3442" w:hanging="360"/>
      </w:pPr>
      <w:rPr>
        <w:rFonts w:hint="default"/>
      </w:rPr>
    </w:lvl>
    <w:lvl w:ilvl="4">
      <w:start w:val="1"/>
      <w:numFmt w:val="bullet"/>
      <w:lvlText w:val="•"/>
      <w:lvlJc w:val="left"/>
      <w:pPr>
        <w:ind w:left="4276" w:hanging="360"/>
      </w:pPr>
      <w:rPr>
        <w:rFonts w:hint="default"/>
      </w:rPr>
    </w:lvl>
    <w:lvl w:ilvl="5">
      <w:start w:val="1"/>
      <w:numFmt w:val="bullet"/>
      <w:lvlText w:val="•"/>
      <w:lvlJc w:val="left"/>
      <w:pPr>
        <w:ind w:left="5110" w:hanging="360"/>
      </w:pPr>
      <w:rPr>
        <w:rFonts w:hint="default"/>
      </w:rPr>
    </w:lvl>
    <w:lvl w:ilvl="6">
      <w:start w:val="1"/>
      <w:numFmt w:val="bullet"/>
      <w:lvlText w:val="•"/>
      <w:lvlJc w:val="left"/>
      <w:pPr>
        <w:ind w:left="5944" w:hanging="360"/>
      </w:pPr>
      <w:rPr>
        <w:rFonts w:hint="default"/>
      </w:rPr>
    </w:lvl>
    <w:lvl w:ilvl="7">
      <w:start w:val="1"/>
      <w:numFmt w:val="bullet"/>
      <w:lvlText w:val="•"/>
      <w:lvlJc w:val="left"/>
      <w:pPr>
        <w:ind w:left="6778" w:hanging="360"/>
      </w:pPr>
      <w:rPr>
        <w:rFonts w:hint="default"/>
      </w:rPr>
    </w:lvl>
    <w:lvl w:ilvl="8">
      <w:start w:val="1"/>
      <w:numFmt w:val="bullet"/>
      <w:lvlText w:val="•"/>
      <w:lvlJc w:val="left"/>
      <w:pPr>
        <w:ind w:left="7612" w:hanging="360"/>
      </w:pPr>
      <w:rPr>
        <w:rFonts w:hint="default"/>
      </w:rPr>
    </w:lvl>
  </w:abstractNum>
  <w:abstractNum w:abstractNumId="12">
    <w:multiLevelType w:val="hybridMultilevel"/>
    <w:lvl w:ilvl="0">
      <w:start w:val="1"/>
      <w:numFmt w:val="decimal"/>
      <w:lvlText w:val="%1."/>
      <w:lvlJc w:val="left"/>
      <w:pPr>
        <w:ind w:left="580" w:hanging="361"/>
        <w:jc w:val="left"/>
      </w:pPr>
      <w:rPr>
        <w:rFonts w:hint="default" w:ascii="Arial" w:hAnsi="Arial" w:eastAsia="Arial" w:cs="Arial"/>
        <w:spacing w:val="0"/>
        <w:w w:val="100"/>
        <w:sz w:val="22"/>
        <w:szCs w:val="22"/>
      </w:rPr>
    </w:lvl>
    <w:lvl w:ilvl="1">
      <w:start w:val="1"/>
      <w:numFmt w:val="bullet"/>
      <w:lvlText w:val="•"/>
      <w:lvlJc w:val="left"/>
      <w:pPr>
        <w:ind w:left="1450" w:hanging="361"/>
      </w:pPr>
      <w:rPr>
        <w:rFonts w:hint="default"/>
      </w:rPr>
    </w:lvl>
    <w:lvl w:ilvl="2">
      <w:start w:val="1"/>
      <w:numFmt w:val="bullet"/>
      <w:lvlText w:val="•"/>
      <w:lvlJc w:val="left"/>
      <w:pPr>
        <w:ind w:left="2320" w:hanging="361"/>
      </w:pPr>
      <w:rPr>
        <w:rFonts w:hint="default"/>
      </w:rPr>
    </w:lvl>
    <w:lvl w:ilvl="3">
      <w:start w:val="1"/>
      <w:numFmt w:val="bullet"/>
      <w:lvlText w:val="•"/>
      <w:lvlJc w:val="left"/>
      <w:pPr>
        <w:ind w:left="3190" w:hanging="361"/>
      </w:pPr>
      <w:rPr>
        <w:rFonts w:hint="default"/>
      </w:rPr>
    </w:lvl>
    <w:lvl w:ilvl="4">
      <w:start w:val="1"/>
      <w:numFmt w:val="bullet"/>
      <w:lvlText w:val="•"/>
      <w:lvlJc w:val="left"/>
      <w:pPr>
        <w:ind w:left="4060" w:hanging="361"/>
      </w:pPr>
      <w:rPr>
        <w:rFonts w:hint="default"/>
      </w:rPr>
    </w:lvl>
    <w:lvl w:ilvl="5">
      <w:start w:val="1"/>
      <w:numFmt w:val="bullet"/>
      <w:lvlText w:val="•"/>
      <w:lvlJc w:val="left"/>
      <w:pPr>
        <w:ind w:left="4930" w:hanging="361"/>
      </w:pPr>
      <w:rPr>
        <w:rFonts w:hint="default"/>
      </w:rPr>
    </w:lvl>
    <w:lvl w:ilvl="6">
      <w:start w:val="1"/>
      <w:numFmt w:val="bullet"/>
      <w:lvlText w:val="•"/>
      <w:lvlJc w:val="left"/>
      <w:pPr>
        <w:ind w:left="5800" w:hanging="361"/>
      </w:pPr>
      <w:rPr>
        <w:rFonts w:hint="default"/>
      </w:rPr>
    </w:lvl>
    <w:lvl w:ilvl="7">
      <w:start w:val="1"/>
      <w:numFmt w:val="bullet"/>
      <w:lvlText w:val="•"/>
      <w:lvlJc w:val="left"/>
      <w:pPr>
        <w:ind w:left="6670" w:hanging="361"/>
      </w:pPr>
      <w:rPr>
        <w:rFonts w:hint="default"/>
      </w:rPr>
    </w:lvl>
    <w:lvl w:ilvl="8">
      <w:start w:val="1"/>
      <w:numFmt w:val="bullet"/>
      <w:lvlText w:val="•"/>
      <w:lvlJc w:val="left"/>
      <w:pPr>
        <w:ind w:left="7540" w:hanging="361"/>
      </w:pPr>
      <w:rPr>
        <w:rFonts w:hint="default"/>
      </w:rPr>
    </w:lvl>
  </w:abstractNum>
  <w:abstractNum w:abstractNumId="11">
    <w:multiLevelType w:val="hybridMultilevel"/>
    <w:lvl w:ilvl="0">
      <w:start w:val="1"/>
      <w:numFmt w:val="decimal"/>
      <w:lvlText w:val="%1."/>
      <w:lvlJc w:val="left"/>
      <w:pPr>
        <w:ind w:left="219" w:hanging="707"/>
        <w:jc w:val="left"/>
      </w:pPr>
      <w:rPr>
        <w:rFonts w:hint="default" w:ascii="Arial" w:hAnsi="Arial" w:eastAsia="Arial" w:cs="Arial"/>
        <w:color w:val="333333"/>
        <w:spacing w:val="-29"/>
        <w:w w:val="99"/>
        <w:sz w:val="24"/>
        <w:szCs w:val="24"/>
      </w:rPr>
    </w:lvl>
    <w:lvl w:ilvl="1">
      <w:start w:val="1"/>
      <w:numFmt w:val="bullet"/>
      <w:lvlText w:val=""/>
      <w:lvlJc w:val="left"/>
      <w:pPr>
        <w:ind w:left="940" w:hanging="360"/>
      </w:pPr>
      <w:rPr>
        <w:rFonts w:hint="default" w:ascii="Symbol" w:hAnsi="Symbol" w:eastAsia="Symbol" w:cs="Symbol"/>
        <w:w w:val="100"/>
        <w:sz w:val="24"/>
        <w:szCs w:val="24"/>
      </w:rPr>
    </w:lvl>
    <w:lvl w:ilvl="2">
      <w:start w:val="1"/>
      <w:numFmt w:val="bullet"/>
      <w:lvlText w:val="•"/>
      <w:lvlJc w:val="left"/>
      <w:pPr>
        <w:ind w:left="1866" w:hanging="360"/>
      </w:pPr>
      <w:rPr>
        <w:rFonts w:hint="default"/>
      </w:rPr>
    </w:lvl>
    <w:lvl w:ilvl="3">
      <w:start w:val="1"/>
      <w:numFmt w:val="bullet"/>
      <w:lvlText w:val="•"/>
      <w:lvlJc w:val="left"/>
      <w:pPr>
        <w:ind w:left="2793" w:hanging="360"/>
      </w:pPr>
      <w:rPr>
        <w:rFonts w:hint="default"/>
      </w:rPr>
    </w:lvl>
    <w:lvl w:ilvl="4">
      <w:start w:val="1"/>
      <w:numFmt w:val="bullet"/>
      <w:lvlText w:val="•"/>
      <w:lvlJc w:val="left"/>
      <w:pPr>
        <w:ind w:left="3720" w:hanging="360"/>
      </w:pPr>
      <w:rPr>
        <w:rFonts w:hint="default"/>
      </w:rPr>
    </w:lvl>
    <w:lvl w:ilvl="5">
      <w:start w:val="1"/>
      <w:numFmt w:val="bullet"/>
      <w:lvlText w:val="•"/>
      <w:lvlJc w:val="left"/>
      <w:pPr>
        <w:ind w:left="4646" w:hanging="360"/>
      </w:pPr>
      <w:rPr>
        <w:rFonts w:hint="default"/>
      </w:rPr>
    </w:lvl>
    <w:lvl w:ilvl="6">
      <w:start w:val="1"/>
      <w:numFmt w:val="bullet"/>
      <w:lvlText w:val="•"/>
      <w:lvlJc w:val="left"/>
      <w:pPr>
        <w:ind w:left="5573" w:hanging="360"/>
      </w:pPr>
      <w:rPr>
        <w:rFonts w:hint="default"/>
      </w:rPr>
    </w:lvl>
    <w:lvl w:ilvl="7">
      <w:start w:val="1"/>
      <w:numFmt w:val="bullet"/>
      <w:lvlText w:val="•"/>
      <w:lvlJc w:val="left"/>
      <w:pPr>
        <w:ind w:left="6500" w:hanging="360"/>
      </w:pPr>
      <w:rPr>
        <w:rFonts w:hint="default"/>
      </w:rPr>
    </w:lvl>
    <w:lvl w:ilvl="8">
      <w:start w:val="1"/>
      <w:numFmt w:val="bullet"/>
      <w:lvlText w:val="•"/>
      <w:lvlJc w:val="left"/>
      <w:pPr>
        <w:ind w:left="7426" w:hanging="360"/>
      </w:pPr>
      <w:rPr>
        <w:rFonts w:hint="default"/>
      </w:rPr>
    </w:lvl>
  </w:abstractNum>
  <w:abstractNum w:abstractNumId="10">
    <w:multiLevelType w:val="hybridMultilevel"/>
    <w:lvl w:ilvl="0">
      <w:start w:val="1"/>
      <w:numFmt w:val="bullet"/>
      <w:lvlText w:val="•"/>
      <w:lvlJc w:val="left"/>
      <w:pPr>
        <w:ind w:left="219" w:hanging="707"/>
      </w:pPr>
      <w:rPr>
        <w:rFonts w:hint="default" w:ascii="Arial" w:hAnsi="Arial" w:eastAsia="Arial" w:cs="Arial"/>
        <w:color w:val="333333"/>
        <w:w w:val="99"/>
        <w:sz w:val="24"/>
        <w:szCs w:val="24"/>
      </w:rPr>
    </w:lvl>
    <w:lvl w:ilvl="1">
      <w:start w:val="1"/>
      <w:numFmt w:val="bullet"/>
      <w:lvlText w:val="•"/>
      <w:lvlJc w:val="left"/>
      <w:pPr>
        <w:ind w:left="1126" w:hanging="707"/>
      </w:pPr>
      <w:rPr>
        <w:rFonts w:hint="default"/>
      </w:rPr>
    </w:lvl>
    <w:lvl w:ilvl="2">
      <w:start w:val="1"/>
      <w:numFmt w:val="bullet"/>
      <w:lvlText w:val="•"/>
      <w:lvlJc w:val="left"/>
      <w:pPr>
        <w:ind w:left="2032" w:hanging="707"/>
      </w:pPr>
      <w:rPr>
        <w:rFonts w:hint="default"/>
      </w:rPr>
    </w:lvl>
    <w:lvl w:ilvl="3">
      <w:start w:val="1"/>
      <w:numFmt w:val="bullet"/>
      <w:lvlText w:val="•"/>
      <w:lvlJc w:val="left"/>
      <w:pPr>
        <w:ind w:left="2938" w:hanging="707"/>
      </w:pPr>
      <w:rPr>
        <w:rFonts w:hint="default"/>
      </w:rPr>
    </w:lvl>
    <w:lvl w:ilvl="4">
      <w:start w:val="1"/>
      <w:numFmt w:val="bullet"/>
      <w:lvlText w:val="•"/>
      <w:lvlJc w:val="left"/>
      <w:pPr>
        <w:ind w:left="3844" w:hanging="707"/>
      </w:pPr>
      <w:rPr>
        <w:rFonts w:hint="default"/>
      </w:rPr>
    </w:lvl>
    <w:lvl w:ilvl="5">
      <w:start w:val="1"/>
      <w:numFmt w:val="bullet"/>
      <w:lvlText w:val="•"/>
      <w:lvlJc w:val="left"/>
      <w:pPr>
        <w:ind w:left="4750" w:hanging="707"/>
      </w:pPr>
      <w:rPr>
        <w:rFonts w:hint="default"/>
      </w:rPr>
    </w:lvl>
    <w:lvl w:ilvl="6">
      <w:start w:val="1"/>
      <w:numFmt w:val="bullet"/>
      <w:lvlText w:val="•"/>
      <w:lvlJc w:val="left"/>
      <w:pPr>
        <w:ind w:left="5656" w:hanging="707"/>
      </w:pPr>
      <w:rPr>
        <w:rFonts w:hint="default"/>
      </w:rPr>
    </w:lvl>
    <w:lvl w:ilvl="7">
      <w:start w:val="1"/>
      <w:numFmt w:val="bullet"/>
      <w:lvlText w:val="•"/>
      <w:lvlJc w:val="left"/>
      <w:pPr>
        <w:ind w:left="6562" w:hanging="707"/>
      </w:pPr>
      <w:rPr>
        <w:rFonts w:hint="default"/>
      </w:rPr>
    </w:lvl>
    <w:lvl w:ilvl="8">
      <w:start w:val="1"/>
      <w:numFmt w:val="bullet"/>
      <w:lvlText w:val="•"/>
      <w:lvlJc w:val="left"/>
      <w:pPr>
        <w:ind w:left="7468" w:hanging="707"/>
      </w:pPr>
      <w:rPr>
        <w:rFonts w:hint="default"/>
      </w:rPr>
    </w:lvl>
  </w:abstractNum>
  <w:abstractNum w:abstractNumId="9">
    <w:multiLevelType w:val="hybridMultilevel"/>
    <w:lvl w:ilvl="0">
      <w:start w:val="1"/>
      <w:numFmt w:val="decimal"/>
      <w:lvlText w:val="%1."/>
      <w:lvlJc w:val="left"/>
      <w:pPr>
        <w:ind w:left="940" w:hanging="360"/>
        <w:jc w:val="left"/>
      </w:pPr>
      <w:rPr>
        <w:rFonts w:hint="default"/>
        <w:spacing w:val="-8"/>
        <w:w w:val="99"/>
      </w:rPr>
    </w:lvl>
    <w:lvl w:ilvl="1">
      <w:start w:val="1"/>
      <w:numFmt w:val="bullet"/>
      <w:lvlText w:val="•"/>
      <w:lvlJc w:val="left"/>
      <w:pPr>
        <w:ind w:left="1774" w:hanging="360"/>
      </w:pPr>
      <w:rPr>
        <w:rFonts w:hint="default"/>
      </w:rPr>
    </w:lvl>
    <w:lvl w:ilvl="2">
      <w:start w:val="1"/>
      <w:numFmt w:val="bullet"/>
      <w:lvlText w:val="•"/>
      <w:lvlJc w:val="left"/>
      <w:pPr>
        <w:ind w:left="2608" w:hanging="360"/>
      </w:pPr>
      <w:rPr>
        <w:rFonts w:hint="default"/>
      </w:rPr>
    </w:lvl>
    <w:lvl w:ilvl="3">
      <w:start w:val="1"/>
      <w:numFmt w:val="bullet"/>
      <w:lvlText w:val="•"/>
      <w:lvlJc w:val="left"/>
      <w:pPr>
        <w:ind w:left="3442" w:hanging="360"/>
      </w:pPr>
      <w:rPr>
        <w:rFonts w:hint="default"/>
      </w:rPr>
    </w:lvl>
    <w:lvl w:ilvl="4">
      <w:start w:val="1"/>
      <w:numFmt w:val="bullet"/>
      <w:lvlText w:val="•"/>
      <w:lvlJc w:val="left"/>
      <w:pPr>
        <w:ind w:left="4276" w:hanging="360"/>
      </w:pPr>
      <w:rPr>
        <w:rFonts w:hint="default"/>
      </w:rPr>
    </w:lvl>
    <w:lvl w:ilvl="5">
      <w:start w:val="1"/>
      <w:numFmt w:val="bullet"/>
      <w:lvlText w:val="•"/>
      <w:lvlJc w:val="left"/>
      <w:pPr>
        <w:ind w:left="5110" w:hanging="360"/>
      </w:pPr>
      <w:rPr>
        <w:rFonts w:hint="default"/>
      </w:rPr>
    </w:lvl>
    <w:lvl w:ilvl="6">
      <w:start w:val="1"/>
      <w:numFmt w:val="bullet"/>
      <w:lvlText w:val="•"/>
      <w:lvlJc w:val="left"/>
      <w:pPr>
        <w:ind w:left="5944" w:hanging="360"/>
      </w:pPr>
      <w:rPr>
        <w:rFonts w:hint="default"/>
      </w:rPr>
    </w:lvl>
    <w:lvl w:ilvl="7">
      <w:start w:val="1"/>
      <w:numFmt w:val="bullet"/>
      <w:lvlText w:val="•"/>
      <w:lvlJc w:val="left"/>
      <w:pPr>
        <w:ind w:left="6778" w:hanging="360"/>
      </w:pPr>
      <w:rPr>
        <w:rFonts w:hint="default"/>
      </w:rPr>
    </w:lvl>
    <w:lvl w:ilvl="8">
      <w:start w:val="1"/>
      <w:numFmt w:val="bullet"/>
      <w:lvlText w:val="•"/>
      <w:lvlJc w:val="left"/>
      <w:pPr>
        <w:ind w:left="7612" w:hanging="360"/>
      </w:pPr>
      <w:rPr>
        <w:rFonts w:hint="default"/>
      </w:rPr>
    </w:lvl>
  </w:abstractNum>
  <w:abstractNum w:abstractNumId="7">
    <w:multiLevelType w:val="hybridMultilevel"/>
    <w:lvl w:ilvl="0">
      <w:start w:val="1"/>
      <w:numFmt w:val="upperLetter"/>
      <w:lvlText w:val="%1)"/>
      <w:lvlJc w:val="left"/>
      <w:pPr>
        <w:ind w:left="940" w:hanging="360"/>
        <w:jc w:val="left"/>
      </w:pPr>
      <w:rPr>
        <w:rFonts w:hint="default" w:ascii="Arial" w:hAnsi="Arial" w:eastAsia="Arial" w:cs="Arial"/>
        <w:b/>
        <w:bCs/>
        <w:spacing w:val="-6"/>
        <w:w w:val="99"/>
        <w:sz w:val="24"/>
        <w:szCs w:val="24"/>
      </w:rPr>
    </w:lvl>
    <w:lvl w:ilvl="1">
      <w:start w:val="1"/>
      <w:numFmt w:val="decimal"/>
      <w:lvlText w:val="%2."/>
      <w:lvlJc w:val="left"/>
      <w:pPr>
        <w:ind w:left="1146" w:hanging="360"/>
        <w:jc w:val="left"/>
      </w:pPr>
      <w:rPr>
        <w:rFonts w:hint="default" w:ascii="Calibri" w:hAnsi="Calibri" w:eastAsia="Calibri" w:cs="Calibri"/>
        <w:spacing w:val="-25"/>
        <w:w w:val="100"/>
        <w:sz w:val="24"/>
        <w:szCs w:val="24"/>
      </w:rPr>
    </w:lvl>
    <w:lvl w:ilvl="2">
      <w:start w:val="1"/>
      <w:numFmt w:val="bullet"/>
      <w:lvlText w:val="•"/>
      <w:lvlJc w:val="left"/>
      <w:pPr>
        <w:ind w:left="2044" w:hanging="360"/>
      </w:pPr>
      <w:rPr>
        <w:rFonts w:hint="default"/>
      </w:rPr>
    </w:lvl>
    <w:lvl w:ilvl="3">
      <w:start w:val="1"/>
      <w:numFmt w:val="bullet"/>
      <w:lvlText w:val="•"/>
      <w:lvlJc w:val="left"/>
      <w:pPr>
        <w:ind w:left="2948" w:hanging="360"/>
      </w:pPr>
      <w:rPr>
        <w:rFonts w:hint="default"/>
      </w:rPr>
    </w:lvl>
    <w:lvl w:ilvl="4">
      <w:start w:val="1"/>
      <w:numFmt w:val="bullet"/>
      <w:lvlText w:val="•"/>
      <w:lvlJc w:val="left"/>
      <w:pPr>
        <w:ind w:left="3853" w:hanging="360"/>
      </w:pPr>
      <w:rPr>
        <w:rFonts w:hint="default"/>
      </w:rPr>
    </w:lvl>
    <w:lvl w:ilvl="5">
      <w:start w:val="1"/>
      <w:numFmt w:val="bullet"/>
      <w:lvlText w:val="•"/>
      <w:lvlJc w:val="left"/>
      <w:pPr>
        <w:ind w:left="4757" w:hanging="360"/>
      </w:pPr>
      <w:rPr>
        <w:rFonts w:hint="default"/>
      </w:rPr>
    </w:lvl>
    <w:lvl w:ilvl="6">
      <w:start w:val="1"/>
      <w:numFmt w:val="bullet"/>
      <w:lvlText w:val="•"/>
      <w:lvlJc w:val="left"/>
      <w:pPr>
        <w:ind w:left="5662" w:hanging="360"/>
      </w:pPr>
      <w:rPr>
        <w:rFonts w:hint="default"/>
      </w:rPr>
    </w:lvl>
    <w:lvl w:ilvl="7">
      <w:start w:val="1"/>
      <w:numFmt w:val="bullet"/>
      <w:lvlText w:val="•"/>
      <w:lvlJc w:val="left"/>
      <w:pPr>
        <w:ind w:left="6566" w:hanging="360"/>
      </w:pPr>
      <w:rPr>
        <w:rFonts w:hint="default"/>
      </w:rPr>
    </w:lvl>
    <w:lvl w:ilvl="8">
      <w:start w:val="1"/>
      <w:numFmt w:val="bullet"/>
      <w:lvlText w:val="•"/>
      <w:lvlJc w:val="left"/>
      <w:pPr>
        <w:ind w:left="7471" w:hanging="360"/>
      </w:pPr>
      <w:rPr>
        <w:rFonts w:hint="default"/>
      </w:rPr>
    </w:lvl>
  </w:abstractNum>
  <w:abstractNum w:abstractNumId="4">
    <w:multiLevelType w:val="hybridMultilevel"/>
    <w:lvl w:ilvl="0">
      <w:start w:val="3"/>
      <w:numFmt w:val="decimal"/>
      <w:lvlText w:val="%1"/>
      <w:lvlJc w:val="left"/>
      <w:pPr>
        <w:ind w:left="623" w:hanging="404"/>
        <w:jc w:val="left"/>
      </w:pPr>
      <w:rPr>
        <w:rFonts w:hint="default"/>
      </w:rPr>
    </w:lvl>
    <w:lvl w:ilvl="1">
      <w:start w:val="4"/>
      <w:numFmt w:val="decimal"/>
      <w:lvlText w:val="%1.%2"/>
      <w:lvlJc w:val="left"/>
      <w:pPr>
        <w:ind w:left="623" w:hanging="404"/>
        <w:jc w:val="left"/>
      </w:pPr>
      <w:rPr>
        <w:rFonts w:hint="default" w:ascii="Arial" w:hAnsi="Arial" w:eastAsia="Arial" w:cs="Arial"/>
        <w:b/>
        <w:bCs/>
        <w:w w:val="99"/>
        <w:sz w:val="24"/>
        <w:szCs w:val="24"/>
      </w:rPr>
    </w:lvl>
    <w:lvl w:ilvl="2">
      <w:start w:val="1"/>
      <w:numFmt w:val="decimal"/>
      <w:lvlText w:val="%1.%2.%3"/>
      <w:lvlJc w:val="left"/>
      <w:pPr>
        <w:ind w:left="756" w:hanging="537"/>
        <w:jc w:val="left"/>
      </w:pPr>
      <w:rPr>
        <w:rFonts w:hint="default" w:ascii="Arial" w:hAnsi="Arial" w:eastAsia="Arial" w:cs="Arial"/>
        <w:b/>
        <w:bCs/>
        <w:w w:val="99"/>
        <w:sz w:val="24"/>
        <w:szCs w:val="24"/>
      </w:rPr>
    </w:lvl>
    <w:lvl w:ilvl="3">
      <w:start w:val="1"/>
      <w:numFmt w:val="bullet"/>
      <w:lvlText w:val="•"/>
      <w:lvlJc w:val="left"/>
      <w:pPr>
        <w:ind w:left="2653" w:hanging="537"/>
      </w:pPr>
      <w:rPr>
        <w:rFonts w:hint="default"/>
      </w:rPr>
    </w:lvl>
    <w:lvl w:ilvl="4">
      <w:start w:val="1"/>
      <w:numFmt w:val="bullet"/>
      <w:lvlText w:val="•"/>
      <w:lvlJc w:val="left"/>
      <w:pPr>
        <w:ind w:left="3600" w:hanging="537"/>
      </w:pPr>
      <w:rPr>
        <w:rFonts w:hint="default"/>
      </w:rPr>
    </w:lvl>
    <w:lvl w:ilvl="5">
      <w:start w:val="1"/>
      <w:numFmt w:val="bullet"/>
      <w:lvlText w:val="•"/>
      <w:lvlJc w:val="left"/>
      <w:pPr>
        <w:ind w:left="4546" w:hanging="537"/>
      </w:pPr>
      <w:rPr>
        <w:rFonts w:hint="default"/>
      </w:rPr>
    </w:lvl>
    <w:lvl w:ilvl="6">
      <w:start w:val="1"/>
      <w:numFmt w:val="bullet"/>
      <w:lvlText w:val="•"/>
      <w:lvlJc w:val="left"/>
      <w:pPr>
        <w:ind w:left="5493" w:hanging="537"/>
      </w:pPr>
      <w:rPr>
        <w:rFonts w:hint="default"/>
      </w:rPr>
    </w:lvl>
    <w:lvl w:ilvl="7">
      <w:start w:val="1"/>
      <w:numFmt w:val="bullet"/>
      <w:lvlText w:val="•"/>
      <w:lvlJc w:val="left"/>
      <w:pPr>
        <w:ind w:left="6440" w:hanging="537"/>
      </w:pPr>
      <w:rPr>
        <w:rFonts w:hint="default"/>
      </w:rPr>
    </w:lvl>
    <w:lvl w:ilvl="8">
      <w:start w:val="1"/>
      <w:numFmt w:val="bullet"/>
      <w:lvlText w:val="•"/>
      <w:lvlJc w:val="left"/>
      <w:pPr>
        <w:ind w:left="7386" w:hanging="537"/>
      </w:pPr>
      <w:rPr>
        <w:rFonts w:hint="default"/>
      </w:rPr>
    </w:lvl>
  </w:abstractNum>
  <w:abstractNum w:abstractNumId="3">
    <w:multiLevelType w:val="hybridMultilevel"/>
    <w:lvl w:ilvl="0">
      <w:start w:val="3"/>
      <w:numFmt w:val="decimal"/>
      <w:lvlText w:val="%1"/>
      <w:lvlJc w:val="left"/>
      <w:pPr>
        <w:ind w:left="621" w:hanging="403"/>
        <w:jc w:val="left"/>
      </w:pPr>
      <w:rPr>
        <w:rFonts w:hint="default"/>
      </w:rPr>
    </w:lvl>
    <w:lvl w:ilvl="1">
      <w:start w:val="1"/>
      <w:numFmt w:val="decimal"/>
      <w:lvlText w:val="%1.%2"/>
      <w:lvlJc w:val="left"/>
      <w:pPr>
        <w:ind w:left="621" w:hanging="403"/>
        <w:jc w:val="left"/>
      </w:pPr>
      <w:rPr>
        <w:rFonts w:hint="default" w:ascii="Arial" w:hAnsi="Arial" w:eastAsia="Arial" w:cs="Arial"/>
        <w:b/>
        <w:bCs/>
        <w:w w:val="99"/>
        <w:sz w:val="24"/>
        <w:szCs w:val="24"/>
      </w:rPr>
    </w:lvl>
    <w:lvl w:ilvl="2">
      <w:start w:val="1"/>
      <w:numFmt w:val="bullet"/>
      <w:lvlText w:val="•"/>
      <w:lvlJc w:val="left"/>
      <w:pPr>
        <w:ind w:left="1760" w:hanging="403"/>
      </w:pPr>
      <w:rPr>
        <w:rFonts w:hint="default"/>
      </w:rPr>
    </w:lvl>
    <w:lvl w:ilvl="3">
      <w:start w:val="1"/>
      <w:numFmt w:val="bullet"/>
      <w:lvlText w:val="•"/>
      <w:lvlJc w:val="left"/>
      <w:pPr>
        <w:ind w:left="2700" w:hanging="403"/>
      </w:pPr>
      <w:rPr>
        <w:rFonts w:hint="default"/>
      </w:rPr>
    </w:lvl>
    <w:lvl w:ilvl="4">
      <w:start w:val="1"/>
      <w:numFmt w:val="bullet"/>
      <w:lvlText w:val="•"/>
      <w:lvlJc w:val="left"/>
      <w:pPr>
        <w:ind w:left="3640" w:hanging="403"/>
      </w:pPr>
      <w:rPr>
        <w:rFonts w:hint="default"/>
      </w:rPr>
    </w:lvl>
    <w:lvl w:ilvl="5">
      <w:start w:val="1"/>
      <w:numFmt w:val="bullet"/>
      <w:lvlText w:val="•"/>
      <w:lvlJc w:val="left"/>
      <w:pPr>
        <w:ind w:left="4580" w:hanging="403"/>
      </w:pPr>
      <w:rPr>
        <w:rFonts w:hint="default"/>
      </w:rPr>
    </w:lvl>
    <w:lvl w:ilvl="6">
      <w:start w:val="1"/>
      <w:numFmt w:val="bullet"/>
      <w:lvlText w:val="•"/>
      <w:lvlJc w:val="left"/>
      <w:pPr>
        <w:ind w:left="5520" w:hanging="403"/>
      </w:pPr>
      <w:rPr>
        <w:rFonts w:hint="default"/>
      </w:rPr>
    </w:lvl>
    <w:lvl w:ilvl="7">
      <w:start w:val="1"/>
      <w:numFmt w:val="bullet"/>
      <w:lvlText w:val="•"/>
      <w:lvlJc w:val="left"/>
      <w:pPr>
        <w:ind w:left="6460" w:hanging="403"/>
      </w:pPr>
      <w:rPr>
        <w:rFonts w:hint="default"/>
      </w:rPr>
    </w:lvl>
    <w:lvl w:ilvl="8">
      <w:start w:val="1"/>
      <w:numFmt w:val="bullet"/>
      <w:lvlText w:val="•"/>
      <w:lvlJc w:val="left"/>
      <w:pPr>
        <w:ind w:left="7400" w:hanging="403"/>
      </w:pPr>
      <w:rPr>
        <w:rFonts w:hint="default"/>
      </w:rPr>
    </w:lvl>
  </w:abstractNum>
  <w:abstractNum w:abstractNumId="2">
    <w:multiLevelType w:val="hybridMultilevel"/>
    <w:lvl w:ilvl="0">
      <w:start w:val="2"/>
      <w:numFmt w:val="decimal"/>
      <w:lvlText w:val="%1"/>
      <w:lvlJc w:val="left"/>
      <w:pPr>
        <w:ind w:left="623" w:hanging="404"/>
        <w:jc w:val="left"/>
      </w:pPr>
      <w:rPr>
        <w:rFonts w:hint="default"/>
      </w:rPr>
    </w:lvl>
    <w:lvl w:ilvl="1">
      <w:start w:val="1"/>
      <w:numFmt w:val="decimal"/>
      <w:lvlText w:val="%1.%2"/>
      <w:lvlJc w:val="left"/>
      <w:pPr>
        <w:ind w:left="623" w:hanging="404"/>
        <w:jc w:val="left"/>
      </w:pPr>
      <w:rPr>
        <w:rFonts w:hint="default"/>
        <w:b/>
        <w:bCs/>
        <w:w w:val="99"/>
      </w:rPr>
    </w:lvl>
    <w:lvl w:ilvl="2">
      <w:start w:val="1"/>
      <w:numFmt w:val="bullet"/>
      <w:lvlText w:val="•"/>
      <w:lvlJc w:val="left"/>
      <w:pPr>
        <w:ind w:left="2352" w:hanging="404"/>
      </w:pPr>
      <w:rPr>
        <w:rFonts w:hint="default"/>
      </w:rPr>
    </w:lvl>
    <w:lvl w:ilvl="3">
      <w:start w:val="1"/>
      <w:numFmt w:val="bullet"/>
      <w:lvlText w:val="•"/>
      <w:lvlJc w:val="left"/>
      <w:pPr>
        <w:ind w:left="3218" w:hanging="404"/>
      </w:pPr>
      <w:rPr>
        <w:rFonts w:hint="default"/>
      </w:rPr>
    </w:lvl>
    <w:lvl w:ilvl="4">
      <w:start w:val="1"/>
      <w:numFmt w:val="bullet"/>
      <w:lvlText w:val="•"/>
      <w:lvlJc w:val="left"/>
      <w:pPr>
        <w:ind w:left="4084" w:hanging="404"/>
      </w:pPr>
      <w:rPr>
        <w:rFonts w:hint="default"/>
      </w:rPr>
    </w:lvl>
    <w:lvl w:ilvl="5">
      <w:start w:val="1"/>
      <w:numFmt w:val="bullet"/>
      <w:lvlText w:val="•"/>
      <w:lvlJc w:val="left"/>
      <w:pPr>
        <w:ind w:left="4950" w:hanging="404"/>
      </w:pPr>
      <w:rPr>
        <w:rFonts w:hint="default"/>
      </w:rPr>
    </w:lvl>
    <w:lvl w:ilvl="6">
      <w:start w:val="1"/>
      <w:numFmt w:val="bullet"/>
      <w:lvlText w:val="•"/>
      <w:lvlJc w:val="left"/>
      <w:pPr>
        <w:ind w:left="5816" w:hanging="404"/>
      </w:pPr>
      <w:rPr>
        <w:rFonts w:hint="default"/>
      </w:rPr>
    </w:lvl>
    <w:lvl w:ilvl="7">
      <w:start w:val="1"/>
      <w:numFmt w:val="bullet"/>
      <w:lvlText w:val="•"/>
      <w:lvlJc w:val="left"/>
      <w:pPr>
        <w:ind w:left="6682" w:hanging="404"/>
      </w:pPr>
      <w:rPr>
        <w:rFonts w:hint="default"/>
      </w:rPr>
    </w:lvl>
    <w:lvl w:ilvl="8">
      <w:start w:val="1"/>
      <w:numFmt w:val="bullet"/>
      <w:lvlText w:val="•"/>
      <w:lvlJc w:val="left"/>
      <w:pPr>
        <w:ind w:left="7548" w:hanging="404"/>
      </w:pPr>
      <w:rPr>
        <w:rFonts w:hint="default"/>
      </w:rPr>
    </w:lvl>
  </w:abstractNum>
  <w:abstractNum w:abstractNumId="1">
    <w:multiLevelType w:val="hybridMultilevel"/>
    <w:lvl w:ilvl="0">
      <w:start w:val="1"/>
      <w:numFmt w:val="decimal"/>
      <w:lvlText w:val="%1"/>
      <w:lvlJc w:val="left"/>
      <w:pPr>
        <w:ind w:left="623" w:hanging="404"/>
        <w:jc w:val="left"/>
      </w:pPr>
      <w:rPr>
        <w:rFonts w:hint="default"/>
      </w:rPr>
    </w:lvl>
    <w:lvl w:ilvl="1">
      <w:start w:val="1"/>
      <w:numFmt w:val="decimal"/>
      <w:lvlText w:val="%1.%2"/>
      <w:lvlJc w:val="left"/>
      <w:pPr>
        <w:ind w:left="623" w:hanging="404"/>
        <w:jc w:val="left"/>
      </w:pPr>
      <w:rPr>
        <w:rFonts w:hint="default" w:ascii="Arial" w:hAnsi="Arial" w:eastAsia="Arial" w:cs="Arial"/>
        <w:b/>
        <w:bCs/>
        <w:w w:val="99"/>
        <w:sz w:val="24"/>
        <w:szCs w:val="24"/>
      </w:rPr>
    </w:lvl>
    <w:lvl w:ilvl="2">
      <w:start w:val="1"/>
      <w:numFmt w:val="bullet"/>
      <w:lvlText w:val="•"/>
      <w:lvlJc w:val="left"/>
      <w:pPr>
        <w:ind w:left="2352" w:hanging="404"/>
      </w:pPr>
      <w:rPr>
        <w:rFonts w:hint="default"/>
      </w:rPr>
    </w:lvl>
    <w:lvl w:ilvl="3">
      <w:start w:val="1"/>
      <w:numFmt w:val="bullet"/>
      <w:lvlText w:val="•"/>
      <w:lvlJc w:val="left"/>
      <w:pPr>
        <w:ind w:left="3218" w:hanging="404"/>
      </w:pPr>
      <w:rPr>
        <w:rFonts w:hint="default"/>
      </w:rPr>
    </w:lvl>
    <w:lvl w:ilvl="4">
      <w:start w:val="1"/>
      <w:numFmt w:val="bullet"/>
      <w:lvlText w:val="•"/>
      <w:lvlJc w:val="left"/>
      <w:pPr>
        <w:ind w:left="4084" w:hanging="404"/>
      </w:pPr>
      <w:rPr>
        <w:rFonts w:hint="default"/>
      </w:rPr>
    </w:lvl>
    <w:lvl w:ilvl="5">
      <w:start w:val="1"/>
      <w:numFmt w:val="bullet"/>
      <w:lvlText w:val="•"/>
      <w:lvlJc w:val="left"/>
      <w:pPr>
        <w:ind w:left="4950" w:hanging="404"/>
      </w:pPr>
      <w:rPr>
        <w:rFonts w:hint="default"/>
      </w:rPr>
    </w:lvl>
    <w:lvl w:ilvl="6">
      <w:start w:val="1"/>
      <w:numFmt w:val="bullet"/>
      <w:lvlText w:val="•"/>
      <w:lvlJc w:val="left"/>
      <w:pPr>
        <w:ind w:left="5816" w:hanging="404"/>
      </w:pPr>
      <w:rPr>
        <w:rFonts w:hint="default"/>
      </w:rPr>
    </w:lvl>
    <w:lvl w:ilvl="7">
      <w:start w:val="1"/>
      <w:numFmt w:val="bullet"/>
      <w:lvlText w:val="•"/>
      <w:lvlJc w:val="left"/>
      <w:pPr>
        <w:ind w:left="6682" w:hanging="404"/>
      </w:pPr>
      <w:rPr>
        <w:rFonts w:hint="default"/>
      </w:rPr>
    </w:lvl>
    <w:lvl w:ilvl="8">
      <w:start w:val="1"/>
      <w:numFmt w:val="bullet"/>
      <w:lvlText w:val="•"/>
      <w:lvlJc w:val="left"/>
      <w:pPr>
        <w:ind w:left="7548" w:hanging="404"/>
      </w:pPr>
      <w:rPr>
        <w:rFonts w:hint="default"/>
      </w:rPr>
    </w:lvl>
  </w:abstractNum>
  <w:abstractNum w:abstractNumId="0">
    <w:multiLevelType w:val="hybridMultilevel"/>
    <w:lvl w:ilvl="0">
      <w:start w:val="13"/>
      <w:numFmt w:val="upperLetter"/>
      <w:lvlText w:val="%1."/>
      <w:lvlJc w:val="left"/>
      <w:pPr>
        <w:ind w:left="1938" w:hanging="360"/>
        <w:jc w:val="left"/>
      </w:pPr>
      <w:rPr>
        <w:rFonts w:hint="default" w:ascii="Arial" w:hAnsi="Arial" w:eastAsia="Arial" w:cs="Arial"/>
        <w:b/>
        <w:bCs/>
        <w:w w:val="99"/>
        <w:sz w:val="26"/>
        <w:szCs w:val="26"/>
      </w:rPr>
    </w:lvl>
    <w:lvl w:ilvl="1">
      <w:start w:val="1"/>
      <w:numFmt w:val="upperRoman"/>
      <w:lvlText w:val="%2"/>
      <w:lvlJc w:val="left"/>
      <w:pPr>
        <w:ind w:left="3806" w:hanging="202"/>
        <w:jc w:val="right"/>
      </w:pPr>
      <w:rPr>
        <w:rFonts w:hint="default"/>
        <w:b/>
        <w:bCs/>
        <w:spacing w:val="-5"/>
        <w:w w:val="99"/>
      </w:rPr>
    </w:lvl>
    <w:lvl w:ilvl="2">
      <w:start w:val="1"/>
      <w:numFmt w:val="bullet"/>
      <w:lvlText w:val="•"/>
      <w:lvlJc w:val="left"/>
      <w:pPr>
        <w:ind w:left="4408" w:hanging="202"/>
      </w:pPr>
      <w:rPr>
        <w:rFonts w:hint="default"/>
      </w:rPr>
    </w:lvl>
    <w:lvl w:ilvl="3">
      <w:start w:val="1"/>
      <w:numFmt w:val="bullet"/>
      <w:lvlText w:val="•"/>
      <w:lvlJc w:val="left"/>
      <w:pPr>
        <w:ind w:left="5017" w:hanging="202"/>
      </w:pPr>
      <w:rPr>
        <w:rFonts w:hint="default"/>
      </w:rPr>
    </w:lvl>
    <w:lvl w:ilvl="4">
      <w:start w:val="1"/>
      <w:numFmt w:val="bullet"/>
      <w:lvlText w:val="•"/>
      <w:lvlJc w:val="left"/>
      <w:pPr>
        <w:ind w:left="5626" w:hanging="202"/>
      </w:pPr>
      <w:rPr>
        <w:rFonts w:hint="default"/>
      </w:rPr>
    </w:lvl>
    <w:lvl w:ilvl="5">
      <w:start w:val="1"/>
      <w:numFmt w:val="bullet"/>
      <w:lvlText w:val="•"/>
      <w:lvlJc w:val="left"/>
      <w:pPr>
        <w:ind w:left="6235" w:hanging="202"/>
      </w:pPr>
      <w:rPr>
        <w:rFonts w:hint="default"/>
      </w:rPr>
    </w:lvl>
    <w:lvl w:ilvl="6">
      <w:start w:val="1"/>
      <w:numFmt w:val="bullet"/>
      <w:lvlText w:val="•"/>
      <w:lvlJc w:val="left"/>
      <w:pPr>
        <w:ind w:left="6844" w:hanging="202"/>
      </w:pPr>
      <w:rPr>
        <w:rFonts w:hint="default"/>
      </w:rPr>
    </w:lvl>
    <w:lvl w:ilvl="7">
      <w:start w:val="1"/>
      <w:numFmt w:val="bullet"/>
      <w:lvlText w:val="•"/>
      <w:lvlJc w:val="left"/>
      <w:pPr>
        <w:ind w:left="7453" w:hanging="202"/>
      </w:pPr>
      <w:rPr>
        <w:rFonts w:hint="default"/>
      </w:rPr>
    </w:lvl>
    <w:lvl w:ilvl="8">
      <w:start w:val="1"/>
      <w:numFmt w:val="bullet"/>
      <w:lvlText w:val="•"/>
      <w:lvlJc w:val="left"/>
      <w:pPr>
        <w:ind w:left="8062" w:hanging="202"/>
      </w:pPr>
      <w:rPr>
        <w:rFonts w:hint="default"/>
      </w:rPr>
    </w:lvl>
  </w:abstractNum>
  <w:num w:numId="9">
    <w:abstractNumId w:val="8"/>
  </w:num>
  <w:num w:numId="6">
    <w:abstractNumId w:val="5"/>
  </w:num>
  <w:num w:numId="7">
    <w:abstractNumId w:val="6"/>
  </w:num>
  <w:num w:numId="13">
    <w:abstractNumId w:val="12"/>
  </w:num>
  <w:num w:numId="12">
    <w:abstractNumId w:val="11"/>
  </w:num>
  <w:num w:numId="11">
    <w:abstractNumId w:val="10"/>
  </w:num>
  <w:num w:numId="10">
    <w:abstractNumId w:val="9"/>
  </w:num>
  <w:num w:numId="8">
    <w:abstractNumId w:val="7"/>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3"/>
      <w:ind w:left="581" w:hanging="495"/>
      <w:jc w:val="center"/>
      <w:outlineLvl w:val="1"/>
    </w:pPr>
    <w:rPr>
      <w:rFonts w:ascii="Arial" w:hAnsi="Arial" w:eastAsia="Arial" w:cs="Arial"/>
      <w:b/>
      <w:bCs/>
      <w:sz w:val="28"/>
      <w:szCs w:val="28"/>
    </w:rPr>
  </w:style>
  <w:style w:styleId="Heading2" w:type="paragraph">
    <w:name w:val="Heading 2"/>
    <w:basedOn w:val="Normal"/>
    <w:uiPriority w:val="1"/>
    <w:qFormat/>
    <w:pPr>
      <w:ind w:left="219"/>
      <w:outlineLvl w:val="2"/>
    </w:pPr>
    <w:rPr>
      <w:rFonts w:ascii="Arial" w:hAnsi="Arial" w:eastAsia="Arial" w:cs="Arial"/>
      <w:b/>
      <w:bCs/>
      <w:sz w:val="24"/>
      <w:szCs w:val="24"/>
    </w:rPr>
  </w:style>
  <w:style w:styleId="Heading3" w:type="paragraph">
    <w:name w:val="Heading 3"/>
    <w:basedOn w:val="Normal"/>
    <w:uiPriority w:val="1"/>
    <w:qFormat/>
    <w:pPr>
      <w:spacing w:before="69"/>
      <w:ind w:left="623" w:hanging="404"/>
      <w:jc w:val="both"/>
      <w:outlineLvl w:val="3"/>
    </w:pPr>
    <w:rPr>
      <w:rFonts w:ascii="Arial" w:hAnsi="Arial" w:eastAsia="Arial" w:cs="Arial"/>
      <w:b/>
      <w:bCs/>
      <w:i/>
      <w:sz w:val="24"/>
      <w:szCs w:val="24"/>
    </w:rPr>
  </w:style>
  <w:style w:styleId="ListParagraph" w:type="paragraph">
    <w:name w:val="List Paragraph"/>
    <w:basedOn w:val="Normal"/>
    <w:uiPriority w:val="1"/>
    <w:qFormat/>
    <w:pPr>
      <w:spacing w:before="3"/>
      <w:ind w:left="580" w:hanging="361"/>
    </w:pPr>
    <w:rPr>
      <w:rFonts w:ascii="Arial" w:hAnsi="Arial" w:eastAsia="Arial" w:cs="Arial"/>
    </w:rPr>
  </w:style>
  <w:style w:styleId="TableParagraph" w:type="paragraph">
    <w:name w:val="Table Paragraph"/>
    <w:basedOn w:val="Normal"/>
    <w:uiPriority w:val="1"/>
    <w:qFormat/>
    <w:pPr>
      <w:spacing w:line="225" w:lineRule="exac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footer" Target="footer7.xml"/><Relationship Id="rId15" Type="http://schemas.openxmlformats.org/officeDocument/2006/relationships/footer" Target="footer8.xml"/><Relationship Id="rId16" Type="http://schemas.openxmlformats.org/officeDocument/2006/relationships/footer" Target="footer9.xml"/><Relationship Id="rId17" Type="http://schemas.openxmlformats.org/officeDocument/2006/relationships/image" Target="media/image3.jpeg"/><Relationship Id="rId18" Type="http://schemas.openxmlformats.org/officeDocument/2006/relationships/image" Target="media/image4.jpeg"/><Relationship Id="rId19" Type="http://schemas.openxmlformats.org/officeDocument/2006/relationships/footer" Target="footer10.xml"/><Relationship Id="rId20" Type="http://schemas.openxmlformats.org/officeDocument/2006/relationships/image" Target="media/image5.jpeg"/><Relationship Id="rId21" Type="http://schemas.openxmlformats.org/officeDocument/2006/relationships/image" Target="media/image6.png"/><Relationship Id="rId22" Type="http://schemas.openxmlformats.org/officeDocument/2006/relationships/image" Target="media/image7.png"/><Relationship Id="rId23" Type="http://schemas.openxmlformats.org/officeDocument/2006/relationships/image" Target="media/image8.png"/><Relationship Id="rId24" Type="http://schemas.openxmlformats.org/officeDocument/2006/relationships/image" Target="media/image9.png"/><Relationship Id="rId25" Type="http://schemas.openxmlformats.org/officeDocument/2006/relationships/image" Target="media/image10.png"/><Relationship Id="rId26" Type="http://schemas.openxmlformats.org/officeDocument/2006/relationships/image" Target="media/image11.jpeg"/><Relationship Id="rId27" Type="http://schemas.openxmlformats.org/officeDocument/2006/relationships/image" Target="media/image12.png"/><Relationship Id="rId28" Type="http://schemas.openxmlformats.org/officeDocument/2006/relationships/image" Target="media/image13.png"/><Relationship Id="rId29" Type="http://schemas.openxmlformats.org/officeDocument/2006/relationships/footer" Target="footer11.xml"/><Relationship Id="rId30" Type="http://schemas.openxmlformats.org/officeDocument/2006/relationships/image" Target="media/image14.png"/><Relationship Id="rId31" Type="http://schemas.openxmlformats.org/officeDocument/2006/relationships/image" Target="media/image15.png"/><Relationship Id="rId32" Type="http://schemas.openxmlformats.org/officeDocument/2006/relationships/image" Target="media/image16.png"/><Relationship Id="rId33" Type="http://schemas.openxmlformats.org/officeDocument/2006/relationships/image" Target="media/image17.png"/><Relationship Id="rId34" Type="http://schemas.openxmlformats.org/officeDocument/2006/relationships/image" Target="media/image18.jpeg"/><Relationship Id="rId35" Type="http://schemas.openxmlformats.org/officeDocument/2006/relationships/image" Target="media/image19.jpeg"/><Relationship Id="rId36" Type="http://schemas.openxmlformats.org/officeDocument/2006/relationships/image" Target="media/image20.jpeg"/><Relationship Id="rId37" Type="http://schemas.openxmlformats.org/officeDocument/2006/relationships/image" Target="media/image21.png"/><Relationship Id="rId38" Type="http://schemas.openxmlformats.org/officeDocument/2006/relationships/image" Target="media/image22.png"/><Relationship Id="rId39" Type="http://schemas.openxmlformats.org/officeDocument/2006/relationships/image" Target="media/image23.png"/><Relationship Id="rId40" Type="http://schemas.openxmlformats.org/officeDocument/2006/relationships/image" Target="media/image24.png"/><Relationship Id="rId41" Type="http://schemas.openxmlformats.org/officeDocument/2006/relationships/image" Target="media/image25.jpeg"/><Relationship Id="rId42" Type="http://schemas.openxmlformats.org/officeDocument/2006/relationships/image" Target="media/image26.jpeg"/><Relationship Id="rId43" Type="http://schemas.openxmlformats.org/officeDocument/2006/relationships/image" Target="media/image27.jpeg"/><Relationship Id="rId44" Type="http://schemas.openxmlformats.org/officeDocument/2006/relationships/image" Target="media/image28.jpeg"/><Relationship Id="rId45" Type="http://schemas.openxmlformats.org/officeDocument/2006/relationships/image" Target="media/image29.jpeg"/><Relationship Id="rId46" Type="http://schemas.openxmlformats.org/officeDocument/2006/relationships/image" Target="media/image30.jpeg"/><Relationship Id="rId47" Type="http://schemas.openxmlformats.org/officeDocument/2006/relationships/image" Target="media/image31.jpeg"/><Relationship Id="rId48" Type="http://schemas.openxmlformats.org/officeDocument/2006/relationships/image" Target="media/image32.jpeg"/><Relationship Id="rId49" Type="http://schemas.openxmlformats.org/officeDocument/2006/relationships/image" Target="media/image33.png"/><Relationship Id="rId50" Type="http://schemas.openxmlformats.org/officeDocument/2006/relationships/image" Target="media/image34.png"/><Relationship Id="rId51" Type="http://schemas.openxmlformats.org/officeDocument/2006/relationships/hyperlink" Target="mailto:glml20@hotmail.com" TargetMode="External"/><Relationship Id="rId52" Type="http://schemas.openxmlformats.org/officeDocument/2006/relationships/hyperlink" Target="mailto:montiel74@hotmail.com" TargetMode="External"/><Relationship Id="rId53" Type="http://schemas.openxmlformats.org/officeDocument/2006/relationships/footer" Target="footer12.xml"/><Relationship Id="rId54" Type="http://schemas.openxmlformats.org/officeDocument/2006/relationships/footer" Target="footer13.xml"/><Relationship Id="rId55" Type="http://schemas.openxmlformats.org/officeDocument/2006/relationships/image" Target="media/image35.png"/><Relationship Id="rId56" Type="http://schemas.openxmlformats.org/officeDocument/2006/relationships/image" Target="media/image36.png"/><Relationship Id="rId57" Type="http://schemas.openxmlformats.org/officeDocument/2006/relationships/image" Target="media/image37.png"/><Relationship Id="rId58" Type="http://schemas.openxmlformats.org/officeDocument/2006/relationships/image" Target="media/image38.jpeg"/><Relationship Id="rId59" Type="http://schemas.openxmlformats.org/officeDocument/2006/relationships/hyperlink" Target="mailto:Montiel74@hotmail.com" TargetMode="External"/><Relationship Id="rId60" Type="http://schemas.openxmlformats.org/officeDocument/2006/relationships/footer" Target="footer14.xml"/><Relationship Id="rId61" Type="http://schemas.openxmlformats.org/officeDocument/2006/relationships/footer" Target="footer15.xml"/><Relationship Id="rId62" Type="http://schemas.openxmlformats.org/officeDocument/2006/relationships/image" Target="media/image39.jpeg"/><Relationship Id="rId63" Type="http://schemas.openxmlformats.org/officeDocument/2006/relationships/image" Target="media/image40.png"/><Relationship Id="rId64" Type="http://schemas.openxmlformats.org/officeDocument/2006/relationships/image" Target="media/image41.png"/><Relationship Id="rId65" Type="http://schemas.openxmlformats.org/officeDocument/2006/relationships/image" Target="media/image42.jpeg"/><Relationship Id="rId66" Type="http://schemas.openxmlformats.org/officeDocument/2006/relationships/footer" Target="footer16.xml"/><Relationship Id="rId67" Type="http://schemas.openxmlformats.org/officeDocument/2006/relationships/footer" Target="footer17.xml"/><Relationship Id="rId68" Type="http://schemas.openxmlformats.org/officeDocument/2006/relationships/image" Target="media/image43.jpeg"/><Relationship Id="rId69" Type="http://schemas.openxmlformats.org/officeDocument/2006/relationships/footer" Target="footer18.xml"/><Relationship Id="rId70" Type="http://schemas.openxmlformats.org/officeDocument/2006/relationships/footer" Target="footer19.xml"/><Relationship Id="rId71" Type="http://schemas.openxmlformats.org/officeDocument/2006/relationships/image" Target="media/image44.jpeg"/><Relationship Id="rId72" Type="http://schemas.openxmlformats.org/officeDocument/2006/relationships/image" Target="media/image45.jpeg"/><Relationship Id="rId73" Type="http://schemas.openxmlformats.org/officeDocument/2006/relationships/image" Target="media/image46.jpeg"/><Relationship Id="rId74" Type="http://schemas.openxmlformats.org/officeDocument/2006/relationships/image" Target="media/image47.jpeg"/><Relationship Id="rId75" Type="http://schemas.openxmlformats.org/officeDocument/2006/relationships/footer" Target="footer20.xml"/><Relationship Id="rId76" Type="http://schemas.openxmlformats.org/officeDocument/2006/relationships/footer" Target="footer21.xml"/><Relationship Id="rId77" Type="http://schemas.openxmlformats.org/officeDocument/2006/relationships/hyperlink" Target="http://web.ssaver.gob.mx/saludpublica/files/2011/10/Manual-Prev.-y-Control-de-" TargetMode="External"/><Relationship Id="rId78" Type="http://schemas.openxmlformats.org/officeDocument/2006/relationships/footer" Target="footer22.xml"/><Relationship Id="rId79" Type="http://schemas.openxmlformats.org/officeDocument/2006/relationships/hyperlink" Target="http://www.cfnavarra.es/salud/anales/textos/vol28/n2/" TargetMode="External"/><Relationship Id="rId80" Type="http://schemas.openxmlformats.org/officeDocument/2006/relationships/footer" Target="footer23.xml"/><Relationship Id="rId81" Type="http://schemas.openxmlformats.org/officeDocument/2006/relationships/hyperlink" Target="http://www.ncbi.nlm.nih.gov/pubmed/" TargetMode="External"/><Relationship Id="rId82" Type="http://schemas.openxmlformats.org/officeDocument/2006/relationships/hyperlink" Target="http://redalyc.uaemex.mx/" TargetMode="External"/><Relationship Id="rId83" Type="http://schemas.openxmlformats.org/officeDocument/2006/relationships/hyperlink" Target="http://www.ncbi.nlm.nih.gov/pubmed" TargetMode="External"/><Relationship Id="rId84" Type="http://schemas.openxmlformats.org/officeDocument/2006/relationships/image" Target="media/image48.png"/><Relationship Id="rId85" Type="http://schemas.openxmlformats.org/officeDocument/2006/relationships/image" Target="media/image49.png"/><Relationship Id="rId86" Type="http://schemas.openxmlformats.org/officeDocument/2006/relationships/image" Target="media/image50.png"/><Relationship Id="rId87" Type="http://schemas.openxmlformats.org/officeDocument/2006/relationships/image" Target="media/image51.jpeg"/><Relationship Id="rId88" Type="http://schemas.openxmlformats.org/officeDocument/2006/relationships/image" Target="media/image52.png"/><Relationship Id="rId89" Type="http://schemas.openxmlformats.org/officeDocument/2006/relationships/footer" Target="footer24.xml"/><Relationship Id="rId90" Type="http://schemas.openxmlformats.org/officeDocument/2006/relationships/image" Target="media/image53.jpeg"/><Relationship Id="rId91" Type="http://schemas.openxmlformats.org/officeDocument/2006/relationships/footer" Target="footer25.xml"/><Relationship Id="rId92" Type="http://schemas.openxmlformats.org/officeDocument/2006/relationships/image" Target="media/image54.jpeg"/><Relationship Id="rId93" Type="http://schemas.openxmlformats.org/officeDocument/2006/relationships/image" Target="media/image55.jpeg"/><Relationship Id="rId94" Type="http://schemas.openxmlformats.org/officeDocument/2006/relationships/image" Target="media/image56.jpeg"/><Relationship Id="rId95" Type="http://schemas.openxmlformats.org/officeDocument/2006/relationships/image" Target="media/image57.jpeg"/><Relationship Id="rId96" Type="http://schemas.openxmlformats.org/officeDocument/2006/relationships/image" Target="media/image58.jpeg"/><Relationship Id="rId97" Type="http://schemas.openxmlformats.org/officeDocument/2006/relationships/image" Target="media/image59.jpeg"/><Relationship Id="rId98" Type="http://schemas.openxmlformats.org/officeDocument/2006/relationships/image" Target="media/image60.jpeg"/><Relationship Id="rId99" Type="http://schemas.openxmlformats.org/officeDocument/2006/relationships/image" Target="media/image61.jpeg"/><Relationship Id="rId100" Type="http://schemas.openxmlformats.org/officeDocument/2006/relationships/image" Target="media/image62.jpeg"/><Relationship Id="rId101" Type="http://schemas.openxmlformats.org/officeDocument/2006/relationships/footer" Target="footer26.xml"/><Relationship Id="rId102" Type="http://schemas.openxmlformats.org/officeDocument/2006/relationships/image" Target="media/image63.png"/><Relationship Id="rId10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2017-05-22T23:21:10Z</dcterms:created>
  <dcterms:modified xsi:type="dcterms:W3CDTF">2017-05-22T23:21:10Z</dcterms:modified>
</cp:coreProperties>
</file>