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line="412" w:lineRule="auto" w:before="190"/>
        <w:ind w:left="4454" w:right="95" w:hanging="1086"/>
      </w:pPr>
      <w:r>
        <w:rPr/>
        <w:pict>
          <v:group style="position:absolute;margin-left:30pt;margin-top:-34.224152pt;width:107.55pt;height:548.050pt;mso-position-horizontal-relative:page;mso-position-vertical-relative:paragraph;z-index:-103624" coordorigin="600,-684" coordsize="2151,10961">
            <v:shape style="position:absolute;left:1594;top:1492;width:194;height:8784" type="#_x0000_t75" stroked="false">
              <v:imagedata r:id="rId5" o:title=""/>
            </v:shape>
            <v:line style="position:absolute" from="1691,1522" to="1691,10142" stroked="true" strokeweight="3pt" strokecolor="#4f6128"/>
            <v:shape style="position:absolute;left:600;top:-684;width:2150;height:2150" type="#_x0000_t75" alt="C:\Users\EXS\Desktop\EscudoUAEMcolor.jpg" stroked="false">
              <v:imagedata r:id="rId6" o:title=""/>
            </v:shape>
            <w10:wrap type="none"/>
          </v:group>
        </w:pict>
      </w:r>
      <w:r>
        <w:rPr/>
        <w:t>UNIVERSIDAD AUTÓNOMA DEL ESTADO DE MÉXICO FACULTAD DE ODONTOLOGÍA</w:t>
      </w:r>
    </w:p>
    <w:p>
      <w:pPr>
        <w:pStyle w:val="BodyText"/>
      </w:pPr>
    </w:p>
    <w:p>
      <w:pPr>
        <w:pStyle w:val="BodyText"/>
        <w:spacing w:before="207"/>
        <w:ind w:left="4375" w:right="95"/>
      </w:pPr>
      <w:r>
        <w:rPr/>
        <w:t>CENTRO DE INVESTIGACIÓN</w:t>
      </w:r>
    </w:p>
    <w:p>
      <w:pPr>
        <w:pStyle w:val="BodyText"/>
        <w:spacing w:line="412" w:lineRule="auto" w:before="199"/>
        <w:ind w:left="4625" w:right="1082" w:hanging="1295"/>
      </w:pPr>
      <w:r>
        <w:rPr/>
        <w:t>Y ESTUDIOS AVANZADOS EN ODONTOLOGÍA “DR. KEISABURO MIYATA”</w:t>
      </w:r>
    </w:p>
    <w:p>
      <w:pPr>
        <w:pStyle w:val="BodyText"/>
      </w:pPr>
    </w:p>
    <w:p>
      <w:pPr>
        <w:pStyle w:val="BodyText"/>
        <w:spacing w:line="535" w:lineRule="auto" w:before="208"/>
        <w:ind w:left="2212" w:right="95" w:hanging="483"/>
      </w:pPr>
      <w:r>
        <w:rPr/>
        <w:t>IMPLEMENTACIÓN DEL ANÁLISIS DE KIM EN POBLACIÓN DE 9-14 AÑOS DE EDAD PARA EL DEPARTAMENTO DE ORTODONCIA, UAEM.</w:t>
      </w:r>
    </w:p>
    <w:p>
      <w:pPr>
        <w:pStyle w:val="BodyText"/>
      </w:pPr>
    </w:p>
    <w:p>
      <w:pPr>
        <w:spacing w:before="208"/>
        <w:ind w:left="3035" w:right="1421" w:firstLine="0"/>
        <w:jc w:val="center"/>
        <w:rPr>
          <w:b/>
          <w:sz w:val="24"/>
        </w:rPr>
      </w:pPr>
      <w:r>
        <w:rPr>
          <w:b/>
          <w:sz w:val="24"/>
        </w:rPr>
        <w:t>PROYECTO TERMINAL</w:t>
      </w:r>
    </w:p>
    <w:p>
      <w:pPr>
        <w:pStyle w:val="BodyText"/>
        <w:rPr>
          <w:b/>
        </w:rPr>
      </w:pPr>
    </w:p>
    <w:p>
      <w:pPr>
        <w:pStyle w:val="BodyText"/>
        <w:spacing w:before="9"/>
        <w:rPr>
          <w:b/>
          <w:sz w:val="34"/>
        </w:rPr>
      </w:pPr>
    </w:p>
    <w:p>
      <w:pPr>
        <w:pStyle w:val="BodyText"/>
        <w:spacing w:line="412" w:lineRule="auto" w:before="1"/>
        <w:ind w:left="3038" w:right="1421"/>
        <w:jc w:val="center"/>
      </w:pPr>
      <w:r>
        <w:rPr/>
        <w:t>QUE PARA OBTENER EL DIPLOMA DE: ESPECIALISTA EN ORTODONCIA</w:t>
      </w:r>
    </w:p>
    <w:p>
      <w:pPr>
        <w:pStyle w:val="BodyText"/>
      </w:pPr>
    </w:p>
    <w:p>
      <w:pPr>
        <w:pStyle w:val="BodyText"/>
        <w:spacing w:before="208"/>
        <w:ind w:left="2907" w:right="1421"/>
        <w:jc w:val="center"/>
      </w:pPr>
      <w:r>
        <w:rPr/>
        <w:t>PRESENTA:</w:t>
      </w:r>
    </w:p>
    <w:p>
      <w:pPr>
        <w:spacing w:before="199"/>
        <w:ind w:left="4027" w:right="95" w:firstLine="0"/>
        <w:jc w:val="left"/>
        <w:rPr>
          <w:b/>
          <w:sz w:val="24"/>
        </w:rPr>
      </w:pPr>
      <w:r>
        <w:rPr>
          <w:b/>
          <w:sz w:val="24"/>
        </w:rPr>
        <w:t>C.D. MIREYA ROMERO MUÑOZ</w:t>
      </w:r>
    </w:p>
    <w:p>
      <w:pPr>
        <w:pStyle w:val="BodyText"/>
        <w:rPr>
          <w:b/>
        </w:rPr>
      </w:pPr>
    </w:p>
    <w:p>
      <w:pPr>
        <w:pStyle w:val="BodyText"/>
        <w:spacing w:before="9"/>
        <w:rPr>
          <w:b/>
          <w:sz w:val="34"/>
        </w:rPr>
      </w:pPr>
    </w:p>
    <w:p>
      <w:pPr>
        <w:pStyle w:val="BodyText"/>
        <w:spacing w:before="1"/>
        <w:ind w:left="2841" w:right="1421"/>
        <w:jc w:val="center"/>
      </w:pPr>
      <w:r>
        <w:rPr/>
        <w:t>DIRECTORA:</w:t>
      </w:r>
    </w:p>
    <w:p>
      <w:pPr>
        <w:pStyle w:val="BodyText"/>
        <w:spacing w:before="199"/>
        <w:ind w:left="3741" w:right="95"/>
      </w:pPr>
      <w:r>
        <w:rPr/>
        <w:t>M. en C.O.O SARAÍ LÓPEZ GONZÁLEZ</w:t>
      </w:r>
    </w:p>
    <w:p>
      <w:pPr>
        <w:pStyle w:val="BodyText"/>
      </w:pPr>
    </w:p>
    <w:p>
      <w:pPr>
        <w:pStyle w:val="BodyText"/>
        <w:spacing w:before="10"/>
        <w:rPr>
          <w:sz w:val="34"/>
        </w:rPr>
      </w:pPr>
    </w:p>
    <w:p>
      <w:pPr>
        <w:pStyle w:val="BodyText"/>
        <w:ind w:left="2577" w:right="1421"/>
        <w:jc w:val="center"/>
      </w:pPr>
      <w:r>
        <w:rPr/>
        <w:drawing>
          <wp:anchor distT="0" distB="0" distL="0" distR="0" allowOverlap="1" layoutInCell="1" locked="0" behindDoc="0" simplePos="0" relativeHeight="0">
            <wp:simplePos x="0" y="0"/>
            <wp:positionH relativeFrom="page">
              <wp:posOffset>502919</wp:posOffset>
            </wp:positionH>
            <wp:positionV relativeFrom="paragraph">
              <wp:posOffset>153871</wp:posOffset>
            </wp:positionV>
            <wp:extent cx="1133856" cy="1322831"/>
            <wp:effectExtent l="0" t="0" r="0" b="0"/>
            <wp:wrapNone/>
            <wp:docPr id="1" name="image3.jpeg" descr=""/>
            <wp:cNvGraphicFramePr>
              <a:graphicFrameLocks noChangeAspect="1"/>
            </wp:cNvGraphicFramePr>
            <a:graphic>
              <a:graphicData uri="http://schemas.openxmlformats.org/drawingml/2006/picture">
                <pic:pic>
                  <pic:nvPicPr>
                    <pic:cNvPr id="2" name="image3.jpeg"/>
                    <pic:cNvPicPr/>
                  </pic:nvPicPr>
                  <pic:blipFill>
                    <a:blip r:embed="rId7" cstate="print"/>
                    <a:stretch>
                      <a:fillRect/>
                    </a:stretch>
                  </pic:blipFill>
                  <pic:spPr>
                    <a:xfrm>
                      <a:off x="0" y="0"/>
                      <a:ext cx="1133856" cy="1322831"/>
                    </a:xfrm>
                    <a:prstGeom prst="rect">
                      <a:avLst/>
                    </a:prstGeom>
                  </pic:spPr>
                </pic:pic>
              </a:graphicData>
            </a:graphic>
          </wp:anchor>
        </w:drawing>
      </w:r>
      <w:r>
        <w:rPr/>
        <w:t>ASESOR:</w:t>
      </w:r>
    </w:p>
    <w:p>
      <w:pPr>
        <w:pStyle w:val="BodyText"/>
        <w:spacing w:line="412" w:lineRule="auto" w:before="199"/>
        <w:ind w:left="3945" w:right="2193"/>
        <w:jc w:val="center"/>
      </w:pPr>
      <w:r>
        <w:rPr/>
        <w:t>Dra. en C.S EDITH LARA CARRILLO Dr. en O. TOSHIO KUBODERA ITO</w:t>
      </w:r>
    </w:p>
    <w:p>
      <w:pPr>
        <w:pStyle w:val="BodyText"/>
      </w:pPr>
    </w:p>
    <w:p>
      <w:pPr>
        <w:pStyle w:val="BodyText"/>
        <w:spacing w:before="207"/>
        <w:ind w:left="3171" w:right="1421"/>
        <w:jc w:val="center"/>
      </w:pPr>
      <w:r>
        <w:rPr/>
        <w:t>TOLUCA, ESTADO DE MEXICO, MARZO DE 2015</w:t>
      </w:r>
    </w:p>
    <w:p>
      <w:pPr>
        <w:spacing w:after="0"/>
        <w:jc w:val="center"/>
        <w:sectPr>
          <w:type w:val="continuous"/>
          <w:pgSz w:w="12240" w:h="15840"/>
          <w:pgMar w:top="820" w:bottom="280" w:left="500" w:right="1600"/>
        </w:sectPr>
      </w:pPr>
    </w:p>
    <w:p>
      <w:pPr>
        <w:pStyle w:val="BodyText"/>
        <w:rPr>
          <w:sz w:val="20"/>
        </w:rPr>
      </w:pPr>
    </w:p>
    <w:p>
      <w:pPr>
        <w:pStyle w:val="BodyText"/>
        <w:rPr>
          <w:sz w:val="20"/>
        </w:rPr>
      </w:pPr>
    </w:p>
    <w:p>
      <w:pPr>
        <w:pStyle w:val="BodyText"/>
        <w:rPr>
          <w:sz w:val="20"/>
        </w:rPr>
      </w:pPr>
    </w:p>
    <w:p>
      <w:pPr>
        <w:spacing w:before="213"/>
        <w:ind w:left="278" w:right="0" w:firstLine="0"/>
        <w:jc w:val="both"/>
        <w:rPr>
          <w:b/>
          <w:sz w:val="24"/>
        </w:rPr>
      </w:pPr>
      <w:r>
        <w:rPr>
          <w:b/>
          <w:sz w:val="24"/>
        </w:rPr>
        <w:t>DEDICATORIA</w:t>
      </w:r>
    </w:p>
    <w:p>
      <w:pPr>
        <w:pStyle w:val="BodyText"/>
        <w:rPr>
          <w:b/>
        </w:rPr>
      </w:pPr>
    </w:p>
    <w:p>
      <w:pPr>
        <w:pStyle w:val="BodyText"/>
        <w:rPr>
          <w:b/>
        </w:rPr>
      </w:pPr>
    </w:p>
    <w:p>
      <w:pPr>
        <w:pStyle w:val="BodyText"/>
        <w:spacing w:line="360" w:lineRule="auto"/>
        <w:ind w:left="278" w:right="1096"/>
        <w:jc w:val="both"/>
      </w:pPr>
      <w:r>
        <w:rPr/>
        <w:t>Este proyecto se lo dedico a mis padres, hermanos y familia, por ser mi pilar fundamental en todo lo que soy, por ser mi motivación constante, por su amor y su apoyo incondicional a través del tiempo.</w:t>
      </w:r>
    </w:p>
    <w:p>
      <w:pPr>
        <w:pStyle w:val="BodyText"/>
      </w:pPr>
    </w:p>
    <w:p>
      <w:pPr>
        <w:pStyle w:val="BodyText"/>
      </w:pPr>
    </w:p>
    <w:p>
      <w:pPr>
        <w:pStyle w:val="BodyText"/>
      </w:pPr>
    </w:p>
    <w:p>
      <w:pPr>
        <w:pStyle w:val="BodyText"/>
      </w:pPr>
    </w:p>
    <w:p>
      <w:pPr>
        <w:spacing w:before="142"/>
        <w:ind w:left="278" w:right="0" w:firstLine="0"/>
        <w:jc w:val="both"/>
        <w:rPr>
          <w:b/>
          <w:sz w:val="24"/>
        </w:rPr>
      </w:pPr>
      <w:r>
        <w:rPr>
          <w:b/>
          <w:sz w:val="24"/>
        </w:rPr>
        <w:t>AGRADECIMIENTOS</w:t>
      </w:r>
    </w:p>
    <w:p>
      <w:pPr>
        <w:pStyle w:val="BodyText"/>
        <w:rPr>
          <w:b/>
        </w:rPr>
      </w:pPr>
    </w:p>
    <w:p>
      <w:pPr>
        <w:pStyle w:val="BodyText"/>
        <w:rPr>
          <w:b/>
        </w:rPr>
      </w:pPr>
    </w:p>
    <w:p>
      <w:pPr>
        <w:pStyle w:val="BodyText"/>
        <w:spacing w:line="360" w:lineRule="auto"/>
        <w:ind w:left="278" w:right="1101"/>
        <w:jc w:val="both"/>
      </w:pPr>
      <w:r>
        <w:rPr/>
        <w:t>Al Dr. Toshio Kubodera por la oportunidad que me brindó de pertenecer a su grupo de alumnos de la Especialidad en Ortodoncia. Dra. Saraí López por su valioso tiempo y apoyo para realizar este proyecto. Dra. Edith Lara agradecida por su enseñanza y disposición en este</w:t>
      </w:r>
      <w:r>
        <w:rPr>
          <w:spacing w:val="-9"/>
        </w:rPr>
        <w:t> </w:t>
      </w:r>
      <w:r>
        <w:rPr/>
        <w:t>trabajo.</w:t>
      </w:r>
    </w:p>
    <w:p>
      <w:pPr>
        <w:pStyle w:val="BodyText"/>
      </w:pPr>
    </w:p>
    <w:p>
      <w:pPr>
        <w:pStyle w:val="BodyText"/>
        <w:spacing w:line="360" w:lineRule="auto" w:before="142"/>
        <w:ind w:left="278" w:right="1098"/>
        <w:jc w:val="both"/>
      </w:pPr>
      <w:r>
        <w:rPr/>
        <w:t>A todos mis profesores que han marcado mi camino profesional y que son  un ejemplo de perseverancia y constancia.</w:t>
      </w:r>
    </w:p>
    <w:p>
      <w:pPr>
        <w:pStyle w:val="BodyText"/>
      </w:pPr>
    </w:p>
    <w:p>
      <w:pPr>
        <w:pStyle w:val="BodyText"/>
        <w:spacing w:before="142"/>
        <w:ind w:left="278"/>
        <w:jc w:val="both"/>
      </w:pPr>
      <w:r>
        <w:rPr/>
        <w:t>Mony, Charly y Beto gracias por formar parte de esta aventura llamada especialidad.</w:t>
      </w:r>
    </w:p>
    <w:p>
      <w:pPr>
        <w:pStyle w:val="BodyText"/>
      </w:pPr>
    </w:p>
    <w:p>
      <w:pPr>
        <w:pStyle w:val="BodyText"/>
      </w:pPr>
    </w:p>
    <w:p>
      <w:pPr>
        <w:pStyle w:val="BodyText"/>
        <w:spacing w:line="360" w:lineRule="auto"/>
        <w:ind w:left="278" w:right="1097"/>
        <w:jc w:val="both"/>
      </w:pPr>
      <w:r>
        <w:rPr/>
        <w:t>A mis amigos que con reuniones, con un saludo o mensaje con palabras de aliento, se involucraron directa e indirectamente para apoyarme en este crecimiento profesional. Mención especial, gracias a ti por ser y estar en esta etapa de mi vida.</w:t>
      </w:r>
    </w:p>
    <w:p>
      <w:pPr>
        <w:spacing w:after="0" w:line="360" w:lineRule="auto"/>
        <w:jc w:val="both"/>
        <w:sectPr>
          <w:headerReference w:type="default" r:id="rId8"/>
          <w:pgSz w:w="12240" w:h="15840"/>
          <w:pgMar w:header="824" w:footer="0" w:top="1620" w:bottom="280" w:left="1140" w:right="600"/>
        </w:sectPr>
      </w:pPr>
    </w:p>
    <w:p>
      <w:pPr>
        <w:pStyle w:val="BodyText"/>
        <w:rPr>
          <w:sz w:val="20"/>
        </w:rPr>
      </w:pPr>
    </w:p>
    <w:p>
      <w:pPr>
        <w:pStyle w:val="BodyText"/>
        <w:spacing w:before="4"/>
        <w:rPr>
          <w:sz w:val="16"/>
        </w:rPr>
      </w:pPr>
    </w:p>
    <w:p>
      <w:pPr>
        <w:spacing w:before="70"/>
        <w:ind w:left="278" w:right="865" w:firstLine="0"/>
        <w:jc w:val="left"/>
        <w:rPr>
          <w:b/>
          <w:sz w:val="24"/>
        </w:rPr>
      </w:pPr>
      <w:r>
        <w:rPr>
          <w:b/>
          <w:sz w:val="24"/>
        </w:rPr>
        <w:t>ÍNDICE</w:t>
      </w:r>
    </w:p>
    <w:p>
      <w:pPr>
        <w:spacing w:after="0"/>
        <w:jc w:val="left"/>
        <w:rPr>
          <w:sz w:val="24"/>
        </w:rPr>
        <w:sectPr>
          <w:pgSz w:w="12240" w:h="15840"/>
          <w:pgMar w:header="824" w:footer="0" w:top="1620" w:bottom="1837" w:left="1140" w:right="600"/>
        </w:sectPr>
      </w:pPr>
    </w:p>
    <w:sdt>
      <w:sdtPr>
        <w:docPartObj>
          <w:docPartGallery w:val="Table of Contents"/>
          <w:docPartUnique/>
        </w:docPartObj>
      </w:sdtPr>
      <w:sdtEndPr/>
      <w:sdtContent>
        <w:p>
          <w:pPr>
            <w:pStyle w:val="TOC1"/>
            <w:numPr>
              <w:ilvl w:val="0"/>
              <w:numId w:val="1"/>
            </w:numPr>
            <w:tabs>
              <w:tab w:pos="481" w:val="left" w:leader="none"/>
              <w:tab w:pos="9265" w:val="left" w:leader="dot"/>
            </w:tabs>
            <w:spacing w:line="240" w:lineRule="auto" w:before="552" w:after="0"/>
            <w:ind w:left="480" w:right="0" w:hanging="202"/>
            <w:jc w:val="left"/>
          </w:pPr>
          <w:r>
            <w:rPr/>
            <w:t>Introducción</w:t>
            <w:tab/>
            <w:t>1</w:t>
          </w:r>
        </w:p>
        <w:p>
          <w:pPr>
            <w:pStyle w:val="TOC1"/>
            <w:numPr>
              <w:ilvl w:val="0"/>
              <w:numId w:val="1"/>
            </w:numPr>
            <w:tabs>
              <w:tab w:pos="548" w:val="left" w:leader="none"/>
              <w:tab w:pos="9268" w:val="left" w:leader="dot"/>
            </w:tabs>
            <w:spacing w:line="240" w:lineRule="auto" w:before="139" w:after="0"/>
            <w:ind w:left="547" w:right="0" w:hanging="269"/>
            <w:jc w:val="left"/>
          </w:pPr>
          <w:hyperlink w:history="true" w:anchor="_TOC_250024">
            <w:r>
              <w:rPr/>
              <w:t>Antecedentes</w:t>
              <w:tab/>
              <w:t>4</w:t>
            </w:r>
          </w:hyperlink>
        </w:p>
        <w:p>
          <w:pPr>
            <w:pStyle w:val="TOC1"/>
            <w:numPr>
              <w:ilvl w:val="1"/>
              <w:numId w:val="1"/>
            </w:numPr>
            <w:tabs>
              <w:tab w:pos="548" w:val="left" w:leader="none"/>
              <w:tab w:pos="9229" w:val="left" w:leader="dot"/>
            </w:tabs>
            <w:spacing w:line="240" w:lineRule="auto" w:before="137" w:after="0"/>
            <w:ind w:left="547" w:right="0" w:hanging="269"/>
            <w:jc w:val="left"/>
          </w:pPr>
          <w:hyperlink w:history="true" w:anchor="_TOC_250023">
            <w:r>
              <w:rPr/>
              <w:t>Crecimiento y</w:t>
            </w:r>
            <w:r>
              <w:rPr>
                <w:spacing w:val="-5"/>
              </w:rPr>
              <w:t> </w:t>
            </w:r>
            <w:r>
              <w:rPr/>
              <w:t>Desarrollo</w:t>
            </w:r>
            <w:r>
              <w:rPr>
                <w:spacing w:val="-2"/>
              </w:rPr>
              <w:t> </w:t>
            </w:r>
            <w:r>
              <w:rPr/>
              <w:t>Craneofacial</w:t>
              <w:tab/>
              <w:t>4</w:t>
            </w:r>
          </w:hyperlink>
        </w:p>
        <w:p>
          <w:pPr>
            <w:pStyle w:val="TOC1"/>
            <w:numPr>
              <w:ilvl w:val="2"/>
              <w:numId w:val="1"/>
            </w:numPr>
            <w:tabs>
              <w:tab w:pos="683" w:val="left" w:leader="none"/>
              <w:tab w:pos="9256" w:val="left" w:leader="dot"/>
            </w:tabs>
            <w:spacing w:line="240" w:lineRule="auto" w:before="139" w:after="0"/>
            <w:ind w:left="682" w:right="0" w:hanging="404"/>
            <w:jc w:val="left"/>
          </w:pPr>
          <w:r>
            <w:rPr/>
            <w:t>Crecimiento del</w:t>
          </w:r>
          <w:r>
            <w:rPr>
              <w:spacing w:val="-3"/>
            </w:rPr>
            <w:t> </w:t>
          </w:r>
          <w:r>
            <w:rPr/>
            <w:t>Complejo</w:t>
          </w:r>
          <w:r>
            <w:rPr>
              <w:spacing w:val="-4"/>
            </w:rPr>
            <w:t> </w:t>
          </w:r>
          <w:r>
            <w:rPr/>
            <w:t>Craneofacial…</w:t>
            <w:tab/>
            <w:t>4</w:t>
          </w:r>
        </w:p>
        <w:p>
          <w:pPr>
            <w:pStyle w:val="TOC1"/>
            <w:numPr>
              <w:ilvl w:val="2"/>
              <w:numId w:val="1"/>
            </w:numPr>
            <w:tabs>
              <w:tab w:pos="615" w:val="left" w:leader="none"/>
              <w:tab w:pos="9244" w:val="left" w:leader="dot"/>
            </w:tabs>
            <w:spacing w:line="240" w:lineRule="auto" w:before="137" w:after="0"/>
            <w:ind w:left="614" w:right="0" w:hanging="336"/>
            <w:jc w:val="left"/>
          </w:pPr>
          <w:hyperlink w:history="true" w:anchor="_TOC_250022">
            <w:r>
              <w:rPr/>
              <w:t>Crecimiento del</w:t>
            </w:r>
            <w:r>
              <w:rPr>
                <w:spacing w:val="-10"/>
              </w:rPr>
              <w:t> </w:t>
            </w:r>
            <w:r>
              <w:rPr/>
              <w:t>Esqueleto</w:t>
            </w:r>
            <w:r>
              <w:rPr>
                <w:spacing w:val="1"/>
              </w:rPr>
              <w:t> </w:t>
            </w:r>
            <w:r>
              <w:rPr/>
              <w:t>Craneofacial…</w:t>
            </w:r>
            <w:r>
              <w:rPr>
                <w:rFonts w:ascii="Times New Roman" w:hAnsi="Times New Roman"/>
              </w:rPr>
              <w:tab/>
            </w:r>
            <w:r>
              <w:rPr/>
              <w:t>5</w:t>
            </w:r>
          </w:hyperlink>
        </w:p>
        <w:p>
          <w:pPr>
            <w:pStyle w:val="TOC1"/>
            <w:numPr>
              <w:ilvl w:val="2"/>
              <w:numId w:val="1"/>
            </w:numPr>
            <w:tabs>
              <w:tab w:pos="682" w:val="left" w:leader="none"/>
              <w:tab w:pos="9253" w:val="left" w:leader="dot"/>
            </w:tabs>
            <w:spacing w:line="240" w:lineRule="auto" w:before="140" w:after="0"/>
            <w:ind w:left="681" w:right="0" w:hanging="403"/>
            <w:jc w:val="left"/>
          </w:pPr>
          <w:r>
            <w:rPr/>
            <w:t>Crecimiento del</w:t>
          </w:r>
          <w:r>
            <w:rPr>
              <w:spacing w:val="-5"/>
            </w:rPr>
            <w:t> </w:t>
          </w:r>
          <w:r>
            <w:rPr/>
            <w:t>Esqueleto</w:t>
          </w:r>
          <w:r>
            <w:rPr>
              <w:spacing w:val="-3"/>
            </w:rPr>
            <w:t> </w:t>
          </w:r>
          <w:r>
            <w:rPr/>
            <w:t>Facial…</w:t>
          </w:r>
          <w:r>
            <w:rPr>
              <w:rFonts w:ascii="Times New Roman" w:hAnsi="Times New Roman"/>
            </w:rPr>
            <w:tab/>
          </w:r>
          <w:r>
            <w:rPr/>
            <w:t>7</w:t>
          </w:r>
        </w:p>
        <w:p>
          <w:pPr>
            <w:pStyle w:val="TOC1"/>
            <w:numPr>
              <w:ilvl w:val="2"/>
              <w:numId w:val="1"/>
            </w:numPr>
            <w:tabs>
              <w:tab w:pos="680" w:val="left" w:leader="none"/>
              <w:tab w:pos="9092" w:val="left" w:leader="dot"/>
            </w:tabs>
            <w:spacing w:line="240" w:lineRule="auto" w:before="137" w:after="0"/>
            <w:ind w:left="679" w:right="0" w:hanging="401"/>
            <w:jc w:val="left"/>
          </w:pPr>
          <w:hyperlink w:history="true" w:anchor="_TOC_250021">
            <w:r>
              <w:rPr/>
              <w:t>Tendencias de</w:t>
            </w:r>
            <w:r>
              <w:rPr>
                <w:spacing w:val="-5"/>
              </w:rPr>
              <w:t> </w:t>
            </w:r>
            <w:r>
              <w:rPr/>
              <w:t>Crecimiento</w:t>
            </w:r>
            <w:r>
              <w:rPr>
                <w:spacing w:val="-2"/>
              </w:rPr>
              <w:t> </w:t>
            </w:r>
            <w:r>
              <w:rPr/>
              <w:t>Facial…</w:t>
            </w:r>
            <w:r>
              <w:rPr>
                <w:rFonts w:ascii="Times New Roman" w:hAnsi="Times New Roman"/>
              </w:rPr>
              <w:tab/>
            </w:r>
            <w:r>
              <w:rPr/>
              <w:t>13</w:t>
            </w:r>
          </w:hyperlink>
        </w:p>
        <w:p>
          <w:pPr>
            <w:pStyle w:val="TOC1"/>
            <w:numPr>
              <w:ilvl w:val="2"/>
              <w:numId w:val="1"/>
            </w:numPr>
            <w:tabs>
              <w:tab w:pos="682" w:val="left" w:leader="none"/>
              <w:tab w:pos="9077" w:val="left" w:leader="dot"/>
            </w:tabs>
            <w:spacing w:line="240" w:lineRule="auto" w:before="139" w:after="0"/>
            <w:ind w:left="681" w:right="0" w:hanging="403"/>
            <w:jc w:val="left"/>
          </w:pPr>
          <w:hyperlink w:history="true" w:anchor="_TOC_250020">
            <w:r>
              <w:rPr/>
              <w:t>Factores que Controlan el</w:t>
            </w:r>
            <w:r>
              <w:rPr>
                <w:spacing w:val="-12"/>
              </w:rPr>
              <w:t> </w:t>
            </w:r>
            <w:r>
              <w:rPr/>
              <w:t>Crecimiento</w:t>
            </w:r>
            <w:r>
              <w:rPr>
                <w:spacing w:val="-2"/>
              </w:rPr>
              <w:t> </w:t>
            </w:r>
            <w:r>
              <w:rPr/>
              <w:t>Craneofacial…</w:t>
            </w:r>
            <w:r>
              <w:rPr>
                <w:rFonts w:ascii="Times New Roman" w:hAnsi="Times New Roman"/>
              </w:rPr>
              <w:tab/>
            </w:r>
            <w:r>
              <w:rPr/>
              <w:t>14</w:t>
            </w:r>
          </w:hyperlink>
        </w:p>
        <w:p>
          <w:pPr>
            <w:pStyle w:val="TOC1"/>
            <w:numPr>
              <w:ilvl w:val="1"/>
              <w:numId w:val="1"/>
            </w:numPr>
            <w:tabs>
              <w:tab w:pos="548" w:val="left" w:leader="none"/>
              <w:tab w:pos="9081" w:val="left" w:leader="dot"/>
            </w:tabs>
            <w:spacing w:line="240" w:lineRule="auto" w:before="137" w:after="0"/>
            <w:ind w:left="547" w:right="0" w:hanging="269"/>
            <w:jc w:val="left"/>
          </w:pPr>
          <w:hyperlink w:history="true" w:anchor="_TOC_250019">
            <w:r>
              <w:rPr/>
              <w:t>Diagnóstico</w:t>
            </w:r>
            <w:r>
              <w:rPr>
                <w:spacing w:val="-3"/>
              </w:rPr>
              <w:t> </w:t>
            </w:r>
            <w:r>
              <w:rPr/>
              <w:t>en</w:t>
            </w:r>
            <w:r>
              <w:rPr>
                <w:spacing w:val="-3"/>
              </w:rPr>
              <w:t> </w:t>
            </w:r>
            <w:r>
              <w:rPr/>
              <w:t>Ortodoncia</w:t>
              <w:tab/>
              <w:t>17</w:t>
            </w:r>
          </w:hyperlink>
        </w:p>
        <w:p>
          <w:pPr>
            <w:pStyle w:val="TOC1"/>
            <w:numPr>
              <w:ilvl w:val="2"/>
              <w:numId w:val="1"/>
            </w:numPr>
            <w:tabs>
              <w:tab w:pos="682" w:val="left" w:leader="none"/>
              <w:tab w:pos="9070" w:val="left" w:leader="dot"/>
            </w:tabs>
            <w:spacing w:line="240" w:lineRule="auto" w:before="139" w:after="0"/>
            <w:ind w:left="681" w:right="0" w:hanging="403"/>
            <w:jc w:val="left"/>
          </w:pPr>
          <w:hyperlink w:history="true" w:anchor="_TOC_250018">
            <w:r>
              <w:rPr/>
              <w:t>Auxiliares</w:t>
            </w:r>
            <w:r>
              <w:rPr>
                <w:spacing w:val="-2"/>
              </w:rPr>
              <w:t> </w:t>
            </w:r>
            <w:r>
              <w:rPr/>
              <w:t>de</w:t>
            </w:r>
            <w:r>
              <w:rPr>
                <w:spacing w:val="-2"/>
              </w:rPr>
              <w:t> </w:t>
            </w:r>
            <w:r>
              <w:rPr/>
              <w:t>Diagnóstico</w:t>
              <w:tab/>
              <w:t>17</w:t>
            </w:r>
          </w:hyperlink>
        </w:p>
        <w:p>
          <w:pPr>
            <w:pStyle w:val="TOC1"/>
            <w:numPr>
              <w:ilvl w:val="3"/>
              <w:numId w:val="1"/>
            </w:numPr>
            <w:tabs>
              <w:tab w:pos="881" w:val="left" w:leader="none"/>
              <w:tab w:pos="9057" w:val="left" w:leader="dot"/>
            </w:tabs>
            <w:spacing w:line="240" w:lineRule="auto" w:before="137" w:after="0"/>
            <w:ind w:left="880" w:right="0" w:hanging="602"/>
            <w:jc w:val="left"/>
          </w:pPr>
          <w:hyperlink w:history="true" w:anchor="_TOC_250017">
            <w:r>
              <w:rPr/>
              <w:t>Fotografía</w:t>
            </w:r>
            <w:r>
              <w:rPr>
                <w:spacing w:val="-2"/>
              </w:rPr>
              <w:t> </w:t>
            </w:r>
            <w:r>
              <w:rPr/>
              <w:t>clínica</w:t>
              <w:tab/>
              <w:t>18</w:t>
            </w:r>
          </w:hyperlink>
        </w:p>
        <w:p>
          <w:pPr>
            <w:pStyle w:val="TOC1"/>
            <w:numPr>
              <w:ilvl w:val="3"/>
              <w:numId w:val="1"/>
            </w:numPr>
            <w:tabs>
              <w:tab w:pos="881" w:val="left" w:leader="none"/>
              <w:tab w:pos="9059" w:val="left" w:leader="dot"/>
            </w:tabs>
            <w:spacing w:line="240" w:lineRule="auto" w:before="139" w:after="0"/>
            <w:ind w:left="880" w:right="0" w:hanging="602"/>
            <w:jc w:val="left"/>
          </w:pPr>
          <w:hyperlink w:history="true" w:anchor="_TOC_250016">
            <w:r>
              <w:rPr/>
              <w:t>Evaluación y análisis</w:t>
            </w:r>
            <w:r>
              <w:rPr>
                <w:spacing w:val="-7"/>
              </w:rPr>
              <w:t> </w:t>
            </w:r>
            <w:r>
              <w:rPr/>
              <w:t>de</w:t>
            </w:r>
            <w:r>
              <w:rPr>
                <w:spacing w:val="-2"/>
              </w:rPr>
              <w:t> </w:t>
            </w:r>
            <w:r>
              <w:rPr/>
              <w:t>radiografías…</w:t>
              <w:tab/>
              <w:t>22</w:t>
            </w:r>
          </w:hyperlink>
        </w:p>
        <w:p>
          <w:pPr>
            <w:pStyle w:val="TOC1"/>
            <w:numPr>
              <w:ilvl w:val="3"/>
              <w:numId w:val="1"/>
            </w:numPr>
            <w:tabs>
              <w:tab w:pos="881" w:val="left" w:leader="none"/>
              <w:tab w:pos="9085" w:val="left" w:leader="dot"/>
            </w:tabs>
            <w:spacing w:line="240" w:lineRule="auto" w:before="137" w:after="0"/>
            <w:ind w:left="880" w:right="0" w:hanging="602"/>
            <w:jc w:val="left"/>
          </w:pPr>
          <w:hyperlink w:history="true" w:anchor="_TOC_250015">
            <w:r>
              <w:rPr/>
              <w:t>Evaluación y análisis de modelos</w:t>
            </w:r>
            <w:r>
              <w:rPr>
                <w:spacing w:val="-6"/>
              </w:rPr>
              <w:t> </w:t>
            </w:r>
            <w:r>
              <w:rPr/>
              <w:t>de</w:t>
            </w:r>
            <w:r>
              <w:rPr>
                <w:spacing w:val="-4"/>
              </w:rPr>
              <w:t> </w:t>
            </w:r>
            <w:r>
              <w:rPr/>
              <w:t>estudio…</w:t>
              <w:tab/>
              <w:t>24</w:t>
            </w:r>
          </w:hyperlink>
        </w:p>
        <w:p>
          <w:pPr>
            <w:pStyle w:val="TOC1"/>
            <w:numPr>
              <w:ilvl w:val="1"/>
              <w:numId w:val="1"/>
            </w:numPr>
            <w:tabs>
              <w:tab w:pos="548" w:val="left" w:leader="none"/>
              <w:tab w:pos="9080" w:val="left" w:leader="dot"/>
            </w:tabs>
            <w:spacing w:line="240" w:lineRule="auto" w:before="139" w:after="0"/>
            <w:ind w:left="547" w:right="0" w:hanging="269"/>
            <w:jc w:val="left"/>
          </w:pPr>
          <w:hyperlink w:history="true" w:anchor="_TOC_250014">
            <w:r>
              <w:rPr/>
              <w:t>Cefalometría</w:t>
            </w:r>
            <w:r>
              <w:rPr>
                <w:rFonts w:ascii="Times New Roman" w:hAnsi="Times New Roman"/>
              </w:rPr>
              <w:tab/>
            </w:r>
            <w:r>
              <w:rPr/>
              <w:t>26</w:t>
            </w:r>
          </w:hyperlink>
        </w:p>
        <w:p>
          <w:pPr>
            <w:pStyle w:val="TOC1"/>
            <w:numPr>
              <w:ilvl w:val="2"/>
              <w:numId w:val="1"/>
            </w:numPr>
            <w:tabs>
              <w:tab w:pos="683" w:val="left" w:leader="none"/>
              <w:tab w:pos="9069" w:val="left" w:leader="dot"/>
            </w:tabs>
            <w:spacing w:line="240" w:lineRule="auto" w:before="137" w:after="0"/>
            <w:ind w:left="682" w:right="0" w:hanging="404"/>
            <w:jc w:val="left"/>
          </w:pPr>
          <w:hyperlink w:history="true" w:anchor="_TOC_250013">
            <w:r>
              <w:rPr/>
              <w:t>Antecedentes</w:t>
              <w:tab/>
              <w:t>26</w:t>
            </w:r>
          </w:hyperlink>
        </w:p>
        <w:p>
          <w:pPr>
            <w:pStyle w:val="TOC1"/>
            <w:numPr>
              <w:ilvl w:val="2"/>
              <w:numId w:val="1"/>
            </w:numPr>
            <w:tabs>
              <w:tab w:pos="682" w:val="left" w:leader="none"/>
              <w:tab w:pos="9051" w:val="left" w:leader="dot"/>
            </w:tabs>
            <w:spacing w:line="240" w:lineRule="auto" w:before="137" w:after="0"/>
            <w:ind w:left="681" w:right="0" w:hanging="403"/>
            <w:jc w:val="left"/>
          </w:pPr>
          <w:hyperlink w:history="true" w:anchor="_TOC_250012">
            <w:r>
              <w:rPr/>
              <w:t>Análisis</w:t>
            </w:r>
            <w:r>
              <w:rPr>
                <w:spacing w:val="-3"/>
              </w:rPr>
              <w:t> </w:t>
            </w:r>
            <w:r>
              <w:rPr/>
              <w:t>Cefalométrico</w:t>
            </w:r>
            <w:r>
              <w:rPr>
                <w:rFonts w:ascii="Times New Roman" w:hAnsi="Times New Roman"/>
              </w:rPr>
              <w:tab/>
            </w:r>
            <w:r>
              <w:rPr/>
              <w:t>27</w:t>
            </w:r>
          </w:hyperlink>
        </w:p>
        <w:p>
          <w:pPr>
            <w:pStyle w:val="TOC1"/>
            <w:numPr>
              <w:ilvl w:val="1"/>
              <w:numId w:val="1"/>
            </w:numPr>
            <w:tabs>
              <w:tab w:pos="548" w:val="left" w:leader="none"/>
              <w:tab w:pos="9054" w:val="left" w:leader="dot"/>
            </w:tabs>
            <w:spacing w:line="240" w:lineRule="auto" w:before="139" w:after="0"/>
            <w:ind w:left="547" w:right="0" w:hanging="269"/>
            <w:jc w:val="left"/>
          </w:pPr>
          <w:hyperlink w:history="true" w:anchor="_TOC_250011">
            <w:r>
              <w:rPr/>
              <w:t>Estándares</w:t>
            </w:r>
            <w:r>
              <w:rPr>
                <w:spacing w:val="-3"/>
              </w:rPr>
              <w:t> </w:t>
            </w:r>
            <w:r>
              <w:rPr/>
              <w:t>Cefalométricos</w:t>
            </w:r>
            <w:r>
              <w:rPr>
                <w:rFonts w:ascii="Times New Roman" w:hAnsi="Times New Roman"/>
              </w:rPr>
              <w:tab/>
            </w:r>
            <w:r>
              <w:rPr/>
              <w:t>31</w:t>
            </w:r>
          </w:hyperlink>
        </w:p>
        <w:p>
          <w:pPr>
            <w:pStyle w:val="TOC1"/>
            <w:numPr>
              <w:ilvl w:val="2"/>
              <w:numId w:val="1"/>
            </w:numPr>
            <w:tabs>
              <w:tab w:pos="682" w:val="left" w:leader="none"/>
              <w:tab w:pos="9071" w:val="left" w:leader="dot"/>
            </w:tabs>
            <w:spacing w:line="240" w:lineRule="auto" w:before="137" w:after="0"/>
            <w:ind w:left="681" w:right="0" w:hanging="403"/>
            <w:jc w:val="left"/>
          </w:pPr>
          <w:hyperlink w:history="true" w:anchor="_TOC_250010">
            <w:r>
              <w:rPr/>
              <w:t>Análisis del Dr. Young</w:t>
            </w:r>
            <w:r>
              <w:rPr>
                <w:spacing w:val="-8"/>
              </w:rPr>
              <w:t> </w:t>
            </w:r>
            <w:r>
              <w:rPr/>
              <w:t>H.</w:t>
            </w:r>
            <w:r>
              <w:rPr>
                <w:spacing w:val="1"/>
              </w:rPr>
              <w:t> </w:t>
            </w:r>
            <w:r>
              <w:rPr/>
              <w:t>Kim</w:t>
              <w:tab/>
              <w:t>31</w:t>
            </w:r>
          </w:hyperlink>
        </w:p>
        <w:p>
          <w:pPr>
            <w:pStyle w:val="TOC1"/>
            <w:numPr>
              <w:ilvl w:val="2"/>
              <w:numId w:val="1"/>
            </w:numPr>
            <w:tabs>
              <w:tab w:pos="682" w:val="left" w:leader="none"/>
              <w:tab w:pos="9051" w:val="left" w:leader="dot"/>
            </w:tabs>
            <w:spacing w:line="240" w:lineRule="auto" w:before="139" w:after="0"/>
            <w:ind w:left="681" w:right="0" w:hanging="403"/>
            <w:jc w:val="left"/>
          </w:pPr>
          <w:hyperlink w:history="true" w:anchor="_TOC_250009">
            <w:r>
              <w:rPr/>
              <w:t>Análisis del Dr. Toshio</w:t>
            </w:r>
            <w:r>
              <w:rPr>
                <w:spacing w:val="-9"/>
              </w:rPr>
              <w:t> </w:t>
            </w:r>
            <w:r>
              <w:rPr/>
              <w:t>Kubodera</w:t>
            </w:r>
            <w:r>
              <w:rPr>
                <w:spacing w:val="-3"/>
              </w:rPr>
              <w:t> </w:t>
            </w:r>
            <w:r>
              <w:rPr/>
              <w:t>Ito</w:t>
            </w:r>
            <w:r>
              <w:rPr>
                <w:rFonts w:ascii="Times New Roman" w:hAnsi="Times New Roman"/>
              </w:rPr>
              <w:tab/>
            </w:r>
            <w:r>
              <w:rPr/>
              <w:t>45</w:t>
            </w:r>
          </w:hyperlink>
        </w:p>
        <w:p>
          <w:pPr>
            <w:pStyle w:val="TOC1"/>
            <w:numPr>
              <w:ilvl w:val="2"/>
              <w:numId w:val="1"/>
            </w:numPr>
            <w:tabs>
              <w:tab w:pos="682" w:val="left" w:leader="none"/>
              <w:tab w:pos="9083" w:val="left" w:leader="dot"/>
            </w:tabs>
            <w:spacing w:line="240" w:lineRule="auto" w:before="137" w:after="0"/>
            <w:ind w:left="681" w:right="0" w:hanging="403"/>
            <w:jc w:val="left"/>
          </w:pPr>
          <w:hyperlink w:history="true" w:anchor="_TOC_250008">
            <w:r>
              <w:rPr/>
              <w:t>Otros</w:t>
            </w:r>
            <w:r>
              <w:rPr>
                <w:spacing w:val="-2"/>
              </w:rPr>
              <w:t> </w:t>
            </w:r>
            <w:r>
              <w:rPr/>
              <w:t>Estándares</w:t>
            </w:r>
            <w:r>
              <w:rPr>
                <w:spacing w:val="-4"/>
              </w:rPr>
              <w:t> </w:t>
            </w:r>
            <w:r>
              <w:rPr/>
              <w:t>Cefalométricos…</w:t>
              <w:tab/>
              <w:t>46</w:t>
            </w:r>
          </w:hyperlink>
        </w:p>
        <w:p>
          <w:pPr>
            <w:pStyle w:val="TOC1"/>
            <w:numPr>
              <w:ilvl w:val="0"/>
              <w:numId w:val="2"/>
            </w:numPr>
            <w:tabs>
              <w:tab w:pos="615" w:val="left" w:leader="none"/>
              <w:tab w:pos="9109" w:val="left" w:leader="dot"/>
            </w:tabs>
            <w:spacing w:line="240" w:lineRule="auto" w:before="139" w:after="0"/>
            <w:ind w:left="614" w:right="0" w:hanging="336"/>
            <w:jc w:val="left"/>
          </w:pPr>
          <w:hyperlink w:history="true" w:anchor="_TOC_250007">
            <w:r>
              <w:rPr/>
              <w:t>Planteamiento</w:t>
            </w:r>
            <w:r>
              <w:rPr>
                <w:spacing w:val="-3"/>
              </w:rPr>
              <w:t> </w:t>
            </w:r>
            <w:r>
              <w:rPr/>
              <w:t>del</w:t>
            </w:r>
            <w:r>
              <w:rPr>
                <w:spacing w:val="-4"/>
              </w:rPr>
              <w:t> </w:t>
            </w:r>
            <w:r>
              <w:rPr/>
              <w:t>Problema</w:t>
              <w:tab/>
              <w:t>48</w:t>
            </w:r>
          </w:hyperlink>
        </w:p>
        <w:p>
          <w:pPr>
            <w:pStyle w:val="TOC1"/>
            <w:numPr>
              <w:ilvl w:val="0"/>
              <w:numId w:val="2"/>
            </w:numPr>
            <w:tabs>
              <w:tab w:pos="642" w:val="left" w:leader="none"/>
              <w:tab w:pos="9109" w:val="left" w:leader="dot"/>
            </w:tabs>
            <w:spacing w:line="240" w:lineRule="auto" w:before="137" w:after="0"/>
            <w:ind w:left="641" w:right="0" w:hanging="363"/>
            <w:jc w:val="left"/>
          </w:pPr>
          <w:hyperlink w:history="true" w:anchor="_TOC_250006">
            <w:r>
              <w:rPr/>
              <w:t>Justificación</w:t>
              <w:tab/>
              <w:t>49</w:t>
            </w:r>
          </w:hyperlink>
        </w:p>
        <w:p>
          <w:pPr>
            <w:pStyle w:val="TOC1"/>
            <w:numPr>
              <w:ilvl w:val="0"/>
              <w:numId w:val="2"/>
            </w:numPr>
            <w:tabs>
              <w:tab w:pos="575" w:val="left" w:leader="none"/>
              <w:tab w:pos="9081" w:val="left" w:leader="dot"/>
            </w:tabs>
            <w:spacing w:line="240" w:lineRule="auto" w:before="140" w:after="0"/>
            <w:ind w:left="574" w:right="0" w:hanging="296"/>
            <w:jc w:val="left"/>
          </w:pPr>
          <w:r>
            <w:rPr/>
            <w:t>Objetivos</w:t>
            <w:tab/>
            <w:t>50</w:t>
          </w:r>
        </w:p>
        <w:p>
          <w:pPr>
            <w:pStyle w:val="TOC1"/>
            <w:numPr>
              <w:ilvl w:val="0"/>
              <w:numId w:val="2"/>
            </w:numPr>
            <w:tabs>
              <w:tab w:pos="642" w:val="left" w:leader="none"/>
              <w:tab w:pos="9095" w:val="left" w:leader="dot"/>
            </w:tabs>
            <w:spacing w:line="240" w:lineRule="auto" w:before="137" w:after="0"/>
            <w:ind w:left="641" w:right="0" w:hanging="363"/>
            <w:jc w:val="left"/>
          </w:pPr>
          <w:r>
            <w:rPr/>
            <w:t>Hipótesis</w:t>
            <w:tab/>
            <w:t>51</w:t>
          </w:r>
        </w:p>
        <w:p>
          <w:pPr>
            <w:pStyle w:val="TOC1"/>
            <w:numPr>
              <w:ilvl w:val="0"/>
              <w:numId w:val="2"/>
            </w:numPr>
            <w:tabs>
              <w:tab w:pos="709" w:val="left" w:leader="none"/>
              <w:tab w:pos="9057" w:val="left" w:leader="dot"/>
            </w:tabs>
            <w:spacing w:line="240" w:lineRule="auto" w:before="139" w:after="0"/>
            <w:ind w:left="708" w:right="0" w:hanging="430"/>
            <w:jc w:val="left"/>
          </w:pPr>
          <w:hyperlink w:history="true" w:anchor="_TOC_250005">
            <w:r>
              <w:rPr/>
              <w:t>Materiales</w:t>
            </w:r>
            <w:r>
              <w:rPr>
                <w:spacing w:val="-2"/>
              </w:rPr>
              <w:t> </w:t>
            </w:r>
            <w:r>
              <w:rPr/>
              <w:t>y</w:t>
            </w:r>
            <w:r>
              <w:rPr>
                <w:spacing w:val="-5"/>
              </w:rPr>
              <w:t> </w:t>
            </w:r>
            <w:r>
              <w:rPr/>
              <w:t>Métodos</w:t>
              <w:tab/>
              <w:t>52</w:t>
            </w:r>
          </w:hyperlink>
        </w:p>
        <w:p>
          <w:pPr>
            <w:pStyle w:val="TOC1"/>
            <w:numPr>
              <w:ilvl w:val="0"/>
              <w:numId w:val="2"/>
            </w:numPr>
            <w:tabs>
              <w:tab w:pos="775" w:val="left" w:leader="none"/>
              <w:tab w:pos="9068" w:val="left" w:leader="dot"/>
            </w:tabs>
            <w:spacing w:line="240" w:lineRule="auto" w:before="137" w:after="0"/>
            <w:ind w:left="774" w:right="0" w:hanging="496"/>
            <w:jc w:val="left"/>
          </w:pPr>
          <w:hyperlink w:history="true" w:anchor="_TOC_250004">
            <w:r>
              <w:rPr/>
              <w:t>Resultados…</w:t>
              <w:tab/>
              <w:t>63</w:t>
            </w:r>
          </w:hyperlink>
        </w:p>
        <w:p>
          <w:pPr>
            <w:pStyle w:val="TOC1"/>
            <w:numPr>
              <w:ilvl w:val="0"/>
              <w:numId w:val="2"/>
            </w:numPr>
            <w:tabs>
              <w:tab w:pos="639" w:val="left" w:leader="none"/>
              <w:tab w:pos="9044" w:val="left" w:leader="dot"/>
            </w:tabs>
            <w:spacing w:line="240" w:lineRule="auto" w:before="139" w:after="0"/>
            <w:ind w:left="638" w:right="0" w:hanging="360"/>
            <w:jc w:val="left"/>
          </w:pPr>
          <w:hyperlink w:history="true" w:anchor="_TOC_250003">
            <w:r>
              <w:rPr/>
              <w:t>Discusión</w:t>
              <w:tab/>
              <w:t>71</w:t>
            </w:r>
          </w:hyperlink>
        </w:p>
        <w:p>
          <w:pPr>
            <w:pStyle w:val="TOC1"/>
            <w:numPr>
              <w:ilvl w:val="0"/>
              <w:numId w:val="2"/>
            </w:numPr>
            <w:tabs>
              <w:tab w:pos="572" w:val="left" w:leader="none"/>
              <w:tab w:pos="9097" w:val="left" w:leader="dot"/>
            </w:tabs>
            <w:spacing w:line="240" w:lineRule="auto" w:before="488" w:after="0"/>
            <w:ind w:left="571" w:right="0" w:hanging="293"/>
            <w:jc w:val="left"/>
          </w:pPr>
          <w:hyperlink w:history="true" w:anchor="_TOC_250002">
            <w:r>
              <w:rPr/>
              <w:t>Conclusiones.</w:t>
              <w:tab/>
              <w:t>76</w:t>
            </w:r>
          </w:hyperlink>
        </w:p>
        <w:p>
          <w:pPr>
            <w:pStyle w:val="TOC1"/>
            <w:numPr>
              <w:ilvl w:val="0"/>
              <w:numId w:val="2"/>
            </w:numPr>
            <w:tabs>
              <w:tab w:pos="639" w:val="left" w:leader="none"/>
              <w:tab w:pos="9095" w:val="left" w:leader="dot"/>
            </w:tabs>
            <w:spacing w:line="240" w:lineRule="auto" w:before="139" w:after="0"/>
            <w:ind w:left="638" w:right="0" w:hanging="360"/>
            <w:jc w:val="left"/>
          </w:pPr>
          <w:hyperlink w:history="true" w:anchor="_TOC_250001">
            <w:r>
              <w:rPr/>
              <w:t>Resumen</w:t>
              <w:tab/>
              <w:t>77</w:t>
            </w:r>
          </w:hyperlink>
        </w:p>
        <w:p>
          <w:pPr>
            <w:pStyle w:val="TOC1"/>
            <w:numPr>
              <w:ilvl w:val="0"/>
              <w:numId w:val="2"/>
            </w:numPr>
            <w:tabs>
              <w:tab w:pos="707" w:val="left" w:leader="none"/>
              <w:tab w:pos="9133" w:val="left" w:leader="dot"/>
            </w:tabs>
            <w:spacing w:line="240" w:lineRule="auto" w:before="137" w:after="0"/>
            <w:ind w:left="706" w:right="0" w:hanging="428"/>
            <w:jc w:val="left"/>
          </w:pPr>
          <w:hyperlink w:history="true" w:anchor="_TOC_250000">
            <w:r>
              <w:rPr/>
              <w:t>Bibliografía</w:t>
              <w:tab/>
              <w:t>79</w:t>
            </w:r>
          </w:hyperlink>
        </w:p>
        <w:p>
          <w:pPr>
            <w:pStyle w:val="TOC1"/>
            <w:numPr>
              <w:ilvl w:val="0"/>
              <w:numId w:val="2"/>
            </w:numPr>
            <w:tabs>
              <w:tab w:pos="774" w:val="left" w:leader="none"/>
              <w:tab w:pos="9095" w:val="left" w:leader="dot"/>
            </w:tabs>
            <w:spacing w:line="240" w:lineRule="auto" w:before="139" w:after="0"/>
            <w:ind w:left="773" w:right="0" w:hanging="495"/>
            <w:jc w:val="left"/>
          </w:pPr>
          <w:r>
            <w:rPr/>
            <w:t>Anexo</w:t>
            <w:tab/>
            <w:t>85</w:t>
          </w:r>
        </w:p>
      </w:sdtContent>
    </w:sdt>
    <w:p>
      <w:pPr>
        <w:spacing w:after="0" w:line="240" w:lineRule="auto"/>
        <w:jc w:val="left"/>
        <w:sectPr>
          <w:type w:val="continuous"/>
          <w:pgSz w:w="12240" w:h="15840"/>
          <w:pgMar w:top="1624" w:bottom="1837" w:left="1140" w:right="600"/>
        </w:sectPr>
      </w:pPr>
    </w:p>
    <w:p>
      <w:pPr>
        <w:pStyle w:val="BodyText"/>
        <w:spacing w:before="5"/>
        <w:rPr>
          <w:sz w:val="27"/>
        </w:rPr>
      </w:pPr>
    </w:p>
    <w:p>
      <w:pPr>
        <w:pStyle w:val="ListParagraph"/>
        <w:numPr>
          <w:ilvl w:val="1"/>
          <w:numId w:val="2"/>
        </w:numPr>
        <w:tabs>
          <w:tab w:pos="4247" w:val="left" w:leader="none"/>
        </w:tabs>
        <w:spacing w:line="240" w:lineRule="auto" w:before="0" w:after="0"/>
        <w:ind w:left="4246" w:right="0" w:hanging="201"/>
        <w:jc w:val="left"/>
        <w:rPr>
          <w:b/>
          <w:sz w:val="24"/>
        </w:rPr>
      </w:pPr>
      <w:r>
        <w:rPr>
          <w:b/>
          <w:sz w:val="24"/>
        </w:rPr>
        <w:t>INTRODUCCION</w:t>
      </w:r>
    </w:p>
    <w:p>
      <w:pPr>
        <w:pStyle w:val="BodyText"/>
        <w:spacing w:before="10"/>
        <w:rPr>
          <w:b/>
          <w:sz w:val="20"/>
        </w:rPr>
      </w:pPr>
    </w:p>
    <w:p>
      <w:pPr>
        <w:pStyle w:val="BodyText"/>
        <w:spacing w:line="360" w:lineRule="auto"/>
        <w:ind w:left="518" w:right="964"/>
        <w:jc w:val="both"/>
      </w:pPr>
      <w:r>
        <w:rPr/>
        <w:t>Desde épocas prehispánicas, el hombre ya era consciente de la importancia del aspecto de la cara. La apreciación de la belleza es innata para el hombre y se registra en el sistema límbico del cerebro donde se generan los</w:t>
      </w:r>
      <w:r>
        <w:rPr>
          <w:spacing w:val="-26"/>
        </w:rPr>
        <w:t> </w:t>
      </w:r>
      <w:r>
        <w:rPr/>
        <w:t>instintos.</w:t>
      </w:r>
    </w:p>
    <w:p>
      <w:pPr>
        <w:pStyle w:val="BodyText"/>
        <w:spacing w:line="360" w:lineRule="auto" w:before="204"/>
        <w:ind w:left="518" w:right="961"/>
        <w:jc w:val="both"/>
      </w:pPr>
      <w:r>
        <w:rPr/>
        <w:t>Los principales precursores de impresión de la belleza en obras de arte fueron Leonardo Da Vinci, Miguel Ángel y Rafael, entre otros. Leonardo Da Vinci realizó estudios sobre el cuerpo humano y la proporción áurea. Plasmó este dibujo para ilustrar el libro “La Divina Proporción” de Fray Luca Paccioli (1509). (Fig. 1)</w:t>
      </w:r>
    </w:p>
    <w:p>
      <w:pPr>
        <w:pStyle w:val="BodyText"/>
        <w:spacing w:before="3"/>
        <w:rPr>
          <w:sz w:val="14"/>
        </w:rPr>
      </w:pPr>
      <w:r>
        <w:rPr/>
        <w:drawing>
          <wp:anchor distT="0" distB="0" distL="0" distR="0" allowOverlap="1" layoutInCell="1" locked="0" behindDoc="0" simplePos="0" relativeHeight="1072">
            <wp:simplePos x="0" y="0"/>
            <wp:positionH relativeFrom="page">
              <wp:posOffset>2615183</wp:posOffset>
            </wp:positionH>
            <wp:positionV relativeFrom="paragraph">
              <wp:posOffset>129462</wp:posOffset>
            </wp:positionV>
            <wp:extent cx="2331345" cy="3356991"/>
            <wp:effectExtent l="0" t="0" r="0" b="0"/>
            <wp:wrapTopAndBottom/>
            <wp:docPr id="3" name="image4.jpeg" descr=""/>
            <wp:cNvGraphicFramePr>
              <a:graphicFrameLocks noChangeAspect="1"/>
            </wp:cNvGraphicFramePr>
            <a:graphic>
              <a:graphicData uri="http://schemas.openxmlformats.org/drawingml/2006/picture">
                <pic:pic>
                  <pic:nvPicPr>
                    <pic:cNvPr id="4" name="image4.jpeg"/>
                    <pic:cNvPicPr/>
                  </pic:nvPicPr>
                  <pic:blipFill>
                    <a:blip r:embed="rId11" cstate="print"/>
                    <a:stretch>
                      <a:fillRect/>
                    </a:stretch>
                  </pic:blipFill>
                  <pic:spPr>
                    <a:xfrm>
                      <a:off x="0" y="0"/>
                      <a:ext cx="2331345" cy="3356991"/>
                    </a:xfrm>
                    <a:prstGeom prst="rect">
                      <a:avLst/>
                    </a:prstGeom>
                  </pic:spPr>
                </pic:pic>
              </a:graphicData>
            </a:graphic>
          </wp:anchor>
        </w:drawing>
      </w:r>
    </w:p>
    <w:p>
      <w:pPr>
        <w:pStyle w:val="BodyText"/>
        <w:spacing w:before="5"/>
        <w:rPr>
          <w:sz w:val="31"/>
        </w:rPr>
      </w:pPr>
    </w:p>
    <w:p>
      <w:pPr>
        <w:spacing w:before="1"/>
        <w:ind w:left="647" w:right="1088" w:firstLine="0"/>
        <w:jc w:val="center"/>
        <w:rPr>
          <w:sz w:val="18"/>
        </w:rPr>
      </w:pPr>
      <w:r>
        <w:rPr>
          <w:sz w:val="18"/>
        </w:rPr>
        <w:t>Fig. 1 “La Divina Proporción”</w:t>
      </w:r>
    </w:p>
    <w:p>
      <w:pPr>
        <w:spacing w:before="105"/>
        <w:ind w:left="646" w:right="1088" w:firstLine="0"/>
        <w:jc w:val="center"/>
        <w:rPr>
          <w:sz w:val="18"/>
        </w:rPr>
      </w:pPr>
      <w:r>
        <w:rPr>
          <w:sz w:val="18"/>
        </w:rPr>
        <w:t>Fuente: </w:t>
      </w:r>
      <w:hyperlink r:id="rId12">
        <w:r>
          <w:rPr>
            <w:sz w:val="18"/>
            <w:u w:val="single"/>
          </w:rPr>
          <w:t>http://lafigurahumanaylaproporcionideal.blogspot.mx/</w:t>
        </w:r>
      </w:hyperlink>
    </w:p>
    <w:p>
      <w:pPr>
        <w:pStyle w:val="BodyText"/>
        <w:rPr>
          <w:sz w:val="20"/>
        </w:rPr>
      </w:pPr>
    </w:p>
    <w:p>
      <w:pPr>
        <w:pStyle w:val="BodyText"/>
        <w:spacing w:before="8"/>
        <w:rPr>
          <w:sz w:val="18"/>
        </w:rPr>
      </w:pPr>
    </w:p>
    <w:p>
      <w:pPr>
        <w:pStyle w:val="BodyText"/>
        <w:spacing w:line="352" w:lineRule="auto" w:before="70"/>
        <w:ind w:left="518" w:right="960"/>
        <w:jc w:val="both"/>
        <w:rPr>
          <w:sz w:val="16"/>
        </w:rPr>
      </w:pPr>
      <w:r>
        <w:rPr/>
        <w:t>El Dr. Ricketts aplicó la proporción divina a la cara, mencionando que las caras bellas guardan una proporción matemática, además está ligada con el crecimiento y la óptima función del organismo. Propone un análisis utilizando la proporción dorada para estudiar la armonía estructural y el balance de la cara, basado en el análisis morfológico de los dientes, tejidos duros y blandos.</w:t>
      </w:r>
      <w:r>
        <w:rPr>
          <w:position w:val="11"/>
          <w:sz w:val="16"/>
        </w:rPr>
        <w:t>1</w:t>
      </w:r>
    </w:p>
    <w:p>
      <w:pPr>
        <w:spacing w:after="0" w:line="352" w:lineRule="auto"/>
        <w:jc w:val="both"/>
        <w:rPr>
          <w:sz w:val="16"/>
        </w:rPr>
        <w:sectPr>
          <w:headerReference w:type="default" r:id="rId9"/>
          <w:footerReference w:type="default" r:id="rId10"/>
          <w:pgSz w:w="12240" w:h="15840"/>
          <w:pgMar w:header="596" w:footer="974" w:top="1380" w:bottom="1160" w:left="900" w:right="740"/>
          <w:pgNumType w:start="1"/>
        </w:sectPr>
      </w:pPr>
    </w:p>
    <w:p>
      <w:pPr>
        <w:pStyle w:val="BodyText"/>
        <w:spacing w:before="9"/>
        <w:rPr>
          <w:sz w:val="15"/>
        </w:rPr>
      </w:pPr>
    </w:p>
    <w:p>
      <w:pPr>
        <w:pStyle w:val="BodyText"/>
        <w:spacing w:line="360" w:lineRule="auto" w:before="70"/>
        <w:ind w:left="518" w:right="954"/>
        <w:jc w:val="both"/>
      </w:pPr>
      <w:r>
        <w:rPr/>
        <w:t>El propósito del tratamiento ortodóncico y ortopédico es proporcionar una armonía facial acorde al equilibrio morfofuncional de las estructuras de la cara. Es importante evaluar el tamaño, forma y posición de los maxilares, para establecer el grado de desarrollo que presenta la estructura craneofacial y la clase esquelética que nos permite definir con mayor precisión el papel que desempeñan los maxilares en</w:t>
      </w:r>
      <w:r>
        <w:rPr>
          <w:spacing w:val="50"/>
        </w:rPr>
        <w:t> </w:t>
      </w:r>
      <w:r>
        <w:rPr/>
        <w:t>el</w:t>
      </w:r>
    </w:p>
    <w:p>
      <w:pPr>
        <w:pStyle w:val="BodyText"/>
        <w:spacing w:line="279" w:lineRule="exact"/>
        <w:ind w:left="518"/>
        <w:jc w:val="both"/>
        <w:rPr>
          <w:sz w:val="16"/>
        </w:rPr>
      </w:pPr>
      <w:r>
        <w:rPr/>
        <w:t>origen de las maloclusiones.</w:t>
      </w:r>
      <w:r>
        <w:rPr>
          <w:position w:val="11"/>
          <w:sz w:val="16"/>
        </w:rPr>
        <w:t>2</w:t>
      </w:r>
    </w:p>
    <w:p>
      <w:pPr>
        <w:pStyle w:val="BodyText"/>
        <w:spacing w:before="4"/>
        <w:rPr>
          <w:sz w:val="29"/>
        </w:rPr>
      </w:pPr>
    </w:p>
    <w:p>
      <w:pPr>
        <w:pStyle w:val="BodyText"/>
        <w:spacing w:line="360" w:lineRule="auto" w:before="1"/>
        <w:ind w:left="518" w:right="956"/>
        <w:jc w:val="both"/>
      </w:pPr>
      <w:r>
        <w:rPr/>
        <w:t>Conocer y reconocer la etiología de los problemas que se presentan, así como  definir las relaciones entre los problemas esqueléticos, dentales, faciales y funcionales, juegan un papel fundamental al especificar las características individuales y considerar un orden de prioridad en el plan de</w:t>
      </w:r>
      <w:r>
        <w:rPr>
          <w:spacing w:val="-23"/>
        </w:rPr>
        <w:t> </w:t>
      </w:r>
      <w:r>
        <w:rPr/>
        <w:t>tratamiento.</w:t>
      </w:r>
    </w:p>
    <w:p>
      <w:pPr>
        <w:pStyle w:val="BodyText"/>
        <w:spacing w:line="352" w:lineRule="auto" w:before="204"/>
        <w:ind w:left="518" w:right="956"/>
        <w:jc w:val="both"/>
        <w:rPr>
          <w:sz w:val="16"/>
        </w:rPr>
      </w:pPr>
      <w:r>
        <w:rPr/>
        <w:t>Uno de los auxiliares de diagnóstico usado en la identificación y localización de los desequilibrios craneofaciales es el análisis cefalométrico, que es una metodología de interpretación de los valores obtenidos en el cefalograma. El análisis cefalométrico se popularizó después de la Segunda Guerra Mundial con el análisis introducido por Downs.</w:t>
      </w:r>
      <w:r>
        <w:rPr>
          <w:position w:val="11"/>
          <w:sz w:val="16"/>
        </w:rPr>
        <w:t>3</w:t>
      </w:r>
    </w:p>
    <w:p>
      <w:pPr>
        <w:pStyle w:val="BodyText"/>
        <w:spacing w:line="360" w:lineRule="auto" w:before="195"/>
        <w:ind w:left="518" w:right="965"/>
        <w:jc w:val="both"/>
      </w:pPr>
      <w:r>
        <w:rPr/>
        <w:t>Los investigadores han analizado grupos de pacientes de ortodoncia tratados y no tratados, con el intento de establecer lo que podría considerarse como relación ideal de los dientes y los huesos de los maxilares entre sí y con el resto del cráneo.</w:t>
      </w:r>
    </w:p>
    <w:p>
      <w:pPr>
        <w:pStyle w:val="BodyText"/>
        <w:spacing w:line="360" w:lineRule="auto" w:before="204"/>
        <w:ind w:left="518" w:right="955"/>
        <w:jc w:val="both"/>
      </w:pPr>
      <w:r>
        <w:rPr/>
        <w:t>Diversos análisis cefalométricos han sido propuestos con medidas lineales y angulares consideradas ideales. Al aceptar esta característica normal y dejando un margen para las variaciones que se apartan de lo normal pero que siguen aún dentro de los límites normales, se cuenta con una línea para poder comparar las características craneofaciales de un paciente.</w:t>
      </w:r>
    </w:p>
    <w:p>
      <w:pPr>
        <w:pStyle w:val="BodyText"/>
        <w:spacing w:line="360" w:lineRule="auto" w:before="204"/>
        <w:ind w:left="518" w:right="958"/>
        <w:jc w:val="both"/>
      </w:pPr>
      <w:r>
        <w:rPr/>
        <w:t>Se han desarrollado numerosos análisis cefalométricos, sin embargo, la mayoría no toman en cuenta consideraciones étnicas, raciales, de sexo y edad. Generalmente la población en la que se han realizado estos estudios es anglosajona. La población mexicana muestra características particulares, las cuáles han sido poco estudiadas.</w:t>
      </w:r>
    </w:p>
    <w:p>
      <w:pPr>
        <w:spacing w:after="0" w:line="360" w:lineRule="auto"/>
        <w:jc w:val="both"/>
        <w:sectPr>
          <w:pgSz w:w="12240" w:h="15840"/>
          <w:pgMar w:header="596" w:footer="974" w:top="1440" w:bottom="1160" w:left="900" w:right="740"/>
        </w:sectPr>
      </w:pPr>
    </w:p>
    <w:p>
      <w:pPr>
        <w:pStyle w:val="BodyText"/>
        <w:spacing w:before="9"/>
        <w:rPr>
          <w:sz w:val="15"/>
        </w:rPr>
      </w:pPr>
    </w:p>
    <w:p>
      <w:pPr>
        <w:pStyle w:val="BodyText"/>
        <w:spacing w:line="352" w:lineRule="auto" w:before="70"/>
        <w:ind w:left="518" w:right="955"/>
        <w:jc w:val="both"/>
        <w:rPr>
          <w:sz w:val="16"/>
        </w:rPr>
      </w:pPr>
      <w:r>
        <w:rPr/>
        <w:t>Las alteraciones de crecimiento de tipo vertical y horizontal de las estructuras craneofaciales, requieren ser evaluadas en población mexicana. El Dr. Young Kim,  en su estudio realizado en 1974, establece parámetros para determinar el patrón de la maloclusión, así como la tendencia y sus posibles combinaciones de crecimiento vertical de los</w:t>
      </w:r>
      <w:r>
        <w:rPr>
          <w:spacing w:val="-5"/>
        </w:rPr>
        <w:t> </w:t>
      </w:r>
      <w:r>
        <w:rPr/>
        <w:t>maxilares.</w:t>
      </w:r>
      <w:r>
        <w:rPr>
          <w:position w:val="11"/>
          <w:sz w:val="16"/>
        </w:rPr>
        <w:t>4</w:t>
      </w:r>
    </w:p>
    <w:p>
      <w:pPr>
        <w:pStyle w:val="BodyText"/>
        <w:spacing w:line="350" w:lineRule="auto" w:before="194"/>
        <w:ind w:left="518" w:right="958"/>
        <w:jc w:val="both"/>
        <w:rPr>
          <w:sz w:val="16"/>
        </w:rPr>
      </w:pPr>
      <w:r>
        <w:rPr/>
        <w:t>Las variaciones en las dimensiones verticales son importantes cuando se identifica el tipo facial. Considerando las dimensiones anteroposterior y vertical al mismo tiempo se puede realizar un diagnóstico más preciso de la maloclusión que presenta el paciente y con esto planear un tratamiento específico.</w:t>
      </w:r>
      <w:r>
        <w:rPr>
          <w:position w:val="11"/>
          <w:sz w:val="16"/>
        </w:rPr>
        <w:t>5</w:t>
      </w:r>
    </w:p>
    <w:p>
      <w:pPr>
        <w:pStyle w:val="BodyText"/>
        <w:spacing w:line="350" w:lineRule="auto" w:before="198"/>
        <w:ind w:left="518" w:right="965"/>
        <w:jc w:val="both"/>
        <w:rPr>
          <w:sz w:val="16"/>
        </w:rPr>
      </w:pPr>
      <w:r>
        <w:rPr/>
        <w:t>El Departamento de Ortodoncia, del Centro de Investigación y Estudios Avanzados en Odontología, de la Universidad Autónoma del Estado de México, ha desarrollado su propio estándar cefalométrico, de acuerdo a sexo y grupos de edad, de 6 a 18 años, basados en población de Toluca, Estado de</w:t>
      </w:r>
      <w:r>
        <w:rPr>
          <w:spacing w:val="-19"/>
        </w:rPr>
        <w:t> </w:t>
      </w:r>
      <w:r>
        <w:rPr/>
        <w:t>México.</w:t>
      </w:r>
      <w:r>
        <w:rPr>
          <w:position w:val="11"/>
          <w:sz w:val="16"/>
        </w:rPr>
        <w:t>6</w:t>
      </w:r>
    </w:p>
    <w:p>
      <w:pPr>
        <w:pStyle w:val="BodyText"/>
        <w:spacing w:line="360" w:lineRule="auto" w:before="198"/>
        <w:ind w:left="518" w:right="956"/>
        <w:jc w:val="both"/>
      </w:pPr>
      <w:r>
        <w:rPr/>
        <w:t>El análisis cefalométrico realizado por el Dr. Toshio Kubodera Ito, en 1992, que es utilizado en el Departamento de Ortodoncia, consta de 18 medidas lineales y 26 angulares, ahora la integración al diagnóstico cefalométrico, del análisis del  Dr. Young Kim, se lleva a cabo con el propósito de utilizarse como medio complementario de diagnóstico y establecer un plan de tratamiento óptimo para los pacientes que acuden a este clínica para atención</w:t>
      </w:r>
      <w:r>
        <w:rPr>
          <w:spacing w:val="-19"/>
        </w:rPr>
        <w:t> </w:t>
      </w:r>
      <w:r>
        <w:rPr/>
        <w:t>ortodóncica.</w:t>
      </w:r>
    </w:p>
    <w:p>
      <w:pPr>
        <w:pStyle w:val="BodyText"/>
        <w:spacing w:line="360" w:lineRule="auto" w:before="204"/>
        <w:ind w:left="518" w:right="963"/>
        <w:jc w:val="both"/>
      </w:pPr>
      <w:r>
        <w:rPr/>
        <w:t>El propósito del presente estudio es implementar el estándar del análisis de Kim para niños y adolescentes de 9-14 años como auxiliar de diagnóstico en la Clínica de Ortodoncia del CIEAO.</w:t>
      </w:r>
    </w:p>
    <w:p>
      <w:pPr>
        <w:spacing w:after="0" w:line="360" w:lineRule="auto"/>
        <w:jc w:val="both"/>
        <w:sectPr>
          <w:pgSz w:w="12240" w:h="15840"/>
          <w:pgMar w:header="596" w:footer="974" w:top="1440" w:bottom="1160" w:left="900" w:right="740"/>
        </w:sectPr>
      </w:pPr>
    </w:p>
    <w:p>
      <w:pPr>
        <w:pStyle w:val="BodyText"/>
        <w:spacing w:before="9"/>
        <w:rPr>
          <w:sz w:val="15"/>
        </w:rPr>
      </w:pPr>
    </w:p>
    <w:p>
      <w:pPr>
        <w:pStyle w:val="Heading1"/>
        <w:numPr>
          <w:ilvl w:val="1"/>
          <w:numId w:val="2"/>
        </w:numPr>
        <w:tabs>
          <w:tab w:pos="4237" w:val="left" w:leader="none"/>
        </w:tabs>
        <w:spacing w:line="240" w:lineRule="auto" w:before="70" w:after="0"/>
        <w:ind w:left="4236" w:right="0" w:hanging="271"/>
        <w:jc w:val="left"/>
      </w:pPr>
      <w:bookmarkStart w:name="_TOC_250024" w:id="1"/>
      <w:bookmarkEnd w:id="1"/>
      <w:r>
        <w:rPr/>
        <w:t>ANTECEDENTES</w:t>
      </w:r>
    </w:p>
    <w:p>
      <w:pPr>
        <w:pStyle w:val="BodyText"/>
        <w:spacing w:before="4"/>
        <w:rPr>
          <w:b/>
          <w:sz w:val="29"/>
        </w:rPr>
      </w:pPr>
    </w:p>
    <w:p>
      <w:pPr>
        <w:pStyle w:val="Heading1"/>
        <w:numPr>
          <w:ilvl w:val="0"/>
          <w:numId w:val="3"/>
        </w:numPr>
        <w:tabs>
          <w:tab w:pos="788" w:val="left" w:leader="none"/>
        </w:tabs>
        <w:spacing w:line="240" w:lineRule="auto" w:before="1" w:after="0"/>
        <w:ind w:left="787" w:right="0" w:hanging="269"/>
        <w:jc w:val="left"/>
      </w:pPr>
      <w:bookmarkStart w:name="_TOC_250023" w:id="2"/>
      <w:r>
        <w:rPr/>
        <w:t>CRECIMIENTO Y DESARROLLO</w:t>
      </w:r>
      <w:r>
        <w:rPr>
          <w:spacing w:val="-15"/>
        </w:rPr>
        <w:t> </w:t>
      </w:r>
      <w:bookmarkEnd w:id="2"/>
      <w:r>
        <w:rPr/>
        <w:t>CRANEOFACIAL</w:t>
      </w:r>
    </w:p>
    <w:p>
      <w:pPr>
        <w:pStyle w:val="BodyText"/>
        <w:spacing w:before="2"/>
        <w:rPr>
          <w:b/>
          <w:sz w:val="29"/>
        </w:rPr>
      </w:pPr>
    </w:p>
    <w:p>
      <w:pPr>
        <w:pStyle w:val="ListParagraph"/>
        <w:numPr>
          <w:ilvl w:val="1"/>
          <w:numId w:val="3"/>
        </w:numPr>
        <w:tabs>
          <w:tab w:pos="922" w:val="left" w:leader="none"/>
        </w:tabs>
        <w:spacing w:line="535" w:lineRule="auto" w:before="0" w:after="0"/>
        <w:ind w:left="518" w:right="5210" w:firstLine="0"/>
        <w:jc w:val="left"/>
        <w:rPr>
          <w:b/>
          <w:sz w:val="24"/>
        </w:rPr>
      </w:pPr>
      <w:r>
        <w:rPr>
          <w:b/>
          <w:sz w:val="24"/>
        </w:rPr>
        <w:t>Crecimiento del Complejo</w:t>
      </w:r>
      <w:r>
        <w:rPr>
          <w:b/>
          <w:spacing w:val="-9"/>
          <w:sz w:val="24"/>
        </w:rPr>
        <w:t> </w:t>
      </w:r>
      <w:r>
        <w:rPr>
          <w:b/>
          <w:sz w:val="24"/>
        </w:rPr>
        <w:t>Craneofacial Conceptos</w:t>
      </w:r>
    </w:p>
    <w:p>
      <w:pPr>
        <w:pStyle w:val="BodyText"/>
        <w:tabs>
          <w:tab w:pos="2336" w:val="left" w:leader="none"/>
          <w:tab w:pos="3381" w:val="left" w:leader="none"/>
          <w:tab w:pos="4211" w:val="left" w:leader="none"/>
          <w:tab w:pos="4631" w:val="left" w:leader="none"/>
          <w:tab w:pos="6087" w:val="left" w:leader="none"/>
          <w:tab w:pos="6437" w:val="left" w:leader="none"/>
          <w:tab w:pos="7720" w:val="left" w:leader="none"/>
          <w:tab w:pos="9247" w:val="left" w:leader="none"/>
        </w:tabs>
        <w:spacing w:line="360" w:lineRule="auto" w:before="8"/>
        <w:ind w:left="518" w:right="964"/>
      </w:pPr>
      <w:r>
        <w:rPr/>
        <w:t>Conocimientos</w:t>
        <w:tab/>
        <w:t>básicos</w:t>
        <w:tab/>
        <w:t>sobre</w:t>
        <w:tab/>
        <w:t>el</w:t>
        <w:tab/>
        <w:t>crecimiento</w:t>
        <w:tab/>
        <w:t>y</w:t>
        <w:tab/>
        <w:t>desarrollo</w:t>
        <w:tab/>
        <w:t>craneofacial</w:t>
        <w:tab/>
        <w:t>son fundamentales para el diagnóstico y planificación de</w:t>
      </w:r>
      <w:r>
        <w:rPr>
          <w:spacing w:val="-24"/>
        </w:rPr>
        <w:t> </w:t>
      </w:r>
      <w:r>
        <w:rPr/>
        <w:t>tratamiento.</w:t>
      </w:r>
    </w:p>
    <w:p>
      <w:pPr>
        <w:pStyle w:val="ListParagraph"/>
        <w:numPr>
          <w:ilvl w:val="2"/>
          <w:numId w:val="3"/>
        </w:numPr>
        <w:tabs>
          <w:tab w:pos="1239" w:val="left" w:leader="none"/>
        </w:tabs>
        <w:spacing w:line="331" w:lineRule="auto" w:before="202" w:after="0"/>
        <w:ind w:left="1238" w:right="965" w:hanging="360"/>
        <w:jc w:val="left"/>
        <w:rPr>
          <w:sz w:val="16"/>
        </w:rPr>
      </w:pPr>
      <w:r>
        <w:rPr>
          <w:b/>
          <w:sz w:val="24"/>
        </w:rPr>
        <w:t>Crecimiento; </w:t>
      </w:r>
      <w:r>
        <w:rPr>
          <w:sz w:val="24"/>
        </w:rPr>
        <w:t>representa un aumento permanente e irreversible del volumen, aunque limitado en el tiempo y el espacio en duración y</w:t>
      </w:r>
      <w:r>
        <w:rPr>
          <w:spacing w:val="-19"/>
          <w:sz w:val="24"/>
        </w:rPr>
        <w:t> </w:t>
      </w:r>
      <w:r>
        <w:rPr>
          <w:sz w:val="24"/>
        </w:rPr>
        <w:t>magnitud.</w:t>
      </w:r>
      <w:r>
        <w:rPr>
          <w:position w:val="11"/>
          <w:sz w:val="16"/>
        </w:rPr>
        <w:t>7</w:t>
      </w:r>
    </w:p>
    <w:p>
      <w:pPr>
        <w:pStyle w:val="ListParagraph"/>
        <w:numPr>
          <w:ilvl w:val="2"/>
          <w:numId w:val="3"/>
        </w:numPr>
        <w:tabs>
          <w:tab w:pos="1239" w:val="left" w:leader="none"/>
        </w:tabs>
        <w:spacing w:line="297" w:lineRule="exact" w:before="0" w:after="0"/>
        <w:ind w:left="1238" w:right="0" w:hanging="360"/>
        <w:jc w:val="left"/>
        <w:rPr>
          <w:sz w:val="16"/>
        </w:rPr>
      </w:pPr>
      <w:r>
        <w:rPr>
          <w:b/>
          <w:sz w:val="24"/>
        </w:rPr>
        <w:t>Desarrollo; </w:t>
      </w:r>
      <w:r>
        <w:rPr>
          <w:sz w:val="24"/>
        </w:rPr>
        <w:t>es un progreso hacia la</w:t>
      </w:r>
      <w:r>
        <w:rPr>
          <w:spacing w:val="-10"/>
          <w:sz w:val="24"/>
        </w:rPr>
        <w:t> </w:t>
      </w:r>
      <w:r>
        <w:rPr>
          <w:sz w:val="24"/>
        </w:rPr>
        <w:t>madurez.</w:t>
      </w:r>
      <w:r>
        <w:rPr>
          <w:position w:val="11"/>
          <w:sz w:val="16"/>
        </w:rPr>
        <w:t>7</w:t>
      </w:r>
    </w:p>
    <w:p>
      <w:pPr>
        <w:pStyle w:val="BodyText"/>
        <w:spacing w:before="4"/>
        <w:rPr>
          <w:sz w:val="29"/>
        </w:rPr>
      </w:pPr>
    </w:p>
    <w:p>
      <w:pPr>
        <w:spacing w:before="1"/>
        <w:ind w:left="518" w:right="964" w:firstLine="0"/>
        <w:jc w:val="left"/>
        <w:rPr>
          <w:b/>
          <w:sz w:val="24"/>
        </w:rPr>
      </w:pPr>
      <w:r>
        <w:rPr>
          <w:b/>
          <w:sz w:val="24"/>
        </w:rPr>
        <w:t>Crecimiento de los tejidos</w:t>
      </w:r>
    </w:p>
    <w:p>
      <w:pPr>
        <w:pStyle w:val="BodyText"/>
        <w:spacing w:before="4"/>
        <w:rPr>
          <w:b/>
          <w:sz w:val="29"/>
        </w:rPr>
      </w:pPr>
    </w:p>
    <w:p>
      <w:pPr>
        <w:pStyle w:val="BodyText"/>
        <w:spacing w:line="360" w:lineRule="auto" w:before="1"/>
        <w:ind w:left="518" w:right="964"/>
      </w:pPr>
      <w:r>
        <w:rPr/>
        <w:t>El crecimiento significa un aumento de volumen, sea por multiplicación celular, o por un aumento de volumen celular. Los tejidos crecen debido a los siguientes procesos:</w:t>
      </w:r>
    </w:p>
    <w:p>
      <w:pPr>
        <w:pStyle w:val="ListParagraph"/>
        <w:numPr>
          <w:ilvl w:val="2"/>
          <w:numId w:val="3"/>
        </w:numPr>
        <w:tabs>
          <w:tab w:pos="1239" w:val="left" w:leader="none"/>
        </w:tabs>
        <w:spacing w:line="240" w:lineRule="auto" w:before="204" w:after="0"/>
        <w:ind w:left="1238" w:right="0" w:hanging="360"/>
        <w:jc w:val="left"/>
        <w:rPr>
          <w:sz w:val="24"/>
        </w:rPr>
      </w:pPr>
      <w:r>
        <w:rPr>
          <w:sz w:val="24"/>
        </w:rPr>
        <w:t>Hiperplasia; consisten en el aumento del número de</w:t>
      </w:r>
      <w:r>
        <w:rPr>
          <w:spacing w:val="-24"/>
          <w:sz w:val="24"/>
        </w:rPr>
        <w:t> </w:t>
      </w:r>
      <w:r>
        <w:rPr>
          <w:sz w:val="24"/>
        </w:rPr>
        <w:t>células.</w:t>
      </w:r>
    </w:p>
    <w:p>
      <w:pPr>
        <w:pStyle w:val="ListParagraph"/>
        <w:numPr>
          <w:ilvl w:val="2"/>
          <w:numId w:val="3"/>
        </w:numPr>
        <w:tabs>
          <w:tab w:pos="1239" w:val="left" w:leader="none"/>
        </w:tabs>
        <w:spacing w:line="360" w:lineRule="auto" w:before="139" w:after="0"/>
        <w:ind w:left="1238" w:right="966" w:hanging="360"/>
        <w:jc w:val="left"/>
        <w:rPr>
          <w:sz w:val="24"/>
        </w:rPr>
      </w:pPr>
      <w:r>
        <w:rPr>
          <w:sz w:val="24"/>
        </w:rPr>
        <w:t>Hipertrofia; el aumento del tamaño de la célula o de la masa de sustancia intercelular producida por</w:t>
      </w:r>
      <w:r>
        <w:rPr>
          <w:spacing w:val="-9"/>
          <w:sz w:val="24"/>
        </w:rPr>
        <w:t> </w:t>
      </w:r>
      <w:r>
        <w:rPr>
          <w:sz w:val="24"/>
        </w:rPr>
        <w:t>ella.</w:t>
      </w:r>
    </w:p>
    <w:p>
      <w:pPr>
        <w:pStyle w:val="ListParagraph"/>
        <w:numPr>
          <w:ilvl w:val="2"/>
          <w:numId w:val="3"/>
        </w:numPr>
        <w:tabs>
          <w:tab w:pos="1239" w:val="left" w:leader="none"/>
        </w:tabs>
        <w:spacing w:line="240" w:lineRule="auto" w:before="5" w:after="0"/>
        <w:ind w:left="1238" w:right="0" w:hanging="360"/>
        <w:jc w:val="left"/>
        <w:rPr>
          <w:sz w:val="24"/>
        </w:rPr>
      </w:pPr>
      <w:r>
        <w:rPr>
          <w:sz w:val="24"/>
        </w:rPr>
        <w:t>Hipertrofoplasia; acción conjunta de los dos procesos</w:t>
      </w:r>
      <w:r>
        <w:rPr>
          <w:spacing w:val="-21"/>
          <w:sz w:val="24"/>
        </w:rPr>
        <w:t> </w:t>
      </w:r>
      <w:r>
        <w:rPr>
          <w:sz w:val="24"/>
        </w:rPr>
        <w:t>citados.</w:t>
      </w:r>
    </w:p>
    <w:p>
      <w:pPr>
        <w:pStyle w:val="BodyText"/>
        <w:spacing w:before="4"/>
        <w:rPr>
          <w:sz w:val="29"/>
        </w:rPr>
      </w:pPr>
    </w:p>
    <w:p>
      <w:pPr>
        <w:spacing w:before="1"/>
        <w:ind w:left="518" w:right="964" w:firstLine="0"/>
        <w:jc w:val="left"/>
        <w:rPr>
          <w:b/>
          <w:sz w:val="24"/>
        </w:rPr>
      </w:pPr>
      <w:r>
        <w:rPr>
          <w:b/>
          <w:sz w:val="24"/>
        </w:rPr>
        <w:t>Proceso de crecimiento</w:t>
      </w:r>
    </w:p>
    <w:p>
      <w:pPr>
        <w:pStyle w:val="BodyText"/>
        <w:spacing w:before="3"/>
        <w:rPr>
          <w:b/>
          <w:sz w:val="29"/>
        </w:rPr>
      </w:pPr>
    </w:p>
    <w:p>
      <w:pPr>
        <w:pStyle w:val="ListParagraph"/>
        <w:numPr>
          <w:ilvl w:val="0"/>
          <w:numId w:val="4"/>
        </w:numPr>
        <w:tabs>
          <w:tab w:pos="1238" w:val="left" w:leader="none"/>
          <w:tab w:pos="1239" w:val="left" w:leader="none"/>
        </w:tabs>
        <w:spacing w:line="352" w:lineRule="auto" w:before="0" w:after="0"/>
        <w:ind w:left="1238" w:right="964" w:hanging="360"/>
        <w:jc w:val="left"/>
        <w:rPr>
          <w:sz w:val="24"/>
        </w:rPr>
      </w:pPr>
      <w:r>
        <w:rPr>
          <w:sz w:val="24"/>
        </w:rPr>
        <w:t>Intersticial; consiste en anexar nuevos elementos celulares en los intersticios de lo ya existentes. Ejemplo; tejido</w:t>
      </w:r>
      <w:r>
        <w:rPr>
          <w:spacing w:val="-18"/>
          <w:sz w:val="24"/>
        </w:rPr>
        <w:t> </w:t>
      </w:r>
      <w:r>
        <w:rPr>
          <w:sz w:val="24"/>
        </w:rPr>
        <w:t>epitelial.</w:t>
      </w:r>
    </w:p>
    <w:p>
      <w:pPr>
        <w:pStyle w:val="ListParagraph"/>
        <w:numPr>
          <w:ilvl w:val="0"/>
          <w:numId w:val="4"/>
        </w:numPr>
        <w:tabs>
          <w:tab w:pos="1238" w:val="left" w:leader="none"/>
          <w:tab w:pos="1239" w:val="left" w:leader="none"/>
        </w:tabs>
        <w:spacing w:line="350" w:lineRule="auto" w:before="12" w:after="0"/>
        <w:ind w:left="1238" w:right="967" w:hanging="360"/>
        <w:jc w:val="left"/>
        <w:rPr>
          <w:sz w:val="24"/>
        </w:rPr>
      </w:pPr>
      <w:r>
        <w:rPr>
          <w:sz w:val="24"/>
        </w:rPr>
        <w:t>Aposicional; se basa en anexar capas superpuestas de nuevos elementos a los ya existentes. Ejemplo; tejido</w:t>
      </w:r>
      <w:r>
        <w:rPr>
          <w:spacing w:val="-14"/>
          <w:sz w:val="24"/>
        </w:rPr>
        <w:t> </w:t>
      </w:r>
      <w:r>
        <w:rPr>
          <w:sz w:val="24"/>
        </w:rPr>
        <w:t>óseo.</w:t>
      </w:r>
    </w:p>
    <w:p>
      <w:pPr>
        <w:pStyle w:val="ListParagraph"/>
        <w:numPr>
          <w:ilvl w:val="0"/>
          <w:numId w:val="4"/>
        </w:numPr>
        <w:tabs>
          <w:tab w:pos="1238" w:val="left" w:leader="none"/>
          <w:tab w:pos="1239" w:val="left" w:leader="none"/>
        </w:tabs>
        <w:spacing w:line="350" w:lineRule="auto" w:before="16" w:after="0"/>
        <w:ind w:left="1238" w:right="964" w:hanging="360"/>
        <w:jc w:val="left"/>
        <w:rPr>
          <w:sz w:val="24"/>
        </w:rPr>
      </w:pPr>
      <w:r>
        <w:rPr>
          <w:sz w:val="24"/>
        </w:rPr>
        <w:t>Intersticioaposicional; los dos procesos citados funcionan coordinadamente. Ejemplo; los</w:t>
      </w:r>
      <w:r>
        <w:rPr>
          <w:spacing w:val="-7"/>
          <w:sz w:val="24"/>
        </w:rPr>
        <w:t> </w:t>
      </w:r>
      <w:r>
        <w:rPr>
          <w:sz w:val="24"/>
        </w:rPr>
        <w:t>cartílagos.</w:t>
      </w:r>
    </w:p>
    <w:p>
      <w:pPr>
        <w:spacing w:after="0" w:line="350" w:lineRule="auto"/>
        <w:jc w:val="left"/>
        <w:rPr>
          <w:sz w:val="24"/>
        </w:rPr>
        <w:sectPr>
          <w:pgSz w:w="12240" w:h="15840"/>
          <w:pgMar w:header="596" w:footer="974" w:top="1440" w:bottom="1160" w:left="900" w:right="740"/>
        </w:sectPr>
      </w:pPr>
    </w:p>
    <w:p>
      <w:pPr>
        <w:pStyle w:val="BodyText"/>
        <w:spacing w:before="9"/>
        <w:rPr>
          <w:sz w:val="15"/>
        </w:rPr>
      </w:pPr>
    </w:p>
    <w:p>
      <w:pPr>
        <w:pStyle w:val="Heading1"/>
        <w:numPr>
          <w:ilvl w:val="1"/>
          <w:numId w:val="3"/>
        </w:numPr>
        <w:tabs>
          <w:tab w:pos="923" w:val="left" w:leader="none"/>
        </w:tabs>
        <w:spacing w:line="240" w:lineRule="auto" w:before="70" w:after="0"/>
        <w:ind w:left="922" w:right="0" w:hanging="404"/>
        <w:jc w:val="both"/>
      </w:pPr>
      <w:bookmarkStart w:name="_TOC_250022" w:id="3"/>
      <w:r>
        <w:rPr/>
        <w:t>Crecimiento del Esqueleto</w:t>
      </w:r>
      <w:r>
        <w:rPr>
          <w:spacing w:val="-12"/>
        </w:rPr>
        <w:t> </w:t>
      </w:r>
      <w:bookmarkEnd w:id="3"/>
      <w:r>
        <w:rPr/>
        <w:t>Craneofacial</w:t>
      </w:r>
    </w:p>
    <w:p>
      <w:pPr>
        <w:pStyle w:val="BodyText"/>
        <w:spacing w:before="4"/>
        <w:rPr>
          <w:b/>
          <w:sz w:val="29"/>
        </w:rPr>
      </w:pPr>
    </w:p>
    <w:p>
      <w:pPr>
        <w:pStyle w:val="BodyText"/>
        <w:spacing w:line="352" w:lineRule="auto" w:before="1"/>
        <w:ind w:left="518" w:right="958"/>
        <w:jc w:val="both"/>
        <w:rPr>
          <w:sz w:val="16"/>
        </w:rPr>
      </w:pPr>
      <w:r>
        <w:rPr/>
        <w:t>El complejo craneofacial es un sistema que apoya e interactúa con varias funciones vitales. Las variaciones en el crecimiento craneofacial son muy importantes en la ortodoncia, puesto que pueden ser la fuente de generación de las maloclusiones severas. Innumerables maloclusiones son consecuencia de alteraciones en el crecimiento normal de piezas óseas distantes de los arcos dentarios.</w:t>
      </w:r>
      <w:r>
        <w:rPr>
          <w:position w:val="11"/>
          <w:sz w:val="16"/>
        </w:rPr>
        <w:t>8</w:t>
      </w:r>
    </w:p>
    <w:p>
      <w:pPr>
        <w:pStyle w:val="BodyText"/>
        <w:spacing w:line="360" w:lineRule="auto" w:before="192"/>
        <w:ind w:left="518" w:right="954"/>
        <w:jc w:val="both"/>
      </w:pPr>
      <w:r>
        <w:rPr/>
        <w:t>El hueso es un tejido altamente metabolizado; a pesar de su dureza, es uno de los tejidos orgánicos más plásticos y maleables. Por ser un tejido vivo, con  vasos, nervios y linfáticos, revestido externa e internamente por el periostio y endostio respectivamente, tiene una actividad continua y equilibrada durante toda la vida del individuo.</w:t>
      </w:r>
    </w:p>
    <w:p>
      <w:pPr>
        <w:pStyle w:val="BodyText"/>
        <w:spacing w:line="360" w:lineRule="auto" w:before="204"/>
        <w:ind w:left="518" w:right="957"/>
        <w:jc w:val="both"/>
      </w:pPr>
      <w:r>
        <w:rPr/>
        <w:t>El hueso tiene origen en el tejido conjuntivo y pasará por un modelo membranoso o un modelo cartilaginoso, hasta su construcción final. El hueso está formado por células óseas u osteocitos y sustancia intercelular.</w:t>
      </w:r>
    </w:p>
    <w:p>
      <w:pPr>
        <w:pStyle w:val="BodyText"/>
        <w:spacing w:line="360" w:lineRule="auto" w:before="204"/>
        <w:ind w:left="518" w:right="957"/>
        <w:jc w:val="both"/>
      </w:pPr>
      <w:r>
        <w:rPr/>
        <w:t>Los osteocitos son del tipo osteoblastos, células formadoras de tejido óseo y osteoclastos, células responsables de la destrucción ósea.</w:t>
      </w:r>
    </w:p>
    <w:p>
      <w:pPr>
        <w:pStyle w:val="BodyText"/>
        <w:spacing w:line="355" w:lineRule="auto" w:before="204"/>
        <w:ind w:left="518" w:right="955"/>
        <w:jc w:val="both"/>
        <w:rPr>
          <w:sz w:val="16"/>
        </w:rPr>
      </w:pPr>
      <w:r>
        <w:rPr/>
        <w:t>El hueso puede tener origen en el interior de un modelo cartilaginoso cuando el mesénquima se condensa formando un precartílago preliminar. Posteriormente las células de esta área condensada se diferencian en condrocitos (células cartilaginosas) que elaboran una sustancia intercelular que se constituirá en el esbozo de una pieza ósea. Este modelo cartilaginoso posteriormente es destruido y sustituido por</w:t>
      </w:r>
      <w:r>
        <w:rPr>
          <w:spacing w:val="-3"/>
        </w:rPr>
        <w:t> </w:t>
      </w:r>
      <w:r>
        <w:rPr/>
        <w:t>hueso.</w:t>
      </w:r>
      <w:r>
        <w:rPr>
          <w:position w:val="11"/>
          <w:sz w:val="16"/>
        </w:rPr>
        <w:t>7</w:t>
      </w:r>
    </w:p>
    <w:p>
      <w:pPr>
        <w:pStyle w:val="BodyText"/>
        <w:spacing w:line="360" w:lineRule="auto" w:before="190"/>
        <w:ind w:left="518" w:right="958"/>
        <w:jc w:val="both"/>
      </w:pPr>
      <w:r>
        <w:rPr/>
        <w:t>Por tanto en la osificación llamada cartilaginosa, el modelo original cartilaginoso es totalmente destruido, salvo en las regiones situadas entre las epífisis y diáfisis de los huesos largos. Allí persiste el cartílago primordial, llamado cartílago de crecimiento o epifisiaria, responsable del crecimiento longitudinal de estos huesos.</w:t>
      </w:r>
    </w:p>
    <w:p>
      <w:pPr>
        <w:spacing w:after="0" w:line="360" w:lineRule="auto"/>
        <w:jc w:val="both"/>
        <w:sectPr>
          <w:pgSz w:w="12240" w:h="15840"/>
          <w:pgMar w:header="596" w:footer="974" w:top="1440" w:bottom="1160" w:left="900" w:right="740"/>
        </w:sectPr>
      </w:pPr>
    </w:p>
    <w:p>
      <w:pPr>
        <w:pStyle w:val="BodyText"/>
        <w:spacing w:before="9"/>
        <w:rPr>
          <w:sz w:val="15"/>
        </w:rPr>
      </w:pPr>
    </w:p>
    <w:p>
      <w:pPr>
        <w:pStyle w:val="BodyText"/>
        <w:spacing w:line="360" w:lineRule="auto" w:before="70"/>
        <w:ind w:left="518" w:right="957"/>
        <w:jc w:val="both"/>
      </w:pPr>
      <w:r>
        <w:rPr/>
        <w:t>Por otra parte, el hueso puede tener un origen llamado membranoso, cuando los osteoblastos surgen directamente de una concentración de células mesenquimales, indiferenciadas, para que, en seguida se forme la pieza ósea.</w:t>
      </w:r>
    </w:p>
    <w:p>
      <w:pPr>
        <w:spacing w:before="204"/>
        <w:ind w:left="518" w:right="0" w:firstLine="0"/>
        <w:jc w:val="both"/>
        <w:rPr>
          <w:b/>
          <w:sz w:val="24"/>
        </w:rPr>
      </w:pPr>
      <w:r>
        <w:rPr>
          <w:b/>
          <w:sz w:val="24"/>
        </w:rPr>
        <w:t>Periostio y Endostio</w:t>
      </w:r>
    </w:p>
    <w:p>
      <w:pPr>
        <w:pStyle w:val="BodyText"/>
        <w:spacing w:before="2"/>
        <w:rPr>
          <w:b/>
          <w:sz w:val="29"/>
        </w:rPr>
      </w:pPr>
    </w:p>
    <w:p>
      <w:pPr>
        <w:pStyle w:val="BodyText"/>
        <w:spacing w:line="355" w:lineRule="auto"/>
        <w:ind w:left="518" w:right="956"/>
        <w:jc w:val="both"/>
        <w:rPr>
          <w:sz w:val="16"/>
        </w:rPr>
      </w:pPr>
      <w:r>
        <w:rPr/>
        <w:t>Las membranas conjuntivas que revisten externa e internamente las superficies óseas se denominan, respectivamente, de periostio y endostio, desempeñando, la función de nutrir el hueso. Estas membranas son densamente vascularizadas, y desde ellas parten los vasos que penetran en los innumerables orificios de la superficie ósea hacia su interior. También son la fuente de los osteoblastos que promueven el crecimiento y la reparación</w:t>
      </w:r>
      <w:r>
        <w:rPr>
          <w:spacing w:val="-8"/>
        </w:rPr>
        <w:t> </w:t>
      </w:r>
      <w:r>
        <w:rPr/>
        <w:t>ósea.</w:t>
      </w:r>
      <w:r>
        <w:rPr>
          <w:position w:val="11"/>
          <w:sz w:val="16"/>
        </w:rPr>
        <w:t>7</w:t>
      </w:r>
    </w:p>
    <w:p>
      <w:pPr>
        <w:pStyle w:val="BodyText"/>
        <w:spacing w:line="360" w:lineRule="auto" w:before="191"/>
        <w:ind w:left="518" w:right="953"/>
        <w:jc w:val="both"/>
      </w:pPr>
      <w:r>
        <w:rPr/>
        <w:t>Un tejido conjuntivo denso y bastante fibroso forma el periostio, siendo más celular  en su parte externa y más vascular en la parte interna junto al hueso. Las fibras de Sharpey unen al periostio al tejido óseo. El endostio es similar al periostio en todo, aunque más fino, no siendo posible distinguir las dos capas mencionadas (celular y vascular).</w:t>
      </w:r>
    </w:p>
    <w:p>
      <w:pPr>
        <w:spacing w:before="202"/>
        <w:ind w:left="518" w:right="0" w:firstLine="0"/>
        <w:jc w:val="both"/>
        <w:rPr>
          <w:b/>
          <w:sz w:val="24"/>
        </w:rPr>
      </w:pPr>
      <w:r>
        <w:rPr>
          <w:b/>
          <w:sz w:val="24"/>
        </w:rPr>
        <w:t>Mecanismo de crecimiento</w:t>
      </w:r>
    </w:p>
    <w:p>
      <w:pPr>
        <w:pStyle w:val="BodyText"/>
        <w:spacing w:before="4"/>
        <w:rPr>
          <w:b/>
          <w:sz w:val="29"/>
        </w:rPr>
      </w:pPr>
    </w:p>
    <w:p>
      <w:pPr>
        <w:pStyle w:val="BodyText"/>
        <w:spacing w:line="350" w:lineRule="auto" w:before="1"/>
        <w:ind w:left="518" w:right="964"/>
        <w:jc w:val="both"/>
        <w:rPr>
          <w:sz w:val="16"/>
        </w:rPr>
      </w:pPr>
      <w:r>
        <w:rPr/>
        <w:t>Para comprender el crecimiento de cualquier parte del organismo, es necesario conocer: 1) las zonas o lugares de crecimiento; 2) el tipo de crecimiento que se produce en ese lugar, y 3) los factores que determinan o controlan dicho crecimiento.</w:t>
      </w:r>
      <w:r>
        <w:rPr>
          <w:position w:val="11"/>
          <w:sz w:val="16"/>
        </w:rPr>
        <w:t>9</w:t>
      </w:r>
    </w:p>
    <w:p>
      <w:pPr>
        <w:pStyle w:val="BodyText"/>
        <w:spacing w:line="360" w:lineRule="auto" w:before="195"/>
        <w:ind w:left="518" w:right="957"/>
        <w:jc w:val="both"/>
      </w:pPr>
      <w:r>
        <w:rPr/>
        <w:t>El hueso crece por un mecanismo de aposición y resorción; el primero a expensas de células osteoblásticas y el segundo a costa de las células osteoclásticas. Las células que forman el tejido óseo permanecen atrapadas en la matriz osteoide que se calcifica, y por causa de esto, no pueden multiplicarse.</w:t>
      </w:r>
    </w:p>
    <w:p>
      <w:pPr>
        <w:pStyle w:val="BodyText"/>
        <w:spacing w:before="204"/>
        <w:ind w:left="586"/>
        <w:jc w:val="both"/>
      </w:pPr>
      <w:r>
        <w:rPr/>
        <w:t>Por ese motivo el hueso crece por aposición a expensas del periostio y del endostio.</w:t>
      </w:r>
    </w:p>
    <w:p>
      <w:pPr>
        <w:spacing w:after="0"/>
        <w:jc w:val="both"/>
        <w:sectPr>
          <w:pgSz w:w="12240" w:h="15840"/>
          <w:pgMar w:header="596" w:footer="974" w:top="1440" w:bottom="1160" w:left="900" w:right="740"/>
        </w:sectPr>
      </w:pPr>
    </w:p>
    <w:p>
      <w:pPr>
        <w:pStyle w:val="BodyText"/>
        <w:spacing w:before="9"/>
        <w:rPr>
          <w:sz w:val="15"/>
        </w:rPr>
      </w:pPr>
    </w:p>
    <w:p>
      <w:pPr>
        <w:pStyle w:val="BodyText"/>
        <w:spacing w:line="360" w:lineRule="auto" w:before="70"/>
        <w:ind w:left="518" w:right="958"/>
        <w:jc w:val="both"/>
      </w:pPr>
      <w:r>
        <w:rPr/>
        <w:t>En las áreas de formación ósea, cartilaginosa o endocondral (base de cráneo, huesos que presentan articulaciones móviles como la mandíbula, huesos de la mano y muñeca), el hueso no se forma, del cartílago, pero lo invade sustituyéndolo. El cartílago crece de manera intersticial y por aposición con una velocidad de crecimiento y ajuste mayor que el crecimiento del periostio, que es de naturaleza intramembranosa  o  simplemente membranosa. Cuando  el  crecimiento del</w:t>
      </w:r>
      <w:r>
        <w:rPr>
          <w:spacing w:val="-20"/>
        </w:rPr>
        <w:t> </w:t>
      </w:r>
      <w:r>
        <w:rPr/>
        <w:t>periostio</w:t>
      </w:r>
    </w:p>
    <w:p>
      <w:pPr>
        <w:pStyle w:val="BodyText"/>
        <w:spacing w:line="328" w:lineRule="auto" w:before="5"/>
        <w:ind w:left="518" w:right="970"/>
        <w:jc w:val="both"/>
        <w:rPr>
          <w:sz w:val="16"/>
        </w:rPr>
      </w:pPr>
      <w:r>
        <w:rPr/>
        <w:t>cesa o desaparece el cartílago de crecimiento existente en los huesos de origen cartilaginoso, el crecimiento óseo también cesa.</w:t>
      </w:r>
      <w:r>
        <w:rPr>
          <w:position w:val="11"/>
          <w:sz w:val="16"/>
        </w:rPr>
        <w:t>7</w:t>
      </w:r>
    </w:p>
    <w:p>
      <w:pPr>
        <w:pStyle w:val="BodyText"/>
        <w:spacing w:line="360" w:lineRule="auto" w:before="226"/>
        <w:ind w:left="518" w:right="960"/>
        <w:jc w:val="both"/>
      </w:pPr>
      <w:r>
        <w:rPr/>
        <w:t>Se reconocen básicamente tres procesos distintos en el mecanismo de crecimiento: Remodelación, desplazamiento primario, desplazamiento secundario.</w:t>
      </w:r>
    </w:p>
    <w:p>
      <w:pPr>
        <w:pStyle w:val="BodyText"/>
        <w:spacing w:line="352" w:lineRule="auto" w:before="204"/>
        <w:ind w:left="518" w:right="954"/>
        <w:jc w:val="both"/>
        <w:rPr>
          <w:sz w:val="16"/>
        </w:rPr>
      </w:pPr>
      <w:r>
        <w:rPr/>
        <w:t>El periostio y el endostio, pueden depositar hueso en un área externa o interna y reabsorber en otra área contigua. Esto permite que las diferentes piezas del esqueleto modifiquen su forma espacial a medida que crecen o sufren una remodelación. El proceso de aposición en un área ósea y de resorción en el área opuesta, provoca un movimiento conocido como desplazamiento primario.</w:t>
      </w:r>
      <w:r>
        <w:rPr>
          <w:position w:val="11"/>
          <w:sz w:val="16"/>
        </w:rPr>
        <w:t>7</w:t>
      </w:r>
    </w:p>
    <w:p>
      <w:pPr>
        <w:pStyle w:val="BodyText"/>
        <w:spacing w:line="360" w:lineRule="auto" w:before="195"/>
        <w:ind w:left="518" w:right="958"/>
        <w:jc w:val="both"/>
      </w:pPr>
      <w:r>
        <w:rPr/>
        <w:t>Finalmente, durante el crecimiento, cualquier pieza ósea puede sufrir un movimiento espacial llamado desplazamiento secundario resultante de la presión o tracción de diferentes huesos, tejidos blandos circunvecinos o aparatos ortopédicos especializados.</w:t>
      </w:r>
    </w:p>
    <w:p>
      <w:pPr>
        <w:pStyle w:val="ListParagraph"/>
        <w:numPr>
          <w:ilvl w:val="1"/>
          <w:numId w:val="3"/>
        </w:numPr>
        <w:tabs>
          <w:tab w:pos="922" w:val="left" w:leader="none"/>
        </w:tabs>
        <w:spacing w:line="535" w:lineRule="auto" w:before="204" w:after="0"/>
        <w:ind w:left="518" w:right="5913" w:firstLine="0"/>
        <w:jc w:val="left"/>
        <w:rPr>
          <w:b/>
          <w:sz w:val="24"/>
        </w:rPr>
      </w:pPr>
      <w:r>
        <w:rPr>
          <w:b/>
          <w:sz w:val="24"/>
        </w:rPr>
        <w:t>Crecimiento del Esqueleto Facial Crecimiento del</w:t>
      </w:r>
      <w:r>
        <w:rPr>
          <w:b/>
          <w:spacing w:val="-6"/>
          <w:sz w:val="24"/>
        </w:rPr>
        <w:t> </w:t>
      </w:r>
      <w:r>
        <w:rPr>
          <w:b/>
          <w:sz w:val="24"/>
        </w:rPr>
        <w:t>maxilar</w:t>
      </w:r>
    </w:p>
    <w:p>
      <w:pPr>
        <w:pStyle w:val="BodyText"/>
        <w:spacing w:line="360" w:lineRule="auto" w:before="9"/>
        <w:ind w:left="518" w:right="967"/>
        <w:jc w:val="both"/>
      </w:pPr>
      <w:r>
        <w:rPr/>
        <w:t>El maxilar superior se desarrolla por completo tras el nacimiento por osificación intramembranosa.</w:t>
      </w:r>
    </w:p>
    <w:p>
      <w:pPr>
        <w:pStyle w:val="BodyText"/>
        <w:spacing w:line="345" w:lineRule="auto" w:before="204"/>
        <w:ind w:left="518" w:right="963"/>
        <w:jc w:val="both"/>
        <w:rPr>
          <w:sz w:val="16"/>
        </w:rPr>
      </w:pPr>
      <w:r>
        <w:rPr/>
        <w:t>Dado que no se produce sustitución de cartílago, el crecimiento se produce de dos formas: 1) por aposición de hueso a nivel de las suturas que conectan el maxilar superior con el cráneo y su base, y 2) por remodelación superficial.</w:t>
      </w:r>
      <w:r>
        <w:rPr>
          <w:position w:val="11"/>
          <w:sz w:val="16"/>
        </w:rPr>
        <w:t>9</w:t>
      </w:r>
    </w:p>
    <w:p>
      <w:pPr>
        <w:spacing w:after="0" w:line="345" w:lineRule="auto"/>
        <w:jc w:val="both"/>
        <w:rPr>
          <w:sz w:val="16"/>
        </w:rPr>
        <w:sectPr>
          <w:pgSz w:w="12240" w:h="15840"/>
          <w:pgMar w:header="596" w:footer="974" w:top="1440" w:bottom="1160" w:left="900" w:right="740"/>
        </w:sectPr>
      </w:pPr>
    </w:p>
    <w:p>
      <w:pPr>
        <w:pStyle w:val="BodyText"/>
        <w:spacing w:before="9"/>
        <w:rPr>
          <w:sz w:val="15"/>
        </w:rPr>
      </w:pPr>
    </w:p>
    <w:p>
      <w:pPr>
        <w:pStyle w:val="BodyText"/>
        <w:spacing w:line="352" w:lineRule="auto" w:before="70"/>
        <w:ind w:left="518" w:right="960"/>
        <w:jc w:val="both"/>
        <w:rPr>
          <w:sz w:val="16"/>
        </w:rPr>
      </w:pPr>
      <w:r>
        <w:rPr/>
        <w:t>El maxilar crece en modelo intramembranoso, por aposición y resorción en casi toda su extensión y por proliferación del tejido conjuntivo sutural en los puntos en que este hueso se une a piezas vecinas (frontal, cigomáticos, palatino y proceso pterigoideo del esfenoides). El centro de crecimiento del maxilar se sitúa en la región de la tuberosidad. (Fig. 2)</w:t>
      </w:r>
      <w:r>
        <w:rPr>
          <w:position w:val="11"/>
          <w:sz w:val="16"/>
        </w:rPr>
        <w:t>7</w:t>
      </w:r>
    </w:p>
    <w:p>
      <w:pPr>
        <w:pStyle w:val="BodyText"/>
        <w:spacing w:before="194"/>
        <w:ind w:left="518"/>
        <w:jc w:val="both"/>
      </w:pPr>
      <w:r>
        <w:rPr/>
        <w:t>Áreas de aposición:</w:t>
      </w:r>
    </w:p>
    <w:p>
      <w:pPr>
        <w:pStyle w:val="BodyText"/>
        <w:spacing w:before="3"/>
        <w:rPr>
          <w:sz w:val="29"/>
        </w:rPr>
      </w:pPr>
    </w:p>
    <w:p>
      <w:pPr>
        <w:pStyle w:val="ListParagraph"/>
        <w:numPr>
          <w:ilvl w:val="0"/>
          <w:numId w:val="5"/>
        </w:numPr>
        <w:tabs>
          <w:tab w:pos="1598" w:val="left" w:leader="none"/>
          <w:tab w:pos="1599" w:val="left" w:leader="none"/>
        </w:tabs>
        <w:spacing w:line="240" w:lineRule="auto" w:before="0" w:after="0"/>
        <w:ind w:left="518" w:right="0" w:firstLine="720"/>
        <w:jc w:val="left"/>
        <w:rPr>
          <w:sz w:val="24"/>
        </w:rPr>
      </w:pPr>
      <w:r>
        <w:rPr>
          <w:sz w:val="24"/>
        </w:rPr>
        <w:t>Tuberosidad</w:t>
      </w:r>
    </w:p>
    <w:p>
      <w:pPr>
        <w:pStyle w:val="ListParagraph"/>
        <w:numPr>
          <w:ilvl w:val="0"/>
          <w:numId w:val="5"/>
        </w:numPr>
        <w:tabs>
          <w:tab w:pos="1598" w:val="left" w:leader="none"/>
          <w:tab w:pos="1599" w:val="left" w:leader="none"/>
        </w:tabs>
        <w:spacing w:line="240" w:lineRule="auto" w:before="138" w:after="0"/>
        <w:ind w:left="1598" w:right="0" w:hanging="360"/>
        <w:jc w:val="left"/>
        <w:rPr>
          <w:sz w:val="24"/>
        </w:rPr>
      </w:pPr>
      <w:r>
        <w:rPr>
          <w:sz w:val="24"/>
        </w:rPr>
        <w:t>Proceso</w:t>
      </w:r>
      <w:r>
        <w:rPr>
          <w:spacing w:val="-7"/>
          <w:sz w:val="24"/>
        </w:rPr>
        <w:t> </w:t>
      </w:r>
      <w:r>
        <w:rPr>
          <w:sz w:val="24"/>
        </w:rPr>
        <w:t>alveolar</w:t>
      </w:r>
    </w:p>
    <w:p>
      <w:pPr>
        <w:pStyle w:val="ListParagraph"/>
        <w:numPr>
          <w:ilvl w:val="0"/>
          <w:numId w:val="5"/>
        </w:numPr>
        <w:tabs>
          <w:tab w:pos="1598" w:val="left" w:leader="none"/>
          <w:tab w:pos="1599" w:val="left" w:leader="none"/>
        </w:tabs>
        <w:spacing w:line="240" w:lineRule="auto" w:before="135" w:after="0"/>
        <w:ind w:left="1598" w:right="0" w:hanging="360"/>
        <w:jc w:val="left"/>
        <w:rPr>
          <w:sz w:val="24"/>
        </w:rPr>
      </w:pPr>
      <w:r>
        <w:rPr>
          <w:sz w:val="24"/>
        </w:rPr>
        <w:t>Región de la espina nasal</w:t>
      </w:r>
      <w:r>
        <w:rPr>
          <w:spacing w:val="-12"/>
          <w:sz w:val="24"/>
        </w:rPr>
        <w:t> </w:t>
      </w:r>
      <w:r>
        <w:rPr>
          <w:sz w:val="24"/>
        </w:rPr>
        <w:t>anterior</w:t>
      </w:r>
    </w:p>
    <w:p>
      <w:pPr>
        <w:pStyle w:val="ListParagraph"/>
        <w:numPr>
          <w:ilvl w:val="0"/>
          <w:numId w:val="5"/>
        </w:numPr>
        <w:tabs>
          <w:tab w:pos="1598" w:val="left" w:leader="none"/>
          <w:tab w:pos="1599" w:val="left" w:leader="none"/>
        </w:tabs>
        <w:spacing w:line="240" w:lineRule="auto" w:before="135" w:after="0"/>
        <w:ind w:left="1598" w:right="0" w:hanging="360"/>
        <w:jc w:val="left"/>
        <w:rPr>
          <w:sz w:val="24"/>
        </w:rPr>
      </w:pPr>
      <w:r>
        <w:rPr>
          <w:sz w:val="24"/>
        </w:rPr>
        <w:t>Suturas:</w:t>
      </w:r>
      <w:r>
        <w:rPr>
          <w:spacing w:val="-11"/>
          <w:sz w:val="24"/>
        </w:rPr>
        <w:t> </w:t>
      </w:r>
      <w:r>
        <w:rPr>
          <w:sz w:val="24"/>
        </w:rPr>
        <w:t>Frontomaxilar</w:t>
      </w:r>
    </w:p>
    <w:p>
      <w:pPr>
        <w:pStyle w:val="ListParagraph"/>
        <w:numPr>
          <w:ilvl w:val="1"/>
          <w:numId w:val="5"/>
        </w:numPr>
        <w:tabs>
          <w:tab w:pos="2319" w:val="left" w:leader="none"/>
        </w:tabs>
        <w:spacing w:line="240" w:lineRule="auto" w:before="135" w:after="0"/>
        <w:ind w:left="2318" w:right="0" w:hanging="360"/>
        <w:jc w:val="left"/>
        <w:rPr>
          <w:sz w:val="24"/>
        </w:rPr>
      </w:pPr>
      <w:r>
        <w:rPr>
          <w:sz w:val="24"/>
        </w:rPr>
        <w:t>Cigomaticomaxilar</w:t>
      </w:r>
    </w:p>
    <w:p>
      <w:pPr>
        <w:pStyle w:val="ListParagraph"/>
        <w:numPr>
          <w:ilvl w:val="1"/>
          <w:numId w:val="5"/>
        </w:numPr>
        <w:tabs>
          <w:tab w:pos="2319" w:val="left" w:leader="none"/>
        </w:tabs>
        <w:spacing w:line="240" w:lineRule="auto" w:before="118" w:after="0"/>
        <w:ind w:left="2318" w:right="0" w:hanging="360"/>
        <w:jc w:val="left"/>
        <w:rPr>
          <w:sz w:val="24"/>
        </w:rPr>
      </w:pPr>
      <w:r>
        <w:rPr>
          <w:sz w:val="24"/>
        </w:rPr>
        <w:t>Pterigopalatina</w:t>
      </w:r>
    </w:p>
    <w:p>
      <w:pPr>
        <w:pStyle w:val="ListParagraph"/>
        <w:numPr>
          <w:ilvl w:val="0"/>
          <w:numId w:val="5"/>
        </w:numPr>
        <w:tabs>
          <w:tab w:pos="1598" w:val="left" w:leader="none"/>
          <w:tab w:pos="1599" w:val="left" w:leader="none"/>
        </w:tabs>
        <w:spacing w:line="513" w:lineRule="auto" w:before="116" w:after="0"/>
        <w:ind w:left="518" w:right="6037" w:firstLine="720"/>
        <w:jc w:val="left"/>
        <w:rPr>
          <w:sz w:val="24"/>
        </w:rPr>
      </w:pPr>
      <w:r>
        <w:rPr>
          <w:sz w:val="24"/>
        </w:rPr>
        <w:t>Superficie bucal del paladar Áreas de</w:t>
      </w:r>
      <w:r>
        <w:rPr>
          <w:spacing w:val="-5"/>
          <w:sz w:val="24"/>
        </w:rPr>
        <w:t> </w:t>
      </w:r>
      <w:r>
        <w:rPr>
          <w:sz w:val="24"/>
        </w:rPr>
        <w:t>resorción:</w:t>
      </w:r>
    </w:p>
    <w:p>
      <w:pPr>
        <w:pStyle w:val="ListParagraph"/>
        <w:numPr>
          <w:ilvl w:val="0"/>
          <w:numId w:val="6"/>
        </w:numPr>
        <w:tabs>
          <w:tab w:pos="1238" w:val="left" w:leader="none"/>
          <w:tab w:pos="1239" w:val="left" w:leader="none"/>
        </w:tabs>
        <w:spacing w:line="240" w:lineRule="auto" w:before="33" w:after="0"/>
        <w:ind w:left="1238" w:right="0" w:hanging="360"/>
        <w:jc w:val="left"/>
        <w:rPr>
          <w:sz w:val="24"/>
        </w:rPr>
      </w:pPr>
      <w:r>
        <w:rPr>
          <w:sz w:val="24"/>
        </w:rPr>
        <w:t>Porción nasal del proceso palatino del</w:t>
      </w:r>
      <w:r>
        <w:rPr>
          <w:spacing w:val="-19"/>
          <w:sz w:val="24"/>
        </w:rPr>
        <w:t> </w:t>
      </w:r>
      <w:r>
        <w:rPr>
          <w:sz w:val="24"/>
        </w:rPr>
        <w:t>maxilar</w:t>
      </w:r>
    </w:p>
    <w:p>
      <w:pPr>
        <w:pStyle w:val="ListParagraph"/>
        <w:numPr>
          <w:ilvl w:val="0"/>
          <w:numId w:val="6"/>
        </w:numPr>
        <w:tabs>
          <w:tab w:pos="1238" w:val="left" w:leader="none"/>
          <w:tab w:pos="1239" w:val="left" w:leader="none"/>
        </w:tabs>
        <w:spacing w:line="240" w:lineRule="auto" w:before="135" w:after="0"/>
        <w:ind w:left="1238" w:right="0" w:hanging="360"/>
        <w:jc w:val="left"/>
        <w:rPr>
          <w:sz w:val="24"/>
        </w:rPr>
      </w:pPr>
      <w:r>
        <w:rPr>
          <w:sz w:val="24"/>
        </w:rPr>
        <w:t>Superficie vestibular de la maxilar anterior al proceso</w:t>
      </w:r>
      <w:r>
        <w:rPr>
          <w:spacing w:val="-15"/>
          <w:sz w:val="24"/>
        </w:rPr>
        <w:t> </w:t>
      </w:r>
      <w:r>
        <w:rPr>
          <w:sz w:val="24"/>
        </w:rPr>
        <w:t>cigomático</w:t>
      </w:r>
    </w:p>
    <w:p>
      <w:pPr>
        <w:pStyle w:val="ListParagraph"/>
        <w:numPr>
          <w:ilvl w:val="0"/>
          <w:numId w:val="6"/>
        </w:numPr>
        <w:tabs>
          <w:tab w:pos="1238" w:val="left" w:leader="none"/>
          <w:tab w:pos="1239" w:val="left" w:leader="none"/>
        </w:tabs>
        <w:spacing w:line="240" w:lineRule="auto" w:before="135" w:after="0"/>
        <w:ind w:left="1238" w:right="0" w:hanging="360"/>
        <w:jc w:val="left"/>
        <w:rPr>
          <w:sz w:val="24"/>
        </w:rPr>
      </w:pPr>
      <w:r>
        <w:rPr/>
        <w:drawing>
          <wp:anchor distT="0" distB="0" distL="0" distR="0" allowOverlap="1" layoutInCell="1" locked="0" behindDoc="0" simplePos="0" relativeHeight="1096">
            <wp:simplePos x="0" y="0"/>
            <wp:positionH relativeFrom="page">
              <wp:posOffset>2729483</wp:posOffset>
            </wp:positionH>
            <wp:positionV relativeFrom="paragraph">
              <wp:posOffset>358831</wp:posOffset>
            </wp:positionV>
            <wp:extent cx="2583083" cy="2400300"/>
            <wp:effectExtent l="0" t="0" r="0" b="0"/>
            <wp:wrapTopAndBottom/>
            <wp:docPr id="5" name="image5.jpeg" descr=""/>
            <wp:cNvGraphicFramePr>
              <a:graphicFrameLocks noChangeAspect="1"/>
            </wp:cNvGraphicFramePr>
            <a:graphic>
              <a:graphicData uri="http://schemas.openxmlformats.org/drawingml/2006/picture">
                <pic:pic>
                  <pic:nvPicPr>
                    <pic:cNvPr id="6" name="image5.jpeg"/>
                    <pic:cNvPicPr/>
                  </pic:nvPicPr>
                  <pic:blipFill>
                    <a:blip r:embed="rId13" cstate="print"/>
                    <a:stretch>
                      <a:fillRect/>
                    </a:stretch>
                  </pic:blipFill>
                  <pic:spPr>
                    <a:xfrm>
                      <a:off x="0" y="0"/>
                      <a:ext cx="2583083" cy="2400300"/>
                    </a:xfrm>
                    <a:prstGeom prst="rect">
                      <a:avLst/>
                    </a:prstGeom>
                  </pic:spPr>
                </pic:pic>
              </a:graphicData>
            </a:graphic>
          </wp:anchor>
        </w:drawing>
      </w:r>
      <w:r>
        <w:rPr>
          <w:sz w:val="24"/>
        </w:rPr>
        <w:t>Región del seno</w:t>
      </w:r>
      <w:r>
        <w:rPr>
          <w:spacing w:val="-7"/>
          <w:sz w:val="24"/>
        </w:rPr>
        <w:t> </w:t>
      </w:r>
      <w:r>
        <w:rPr>
          <w:sz w:val="24"/>
        </w:rPr>
        <w:t>maxilar</w:t>
      </w:r>
    </w:p>
    <w:p>
      <w:pPr>
        <w:spacing w:before="113"/>
        <w:ind w:left="1104" w:right="834" w:firstLine="0"/>
        <w:jc w:val="center"/>
        <w:rPr>
          <w:sz w:val="18"/>
        </w:rPr>
      </w:pPr>
      <w:r>
        <w:rPr>
          <w:sz w:val="18"/>
        </w:rPr>
        <w:t>Fig. 2 Principales centros de aposición y resorción del maxilar</w:t>
      </w:r>
    </w:p>
    <w:p>
      <w:pPr>
        <w:spacing w:line="360" w:lineRule="auto" w:before="102"/>
        <w:ind w:left="1104" w:right="826" w:firstLine="0"/>
        <w:jc w:val="center"/>
        <w:rPr>
          <w:sz w:val="18"/>
        </w:rPr>
      </w:pPr>
      <w:r>
        <w:rPr>
          <w:sz w:val="18"/>
        </w:rPr>
        <w:t>Fuente: Vellini Ferreira Flávio. Ortodoncia Diagnóstico y Planificación Clínica. Brasil: Artes Médicas Latinoamericanas; 2002. Pág. 44.</w:t>
      </w:r>
    </w:p>
    <w:p>
      <w:pPr>
        <w:spacing w:after="0" w:line="360" w:lineRule="auto"/>
        <w:jc w:val="center"/>
        <w:rPr>
          <w:sz w:val="18"/>
        </w:rPr>
        <w:sectPr>
          <w:pgSz w:w="12240" w:h="15840"/>
          <w:pgMar w:header="596" w:footer="974" w:top="1440" w:bottom="1160" w:left="900" w:right="740"/>
        </w:sectPr>
      </w:pPr>
    </w:p>
    <w:p>
      <w:pPr>
        <w:pStyle w:val="BodyText"/>
        <w:spacing w:before="9"/>
        <w:rPr>
          <w:sz w:val="15"/>
        </w:rPr>
      </w:pPr>
    </w:p>
    <w:p>
      <w:pPr>
        <w:pStyle w:val="BodyText"/>
        <w:spacing w:line="328" w:lineRule="auto" w:before="70"/>
        <w:ind w:left="518" w:right="964"/>
        <w:rPr>
          <w:sz w:val="16"/>
        </w:rPr>
      </w:pPr>
      <w:r>
        <w:rPr/>
        <w:t>El maxilar tiene un trayecto predominante de crecimiento hacia atrás y arriba, sin embargo su desplazamiento se hace hacia delante y hacia abajo. (Fig 3)</w:t>
      </w:r>
      <w:r>
        <w:rPr>
          <w:position w:val="11"/>
          <w:sz w:val="16"/>
        </w:rPr>
        <w:t>9</w:t>
      </w:r>
    </w:p>
    <w:p>
      <w:pPr>
        <w:pStyle w:val="BodyText"/>
        <w:spacing w:before="4"/>
        <w:rPr>
          <w:sz w:val="16"/>
        </w:rPr>
      </w:pPr>
      <w:r>
        <w:rPr/>
        <w:drawing>
          <wp:anchor distT="0" distB="0" distL="0" distR="0" allowOverlap="1" layoutInCell="1" locked="0" behindDoc="0" simplePos="0" relativeHeight="1120">
            <wp:simplePos x="0" y="0"/>
            <wp:positionH relativeFrom="page">
              <wp:posOffset>2049145</wp:posOffset>
            </wp:positionH>
            <wp:positionV relativeFrom="paragraph">
              <wp:posOffset>144164</wp:posOffset>
            </wp:positionV>
            <wp:extent cx="3499612" cy="2347150"/>
            <wp:effectExtent l="0" t="0" r="0" b="0"/>
            <wp:wrapTopAndBottom/>
            <wp:docPr id="7" name="image6.jpeg" descr=""/>
            <wp:cNvGraphicFramePr>
              <a:graphicFrameLocks noChangeAspect="1"/>
            </wp:cNvGraphicFramePr>
            <a:graphic>
              <a:graphicData uri="http://schemas.openxmlformats.org/drawingml/2006/picture">
                <pic:pic>
                  <pic:nvPicPr>
                    <pic:cNvPr id="8" name="image6.jpeg"/>
                    <pic:cNvPicPr/>
                  </pic:nvPicPr>
                  <pic:blipFill>
                    <a:blip r:embed="rId14" cstate="print"/>
                    <a:stretch>
                      <a:fillRect/>
                    </a:stretch>
                  </pic:blipFill>
                  <pic:spPr>
                    <a:xfrm>
                      <a:off x="0" y="0"/>
                      <a:ext cx="3499612" cy="2347150"/>
                    </a:xfrm>
                    <a:prstGeom prst="rect">
                      <a:avLst/>
                    </a:prstGeom>
                  </pic:spPr>
                </pic:pic>
              </a:graphicData>
            </a:graphic>
          </wp:anchor>
        </w:drawing>
      </w:r>
    </w:p>
    <w:p>
      <w:pPr>
        <w:pStyle w:val="BodyText"/>
        <w:spacing w:before="5"/>
        <w:rPr>
          <w:sz w:val="26"/>
        </w:rPr>
      </w:pPr>
    </w:p>
    <w:p>
      <w:pPr>
        <w:spacing w:before="0"/>
        <w:ind w:left="645" w:right="1088" w:firstLine="0"/>
        <w:jc w:val="center"/>
        <w:rPr>
          <w:sz w:val="18"/>
        </w:rPr>
      </w:pPr>
      <w:r>
        <w:rPr>
          <w:sz w:val="18"/>
        </w:rPr>
        <w:t>Fig. 3 Dirección de crecimiento del maxilar</w:t>
      </w:r>
    </w:p>
    <w:p>
      <w:pPr>
        <w:spacing w:line="362" w:lineRule="auto" w:before="102"/>
        <w:ind w:left="644" w:right="1088" w:firstLine="0"/>
        <w:jc w:val="center"/>
        <w:rPr>
          <w:sz w:val="18"/>
        </w:rPr>
      </w:pPr>
      <w:r>
        <w:rPr>
          <w:sz w:val="18"/>
        </w:rPr>
        <w:t>Fuente:Vellini Ferreira Flávio. Ortodoncia Diagnóstico y Planificación Clínica. Brasil: Artes Médicas Latinoamericanas; 2002. Pág. 43.</w:t>
      </w:r>
    </w:p>
    <w:p>
      <w:pPr>
        <w:pStyle w:val="BodyText"/>
        <w:spacing w:before="9"/>
        <w:rPr>
          <w:sz w:val="26"/>
        </w:rPr>
      </w:pPr>
    </w:p>
    <w:p>
      <w:pPr>
        <w:pStyle w:val="BodyText"/>
        <w:spacing w:line="362" w:lineRule="auto"/>
        <w:ind w:left="518" w:right="966"/>
        <w:jc w:val="both"/>
      </w:pPr>
      <w:r>
        <w:rPr/>
        <w:t>El crecimiento del proceso alveolar se hace en función de las diferentes piezas dentarias que aloja.</w:t>
      </w:r>
    </w:p>
    <w:p>
      <w:pPr>
        <w:spacing w:before="201"/>
        <w:ind w:left="518" w:right="0" w:firstLine="0"/>
        <w:jc w:val="both"/>
        <w:rPr>
          <w:b/>
          <w:sz w:val="24"/>
        </w:rPr>
      </w:pPr>
      <w:r>
        <w:rPr>
          <w:b/>
          <w:sz w:val="24"/>
        </w:rPr>
        <w:t>Aposición y reabsorción en V</w:t>
      </w:r>
    </w:p>
    <w:p>
      <w:pPr>
        <w:pStyle w:val="BodyText"/>
        <w:spacing w:before="2"/>
        <w:rPr>
          <w:b/>
          <w:sz w:val="29"/>
        </w:rPr>
      </w:pPr>
    </w:p>
    <w:p>
      <w:pPr>
        <w:pStyle w:val="BodyText"/>
        <w:spacing w:line="360" w:lineRule="auto"/>
        <w:ind w:left="518" w:right="967"/>
        <w:jc w:val="both"/>
      </w:pPr>
      <w:r>
        <w:rPr/>
        <w:t>La remodelación ósea del maxilar superior consiste en la neoformación y reabsorción continuada y diferencial que modifica su morfología y afecta a su posición en la arquitectura facial.</w:t>
      </w:r>
    </w:p>
    <w:p>
      <w:pPr>
        <w:pStyle w:val="BodyText"/>
        <w:spacing w:line="362" w:lineRule="auto" w:before="204"/>
        <w:ind w:left="518" w:right="957"/>
        <w:jc w:val="both"/>
      </w:pPr>
      <w:r>
        <w:rPr/>
        <w:t>Hay dos áreas de especial interés, que son la bóveda palatina y la apófisis alveolar, por las consecuencias clínicas derivadas de los cambios que en ellas se observan.</w:t>
      </w:r>
    </w:p>
    <w:p>
      <w:pPr>
        <w:pStyle w:val="BodyText"/>
        <w:spacing w:line="345" w:lineRule="auto" w:before="199"/>
        <w:ind w:left="518" w:right="956"/>
        <w:jc w:val="both"/>
        <w:rPr>
          <w:sz w:val="16"/>
        </w:rPr>
      </w:pPr>
      <w:r>
        <w:rPr/>
        <w:t>El suelo de la cavidad nasal, que constituye la cara superior de la silueta sagital del cuerpo del maxilar, sufre una reabsorción contínua; la bóveda palatina es, por el contrario, un área de aposición ósea, y la cara anterior parece permanecer estable.</w:t>
      </w:r>
      <w:r>
        <w:rPr>
          <w:position w:val="11"/>
          <w:sz w:val="16"/>
        </w:rPr>
        <w:t>7</w:t>
      </w:r>
    </w:p>
    <w:p>
      <w:pPr>
        <w:spacing w:after="0" w:line="345" w:lineRule="auto"/>
        <w:jc w:val="both"/>
        <w:rPr>
          <w:sz w:val="16"/>
        </w:rPr>
        <w:sectPr>
          <w:pgSz w:w="12240" w:h="15840"/>
          <w:pgMar w:header="596" w:footer="974" w:top="1440" w:bottom="1160" w:left="900" w:right="740"/>
        </w:sectPr>
      </w:pPr>
    </w:p>
    <w:p>
      <w:pPr>
        <w:pStyle w:val="BodyText"/>
        <w:spacing w:before="9"/>
        <w:rPr>
          <w:sz w:val="15"/>
        </w:rPr>
      </w:pPr>
    </w:p>
    <w:p>
      <w:pPr>
        <w:pStyle w:val="BodyText"/>
        <w:spacing w:line="360" w:lineRule="auto" w:before="70"/>
        <w:ind w:left="518" w:right="956"/>
        <w:jc w:val="both"/>
      </w:pPr>
      <w:r>
        <w:rPr/>
        <w:t>Estas circunstancias llevan al hueso a descender verticalmente ampliando las fosas nasales por la aposición inferior y la reabsorción superior; tiene un desplazamiento primario por remodelación externa.</w:t>
      </w:r>
    </w:p>
    <w:p>
      <w:pPr>
        <w:pStyle w:val="BodyText"/>
        <w:spacing w:line="360" w:lineRule="auto" w:before="204"/>
        <w:ind w:left="518" w:right="957"/>
        <w:jc w:val="both"/>
      </w:pPr>
      <w:r>
        <w:rPr/>
        <w:t>Si se analiza el mismo patrón de remodelamiento sobre una sección transversal, la aposición ósea en la bóveda palatina y la reabsorción del suelo nasal, condicionan  un crecimiento divergente de las apófisis alveolares que se dirigen hacia abajo y afuera. El crecimiento en V, descrito por Enlow, aumenta la altura de la apófisis alveolar y ensancha transversalmente el arco dental. Las piezas dentarias hacen erupción</w:t>
      </w:r>
      <w:r>
        <w:rPr>
          <w:spacing w:val="50"/>
        </w:rPr>
        <w:t> </w:t>
      </w:r>
      <w:r>
        <w:rPr/>
        <w:t>y</w:t>
      </w:r>
      <w:r>
        <w:rPr>
          <w:spacing w:val="46"/>
        </w:rPr>
        <w:t> </w:t>
      </w:r>
      <w:r>
        <w:rPr/>
        <w:t>el</w:t>
      </w:r>
      <w:r>
        <w:rPr>
          <w:spacing w:val="48"/>
        </w:rPr>
        <w:t> </w:t>
      </w:r>
      <w:r>
        <w:rPr/>
        <w:t>alveolo</w:t>
      </w:r>
      <w:r>
        <w:rPr>
          <w:spacing w:val="47"/>
        </w:rPr>
        <w:t> </w:t>
      </w:r>
      <w:r>
        <w:rPr/>
        <w:t>crece</w:t>
      </w:r>
      <w:r>
        <w:rPr>
          <w:spacing w:val="49"/>
        </w:rPr>
        <w:t> </w:t>
      </w:r>
      <w:r>
        <w:rPr/>
        <w:t>siguiendo</w:t>
      </w:r>
      <w:r>
        <w:rPr>
          <w:spacing w:val="49"/>
        </w:rPr>
        <w:t> </w:t>
      </w:r>
      <w:r>
        <w:rPr/>
        <w:t>la</w:t>
      </w:r>
      <w:r>
        <w:rPr>
          <w:spacing w:val="49"/>
        </w:rPr>
        <w:t> </w:t>
      </w:r>
      <w:r>
        <w:rPr/>
        <w:t>silueta</w:t>
      </w:r>
      <w:r>
        <w:rPr>
          <w:spacing w:val="50"/>
        </w:rPr>
        <w:t> </w:t>
      </w:r>
      <w:r>
        <w:rPr/>
        <w:t>de</w:t>
      </w:r>
      <w:r>
        <w:rPr>
          <w:spacing w:val="49"/>
        </w:rPr>
        <w:t> </w:t>
      </w:r>
      <w:r>
        <w:rPr/>
        <w:t>la</w:t>
      </w:r>
      <w:r>
        <w:rPr>
          <w:spacing w:val="49"/>
        </w:rPr>
        <w:t> </w:t>
      </w:r>
      <w:r>
        <w:rPr/>
        <w:t>V</w:t>
      </w:r>
      <w:r>
        <w:rPr>
          <w:spacing w:val="47"/>
        </w:rPr>
        <w:t> </w:t>
      </w:r>
      <w:r>
        <w:rPr/>
        <w:t>facilitando</w:t>
      </w:r>
      <w:r>
        <w:rPr>
          <w:spacing w:val="49"/>
        </w:rPr>
        <w:t> </w:t>
      </w:r>
      <w:r>
        <w:rPr/>
        <w:t>el</w:t>
      </w:r>
      <w:r>
        <w:rPr>
          <w:spacing w:val="48"/>
        </w:rPr>
        <w:t> </w:t>
      </w:r>
      <w:r>
        <w:rPr/>
        <w:t>crecimiento</w:t>
      </w:r>
    </w:p>
    <w:p>
      <w:pPr>
        <w:pStyle w:val="BodyText"/>
        <w:spacing w:line="279" w:lineRule="exact"/>
        <w:ind w:left="518"/>
        <w:jc w:val="both"/>
        <w:rPr>
          <w:sz w:val="16"/>
        </w:rPr>
      </w:pPr>
      <w:r>
        <w:rPr/>
        <w:t>simultáneo vertical y transversal de la arcada alveolar.</w:t>
      </w:r>
      <w:r>
        <w:rPr>
          <w:position w:val="11"/>
          <w:sz w:val="16"/>
        </w:rPr>
        <w:t>10</w:t>
      </w:r>
    </w:p>
    <w:p>
      <w:pPr>
        <w:pStyle w:val="BodyText"/>
        <w:spacing w:before="4"/>
        <w:rPr>
          <w:sz w:val="29"/>
        </w:rPr>
      </w:pPr>
    </w:p>
    <w:p>
      <w:pPr>
        <w:spacing w:before="1"/>
        <w:ind w:left="518" w:right="0" w:firstLine="0"/>
        <w:jc w:val="both"/>
        <w:rPr>
          <w:b/>
          <w:sz w:val="24"/>
        </w:rPr>
      </w:pPr>
      <w:r>
        <w:rPr>
          <w:b/>
          <w:sz w:val="24"/>
        </w:rPr>
        <w:t>Crecimiento de la mandíbula</w:t>
      </w:r>
    </w:p>
    <w:p>
      <w:pPr>
        <w:pStyle w:val="BodyText"/>
        <w:spacing w:before="4"/>
        <w:rPr>
          <w:b/>
          <w:sz w:val="29"/>
        </w:rPr>
      </w:pPr>
    </w:p>
    <w:p>
      <w:pPr>
        <w:pStyle w:val="BodyText"/>
        <w:spacing w:line="360" w:lineRule="auto" w:before="1"/>
        <w:ind w:left="518" w:right="956"/>
        <w:jc w:val="both"/>
      </w:pPr>
      <w:r>
        <w:rPr/>
        <w:t>A diferencia de lo que sucede en el maxilar superior, en el crecimiento de la mandíbula son importantes la actividad endocondral y la perióstica. El cartílago recubre la superficie del cóndilo mandibular de la articulación temporomandibular. Aunque este cartílago no es como el de las placas epifisiarias o las sincondrosis, también </w:t>
      </w:r>
      <w:r>
        <w:rPr>
          <w:spacing w:val="51"/>
        </w:rPr>
        <w:t> </w:t>
      </w:r>
      <w:r>
        <w:rPr/>
        <w:t>se </w:t>
      </w:r>
      <w:r>
        <w:rPr>
          <w:spacing w:val="51"/>
        </w:rPr>
        <w:t> </w:t>
      </w:r>
      <w:r>
        <w:rPr/>
        <w:t>poducen  en </w:t>
      </w:r>
      <w:r>
        <w:rPr>
          <w:spacing w:val="51"/>
        </w:rPr>
        <w:t> </w:t>
      </w:r>
      <w:r>
        <w:rPr/>
        <w:t>él </w:t>
      </w:r>
      <w:r>
        <w:rPr>
          <w:spacing w:val="50"/>
        </w:rPr>
        <w:t> </w:t>
      </w:r>
      <w:r>
        <w:rPr/>
        <w:t>procesos </w:t>
      </w:r>
      <w:r>
        <w:rPr>
          <w:spacing w:val="50"/>
        </w:rPr>
        <w:t> </w:t>
      </w:r>
      <w:r>
        <w:rPr/>
        <w:t>de  hiperplasia,  hipertrofia </w:t>
      </w:r>
      <w:r>
        <w:rPr>
          <w:spacing w:val="51"/>
        </w:rPr>
        <w:t> </w:t>
      </w:r>
      <w:r>
        <w:rPr/>
        <w:t>y  sustitución</w:t>
      </w:r>
    </w:p>
    <w:p>
      <w:pPr>
        <w:pStyle w:val="BodyText"/>
        <w:spacing w:line="328" w:lineRule="auto" w:before="5"/>
        <w:ind w:left="518" w:right="967"/>
        <w:jc w:val="both"/>
        <w:rPr>
          <w:sz w:val="16"/>
        </w:rPr>
      </w:pPr>
      <w:r>
        <w:rPr/>
        <w:t>endocondral. Las restantes zonas de la mandíbula se forman y crecen por aposición superficial directa y remodelación.</w:t>
      </w:r>
      <w:r>
        <w:rPr>
          <w:position w:val="11"/>
          <w:sz w:val="16"/>
        </w:rPr>
        <w:t>9</w:t>
      </w:r>
    </w:p>
    <w:p>
      <w:pPr>
        <w:pStyle w:val="BodyText"/>
        <w:spacing w:line="360" w:lineRule="auto" w:before="225"/>
        <w:ind w:left="518" w:right="958"/>
        <w:jc w:val="both"/>
      </w:pPr>
      <w:r>
        <w:rPr/>
        <w:t>La mandíbula es un hueso de origen membranoso que se desarrolla lateralmente al cartílago de Meckel, componente cartilaginoso del primer arco branquial. Al pasar el tiempo, este cartílago regresa y desaparece, con excepción de dos pequeños fragmentos, en sus extremidades dorsales, que formaran los huesos yunque y martillo.</w:t>
      </w:r>
    </w:p>
    <w:p>
      <w:pPr>
        <w:pStyle w:val="BodyText"/>
        <w:spacing w:line="350" w:lineRule="auto" w:before="204"/>
        <w:ind w:left="518" w:right="959"/>
        <w:jc w:val="both"/>
        <w:rPr>
          <w:sz w:val="16"/>
        </w:rPr>
      </w:pPr>
      <w:r>
        <w:rPr/>
        <w:t>La proliferación del tejido cartilaginoso de la cabeza de la mandíbula (crecimiento de tipo cartilaginoso), la aposición y resorción superficial en el cuerpo y rama ascendente (crecimiento de tipo membranoso), constituyen el complejo mecanismo de crecimiento de este</w:t>
      </w:r>
      <w:r>
        <w:rPr>
          <w:spacing w:val="-6"/>
        </w:rPr>
        <w:t> </w:t>
      </w:r>
      <w:r>
        <w:rPr/>
        <w:t>hueso.</w:t>
      </w:r>
      <w:r>
        <w:rPr>
          <w:position w:val="11"/>
          <w:sz w:val="16"/>
        </w:rPr>
        <w:t>7</w:t>
      </w:r>
    </w:p>
    <w:p>
      <w:pPr>
        <w:spacing w:after="0" w:line="350" w:lineRule="auto"/>
        <w:jc w:val="both"/>
        <w:rPr>
          <w:sz w:val="16"/>
        </w:rPr>
        <w:sectPr>
          <w:footerReference w:type="default" r:id="rId15"/>
          <w:pgSz w:w="12240" w:h="15840"/>
          <w:pgMar w:footer="974" w:header="596" w:top="1440" w:bottom="1160" w:left="900" w:right="740"/>
        </w:sectPr>
      </w:pPr>
    </w:p>
    <w:p>
      <w:pPr>
        <w:pStyle w:val="BodyText"/>
        <w:spacing w:before="9"/>
        <w:rPr>
          <w:sz w:val="15"/>
        </w:rPr>
      </w:pPr>
    </w:p>
    <w:p>
      <w:pPr>
        <w:pStyle w:val="BodyText"/>
        <w:spacing w:line="352" w:lineRule="auto" w:before="70"/>
        <w:ind w:left="518" w:right="961"/>
        <w:jc w:val="both"/>
        <w:rPr>
          <w:sz w:val="16"/>
        </w:rPr>
      </w:pPr>
      <w:r>
        <w:rPr/>
        <w:t>El cóndilo es el principal centro de crecimiento mandibular, porque en esa área existe un cartílago hialino que “genera” hueso de forma similar al cartílago de crecimiento  de los huesos largos (crecimiento intersticial); este cartílago hialino está recubierto por una gruesa capa del tejido conjuntivo fibroso, que a su vez favorece un crecimiento por aposición.(Fig.</w:t>
      </w:r>
      <w:r>
        <w:rPr>
          <w:spacing w:val="-7"/>
        </w:rPr>
        <w:t> </w:t>
      </w:r>
      <w:r>
        <w:rPr/>
        <w:t>4)</w:t>
      </w:r>
      <w:r>
        <w:rPr>
          <w:position w:val="11"/>
          <w:sz w:val="16"/>
        </w:rPr>
        <w:t>7</w:t>
      </w:r>
    </w:p>
    <w:p>
      <w:pPr>
        <w:pStyle w:val="BodyText"/>
        <w:spacing w:before="194"/>
        <w:ind w:left="518"/>
        <w:jc w:val="both"/>
      </w:pPr>
      <w:r>
        <w:rPr/>
        <w:t>Áreas de crecimiento por aposición:</w:t>
      </w:r>
    </w:p>
    <w:p>
      <w:pPr>
        <w:pStyle w:val="BodyText"/>
        <w:spacing w:before="3"/>
        <w:rPr>
          <w:sz w:val="29"/>
        </w:rPr>
      </w:pPr>
    </w:p>
    <w:p>
      <w:pPr>
        <w:pStyle w:val="ListParagraph"/>
        <w:numPr>
          <w:ilvl w:val="0"/>
          <w:numId w:val="7"/>
        </w:numPr>
        <w:tabs>
          <w:tab w:pos="1238" w:val="left" w:leader="none"/>
          <w:tab w:pos="1239" w:val="left" w:leader="none"/>
        </w:tabs>
        <w:spacing w:line="240" w:lineRule="auto" w:before="0" w:after="0"/>
        <w:ind w:left="1238" w:right="0" w:hanging="360"/>
        <w:jc w:val="left"/>
        <w:rPr>
          <w:sz w:val="24"/>
        </w:rPr>
      </w:pPr>
      <w:r>
        <w:rPr>
          <w:sz w:val="24"/>
        </w:rPr>
        <w:t>Cóndilo</w:t>
      </w:r>
    </w:p>
    <w:p>
      <w:pPr>
        <w:pStyle w:val="ListParagraph"/>
        <w:numPr>
          <w:ilvl w:val="0"/>
          <w:numId w:val="7"/>
        </w:numPr>
        <w:tabs>
          <w:tab w:pos="1238" w:val="left" w:leader="none"/>
          <w:tab w:pos="1239" w:val="left" w:leader="none"/>
        </w:tabs>
        <w:spacing w:line="240" w:lineRule="auto" w:before="138" w:after="0"/>
        <w:ind w:left="1238" w:right="0" w:hanging="360"/>
        <w:jc w:val="left"/>
        <w:rPr>
          <w:sz w:val="24"/>
        </w:rPr>
      </w:pPr>
      <w:r>
        <w:rPr>
          <w:sz w:val="24"/>
        </w:rPr>
        <w:t>Borde posterior de la rama</w:t>
      </w:r>
      <w:r>
        <w:rPr>
          <w:spacing w:val="-17"/>
          <w:sz w:val="24"/>
        </w:rPr>
        <w:t> </w:t>
      </w:r>
      <w:r>
        <w:rPr>
          <w:sz w:val="24"/>
        </w:rPr>
        <w:t>ascendente</w:t>
      </w:r>
    </w:p>
    <w:p>
      <w:pPr>
        <w:pStyle w:val="ListParagraph"/>
        <w:numPr>
          <w:ilvl w:val="0"/>
          <w:numId w:val="7"/>
        </w:numPr>
        <w:tabs>
          <w:tab w:pos="1238" w:val="left" w:leader="none"/>
          <w:tab w:pos="1239" w:val="left" w:leader="none"/>
        </w:tabs>
        <w:spacing w:line="240" w:lineRule="auto" w:before="135" w:after="0"/>
        <w:ind w:left="1238" w:right="0" w:hanging="360"/>
        <w:jc w:val="left"/>
        <w:rPr>
          <w:sz w:val="24"/>
        </w:rPr>
      </w:pPr>
      <w:r>
        <w:rPr>
          <w:sz w:val="24"/>
        </w:rPr>
        <w:t>Proceso</w:t>
      </w:r>
      <w:r>
        <w:rPr>
          <w:spacing w:val="-6"/>
          <w:sz w:val="24"/>
        </w:rPr>
        <w:t> </w:t>
      </w:r>
      <w:r>
        <w:rPr>
          <w:sz w:val="24"/>
        </w:rPr>
        <w:t>alveolar</w:t>
      </w:r>
    </w:p>
    <w:p>
      <w:pPr>
        <w:pStyle w:val="ListParagraph"/>
        <w:numPr>
          <w:ilvl w:val="0"/>
          <w:numId w:val="7"/>
        </w:numPr>
        <w:tabs>
          <w:tab w:pos="1238" w:val="left" w:leader="none"/>
          <w:tab w:pos="1239" w:val="left" w:leader="none"/>
        </w:tabs>
        <w:spacing w:line="240" w:lineRule="auto" w:before="135" w:after="0"/>
        <w:ind w:left="1238" w:right="0" w:hanging="360"/>
        <w:jc w:val="left"/>
        <w:rPr>
          <w:sz w:val="24"/>
        </w:rPr>
      </w:pPr>
      <w:r>
        <w:rPr>
          <w:sz w:val="24"/>
        </w:rPr>
        <w:t>Borde inferior del</w:t>
      </w:r>
      <w:r>
        <w:rPr>
          <w:spacing w:val="-11"/>
          <w:sz w:val="24"/>
        </w:rPr>
        <w:t> </w:t>
      </w:r>
      <w:r>
        <w:rPr>
          <w:sz w:val="24"/>
        </w:rPr>
        <w:t>cuerpo</w:t>
      </w:r>
    </w:p>
    <w:p>
      <w:pPr>
        <w:pStyle w:val="ListParagraph"/>
        <w:numPr>
          <w:ilvl w:val="0"/>
          <w:numId w:val="7"/>
        </w:numPr>
        <w:tabs>
          <w:tab w:pos="1238" w:val="left" w:leader="none"/>
          <w:tab w:pos="1239" w:val="left" w:leader="none"/>
        </w:tabs>
        <w:spacing w:line="240" w:lineRule="auto" w:before="135" w:after="0"/>
        <w:ind w:left="1238" w:right="0" w:hanging="360"/>
        <w:jc w:val="left"/>
        <w:rPr>
          <w:sz w:val="24"/>
        </w:rPr>
      </w:pPr>
      <w:r>
        <w:rPr>
          <w:sz w:val="24"/>
        </w:rPr>
        <w:t>Escotadura</w:t>
      </w:r>
      <w:r>
        <w:rPr>
          <w:spacing w:val="-4"/>
          <w:sz w:val="24"/>
        </w:rPr>
        <w:t> </w:t>
      </w:r>
      <w:r>
        <w:rPr>
          <w:sz w:val="24"/>
        </w:rPr>
        <w:t>sigmoidea</w:t>
      </w:r>
    </w:p>
    <w:p>
      <w:pPr>
        <w:pStyle w:val="ListParagraph"/>
        <w:numPr>
          <w:ilvl w:val="0"/>
          <w:numId w:val="7"/>
        </w:numPr>
        <w:tabs>
          <w:tab w:pos="1238" w:val="left" w:leader="none"/>
          <w:tab w:pos="1239" w:val="left" w:leader="none"/>
        </w:tabs>
        <w:spacing w:line="240" w:lineRule="auto" w:before="135" w:after="0"/>
        <w:ind w:left="1238" w:right="0" w:hanging="360"/>
        <w:jc w:val="left"/>
        <w:rPr>
          <w:sz w:val="24"/>
        </w:rPr>
      </w:pPr>
      <w:r>
        <w:rPr>
          <w:sz w:val="24"/>
        </w:rPr>
        <w:t>Apófisis</w:t>
      </w:r>
      <w:r>
        <w:rPr>
          <w:spacing w:val="-6"/>
          <w:sz w:val="24"/>
        </w:rPr>
        <w:t> </w:t>
      </w:r>
      <w:r>
        <w:rPr>
          <w:sz w:val="24"/>
        </w:rPr>
        <w:t>coronoides</w:t>
      </w:r>
    </w:p>
    <w:p>
      <w:pPr>
        <w:pStyle w:val="ListParagraph"/>
        <w:numPr>
          <w:ilvl w:val="0"/>
          <w:numId w:val="7"/>
        </w:numPr>
        <w:tabs>
          <w:tab w:pos="1238" w:val="left" w:leader="none"/>
          <w:tab w:pos="1239" w:val="left" w:leader="none"/>
        </w:tabs>
        <w:spacing w:line="240" w:lineRule="auto" w:before="138" w:after="0"/>
        <w:ind w:left="1238" w:right="0" w:hanging="360"/>
        <w:jc w:val="left"/>
        <w:rPr>
          <w:sz w:val="24"/>
        </w:rPr>
      </w:pPr>
      <w:r>
        <w:rPr>
          <w:sz w:val="24"/>
        </w:rPr>
        <w:t>Mentón</w:t>
      </w:r>
    </w:p>
    <w:p>
      <w:pPr>
        <w:pStyle w:val="BodyText"/>
        <w:rPr>
          <w:sz w:val="29"/>
        </w:rPr>
      </w:pPr>
    </w:p>
    <w:p>
      <w:pPr>
        <w:pStyle w:val="BodyText"/>
        <w:ind w:left="518"/>
        <w:jc w:val="both"/>
      </w:pPr>
      <w:r>
        <w:rPr/>
        <w:t>Áreas de resorción concomitante:</w:t>
      </w:r>
    </w:p>
    <w:p>
      <w:pPr>
        <w:pStyle w:val="BodyText"/>
        <w:spacing w:before="5"/>
        <w:rPr>
          <w:sz w:val="29"/>
        </w:rPr>
      </w:pPr>
    </w:p>
    <w:p>
      <w:pPr>
        <w:pStyle w:val="ListParagraph"/>
        <w:numPr>
          <w:ilvl w:val="0"/>
          <w:numId w:val="7"/>
        </w:numPr>
        <w:tabs>
          <w:tab w:pos="1238" w:val="left" w:leader="none"/>
          <w:tab w:pos="1239" w:val="left" w:leader="none"/>
        </w:tabs>
        <w:spacing w:line="240" w:lineRule="auto" w:before="1" w:after="0"/>
        <w:ind w:left="1238" w:right="0" w:hanging="360"/>
        <w:jc w:val="left"/>
        <w:rPr>
          <w:sz w:val="24"/>
        </w:rPr>
      </w:pPr>
      <w:r>
        <w:rPr>
          <w:sz w:val="24"/>
        </w:rPr>
        <w:t>Borde anterior de la rama</w:t>
      </w:r>
      <w:r>
        <w:rPr>
          <w:spacing w:val="-15"/>
          <w:sz w:val="24"/>
        </w:rPr>
        <w:t> </w:t>
      </w:r>
      <w:r>
        <w:rPr>
          <w:sz w:val="24"/>
        </w:rPr>
        <w:t>ascendente</w:t>
      </w:r>
    </w:p>
    <w:p>
      <w:pPr>
        <w:pStyle w:val="ListParagraph"/>
        <w:numPr>
          <w:ilvl w:val="0"/>
          <w:numId w:val="7"/>
        </w:numPr>
        <w:tabs>
          <w:tab w:pos="1238" w:val="left" w:leader="none"/>
          <w:tab w:pos="1239" w:val="left" w:leader="none"/>
        </w:tabs>
        <w:spacing w:line="240" w:lineRule="auto" w:before="135" w:after="0"/>
        <w:ind w:left="1238" w:right="0" w:hanging="360"/>
        <w:jc w:val="left"/>
        <w:rPr>
          <w:sz w:val="24"/>
        </w:rPr>
      </w:pPr>
      <w:r>
        <w:rPr/>
        <w:drawing>
          <wp:anchor distT="0" distB="0" distL="0" distR="0" allowOverlap="1" layoutInCell="1" locked="0" behindDoc="0" simplePos="0" relativeHeight="1144">
            <wp:simplePos x="0" y="0"/>
            <wp:positionH relativeFrom="page">
              <wp:posOffset>2659633</wp:posOffset>
            </wp:positionH>
            <wp:positionV relativeFrom="paragraph">
              <wp:posOffset>359212</wp:posOffset>
            </wp:positionV>
            <wp:extent cx="2726037" cy="2482596"/>
            <wp:effectExtent l="0" t="0" r="0" b="0"/>
            <wp:wrapTopAndBottom/>
            <wp:docPr id="9" name="image7.jpeg" descr=""/>
            <wp:cNvGraphicFramePr>
              <a:graphicFrameLocks noChangeAspect="1"/>
            </wp:cNvGraphicFramePr>
            <a:graphic>
              <a:graphicData uri="http://schemas.openxmlformats.org/drawingml/2006/picture">
                <pic:pic>
                  <pic:nvPicPr>
                    <pic:cNvPr id="10" name="image7.jpeg"/>
                    <pic:cNvPicPr/>
                  </pic:nvPicPr>
                  <pic:blipFill>
                    <a:blip r:embed="rId17" cstate="print"/>
                    <a:stretch>
                      <a:fillRect/>
                    </a:stretch>
                  </pic:blipFill>
                  <pic:spPr>
                    <a:xfrm>
                      <a:off x="0" y="0"/>
                      <a:ext cx="2726037" cy="2482596"/>
                    </a:xfrm>
                    <a:prstGeom prst="rect">
                      <a:avLst/>
                    </a:prstGeom>
                  </pic:spPr>
                </pic:pic>
              </a:graphicData>
            </a:graphic>
          </wp:anchor>
        </w:drawing>
      </w:r>
      <w:r>
        <w:rPr>
          <w:sz w:val="24"/>
        </w:rPr>
        <w:t>Región supramentoniana (punto</w:t>
      </w:r>
      <w:r>
        <w:rPr>
          <w:spacing w:val="-9"/>
          <w:sz w:val="24"/>
        </w:rPr>
        <w:t> </w:t>
      </w:r>
      <w:r>
        <w:rPr>
          <w:sz w:val="24"/>
        </w:rPr>
        <w:t>B)</w:t>
      </w:r>
    </w:p>
    <w:p>
      <w:pPr>
        <w:spacing w:before="129"/>
        <w:ind w:left="1104" w:right="828" w:firstLine="0"/>
        <w:jc w:val="center"/>
        <w:rPr>
          <w:sz w:val="18"/>
        </w:rPr>
      </w:pPr>
      <w:r>
        <w:rPr>
          <w:sz w:val="18"/>
        </w:rPr>
        <w:t>Fig. 4 Áreas de aposición y resorción de la mandíbula</w:t>
      </w:r>
    </w:p>
    <w:p>
      <w:pPr>
        <w:spacing w:line="360" w:lineRule="auto" w:before="105"/>
        <w:ind w:left="1104" w:right="826" w:firstLine="0"/>
        <w:jc w:val="center"/>
        <w:rPr>
          <w:sz w:val="18"/>
        </w:rPr>
      </w:pPr>
      <w:r>
        <w:rPr>
          <w:sz w:val="18"/>
        </w:rPr>
        <w:t>Fuente: Vellini Ferreira Flávio. Ortodoncia Diagnóstico y Planificación Clínica. Brasil: Artes Médicas Latinoamericanas; 2002.Pág.46.</w:t>
      </w:r>
    </w:p>
    <w:p>
      <w:pPr>
        <w:spacing w:after="0" w:line="360" w:lineRule="auto"/>
        <w:jc w:val="center"/>
        <w:rPr>
          <w:sz w:val="18"/>
        </w:rPr>
        <w:sectPr>
          <w:footerReference w:type="default" r:id="rId16"/>
          <w:pgSz w:w="12240" w:h="15840"/>
          <w:pgMar w:footer="974" w:header="596" w:top="1440" w:bottom="1160" w:left="900" w:right="740"/>
          <w:pgNumType w:start="11"/>
        </w:sectPr>
      </w:pPr>
    </w:p>
    <w:p>
      <w:pPr>
        <w:pStyle w:val="BodyText"/>
        <w:spacing w:before="9"/>
        <w:rPr>
          <w:sz w:val="15"/>
        </w:rPr>
      </w:pPr>
    </w:p>
    <w:p>
      <w:pPr>
        <w:pStyle w:val="BodyText"/>
        <w:spacing w:line="360" w:lineRule="auto" w:before="70"/>
        <w:ind w:left="518" w:right="964"/>
      </w:pPr>
      <w:r>
        <w:rPr/>
        <w:t>La mandíbula tiene un trayecto de crecimiento hacia atrás y arriba, sin embargo su desplazamiento se hace hacia delante y hacia abajo. (Fig. 5)</w:t>
      </w:r>
    </w:p>
    <w:p>
      <w:pPr>
        <w:pStyle w:val="BodyText"/>
        <w:spacing w:before="6"/>
        <w:rPr>
          <w:sz w:val="14"/>
        </w:rPr>
      </w:pPr>
      <w:r>
        <w:rPr/>
        <w:drawing>
          <wp:anchor distT="0" distB="0" distL="0" distR="0" allowOverlap="1" layoutInCell="1" locked="0" behindDoc="0" simplePos="0" relativeHeight="1168">
            <wp:simplePos x="0" y="0"/>
            <wp:positionH relativeFrom="page">
              <wp:posOffset>900430</wp:posOffset>
            </wp:positionH>
            <wp:positionV relativeFrom="paragraph">
              <wp:posOffset>130859</wp:posOffset>
            </wp:positionV>
            <wp:extent cx="5849311" cy="2297429"/>
            <wp:effectExtent l="0" t="0" r="0" b="0"/>
            <wp:wrapTopAndBottom/>
            <wp:docPr id="11" name="image8.jpeg" descr=""/>
            <wp:cNvGraphicFramePr>
              <a:graphicFrameLocks noChangeAspect="1"/>
            </wp:cNvGraphicFramePr>
            <a:graphic>
              <a:graphicData uri="http://schemas.openxmlformats.org/drawingml/2006/picture">
                <pic:pic>
                  <pic:nvPicPr>
                    <pic:cNvPr id="12" name="image8.jpeg"/>
                    <pic:cNvPicPr/>
                  </pic:nvPicPr>
                  <pic:blipFill>
                    <a:blip r:embed="rId18" cstate="print"/>
                    <a:stretch>
                      <a:fillRect/>
                    </a:stretch>
                  </pic:blipFill>
                  <pic:spPr>
                    <a:xfrm>
                      <a:off x="0" y="0"/>
                      <a:ext cx="5849311" cy="2297429"/>
                    </a:xfrm>
                    <a:prstGeom prst="rect">
                      <a:avLst/>
                    </a:prstGeom>
                  </pic:spPr>
                </pic:pic>
              </a:graphicData>
            </a:graphic>
          </wp:anchor>
        </w:drawing>
      </w:r>
    </w:p>
    <w:p>
      <w:pPr>
        <w:pStyle w:val="BodyText"/>
        <w:spacing w:before="2"/>
        <w:rPr>
          <w:sz w:val="26"/>
        </w:rPr>
      </w:pPr>
    </w:p>
    <w:p>
      <w:pPr>
        <w:spacing w:before="0"/>
        <w:ind w:left="647" w:right="1088" w:firstLine="0"/>
        <w:jc w:val="center"/>
        <w:rPr>
          <w:sz w:val="18"/>
        </w:rPr>
      </w:pPr>
      <w:r>
        <w:rPr>
          <w:sz w:val="18"/>
        </w:rPr>
        <w:t>Fig. 5 Dirección de crecimiento de la mandíbula</w:t>
      </w:r>
    </w:p>
    <w:p>
      <w:pPr>
        <w:spacing w:line="360" w:lineRule="auto" w:before="102"/>
        <w:ind w:left="646" w:right="1088" w:firstLine="0"/>
        <w:jc w:val="center"/>
        <w:rPr>
          <w:sz w:val="18"/>
        </w:rPr>
      </w:pPr>
      <w:r>
        <w:rPr>
          <w:sz w:val="18"/>
        </w:rPr>
        <w:t>Fuente: Vellini Ferreira Flávio. Ortodoncia Diagnóstico y Planificación Clínica. Brasil: Artes Médicas Latinoamericanas; 2002. Pág. 47.</w:t>
      </w:r>
    </w:p>
    <w:p>
      <w:pPr>
        <w:pStyle w:val="BodyText"/>
        <w:spacing w:before="3"/>
        <w:ind w:left="518"/>
        <w:jc w:val="both"/>
      </w:pPr>
      <w:r>
        <w:rPr/>
        <w:t>Rotación mandibular</w:t>
      </w:r>
    </w:p>
    <w:p>
      <w:pPr>
        <w:pStyle w:val="BodyText"/>
      </w:pPr>
    </w:p>
    <w:p>
      <w:pPr>
        <w:pStyle w:val="BodyText"/>
      </w:pPr>
    </w:p>
    <w:p>
      <w:pPr>
        <w:pStyle w:val="BodyText"/>
        <w:spacing w:line="352" w:lineRule="auto"/>
        <w:ind w:left="518" w:right="962"/>
        <w:jc w:val="both"/>
        <w:rPr>
          <w:sz w:val="16"/>
        </w:rPr>
      </w:pPr>
      <w:r>
        <w:rPr/>
        <w:t>Durante el crecimiento la mandíbula se aleja de la base de cráneo, mientras aumenta el tamaño y se modifica su morfología merced a los mecanismos de reabsorción y aposición selectiva. El sentido en que la mandíbula se desarrolla sigue el patrón general de la cara con una tendencia a crecer hacia delante y abajo; es un desplazamiento tanto horizontal como vertical.</w:t>
      </w:r>
      <w:r>
        <w:rPr>
          <w:position w:val="11"/>
          <w:sz w:val="16"/>
        </w:rPr>
        <w:t>10</w:t>
      </w:r>
    </w:p>
    <w:p>
      <w:pPr>
        <w:pStyle w:val="BodyText"/>
        <w:spacing w:before="5"/>
        <w:rPr>
          <w:sz w:val="35"/>
        </w:rPr>
      </w:pPr>
    </w:p>
    <w:p>
      <w:pPr>
        <w:pStyle w:val="BodyText"/>
        <w:spacing w:line="360" w:lineRule="auto" w:before="1"/>
        <w:ind w:left="518" w:right="963"/>
        <w:jc w:val="both"/>
      </w:pPr>
      <w:r>
        <w:rPr/>
        <w:t>La rotación anterior se produce cuando el crecimiento condíleo es hacia arriba y adelante y la parte posterior de la mandíbula desciende más que la parte anterior.</w:t>
      </w:r>
    </w:p>
    <w:p>
      <w:pPr>
        <w:pStyle w:val="BodyText"/>
        <w:spacing w:line="360" w:lineRule="auto" w:before="5"/>
        <w:ind w:left="518" w:right="964"/>
        <w:jc w:val="both"/>
      </w:pPr>
      <w:r>
        <w:rPr/>
        <w:t>La rotación posterior es consecuencia de un crecimiento hacia atrás y arriba del cóndilo que desplaza la mandíbula hacia atrás y abajo.</w:t>
      </w:r>
    </w:p>
    <w:p>
      <w:pPr>
        <w:pStyle w:val="BodyText"/>
      </w:pPr>
    </w:p>
    <w:p>
      <w:pPr>
        <w:pStyle w:val="BodyText"/>
        <w:spacing w:line="331" w:lineRule="auto" w:before="142"/>
        <w:ind w:left="518" w:right="967"/>
        <w:jc w:val="both"/>
        <w:rPr>
          <w:sz w:val="16"/>
        </w:rPr>
      </w:pPr>
      <w:r>
        <w:rPr/>
        <w:t>El centro de rotación se sitúa bien en el cóndilo o en la zona molar. Como consecuencia se tiende al retrognatismo mandibular y a la mordida abierta anterior.</w:t>
      </w:r>
      <w:r>
        <w:rPr>
          <w:position w:val="11"/>
          <w:sz w:val="16"/>
        </w:rPr>
        <w:t>7</w:t>
      </w:r>
    </w:p>
    <w:p>
      <w:pPr>
        <w:spacing w:after="0" w:line="331" w:lineRule="auto"/>
        <w:jc w:val="both"/>
        <w:rPr>
          <w:sz w:val="16"/>
        </w:rPr>
        <w:sectPr>
          <w:pgSz w:w="12240" w:h="15840"/>
          <w:pgMar w:header="596" w:footer="974" w:top="1440" w:bottom="1160" w:left="900" w:right="740"/>
        </w:sectPr>
      </w:pPr>
    </w:p>
    <w:p>
      <w:pPr>
        <w:pStyle w:val="BodyText"/>
        <w:spacing w:before="9"/>
        <w:rPr>
          <w:sz w:val="15"/>
        </w:rPr>
      </w:pPr>
    </w:p>
    <w:p>
      <w:pPr>
        <w:spacing w:before="70"/>
        <w:ind w:left="518" w:right="0" w:firstLine="0"/>
        <w:jc w:val="both"/>
        <w:rPr>
          <w:b/>
          <w:sz w:val="24"/>
        </w:rPr>
      </w:pPr>
      <w:r>
        <w:rPr>
          <w:b/>
          <w:sz w:val="24"/>
        </w:rPr>
        <w:t>Crecimiento de la base y bóveda craneana</w:t>
      </w:r>
    </w:p>
    <w:p>
      <w:pPr>
        <w:pStyle w:val="BodyText"/>
        <w:spacing w:before="4"/>
        <w:rPr>
          <w:b/>
          <w:sz w:val="29"/>
        </w:rPr>
      </w:pPr>
    </w:p>
    <w:p>
      <w:pPr>
        <w:pStyle w:val="BodyText"/>
        <w:spacing w:line="345" w:lineRule="auto" w:before="1"/>
        <w:ind w:left="518" w:right="969"/>
        <w:jc w:val="both"/>
        <w:rPr>
          <w:sz w:val="16"/>
        </w:rPr>
      </w:pPr>
      <w:r>
        <w:rPr/>
        <w:t>Los huesos de la base de cráneo se forman inicialmente a partir de cartílago y se transforman después en hueso por osificación endocondral. Ello afecta de manera especial a las estructuras de la línea media.</w:t>
      </w:r>
      <w:r>
        <w:rPr>
          <w:position w:val="11"/>
          <w:sz w:val="16"/>
        </w:rPr>
        <w:t>9</w:t>
      </w:r>
    </w:p>
    <w:p>
      <w:pPr>
        <w:pStyle w:val="BodyText"/>
        <w:spacing w:line="360" w:lineRule="auto" w:before="201"/>
        <w:ind w:left="518" w:right="956"/>
        <w:jc w:val="both"/>
      </w:pPr>
      <w:r>
        <w:rPr/>
        <w:t>La base de cráneo, la cabeza de la mandíbula y el septo nasal son áreas de crecimiento llamado endocondral o cartilaginoso; la bóveda craneana y los huesos faciales son de crecimiento membranoso o intramembranoso. En la base de cráneo hay un crecimiento principalmente en el sentido anteroposterior a expensas de las sincondrosis esfenoccipital, esfenoetmoidal, interesfenoidal e intraoccipital.  La primera de ellas se mantiene activa hasta más o menos los 21 años de vida, y su obliteración es más temprana en la mujer.</w:t>
      </w:r>
    </w:p>
    <w:p>
      <w:pPr>
        <w:pStyle w:val="BodyText"/>
        <w:spacing w:line="360" w:lineRule="auto" w:before="204"/>
        <w:ind w:left="518" w:right="955"/>
        <w:jc w:val="both"/>
      </w:pPr>
      <w:r>
        <w:rPr/>
        <w:t>La bóveda del cráneo está constituida por una serie de huesos planos que  se originan directamente por formación de hueso intramembranoso, sin la intervención de precursores cartilaginosos. La remodelación y el crecimiento se producen fundamentalmente en las zonas de contacto recubiertas de periostio que existen entre  los  huesos  craneales  contiguos,  o  suturas  craneales,  pero  la      </w:t>
      </w:r>
      <w:r>
        <w:rPr>
          <w:spacing w:val="15"/>
        </w:rPr>
        <w:t> </w:t>
      </w:r>
      <w:r>
        <w:rPr/>
        <w:t>actividad</w:t>
      </w:r>
    </w:p>
    <w:p>
      <w:pPr>
        <w:pStyle w:val="BodyText"/>
        <w:spacing w:line="328" w:lineRule="auto" w:before="5"/>
        <w:ind w:left="518" w:right="955"/>
        <w:jc w:val="both"/>
        <w:rPr>
          <w:sz w:val="16"/>
        </w:rPr>
      </w:pPr>
      <w:r>
        <w:rPr/>
        <w:t>perióstica también modifica las superficies interiores y exteriores de estos huesos aplanados.</w:t>
      </w:r>
      <w:r>
        <w:rPr>
          <w:position w:val="11"/>
          <w:sz w:val="16"/>
        </w:rPr>
        <w:t>9</w:t>
      </w:r>
    </w:p>
    <w:p>
      <w:pPr>
        <w:pStyle w:val="BodyText"/>
        <w:spacing w:line="360" w:lineRule="auto" w:before="225"/>
        <w:ind w:left="518" w:right="967"/>
        <w:jc w:val="both"/>
      </w:pPr>
      <w:r>
        <w:rPr/>
        <w:t>La bóveda craneana sigue en su crecimiento el modelo membranoso y es un crecimiento secundario y de adaptación al aumento del cerebro.</w:t>
      </w:r>
    </w:p>
    <w:p>
      <w:pPr>
        <w:pStyle w:val="Heading1"/>
        <w:numPr>
          <w:ilvl w:val="1"/>
          <w:numId w:val="3"/>
        </w:numPr>
        <w:tabs>
          <w:tab w:pos="922" w:val="left" w:leader="none"/>
        </w:tabs>
        <w:spacing w:line="240" w:lineRule="auto" w:before="204" w:after="0"/>
        <w:ind w:left="921" w:right="0" w:hanging="403"/>
        <w:jc w:val="both"/>
      </w:pPr>
      <w:bookmarkStart w:name="_TOC_250021" w:id="4"/>
      <w:r>
        <w:rPr/>
        <w:t>Tendencias de Crecimiento</w:t>
      </w:r>
      <w:r>
        <w:rPr>
          <w:spacing w:val="-16"/>
        </w:rPr>
        <w:t> </w:t>
      </w:r>
      <w:bookmarkEnd w:id="4"/>
      <w:r>
        <w:rPr/>
        <w:t>Facial</w:t>
      </w:r>
    </w:p>
    <w:p>
      <w:pPr>
        <w:pStyle w:val="BodyText"/>
        <w:spacing w:before="5"/>
        <w:rPr>
          <w:b/>
          <w:sz w:val="29"/>
        </w:rPr>
      </w:pPr>
    </w:p>
    <w:p>
      <w:pPr>
        <w:pStyle w:val="BodyText"/>
        <w:spacing w:line="360" w:lineRule="auto"/>
        <w:ind w:left="518" w:right="958"/>
        <w:jc w:val="both"/>
      </w:pPr>
      <w:r>
        <w:rPr/>
        <w:t>El crecimiento facial representa un proceso diferencial de maduración progresiva.  Los diferentes componentes faciales presentan su propia cronología de</w:t>
      </w:r>
      <w:r>
        <w:rPr>
          <w:spacing w:val="-22"/>
        </w:rPr>
        <w:t> </w:t>
      </w:r>
      <w:r>
        <w:rPr/>
        <w:t>evolución.</w:t>
      </w:r>
    </w:p>
    <w:p>
      <w:pPr>
        <w:pStyle w:val="BodyText"/>
        <w:spacing w:line="350" w:lineRule="auto" w:before="204"/>
        <w:ind w:left="518" w:right="956"/>
        <w:jc w:val="both"/>
        <w:rPr>
          <w:sz w:val="16"/>
        </w:rPr>
      </w:pPr>
      <w:r>
        <w:rPr/>
        <w:t>Es decir no todos ellos crecen a la misma velocidad, al mismo tiempo en la misma dirección o con la misma magnitud (crecimiento diferencial). El desarrollo es un proceso dirigido hacia un estado dinámico de agregación estructural y equilibrio funcional.</w:t>
      </w:r>
      <w:r>
        <w:rPr>
          <w:position w:val="11"/>
          <w:sz w:val="16"/>
        </w:rPr>
        <w:t>11</w:t>
      </w:r>
    </w:p>
    <w:p>
      <w:pPr>
        <w:spacing w:after="0" w:line="350" w:lineRule="auto"/>
        <w:jc w:val="both"/>
        <w:rPr>
          <w:sz w:val="16"/>
        </w:rPr>
        <w:sectPr>
          <w:pgSz w:w="12240" w:h="15840"/>
          <w:pgMar w:header="596" w:footer="974" w:top="1440" w:bottom="1160" w:left="900" w:right="740"/>
        </w:sectPr>
      </w:pPr>
    </w:p>
    <w:p>
      <w:pPr>
        <w:pStyle w:val="BodyText"/>
        <w:spacing w:before="9"/>
        <w:rPr>
          <w:sz w:val="15"/>
        </w:rPr>
      </w:pPr>
    </w:p>
    <w:p>
      <w:pPr>
        <w:pStyle w:val="BodyText"/>
        <w:spacing w:line="360" w:lineRule="auto" w:before="70"/>
        <w:ind w:left="518" w:right="957"/>
        <w:jc w:val="both"/>
      </w:pPr>
      <w:r>
        <w:rPr/>
        <w:t>El crecimiento del maxilar y la mandíbula está orientado hacia abajo y adelante. Esta tendencia es el resultado del crecimiento de la maxila y mandíbula en dirección posterior con la correspondiente reposición del hueso en el sentido anterior.</w:t>
      </w:r>
    </w:p>
    <w:p>
      <w:pPr>
        <w:pStyle w:val="BodyText"/>
        <w:spacing w:line="360" w:lineRule="auto" w:before="204"/>
        <w:ind w:left="518" w:right="964"/>
        <w:jc w:val="both"/>
      </w:pPr>
      <w:r>
        <w:rPr/>
        <w:t>Los huesos faciales pueden tener diferentes velocidades y direcciones de crecimiento, provocando desequilibrios faciales y oclusales. El fenómeno rotatorio, que orienta el desplazamiento de la mandíbula en sentido horario (tendencia vertical) o antihorario (tendencia horizontal).</w:t>
      </w:r>
    </w:p>
    <w:p>
      <w:pPr>
        <w:pStyle w:val="BodyText"/>
        <w:spacing w:before="205"/>
        <w:ind w:left="518"/>
        <w:jc w:val="both"/>
      </w:pPr>
      <w:r>
        <w:rPr/>
        <w:t>Tweed clasificó las tendencias de crecimiento en 3 tipos:</w:t>
      </w:r>
    </w:p>
    <w:p>
      <w:pPr>
        <w:pStyle w:val="BodyText"/>
        <w:spacing w:before="4"/>
        <w:rPr>
          <w:sz w:val="29"/>
        </w:rPr>
      </w:pPr>
    </w:p>
    <w:p>
      <w:pPr>
        <w:pStyle w:val="BodyText"/>
        <w:spacing w:line="360" w:lineRule="auto" w:before="1"/>
        <w:ind w:left="518" w:right="966"/>
        <w:jc w:val="both"/>
      </w:pPr>
      <w:r>
        <w:rPr/>
        <w:t>Tipo A- El maxilar y la mandíbula crecen en armonía hacia abajo y adelante. Los valores del ángulo ANB prácticamente no se alteran.</w:t>
      </w:r>
    </w:p>
    <w:p>
      <w:pPr>
        <w:pStyle w:val="BodyText"/>
        <w:spacing w:line="360" w:lineRule="auto" w:before="204"/>
        <w:ind w:left="518" w:right="965"/>
        <w:jc w:val="both"/>
      </w:pPr>
      <w:r>
        <w:rPr/>
        <w:t>Tipo B- El maxilar crece más rápidamente que la mandíbula. Como consecuencia el ángulo ANB aumenta.</w:t>
      </w:r>
    </w:p>
    <w:p>
      <w:pPr>
        <w:pStyle w:val="BodyText"/>
        <w:spacing w:line="360" w:lineRule="auto" w:before="204"/>
        <w:ind w:left="518" w:right="965"/>
        <w:jc w:val="both"/>
      </w:pPr>
      <w:r>
        <w:rPr/>
        <w:t>Tipo C- La mandíbula crece más rápidamente que el maxilar, con la consecuente disminución del ángulo ANB.</w:t>
      </w:r>
    </w:p>
    <w:p>
      <w:pPr>
        <w:pStyle w:val="BodyText"/>
        <w:spacing w:line="328" w:lineRule="auto" w:before="204"/>
        <w:ind w:left="518" w:right="967"/>
        <w:jc w:val="both"/>
        <w:rPr>
          <w:sz w:val="16"/>
        </w:rPr>
      </w:pPr>
      <w:r>
        <w:rPr/>
        <w:t>Existe evidencia sobre el efecto que tiene la etnia sobre las variaciones faciales en los distintos</w:t>
      </w:r>
      <w:r>
        <w:rPr>
          <w:spacing w:val="-4"/>
        </w:rPr>
        <w:t> </w:t>
      </w:r>
      <w:r>
        <w:rPr/>
        <w:t>biotipos.</w:t>
      </w:r>
      <w:r>
        <w:rPr>
          <w:position w:val="11"/>
          <w:sz w:val="16"/>
        </w:rPr>
        <w:t>12</w:t>
      </w:r>
    </w:p>
    <w:p>
      <w:pPr>
        <w:pStyle w:val="Heading1"/>
        <w:numPr>
          <w:ilvl w:val="1"/>
          <w:numId w:val="3"/>
        </w:numPr>
        <w:tabs>
          <w:tab w:pos="922" w:val="left" w:leader="none"/>
        </w:tabs>
        <w:spacing w:line="240" w:lineRule="auto" w:before="225" w:after="0"/>
        <w:ind w:left="921" w:right="0" w:hanging="403"/>
        <w:jc w:val="both"/>
      </w:pPr>
      <w:bookmarkStart w:name="_TOC_250020" w:id="5"/>
      <w:r>
        <w:rPr/>
        <w:t>Factores que Controlan el Crecimiento</w:t>
      </w:r>
      <w:r>
        <w:rPr>
          <w:spacing w:val="-12"/>
        </w:rPr>
        <w:t> </w:t>
      </w:r>
      <w:bookmarkEnd w:id="5"/>
      <w:r>
        <w:rPr/>
        <w:t>Craneofacial</w:t>
      </w:r>
    </w:p>
    <w:p>
      <w:pPr>
        <w:pStyle w:val="BodyText"/>
        <w:spacing w:before="4"/>
        <w:rPr>
          <w:b/>
          <w:sz w:val="29"/>
        </w:rPr>
      </w:pPr>
    </w:p>
    <w:p>
      <w:pPr>
        <w:pStyle w:val="BodyText"/>
        <w:spacing w:line="360" w:lineRule="auto" w:before="1"/>
        <w:ind w:left="518" w:right="958"/>
        <w:jc w:val="both"/>
      </w:pPr>
      <w:r>
        <w:rPr/>
        <w:t>Los factores que controlan el crecimiento craneofacial fueron catalogados por Van Limborg en:</w:t>
      </w:r>
    </w:p>
    <w:p>
      <w:pPr>
        <w:spacing w:before="204"/>
        <w:ind w:left="518" w:right="0" w:firstLine="0"/>
        <w:jc w:val="both"/>
        <w:rPr>
          <w:sz w:val="24"/>
        </w:rPr>
      </w:pPr>
      <w:r>
        <w:rPr>
          <w:b/>
          <w:sz w:val="24"/>
        </w:rPr>
        <w:t>Factores genéticos intrínsecos: </w:t>
      </w:r>
      <w:r>
        <w:rPr>
          <w:sz w:val="24"/>
        </w:rPr>
        <w:t>son los inherentes a los tejidos craneofaciales.</w:t>
      </w:r>
    </w:p>
    <w:p>
      <w:pPr>
        <w:pStyle w:val="BodyText"/>
        <w:spacing w:before="5"/>
        <w:rPr>
          <w:sz w:val="29"/>
        </w:rPr>
      </w:pPr>
    </w:p>
    <w:p>
      <w:pPr>
        <w:pStyle w:val="ListParagraph"/>
        <w:numPr>
          <w:ilvl w:val="0"/>
          <w:numId w:val="8"/>
        </w:numPr>
        <w:tabs>
          <w:tab w:pos="879" w:val="left" w:leader="none"/>
        </w:tabs>
        <w:spacing w:line="240" w:lineRule="auto" w:before="0" w:after="0"/>
        <w:ind w:left="878" w:right="0" w:hanging="360"/>
        <w:jc w:val="both"/>
        <w:rPr>
          <w:sz w:val="24"/>
        </w:rPr>
      </w:pPr>
      <w:r>
        <w:rPr>
          <w:sz w:val="24"/>
        </w:rPr>
        <w:t>Factores</w:t>
      </w:r>
      <w:r>
        <w:rPr>
          <w:spacing w:val="-8"/>
          <w:sz w:val="24"/>
        </w:rPr>
        <w:t> </w:t>
      </w:r>
      <w:r>
        <w:rPr>
          <w:sz w:val="24"/>
        </w:rPr>
        <w:t>epigenéticos</w:t>
      </w:r>
    </w:p>
    <w:p>
      <w:pPr>
        <w:pStyle w:val="ListParagraph"/>
        <w:numPr>
          <w:ilvl w:val="1"/>
          <w:numId w:val="8"/>
        </w:numPr>
        <w:tabs>
          <w:tab w:pos="1239" w:val="left" w:leader="none"/>
        </w:tabs>
        <w:spacing w:line="355" w:lineRule="auto" w:before="137" w:after="0"/>
        <w:ind w:left="1238" w:right="959" w:hanging="360"/>
        <w:jc w:val="both"/>
        <w:rPr>
          <w:sz w:val="24"/>
        </w:rPr>
      </w:pPr>
      <w:r>
        <w:rPr>
          <w:sz w:val="24"/>
        </w:rPr>
        <w:t>Locales: son representados por órganos que tienen su propio contingente genético y manifiestan su influencia sobre estructuras con las cuáles se relacionan.</w:t>
      </w:r>
    </w:p>
    <w:p>
      <w:pPr>
        <w:pStyle w:val="ListParagraph"/>
        <w:numPr>
          <w:ilvl w:val="1"/>
          <w:numId w:val="8"/>
        </w:numPr>
        <w:tabs>
          <w:tab w:pos="1238" w:val="left" w:leader="none"/>
          <w:tab w:pos="1239" w:val="left" w:leader="none"/>
        </w:tabs>
        <w:spacing w:line="240" w:lineRule="auto" w:before="8" w:after="0"/>
        <w:ind w:left="1238" w:right="0" w:hanging="360"/>
        <w:jc w:val="left"/>
        <w:rPr>
          <w:sz w:val="24"/>
        </w:rPr>
      </w:pPr>
      <w:r>
        <w:rPr>
          <w:sz w:val="24"/>
        </w:rPr>
        <w:t>Generales: un ejemplo de estos son las hormonas</w:t>
      </w:r>
      <w:r>
        <w:rPr>
          <w:spacing w:val="-23"/>
          <w:sz w:val="24"/>
        </w:rPr>
        <w:t> </w:t>
      </w:r>
      <w:r>
        <w:rPr>
          <w:sz w:val="24"/>
        </w:rPr>
        <w:t>sexuales.</w:t>
      </w:r>
    </w:p>
    <w:p>
      <w:pPr>
        <w:spacing w:after="0" w:line="240" w:lineRule="auto"/>
        <w:jc w:val="left"/>
        <w:rPr>
          <w:sz w:val="24"/>
        </w:rPr>
        <w:sectPr>
          <w:pgSz w:w="12240" w:h="15840"/>
          <w:pgMar w:header="596" w:footer="974" w:top="1440" w:bottom="1160" w:left="900" w:right="740"/>
        </w:sectPr>
      </w:pPr>
    </w:p>
    <w:p>
      <w:pPr>
        <w:pStyle w:val="BodyText"/>
        <w:spacing w:before="9"/>
        <w:rPr>
          <w:sz w:val="15"/>
        </w:rPr>
      </w:pPr>
    </w:p>
    <w:p>
      <w:pPr>
        <w:pStyle w:val="ListParagraph"/>
        <w:numPr>
          <w:ilvl w:val="0"/>
          <w:numId w:val="8"/>
        </w:numPr>
        <w:tabs>
          <w:tab w:pos="879" w:val="left" w:leader="none"/>
        </w:tabs>
        <w:spacing w:line="240" w:lineRule="auto" w:before="70" w:after="0"/>
        <w:ind w:left="878" w:right="0" w:hanging="360"/>
        <w:jc w:val="both"/>
        <w:rPr>
          <w:sz w:val="24"/>
        </w:rPr>
      </w:pPr>
      <w:r>
        <w:rPr>
          <w:sz w:val="24"/>
        </w:rPr>
        <w:t>Factores</w:t>
      </w:r>
      <w:r>
        <w:rPr>
          <w:spacing w:val="-5"/>
          <w:sz w:val="24"/>
        </w:rPr>
        <w:t> </w:t>
      </w:r>
      <w:r>
        <w:rPr>
          <w:sz w:val="24"/>
        </w:rPr>
        <w:t>ambientales</w:t>
      </w:r>
    </w:p>
    <w:p>
      <w:pPr>
        <w:pStyle w:val="ListParagraph"/>
        <w:numPr>
          <w:ilvl w:val="1"/>
          <w:numId w:val="8"/>
        </w:numPr>
        <w:tabs>
          <w:tab w:pos="1239" w:val="left" w:leader="none"/>
        </w:tabs>
        <w:spacing w:line="350" w:lineRule="auto" w:before="137" w:after="0"/>
        <w:ind w:left="1238" w:right="964" w:hanging="360"/>
        <w:jc w:val="both"/>
        <w:rPr>
          <w:sz w:val="24"/>
        </w:rPr>
      </w:pPr>
      <w:r>
        <w:rPr>
          <w:sz w:val="24"/>
        </w:rPr>
        <w:t>Locales: son originarios del medio ambiente externo, como presión externa local, fuerzas</w:t>
      </w:r>
      <w:r>
        <w:rPr>
          <w:spacing w:val="-8"/>
          <w:sz w:val="24"/>
        </w:rPr>
        <w:t> </w:t>
      </w:r>
      <w:r>
        <w:rPr>
          <w:sz w:val="24"/>
        </w:rPr>
        <w:t>musculares.</w:t>
      </w:r>
    </w:p>
    <w:p>
      <w:pPr>
        <w:pStyle w:val="ListParagraph"/>
        <w:numPr>
          <w:ilvl w:val="1"/>
          <w:numId w:val="8"/>
        </w:numPr>
        <w:tabs>
          <w:tab w:pos="1239" w:val="left" w:leader="none"/>
        </w:tabs>
        <w:spacing w:line="355" w:lineRule="auto" w:before="16" w:after="0"/>
        <w:ind w:left="1238" w:right="960" w:hanging="360"/>
        <w:jc w:val="both"/>
        <w:rPr>
          <w:sz w:val="24"/>
        </w:rPr>
      </w:pPr>
      <w:r>
        <w:rPr>
          <w:sz w:val="24"/>
        </w:rPr>
        <w:t>Generales: están representados por las influencias generales no genéticas  que se originan en el medio ambiente tales como suplemento alimenticio y oxígeno.</w:t>
      </w:r>
    </w:p>
    <w:p>
      <w:pPr>
        <w:pStyle w:val="BodyText"/>
        <w:spacing w:line="345" w:lineRule="auto" w:before="207"/>
        <w:ind w:left="518" w:right="960"/>
        <w:jc w:val="both"/>
        <w:rPr>
          <w:sz w:val="16"/>
        </w:rPr>
      </w:pPr>
      <w:r>
        <w:rPr/>
        <w:t>El término balance es con frecuencia utilizado por el clínico, para connotar algún tipo de relación buena de las estructuras faciales. La búsqueda del patrón facial es la identificación de la coordinación de las estructuras craneofaciales.</w:t>
      </w:r>
      <w:r>
        <w:rPr>
          <w:position w:val="11"/>
          <w:sz w:val="16"/>
        </w:rPr>
        <w:t>13</w:t>
      </w:r>
    </w:p>
    <w:p>
      <w:pPr>
        <w:pStyle w:val="BodyText"/>
        <w:spacing w:line="352" w:lineRule="auto" w:before="204"/>
        <w:ind w:left="518" w:right="964"/>
        <w:jc w:val="both"/>
        <w:rPr>
          <w:sz w:val="16"/>
        </w:rPr>
      </w:pPr>
      <w:r>
        <w:rPr/>
        <w:t>Características craneofaciales como tamaño, forma y patrón facial así como la morfología del arco dental, han sido aceptadas como predeterminadas genéticamente. Estas características muestran variaciones entre tipos de especies, raza y sub-raza, así mismo, son susceptibles de modificarse durante el proceso de evolución.</w:t>
      </w:r>
      <w:r>
        <w:rPr>
          <w:position w:val="11"/>
          <w:sz w:val="16"/>
        </w:rPr>
        <w:t>14</w:t>
      </w:r>
    </w:p>
    <w:p>
      <w:pPr>
        <w:pStyle w:val="BodyText"/>
        <w:spacing w:line="360" w:lineRule="auto" w:before="194"/>
        <w:ind w:left="518" w:right="956"/>
        <w:jc w:val="both"/>
      </w:pPr>
      <w:r>
        <w:rPr/>
        <w:t>En la evaluación general de un paciente es importante que el desarrollo  físico general sea juzgado en relación con el crecimiento ya ocurrido y con el potencial de crecimiento que aún resta. La aceleración del crecimiento facial durante la pubertad es leve, comparada con la que ocurre en las extremidades del cuerpo, pero es significativa ya que este periodo de aceleración marca el momento </w:t>
      </w:r>
      <w:r>
        <w:rPr>
          <w:spacing w:val="3"/>
        </w:rPr>
        <w:t>más </w:t>
      </w:r>
      <w:r>
        <w:rPr/>
        <w:t>favorable para atacar la mayoría de los problemas ortodóncicos. Hay que predecir la  naturaleza y tiempo de la manifestación del crecimiento puberal para el planteamiento de la terapia</w:t>
      </w:r>
      <w:r>
        <w:rPr>
          <w:spacing w:val="-10"/>
        </w:rPr>
        <w:t> </w:t>
      </w:r>
      <w:r>
        <w:rPr/>
        <w:t>ortodóncica.</w:t>
      </w:r>
    </w:p>
    <w:p>
      <w:pPr>
        <w:pStyle w:val="BodyText"/>
        <w:spacing w:line="352" w:lineRule="auto" w:before="205"/>
        <w:ind w:left="518" w:right="964"/>
        <w:jc w:val="both"/>
        <w:rPr>
          <w:sz w:val="16"/>
        </w:rPr>
      </w:pPr>
      <w:r>
        <w:rPr/>
        <w:t>Hay que evaluar características físicas tales como: altura y peso; conformación general del cuerpo. Se tiene que evaluar las curvas de crecimiento que son  diferentes para los tejidos nerviosos y linfáticos, los órganos genitales y el cuerpo en general. El crecimiento craneofacial está afectado por la diferencia entre las curvas de crecimiento neural y de crecimiento general del</w:t>
      </w:r>
      <w:r>
        <w:rPr>
          <w:spacing w:val="-15"/>
        </w:rPr>
        <w:t> </w:t>
      </w:r>
      <w:r>
        <w:rPr/>
        <w:t>cuerpo.</w:t>
      </w:r>
      <w:r>
        <w:rPr>
          <w:position w:val="11"/>
          <w:sz w:val="16"/>
        </w:rPr>
        <w:t>15</w:t>
      </w:r>
    </w:p>
    <w:p>
      <w:pPr>
        <w:spacing w:after="0" w:line="352" w:lineRule="auto"/>
        <w:jc w:val="both"/>
        <w:rPr>
          <w:sz w:val="16"/>
        </w:rPr>
        <w:sectPr>
          <w:pgSz w:w="12240" w:h="15840"/>
          <w:pgMar w:header="596" w:footer="974" w:top="1440" w:bottom="1160" w:left="900" w:right="740"/>
        </w:sectPr>
      </w:pPr>
    </w:p>
    <w:p>
      <w:pPr>
        <w:pStyle w:val="BodyText"/>
        <w:spacing w:before="9"/>
        <w:rPr>
          <w:sz w:val="15"/>
        </w:rPr>
      </w:pPr>
    </w:p>
    <w:p>
      <w:pPr>
        <w:pStyle w:val="BodyText"/>
        <w:spacing w:line="360" w:lineRule="auto" w:before="70"/>
        <w:ind w:left="518" w:right="961"/>
        <w:jc w:val="both"/>
      </w:pPr>
      <w:r>
        <w:rPr/>
        <w:t>La aceleración del crecimiento general del cuerpo que se observa en la pubertad  está también relacionada con la maduración sexual. El indicador más directo es la menarquia en la mujer, sin embargo, cuando ya ha ocurrido, también la mayor parte del crecimiento esquelético ya ha</w:t>
      </w:r>
      <w:r>
        <w:rPr>
          <w:spacing w:val="-10"/>
        </w:rPr>
        <w:t> </w:t>
      </w:r>
      <w:r>
        <w:rPr/>
        <w:t>sucedido.</w:t>
      </w:r>
    </w:p>
    <w:p>
      <w:pPr>
        <w:pStyle w:val="BodyText"/>
        <w:spacing w:line="360" w:lineRule="auto" w:before="204"/>
        <w:ind w:left="518" w:right="965"/>
        <w:jc w:val="both"/>
      </w:pPr>
      <w:r>
        <w:rPr/>
        <w:t>Los patrones de osificación de varios elementos esqueléticos son los que se usan para establecer la edad ósea. Son los indicadores del momento en que va a comenzar el empuje prepuberal, y de cuando llega al pico máximo así como cuándo disminuye. Por lo general, el brote de crecimiento puberal se inicia en las niñas, entre</w:t>
      </w:r>
    </w:p>
    <w:p>
      <w:pPr>
        <w:pStyle w:val="BodyText"/>
        <w:spacing w:line="328" w:lineRule="auto" w:before="5"/>
        <w:ind w:left="518" w:right="965"/>
        <w:jc w:val="both"/>
        <w:rPr>
          <w:sz w:val="16"/>
        </w:rPr>
      </w:pPr>
      <w:r>
        <w:rPr/>
        <w:t>los 10 y 12 años de edad y en los varones, entre los 12 y 14 años de edad con un margen de variación de 3-6 años.</w:t>
      </w:r>
      <w:r>
        <w:rPr>
          <w:position w:val="11"/>
          <w:sz w:val="16"/>
        </w:rPr>
        <w:t>15</w:t>
      </w:r>
    </w:p>
    <w:p>
      <w:pPr>
        <w:spacing w:after="0" w:line="328" w:lineRule="auto"/>
        <w:jc w:val="both"/>
        <w:rPr>
          <w:sz w:val="16"/>
        </w:rPr>
        <w:sectPr>
          <w:pgSz w:w="12240" w:h="15840"/>
          <w:pgMar w:header="596" w:footer="974" w:top="1440" w:bottom="1160" w:left="900" w:right="740"/>
        </w:sectPr>
      </w:pPr>
    </w:p>
    <w:p>
      <w:pPr>
        <w:pStyle w:val="BodyText"/>
        <w:spacing w:before="9"/>
        <w:rPr>
          <w:sz w:val="15"/>
        </w:rPr>
      </w:pPr>
    </w:p>
    <w:p>
      <w:pPr>
        <w:pStyle w:val="Heading1"/>
        <w:numPr>
          <w:ilvl w:val="0"/>
          <w:numId w:val="3"/>
        </w:numPr>
        <w:tabs>
          <w:tab w:pos="3316" w:val="left" w:leader="none"/>
        </w:tabs>
        <w:spacing w:line="240" w:lineRule="auto" w:before="70" w:after="0"/>
        <w:ind w:left="3315" w:right="0" w:hanging="269"/>
        <w:jc w:val="left"/>
      </w:pPr>
      <w:bookmarkStart w:name="_TOC_250019" w:id="6"/>
      <w:r>
        <w:rPr/>
        <w:t>DIAGNÓSTICO EN</w:t>
      </w:r>
      <w:r>
        <w:rPr>
          <w:spacing w:val="-5"/>
        </w:rPr>
        <w:t> </w:t>
      </w:r>
      <w:bookmarkEnd w:id="6"/>
      <w:r>
        <w:rPr/>
        <w:t>ORTODONCIA</w:t>
      </w:r>
    </w:p>
    <w:p>
      <w:pPr>
        <w:pStyle w:val="BodyText"/>
        <w:spacing w:before="4"/>
        <w:rPr>
          <w:b/>
          <w:sz w:val="29"/>
        </w:rPr>
      </w:pPr>
    </w:p>
    <w:p>
      <w:pPr>
        <w:pStyle w:val="Heading1"/>
        <w:numPr>
          <w:ilvl w:val="1"/>
          <w:numId w:val="9"/>
        </w:numPr>
        <w:tabs>
          <w:tab w:pos="924" w:val="left" w:leader="none"/>
        </w:tabs>
        <w:spacing w:line="240" w:lineRule="auto" w:before="1" w:after="0"/>
        <w:ind w:left="923" w:right="0" w:hanging="405"/>
        <w:jc w:val="both"/>
      </w:pPr>
      <w:bookmarkStart w:name="_TOC_250018" w:id="7"/>
      <w:r>
        <w:rPr/>
        <w:t>Auxiliares de</w:t>
      </w:r>
      <w:r>
        <w:rPr>
          <w:spacing w:val="-10"/>
        </w:rPr>
        <w:t> </w:t>
      </w:r>
      <w:bookmarkEnd w:id="7"/>
      <w:r>
        <w:rPr/>
        <w:t>Diagnóstico</w:t>
      </w:r>
    </w:p>
    <w:p>
      <w:pPr>
        <w:pStyle w:val="BodyText"/>
        <w:rPr>
          <w:b/>
          <w:sz w:val="29"/>
        </w:rPr>
      </w:pPr>
    </w:p>
    <w:p>
      <w:pPr>
        <w:pStyle w:val="BodyText"/>
        <w:spacing w:line="360" w:lineRule="auto"/>
        <w:ind w:left="518" w:right="956"/>
        <w:jc w:val="both"/>
      </w:pPr>
      <w:r>
        <w:rPr/>
        <w:t>Diagnóstico es una palabra que proviene del griego </w:t>
      </w:r>
      <w:r>
        <w:rPr>
          <w:i/>
        </w:rPr>
        <w:t>diagnosis, </w:t>
      </w:r>
      <w:r>
        <w:rPr/>
        <w:t>significa a través del conocimiento. Es la parte de la medicina que se ocupa de la determinación de las enfermedades por sus signos y síntomas.</w:t>
      </w:r>
    </w:p>
    <w:p>
      <w:pPr>
        <w:pStyle w:val="BodyText"/>
        <w:spacing w:line="331" w:lineRule="auto" w:before="204"/>
        <w:ind w:left="518" w:right="964"/>
        <w:rPr>
          <w:sz w:val="16"/>
        </w:rPr>
      </w:pPr>
      <w:r>
        <w:rPr/>
        <w:t>El diagnóstico en ortodoncia, es el elemento principal para establecer y precisar las metas de un tratamiento.</w:t>
      </w:r>
      <w:r>
        <w:rPr>
          <w:position w:val="11"/>
          <w:sz w:val="16"/>
        </w:rPr>
        <w:t>16</w:t>
      </w:r>
    </w:p>
    <w:p>
      <w:pPr>
        <w:pStyle w:val="BodyText"/>
        <w:spacing w:before="220"/>
        <w:ind w:left="518"/>
        <w:jc w:val="both"/>
      </w:pPr>
      <w:r>
        <w:rPr/>
        <w:t>Para la elaboración de un adecuado diagnóstico en ortodoncia es necesario realizar:</w:t>
      </w:r>
    </w:p>
    <w:p>
      <w:pPr>
        <w:pStyle w:val="BodyText"/>
        <w:spacing w:before="4"/>
        <w:rPr>
          <w:sz w:val="29"/>
        </w:rPr>
      </w:pPr>
    </w:p>
    <w:p>
      <w:pPr>
        <w:pStyle w:val="ListParagraph"/>
        <w:numPr>
          <w:ilvl w:val="0"/>
          <w:numId w:val="10"/>
        </w:numPr>
        <w:tabs>
          <w:tab w:pos="879" w:val="left" w:leader="none"/>
        </w:tabs>
        <w:spacing w:line="240" w:lineRule="auto" w:before="1" w:after="0"/>
        <w:ind w:left="878" w:right="0" w:hanging="360"/>
        <w:jc w:val="both"/>
        <w:rPr>
          <w:sz w:val="24"/>
        </w:rPr>
      </w:pPr>
      <w:r>
        <w:rPr>
          <w:sz w:val="24"/>
        </w:rPr>
        <w:t>Historia clínica general completa con todos sus</w:t>
      </w:r>
      <w:r>
        <w:rPr>
          <w:spacing w:val="-16"/>
          <w:sz w:val="24"/>
        </w:rPr>
        <w:t> </w:t>
      </w:r>
      <w:r>
        <w:rPr>
          <w:sz w:val="24"/>
        </w:rPr>
        <w:t>elementos:</w:t>
      </w:r>
    </w:p>
    <w:p>
      <w:pPr>
        <w:pStyle w:val="ListParagraph"/>
        <w:numPr>
          <w:ilvl w:val="1"/>
          <w:numId w:val="10"/>
        </w:numPr>
        <w:tabs>
          <w:tab w:pos="1238" w:val="left" w:leader="none"/>
          <w:tab w:pos="1239" w:val="left" w:leader="none"/>
        </w:tabs>
        <w:spacing w:line="240" w:lineRule="auto" w:before="140" w:after="0"/>
        <w:ind w:left="1238" w:right="0" w:hanging="360"/>
        <w:jc w:val="left"/>
        <w:rPr>
          <w:sz w:val="24"/>
        </w:rPr>
      </w:pPr>
      <w:r>
        <w:rPr>
          <w:sz w:val="24"/>
        </w:rPr>
        <w:t>Ficha de</w:t>
      </w:r>
      <w:r>
        <w:rPr>
          <w:spacing w:val="-4"/>
          <w:sz w:val="24"/>
        </w:rPr>
        <w:t> </w:t>
      </w:r>
      <w:r>
        <w:rPr>
          <w:sz w:val="24"/>
        </w:rPr>
        <w:t>identificación</w:t>
      </w:r>
    </w:p>
    <w:p>
      <w:pPr>
        <w:pStyle w:val="ListParagraph"/>
        <w:numPr>
          <w:ilvl w:val="1"/>
          <w:numId w:val="10"/>
        </w:numPr>
        <w:tabs>
          <w:tab w:pos="1238" w:val="left" w:leader="none"/>
          <w:tab w:pos="1239" w:val="left" w:leader="none"/>
        </w:tabs>
        <w:spacing w:line="240" w:lineRule="auto" w:before="135" w:after="0"/>
        <w:ind w:left="1238" w:right="0" w:hanging="360"/>
        <w:jc w:val="left"/>
        <w:rPr>
          <w:sz w:val="24"/>
        </w:rPr>
      </w:pPr>
      <w:r>
        <w:rPr>
          <w:sz w:val="24"/>
        </w:rPr>
        <w:t>Antecedentes</w:t>
      </w:r>
      <w:r>
        <w:rPr>
          <w:spacing w:val="-9"/>
          <w:sz w:val="24"/>
        </w:rPr>
        <w:t> </w:t>
      </w:r>
      <w:r>
        <w:rPr>
          <w:sz w:val="24"/>
        </w:rPr>
        <w:t>heredo-familiares</w:t>
      </w:r>
    </w:p>
    <w:p>
      <w:pPr>
        <w:pStyle w:val="ListParagraph"/>
        <w:numPr>
          <w:ilvl w:val="1"/>
          <w:numId w:val="10"/>
        </w:numPr>
        <w:tabs>
          <w:tab w:pos="1238" w:val="left" w:leader="none"/>
          <w:tab w:pos="1239" w:val="left" w:leader="none"/>
        </w:tabs>
        <w:spacing w:line="240" w:lineRule="auto" w:before="135" w:after="0"/>
        <w:ind w:left="1238" w:right="0" w:hanging="360"/>
        <w:jc w:val="left"/>
        <w:rPr>
          <w:sz w:val="24"/>
        </w:rPr>
      </w:pPr>
      <w:r>
        <w:rPr>
          <w:sz w:val="24"/>
        </w:rPr>
        <w:t>Antecedentes personales no</w:t>
      </w:r>
      <w:r>
        <w:rPr>
          <w:spacing w:val="-14"/>
          <w:sz w:val="24"/>
        </w:rPr>
        <w:t> </w:t>
      </w:r>
      <w:r>
        <w:rPr>
          <w:sz w:val="24"/>
        </w:rPr>
        <w:t>patológicos</w:t>
      </w:r>
    </w:p>
    <w:p>
      <w:pPr>
        <w:pStyle w:val="ListParagraph"/>
        <w:numPr>
          <w:ilvl w:val="1"/>
          <w:numId w:val="10"/>
        </w:numPr>
        <w:tabs>
          <w:tab w:pos="1238" w:val="left" w:leader="none"/>
          <w:tab w:pos="1239" w:val="left" w:leader="none"/>
        </w:tabs>
        <w:spacing w:line="240" w:lineRule="auto" w:before="135" w:after="0"/>
        <w:ind w:left="1238" w:right="0" w:hanging="360"/>
        <w:jc w:val="left"/>
        <w:rPr>
          <w:sz w:val="24"/>
        </w:rPr>
      </w:pPr>
      <w:r>
        <w:rPr>
          <w:sz w:val="24"/>
        </w:rPr>
        <w:t>Antecedentes personales</w:t>
      </w:r>
      <w:r>
        <w:rPr>
          <w:spacing w:val="-13"/>
          <w:sz w:val="24"/>
        </w:rPr>
        <w:t> </w:t>
      </w:r>
      <w:r>
        <w:rPr>
          <w:sz w:val="24"/>
        </w:rPr>
        <w:t>patológicos</w:t>
      </w:r>
    </w:p>
    <w:p>
      <w:pPr>
        <w:pStyle w:val="ListParagraph"/>
        <w:numPr>
          <w:ilvl w:val="1"/>
          <w:numId w:val="10"/>
        </w:numPr>
        <w:tabs>
          <w:tab w:pos="1238" w:val="left" w:leader="none"/>
          <w:tab w:pos="1239" w:val="left" w:leader="none"/>
        </w:tabs>
        <w:spacing w:line="240" w:lineRule="auto" w:before="138" w:after="0"/>
        <w:ind w:left="1238" w:right="0" w:hanging="360"/>
        <w:jc w:val="left"/>
        <w:rPr>
          <w:sz w:val="24"/>
        </w:rPr>
      </w:pPr>
      <w:r>
        <w:rPr>
          <w:sz w:val="24"/>
        </w:rPr>
        <w:t>Interrogatorio por aparatos y</w:t>
      </w:r>
      <w:r>
        <w:rPr>
          <w:spacing w:val="-13"/>
          <w:sz w:val="24"/>
        </w:rPr>
        <w:t> </w:t>
      </w:r>
      <w:r>
        <w:rPr>
          <w:sz w:val="24"/>
        </w:rPr>
        <w:t>sistemas</w:t>
      </w:r>
    </w:p>
    <w:p>
      <w:pPr>
        <w:pStyle w:val="ListParagraph"/>
        <w:numPr>
          <w:ilvl w:val="1"/>
          <w:numId w:val="10"/>
        </w:numPr>
        <w:tabs>
          <w:tab w:pos="1238" w:val="left" w:leader="none"/>
          <w:tab w:pos="1239" w:val="left" w:leader="none"/>
        </w:tabs>
        <w:spacing w:line="240" w:lineRule="auto" w:before="135" w:after="0"/>
        <w:ind w:left="1238" w:right="0" w:hanging="360"/>
        <w:jc w:val="left"/>
        <w:rPr>
          <w:sz w:val="24"/>
        </w:rPr>
      </w:pPr>
      <w:r>
        <w:rPr>
          <w:sz w:val="24"/>
        </w:rPr>
        <w:t>Padecimiento</w:t>
      </w:r>
      <w:r>
        <w:rPr>
          <w:spacing w:val="-6"/>
          <w:sz w:val="24"/>
        </w:rPr>
        <w:t> </w:t>
      </w:r>
      <w:r>
        <w:rPr>
          <w:sz w:val="24"/>
        </w:rPr>
        <w:t>actual</w:t>
      </w:r>
    </w:p>
    <w:p>
      <w:pPr>
        <w:pStyle w:val="BodyText"/>
      </w:pPr>
    </w:p>
    <w:p>
      <w:pPr>
        <w:pStyle w:val="BodyText"/>
        <w:spacing w:before="9"/>
        <w:rPr>
          <w:sz w:val="23"/>
        </w:rPr>
      </w:pPr>
    </w:p>
    <w:p>
      <w:pPr>
        <w:pStyle w:val="ListParagraph"/>
        <w:numPr>
          <w:ilvl w:val="0"/>
          <w:numId w:val="10"/>
        </w:numPr>
        <w:tabs>
          <w:tab w:pos="879" w:val="left" w:leader="none"/>
        </w:tabs>
        <w:spacing w:line="360" w:lineRule="auto" w:before="0" w:after="0"/>
        <w:ind w:left="878" w:right="966" w:hanging="360"/>
        <w:jc w:val="left"/>
        <w:rPr>
          <w:sz w:val="24"/>
        </w:rPr>
      </w:pPr>
      <w:r>
        <w:rPr>
          <w:sz w:val="24"/>
        </w:rPr>
        <w:t>Exploración extra e intraoral rutinaria y cada vez que se ve al paciente en la consulta.</w:t>
      </w:r>
    </w:p>
    <w:p>
      <w:pPr>
        <w:pStyle w:val="BodyText"/>
      </w:pPr>
    </w:p>
    <w:p>
      <w:pPr>
        <w:pStyle w:val="ListParagraph"/>
        <w:numPr>
          <w:ilvl w:val="0"/>
          <w:numId w:val="10"/>
        </w:numPr>
        <w:tabs>
          <w:tab w:pos="879" w:val="left" w:leader="none"/>
        </w:tabs>
        <w:spacing w:line="240" w:lineRule="auto" w:before="142" w:after="0"/>
        <w:ind w:left="878" w:right="0" w:hanging="360"/>
        <w:jc w:val="both"/>
        <w:rPr>
          <w:sz w:val="24"/>
        </w:rPr>
      </w:pPr>
      <w:r>
        <w:rPr>
          <w:sz w:val="24"/>
        </w:rPr>
        <w:t>Evaluación y análisis de los auxiliares de diagnóstico en</w:t>
      </w:r>
      <w:r>
        <w:rPr>
          <w:spacing w:val="-21"/>
          <w:sz w:val="24"/>
        </w:rPr>
        <w:t> </w:t>
      </w:r>
      <w:r>
        <w:rPr>
          <w:sz w:val="24"/>
        </w:rPr>
        <w:t>ortodoncia:</w:t>
      </w:r>
    </w:p>
    <w:p>
      <w:pPr>
        <w:pStyle w:val="ListParagraph"/>
        <w:numPr>
          <w:ilvl w:val="0"/>
          <w:numId w:val="11"/>
        </w:numPr>
        <w:tabs>
          <w:tab w:pos="1239" w:val="left" w:leader="none"/>
        </w:tabs>
        <w:spacing w:line="240" w:lineRule="auto" w:before="139" w:after="0"/>
        <w:ind w:left="1238" w:right="0" w:hanging="360"/>
        <w:jc w:val="left"/>
        <w:rPr>
          <w:sz w:val="24"/>
        </w:rPr>
      </w:pPr>
      <w:r>
        <w:rPr>
          <w:sz w:val="24"/>
        </w:rPr>
        <w:t>Fotografías clínicas extraorales o</w:t>
      </w:r>
      <w:r>
        <w:rPr>
          <w:spacing w:val="-9"/>
          <w:sz w:val="24"/>
        </w:rPr>
        <w:t> </w:t>
      </w:r>
      <w:r>
        <w:rPr>
          <w:sz w:val="24"/>
        </w:rPr>
        <w:t>faciales</w:t>
      </w:r>
    </w:p>
    <w:p>
      <w:pPr>
        <w:pStyle w:val="ListParagraph"/>
        <w:numPr>
          <w:ilvl w:val="0"/>
          <w:numId w:val="11"/>
        </w:numPr>
        <w:tabs>
          <w:tab w:pos="1239" w:val="left" w:leader="none"/>
        </w:tabs>
        <w:spacing w:line="240" w:lineRule="auto" w:before="137" w:after="0"/>
        <w:ind w:left="1238" w:right="0" w:hanging="360"/>
        <w:jc w:val="left"/>
        <w:rPr>
          <w:sz w:val="24"/>
        </w:rPr>
      </w:pPr>
      <w:r>
        <w:rPr>
          <w:sz w:val="24"/>
        </w:rPr>
        <w:t>Fotografías clínicas</w:t>
      </w:r>
      <w:r>
        <w:rPr>
          <w:spacing w:val="-8"/>
          <w:sz w:val="24"/>
        </w:rPr>
        <w:t> </w:t>
      </w:r>
      <w:r>
        <w:rPr>
          <w:sz w:val="24"/>
        </w:rPr>
        <w:t>intraorales</w:t>
      </w:r>
    </w:p>
    <w:p>
      <w:pPr>
        <w:pStyle w:val="ListParagraph"/>
        <w:numPr>
          <w:ilvl w:val="0"/>
          <w:numId w:val="11"/>
        </w:numPr>
        <w:tabs>
          <w:tab w:pos="1239" w:val="left" w:leader="none"/>
        </w:tabs>
        <w:spacing w:line="240" w:lineRule="auto" w:before="140" w:after="0"/>
        <w:ind w:left="1238" w:right="0" w:hanging="360"/>
        <w:jc w:val="left"/>
        <w:rPr>
          <w:sz w:val="24"/>
        </w:rPr>
      </w:pPr>
      <w:r>
        <w:rPr>
          <w:sz w:val="24"/>
        </w:rPr>
        <w:t>Radiografías</w:t>
      </w:r>
    </w:p>
    <w:p>
      <w:pPr>
        <w:pStyle w:val="ListParagraph"/>
        <w:numPr>
          <w:ilvl w:val="0"/>
          <w:numId w:val="11"/>
        </w:numPr>
        <w:tabs>
          <w:tab w:pos="1239" w:val="left" w:leader="none"/>
        </w:tabs>
        <w:spacing w:line="240" w:lineRule="auto" w:before="137" w:after="0"/>
        <w:ind w:left="1238" w:right="0" w:hanging="360"/>
        <w:jc w:val="left"/>
        <w:rPr>
          <w:sz w:val="24"/>
        </w:rPr>
      </w:pPr>
      <w:r>
        <w:rPr>
          <w:sz w:val="24"/>
        </w:rPr>
        <w:t>Modelos de</w:t>
      </w:r>
      <w:r>
        <w:rPr>
          <w:spacing w:val="-7"/>
          <w:sz w:val="24"/>
        </w:rPr>
        <w:t> </w:t>
      </w:r>
      <w:r>
        <w:rPr>
          <w:sz w:val="24"/>
        </w:rPr>
        <w:t>estudio</w:t>
      </w:r>
    </w:p>
    <w:p>
      <w:pPr>
        <w:spacing w:after="0" w:line="240" w:lineRule="auto"/>
        <w:jc w:val="left"/>
        <w:rPr>
          <w:sz w:val="24"/>
        </w:rPr>
        <w:sectPr>
          <w:pgSz w:w="12240" w:h="15840"/>
          <w:pgMar w:header="596" w:footer="974" w:top="1440" w:bottom="1160" w:left="900" w:right="740"/>
        </w:sectPr>
      </w:pPr>
    </w:p>
    <w:p>
      <w:pPr>
        <w:pStyle w:val="BodyText"/>
        <w:spacing w:before="9"/>
        <w:rPr>
          <w:sz w:val="15"/>
        </w:rPr>
      </w:pPr>
    </w:p>
    <w:p>
      <w:pPr>
        <w:spacing w:before="70"/>
        <w:ind w:left="518" w:right="0" w:firstLine="0"/>
        <w:jc w:val="both"/>
        <w:rPr>
          <w:b/>
          <w:sz w:val="24"/>
        </w:rPr>
      </w:pPr>
      <w:r>
        <w:rPr>
          <w:b/>
          <w:sz w:val="24"/>
        </w:rPr>
        <w:t>Imagen digital.</w:t>
      </w:r>
    </w:p>
    <w:p>
      <w:pPr>
        <w:pStyle w:val="BodyText"/>
        <w:spacing w:before="4"/>
        <w:rPr>
          <w:b/>
          <w:sz w:val="29"/>
        </w:rPr>
      </w:pPr>
    </w:p>
    <w:p>
      <w:pPr>
        <w:pStyle w:val="BodyText"/>
        <w:spacing w:line="360" w:lineRule="auto" w:before="1"/>
        <w:ind w:left="518" w:right="962"/>
        <w:jc w:val="both"/>
      </w:pPr>
      <w:r>
        <w:rPr/>
        <w:t>La imagen digital es el resultado de convertir datos analógicos en digitales. La luz incide en el sensor digital y genera señales eléctricas que un procesador, el conversor analógicos-digital, convertirá en código digital creando un archivo de imagen.</w:t>
      </w:r>
    </w:p>
    <w:p>
      <w:pPr>
        <w:pStyle w:val="BodyText"/>
        <w:spacing w:line="350" w:lineRule="auto" w:before="204"/>
        <w:ind w:left="518" w:right="966"/>
        <w:jc w:val="both"/>
        <w:rPr>
          <w:sz w:val="16"/>
        </w:rPr>
      </w:pPr>
      <w:r>
        <w:rPr/>
        <w:t>La imagen digital está formada por unos elementos llamados píxeles (picture elements) que se disponen en una trama denominada “mapa bits”. Cada píxel es la combinación de unos valores de color y brillo en una posición determinada que se registra numéricamente.</w:t>
      </w:r>
      <w:r>
        <w:rPr>
          <w:position w:val="11"/>
          <w:sz w:val="16"/>
        </w:rPr>
        <w:t>17</w:t>
      </w:r>
    </w:p>
    <w:p>
      <w:pPr>
        <w:pStyle w:val="BodyText"/>
        <w:spacing w:line="360" w:lineRule="auto" w:before="198"/>
        <w:ind w:left="518" w:right="956"/>
        <w:jc w:val="both"/>
      </w:pPr>
      <w:r>
        <w:rPr/>
        <w:t>La resolución en fotografía digital se refiere a la cantidad o densidad de píxeles que forman la imagen y al número de colores. El número de colores, también llamdo profundidad de color o de bit, depende del número de bits que definen un color.</w:t>
      </w:r>
    </w:p>
    <w:p>
      <w:pPr>
        <w:pStyle w:val="Heading1"/>
        <w:numPr>
          <w:ilvl w:val="2"/>
          <w:numId w:val="9"/>
        </w:numPr>
        <w:tabs>
          <w:tab w:pos="1122" w:val="left" w:leader="none"/>
        </w:tabs>
        <w:spacing w:line="240" w:lineRule="auto" w:before="204" w:after="0"/>
        <w:ind w:left="1121" w:right="0" w:hanging="603"/>
        <w:jc w:val="both"/>
      </w:pPr>
      <w:bookmarkStart w:name="_TOC_250017" w:id="8"/>
      <w:r>
        <w:rPr/>
        <w:t>Fotografía</w:t>
      </w:r>
      <w:r>
        <w:rPr>
          <w:spacing w:val="-5"/>
        </w:rPr>
        <w:t> </w:t>
      </w:r>
      <w:bookmarkEnd w:id="8"/>
      <w:r>
        <w:rPr/>
        <w:t>clínica</w:t>
      </w:r>
    </w:p>
    <w:p>
      <w:pPr>
        <w:pStyle w:val="BodyText"/>
        <w:spacing w:before="4"/>
        <w:rPr>
          <w:b/>
          <w:sz w:val="29"/>
        </w:rPr>
      </w:pPr>
    </w:p>
    <w:p>
      <w:pPr>
        <w:pStyle w:val="BodyText"/>
        <w:spacing w:line="350" w:lineRule="auto" w:before="1"/>
        <w:ind w:left="518" w:right="953"/>
        <w:jc w:val="both"/>
        <w:rPr>
          <w:sz w:val="16"/>
        </w:rPr>
      </w:pPr>
      <w:r>
        <w:rPr/>
        <w:t>Se refiere a la captura, uso y almacenamiento de imágenes, filmación o videograbación correspondiente con fines diagnósticos; de registro, estudio y seguimiento clínico del paciente y con base en ello pasa a formar parte del expediente</w:t>
      </w:r>
      <w:r>
        <w:rPr>
          <w:spacing w:val="-6"/>
        </w:rPr>
        <w:t> </w:t>
      </w:r>
      <w:r>
        <w:rPr/>
        <w:t>clínico.</w:t>
      </w:r>
      <w:r>
        <w:rPr>
          <w:position w:val="11"/>
          <w:sz w:val="16"/>
        </w:rPr>
        <w:t>18</w:t>
      </w:r>
    </w:p>
    <w:p>
      <w:pPr>
        <w:pStyle w:val="BodyText"/>
        <w:spacing w:line="360" w:lineRule="auto" w:before="198"/>
        <w:ind w:left="518" w:right="958"/>
        <w:jc w:val="both"/>
      </w:pPr>
      <w:r>
        <w:rPr/>
        <w:t>Es fácil decidir el tamaño en píxeles de la imagen que se va a captar si se sabe la aplicación que se le dará a esa imagen: imprimirla en papel fotográfico, imprimirla a gran formato, visualizarla en la pantalla del ordenador o enviarla por correo electrónico.</w:t>
      </w:r>
    </w:p>
    <w:p>
      <w:pPr>
        <w:pStyle w:val="BodyText"/>
        <w:spacing w:line="360" w:lineRule="auto" w:before="205"/>
        <w:ind w:left="518" w:right="961"/>
        <w:jc w:val="both"/>
      </w:pPr>
      <w:r>
        <w:rPr/>
        <w:t>Las presentaciones en pantalla o en una página web no se necesitan imágenes de resoluciones superiores a 1.024 x 768, que es la resolución de pantalla más habitual.</w:t>
      </w:r>
    </w:p>
    <w:p>
      <w:pPr>
        <w:pStyle w:val="BodyText"/>
        <w:spacing w:line="360" w:lineRule="auto" w:before="204"/>
        <w:ind w:left="518" w:right="961"/>
        <w:jc w:val="both"/>
      </w:pPr>
      <w:r>
        <w:rPr/>
        <w:t>Las fotografías que se van a imprimir en papel (especialmente si se van a hacer grandes ampliaciones) deben tomarse a la mayor resolución posible.</w:t>
      </w:r>
    </w:p>
    <w:p>
      <w:pPr>
        <w:spacing w:after="0" w:line="360" w:lineRule="auto"/>
        <w:jc w:val="both"/>
        <w:sectPr>
          <w:pgSz w:w="12240" w:h="15840"/>
          <w:pgMar w:header="596" w:footer="974" w:top="1440" w:bottom="1160" w:left="900" w:right="740"/>
        </w:sectPr>
      </w:pPr>
    </w:p>
    <w:p>
      <w:pPr>
        <w:pStyle w:val="BodyText"/>
        <w:spacing w:before="9"/>
        <w:rPr>
          <w:sz w:val="15"/>
        </w:rPr>
      </w:pPr>
    </w:p>
    <w:p>
      <w:pPr>
        <w:pStyle w:val="BodyText"/>
        <w:spacing w:line="345" w:lineRule="auto" w:before="70"/>
        <w:ind w:left="518" w:right="965"/>
        <w:jc w:val="both"/>
        <w:rPr>
          <w:sz w:val="16"/>
        </w:rPr>
      </w:pPr>
      <w:r>
        <w:rPr/>
        <w:t>Nuestro trabajo como ortodoncistas lo ideal es disponer de unas imágenes maestras del paciente tomadas a la mayor resolución posible por si eventualmente se han de publicar.</w:t>
      </w:r>
      <w:r>
        <w:rPr>
          <w:position w:val="11"/>
          <w:sz w:val="16"/>
        </w:rPr>
        <w:t>17</w:t>
      </w:r>
    </w:p>
    <w:p>
      <w:pPr>
        <w:pStyle w:val="BodyText"/>
        <w:spacing w:line="360" w:lineRule="auto" w:before="204"/>
        <w:ind w:left="518" w:right="966"/>
        <w:jc w:val="both"/>
      </w:pPr>
      <w:r>
        <w:rPr/>
        <w:t>Las imágenes que se van a retocar o a recortar deben captarse a la máxima resolución, porque en el proceso de edición se va a perder información.</w:t>
      </w:r>
    </w:p>
    <w:p>
      <w:pPr>
        <w:pStyle w:val="BodyText"/>
        <w:spacing w:line="350" w:lineRule="auto" w:before="204"/>
        <w:ind w:left="518" w:right="962"/>
        <w:jc w:val="both"/>
        <w:rPr>
          <w:sz w:val="16"/>
        </w:rPr>
      </w:pPr>
      <w:r>
        <w:rPr/>
        <w:t>En el aspecto legal es posible respaldar la ejecución de ciertos procedimientos clínicos mediante la simple observación de una fotografía que haya sido tomada antes de iniciar el tratamiento dental, tomando en cuenta que cualquier acto odontológico impartido a una paciente representa una seria responsabilidad legal.</w:t>
      </w:r>
      <w:r>
        <w:rPr>
          <w:position w:val="11"/>
          <w:sz w:val="16"/>
        </w:rPr>
        <w:t>18</w:t>
      </w:r>
    </w:p>
    <w:p>
      <w:pPr>
        <w:pStyle w:val="BodyText"/>
        <w:spacing w:line="360" w:lineRule="auto" w:before="198"/>
        <w:ind w:left="518" w:right="969"/>
        <w:jc w:val="both"/>
      </w:pPr>
      <w:r>
        <w:rPr/>
        <w:t>Aunque hay muchos tipos de archivos digitales capaces de almacenar los datos de una imagen las cámaras sólo usan tres o cuatro.</w:t>
      </w:r>
    </w:p>
    <w:p>
      <w:pPr>
        <w:pStyle w:val="BodyText"/>
        <w:spacing w:line="331" w:lineRule="auto" w:before="202"/>
        <w:ind w:left="518" w:right="966"/>
        <w:jc w:val="both"/>
        <w:rPr>
          <w:sz w:val="16"/>
        </w:rPr>
      </w:pPr>
      <w:r>
        <w:rPr/>
        <w:t>El más extendido es el formato JPEG, que permite a la cámara reducir los requisitos de memoria.</w:t>
      </w:r>
      <w:r>
        <w:rPr>
          <w:position w:val="11"/>
          <w:sz w:val="16"/>
        </w:rPr>
        <w:t>17</w:t>
      </w:r>
    </w:p>
    <w:p>
      <w:pPr>
        <w:pStyle w:val="BodyText"/>
        <w:spacing w:before="222"/>
        <w:ind w:left="518"/>
        <w:jc w:val="both"/>
      </w:pPr>
      <w:r>
        <w:rPr/>
        <w:t>Evaluación y análisis de fotografías clínicas extraorales o faciales.</w:t>
      </w:r>
    </w:p>
    <w:p>
      <w:pPr>
        <w:pStyle w:val="BodyText"/>
        <w:spacing w:before="5"/>
        <w:rPr>
          <w:sz w:val="29"/>
        </w:rPr>
      </w:pPr>
    </w:p>
    <w:p>
      <w:pPr>
        <w:pStyle w:val="BodyText"/>
        <w:spacing w:line="360" w:lineRule="auto"/>
        <w:ind w:left="518" w:right="966"/>
        <w:jc w:val="both"/>
      </w:pPr>
      <w:r>
        <w:rPr/>
        <w:t>El fondo de la fotografía debe ser una superficie mate de color neutro, blanco o gris. Un fondo negro elimina completamente las sombras del flash, pero da poco contraste en los sujetos con cabello castaño y no es el más adecuado para sujetos de raza negra.</w:t>
      </w:r>
    </w:p>
    <w:p>
      <w:pPr>
        <w:pStyle w:val="BodyText"/>
        <w:spacing w:line="360" w:lineRule="auto" w:before="204"/>
        <w:ind w:left="518" w:right="966"/>
        <w:jc w:val="both"/>
      </w:pPr>
      <w:r>
        <w:rPr/>
        <w:t>Si el paciente usa lentes, estos deben retirarse dejando un intervalo de tiempo para que se acomode la visión; la foto con lentes no es aceptable como registro de tratamiento ortodóncico.</w:t>
      </w:r>
    </w:p>
    <w:p>
      <w:pPr>
        <w:pStyle w:val="BodyText"/>
        <w:spacing w:line="328" w:lineRule="auto" w:before="205"/>
        <w:ind w:left="518" w:right="968"/>
        <w:jc w:val="both"/>
        <w:rPr>
          <w:sz w:val="16"/>
        </w:rPr>
      </w:pPr>
      <w:r>
        <w:rPr/>
        <w:t>El pelo se debe recoger para dejar a la vista los pabellones auriculares, que serán una buena referencia para valorar la posición de la cabeza.</w:t>
      </w:r>
      <w:r>
        <w:rPr>
          <w:position w:val="11"/>
          <w:sz w:val="16"/>
        </w:rPr>
        <w:t>19</w:t>
      </w:r>
    </w:p>
    <w:p>
      <w:pPr>
        <w:pStyle w:val="BodyText"/>
        <w:spacing w:line="360" w:lineRule="auto" w:before="225"/>
        <w:ind w:left="518" w:right="966"/>
        <w:jc w:val="both"/>
      </w:pPr>
      <w:r>
        <w:rPr/>
        <w:t>La serie de fotografías clínicas extraorales o faciales comprende; fotografía de frente, fotografía de perfil derecho e izquierdo, fotografía de tres cuartos derecho e izquierdo y fotografía de sonrisa.</w:t>
      </w:r>
    </w:p>
    <w:p>
      <w:pPr>
        <w:spacing w:after="0" w:line="360" w:lineRule="auto"/>
        <w:jc w:val="both"/>
        <w:sectPr>
          <w:pgSz w:w="12240" w:h="15840"/>
          <w:pgMar w:header="596" w:footer="974" w:top="1440" w:bottom="1160" w:left="900" w:right="740"/>
        </w:sectPr>
      </w:pPr>
    </w:p>
    <w:p>
      <w:pPr>
        <w:pStyle w:val="BodyText"/>
        <w:spacing w:before="9"/>
        <w:rPr>
          <w:sz w:val="15"/>
        </w:rPr>
      </w:pPr>
    </w:p>
    <w:p>
      <w:pPr>
        <w:pStyle w:val="ListParagraph"/>
        <w:numPr>
          <w:ilvl w:val="0"/>
          <w:numId w:val="12"/>
        </w:numPr>
        <w:tabs>
          <w:tab w:pos="879" w:val="left" w:leader="none"/>
        </w:tabs>
        <w:spacing w:line="328" w:lineRule="auto" w:before="70" w:after="0"/>
        <w:ind w:left="878" w:right="966" w:hanging="360"/>
        <w:jc w:val="left"/>
        <w:rPr>
          <w:sz w:val="16"/>
        </w:rPr>
      </w:pPr>
      <w:r>
        <w:rPr>
          <w:sz w:val="24"/>
        </w:rPr>
        <w:t>Fotografía de frente: se emplea para hacer análisis transversales y verticales de  la cara del paciente y evidenciar</w:t>
      </w:r>
      <w:r>
        <w:rPr>
          <w:spacing w:val="-11"/>
          <w:sz w:val="24"/>
        </w:rPr>
        <w:t> </w:t>
      </w:r>
      <w:r>
        <w:rPr>
          <w:sz w:val="24"/>
        </w:rPr>
        <w:t>asimetrías.</w:t>
      </w:r>
      <w:r>
        <w:rPr>
          <w:position w:val="11"/>
          <w:sz w:val="16"/>
        </w:rPr>
        <w:t>18</w:t>
      </w:r>
    </w:p>
    <w:p>
      <w:pPr>
        <w:pStyle w:val="BodyText"/>
        <w:spacing w:line="360" w:lineRule="auto" w:before="225"/>
        <w:ind w:left="518" w:right="965"/>
        <w:jc w:val="both"/>
      </w:pPr>
      <w:r>
        <w:rPr/>
        <w:t>La cara y los labios deben encontrarse en reposo. La zona de enfoque es el ojo. El plano bipupilar será paralelo a los bordes superior e inferior de la fotografía sin  flexión ni rotación de la</w:t>
      </w:r>
      <w:r>
        <w:rPr>
          <w:spacing w:val="-9"/>
        </w:rPr>
        <w:t> </w:t>
      </w:r>
      <w:r>
        <w:rPr/>
        <w:t>cabeza.</w:t>
      </w:r>
    </w:p>
    <w:p>
      <w:pPr>
        <w:pStyle w:val="ListParagraph"/>
        <w:numPr>
          <w:ilvl w:val="0"/>
          <w:numId w:val="12"/>
        </w:numPr>
        <w:tabs>
          <w:tab w:pos="800" w:val="left" w:leader="none"/>
        </w:tabs>
        <w:spacing w:line="360" w:lineRule="auto" w:before="204" w:after="0"/>
        <w:ind w:left="518" w:right="957" w:firstLine="0"/>
        <w:jc w:val="both"/>
        <w:rPr>
          <w:sz w:val="24"/>
        </w:rPr>
      </w:pPr>
      <w:r>
        <w:rPr>
          <w:sz w:val="24"/>
        </w:rPr>
        <w:t>Fotografía de perfil: se usa para efectuar análisis verticales de la cara del paciente, obtener tipo de perfil y medidas lineales y angulares de labios, frente, nariz y mentón. Se toma solo el lado derecho del paciente, en casos de asimetría se pueden tomar ambos lados. El paciente debe encontrarse con la cabeza en posición natural o  </w:t>
      </w:r>
      <w:r>
        <w:rPr>
          <w:spacing w:val="59"/>
          <w:sz w:val="24"/>
        </w:rPr>
        <w:t> </w:t>
      </w:r>
      <w:r>
        <w:rPr>
          <w:sz w:val="24"/>
        </w:rPr>
        <w:t>con</w:t>
      </w:r>
    </w:p>
    <w:p>
      <w:pPr>
        <w:pStyle w:val="BodyText"/>
        <w:spacing w:line="328" w:lineRule="auto" w:before="5"/>
        <w:ind w:left="518" w:right="966"/>
        <w:jc w:val="both"/>
        <w:rPr>
          <w:sz w:val="16"/>
        </w:rPr>
      </w:pPr>
      <w:r>
        <w:rPr/>
        <w:t>el plano de Frankfort paralelo al suelo. Debe evitarse la flexión o rotación de la cabeza. Los labios deben de estar relajados.</w:t>
      </w:r>
      <w:r>
        <w:rPr>
          <w:position w:val="11"/>
          <w:sz w:val="16"/>
        </w:rPr>
        <w:t>19</w:t>
      </w:r>
    </w:p>
    <w:p>
      <w:pPr>
        <w:pStyle w:val="ListParagraph"/>
        <w:numPr>
          <w:ilvl w:val="0"/>
          <w:numId w:val="12"/>
        </w:numPr>
        <w:tabs>
          <w:tab w:pos="803" w:val="left" w:leader="none"/>
        </w:tabs>
        <w:spacing w:line="360" w:lineRule="auto" w:before="225" w:after="0"/>
        <w:ind w:left="518" w:right="959" w:firstLine="0"/>
        <w:jc w:val="both"/>
        <w:rPr>
          <w:sz w:val="24"/>
        </w:rPr>
      </w:pPr>
      <w:r>
        <w:rPr>
          <w:sz w:val="24"/>
        </w:rPr>
        <w:t>Fotografía de tres cuartos: se utiliza para hacer análisis transversales y verticales de la cara del paciente y evidenciar asimetrías</w:t>
      </w:r>
      <w:r>
        <w:rPr>
          <w:b/>
          <w:sz w:val="24"/>
        </w:rPr>
        <w:t>. </w:t>
      </w:r>
      <w:r>
        <w:rPr>
          <w:sz w:val="24"/>
        </w:rPr>
        <w:t>Permite incorporar un efecto de profundidad. El paciente se encuentra de perfil en relación con el fotógrafo y vuelve  la cabeza hasta que queda a la vista la ceja</w:t>
      </w:r>
      <w:r>
        <w:rPr>
          <w:spacing w:val="-17"/>
          <w:sz w:val="24"/>
        </w:rPr>
        <w:t> </w:t>
      </w:r>
      <w:r>
        <w:rPr>
          <w:sz w:val="24"/>
        </w:rPr>
        <w:t>contralateral.</w:t>
      </w:r>
    </w:p>
    <w:p>
      <w:pPr>
        <w:pStyle w:val="ListParagraph"/>
        <w:numPr>
          <w:ilvl w:val="0"/>
          <w:numId w:val="12"/>
        </w:numPr>
        <w:tabs>
          <w:tab w:pos="803" w:val="left" w:leader="none"/>
        </w:tabs>
        <w:spacing w:line="350" w:lineRule="auto" w:before="202" w:after="0"/>
        <w:ind w:left="518" w:right="960" w:firstLine="0"/>
        <w:jc w:val="both"/>
        <w:rPr>
          <w:sz w:val="16"/>
        </w:rPr>
      </w:pPr>
      <w:r>
        <w:rPr>
          <w:sz w:val="24"/>
        </w:rPr>
        <w:t>Fotografía de sonrisa: sirve para llevar a cabo el análisis de los labios y exposición de los dientes del paciente durante la sonrisa. Las condiciones serán similares a la frontal en reposo, excepto que en este caso el paciente debe exponer una sonrisa franca que permita evaluar la exposición gingival entre otros</w:t>
      </w:r>
      <w:r>
        <w:rPr>
          <w:spacing w:val="-19"/>
          <w:sz w:val="24"/>
        </w:rPr>
        <w:t> </w:t>
      </w:r>
      <w:r>
        <w:rPr>
          <w:sz w:val="24"/>
        </w:rPr>
        <w:t>parámetros.</w:t>
      </w:r>
      <w:r>
        <w:rPr>
          <w:position w:val="11"/>
          <w:sz w:val="16"/>
        </w:rPr>
        <w:t>19</w:t>
      </w:r>
    </w:p>
    <w:p>
      <w:pPr>
        <w:pStyle w:val="BodyText"/>
        <w:spacing w:line="360" w:lineRule="auto" w:before="198"/>
        <w:ind w:left="518" w:right="957"/>
        <w:jc w:val="both"/>
      </w:pPr>
      <w:r>
        <w:rPr/>
        <w:t>Las fotografías intraorales son un documento gráfico objetivo que permite evaluar la progresión del tratamiento y no olvidar el punto de partida del mismo, aspectos interesantes para tomar decisiones durante el tratamiento y juzgar el quehacer del clínico al finalizar la corrección.</w:t>
      </w:r>
    </w:p>
    <w:p>
      <w:pPr>
        <w:pStyle w:val="BodyText"/>
        <w:spacing w:line="360" w:lineRule="auto" w:before="204"/>
        <w:ind w:left="518" w:right="957"/>
        <w:jc w:val="both"/>
      </w:pPr>
      <w:r>
        <w:rPr/>
        <w:t>El registrar la situación de los tejidos duros (coloración del diente, manchas blancas del esmalte, fracturas, áreas hipoplásicas, etc.) y de los tejidos blandos (recesiones gingivales, situación periodontal, etc.) antes de colocar la aparatología fija, nos puede ahorrar más de un disgusto, ya que en ocasiones, al retirar los aparatos los pacientes</w:t>
      </w:r>
    </w:p>
    <w:p>
      <w:pPr>
        <w:spacing w:after="0" w:line="360" w:lineRule="auto"/>
        <w:jc w:val="both"/>
        <w:sectPr>
          <w:footerReference w:type="default" r:id="rId19"/>
          <w:pgSz w:w="12240" w:h="15840"/>
          <w:pgMar w:footer="974" w:header="596" w:top="1440" w:bottom="1160" w:left="900" w:right="740"/>
        </w:sectPr>
      </w:pPr>
    </w:p>
    <w:p>
      <w:pPr>
        <w:pStyle w:val="BodyText"/>
        <w:spacing w:before="9"/>
        <w:rPr>
          <w:sz w:val="15"/>
        </w:rPr>
      </w:pPr>
    </w:p>
    <w:p>
      <w:pPr>
        <w:pStyle w:val="BodyText"/>
        <w:spacing w:line="328" w:lineRule="auto" w:before="70"/>
        <w:ind w:left="518" w:right="961"/>
        <w:jc w:val="both"/>
        <w:rPr>
          <w:sz w:val="16"/>
        </w:rPr>
      </w:pPr>
      <w:r>
        <w:rPr/>
        <w:t>observan lesiones que ya existían, pero tienen el convencimiento de que las han provocado los brackets y bandas.</w:t>
      </w:r>
      <w:r>
        <w:rPr>
          <w:position w:val="11"/>
          <w:sz w:val="16"/>
        </w:rPr>
        <w:t>20</w:t>
      </w:r>
    </w:p>
    <w:p>
      <w:pPr>
        <w:pStyle w:val="BodyText"/>
        <w:spacing w:line="360" w:lineRule="auto" w:before="225"/>
        <w:ind w:left="518" w:right="964"/>
        <w:jc w:val="both"/>
      </w:pPr>
      <w:r>
        <w:rPr/>
        <w:t>La serie intraoral completa en ortodoncia consta de 5 tomas: 1 frontal, 2 laterales (derecha e izquierda) y 2 oclusales (superior e inferior).</w:t>
      </w:r>
    </w:p>
    <w:p>
      <w:pPr>
        <w:pStyle w:val="BodyText"/>
        <w:spacing w:line="360" w:lineRule="auto" w:before="202"/>
        <w:ind w:left="518" w:right="958"/>
        <w:jc w:val="both"/>
      </w:pPr>
      <w:r>
        <w:rPr/>
        <w:t>Estas fotografías pueden realizarse prescindiendo de los espejos intarorales,  es decir, utilizando exclusivamente retractores de mejillas en ambos lados y tratando de estirar más del lado que se va a fotografiar. Sin embargo comparando ambos procedimientos, se observa que la proyección y la calidad de la imagen en inferior cuando se emplea este procedimiento directo. Ello es debido a que la elasticidad de los tejidos no permite separar los labios y las mejillas todo lo necesario y la imagen que  se  obtiene  es  oblicua,  lo  que  supone  una  distorsión  de  la  realidad oclusal.</w:t>
      </w:r>
    </w:p>
    <w:p>
      <w:pPr>
        <w:pStyle w:val="BodyText"/>
        <w:spacing w:line="328" w:lineRule="auto" w:before="5"/>
        <w:ind w:left="518" w:right="965"/>
        <w:jc w:val="both"/>
        <w:rPr>
          <w:sz w:val="16"/>
        </w:rPr>
      </w:pPr>
      <w:r>
        <w:rPr/>
        <w:t>Además, en la imagen suelen aparecer los retractores y labios que comprometen la estética de la fotografía.</w:t>
      </w:r>
      <w:r>
        <w:rPr>
          <w:position w:val="11"/>
          <w:sz w:val="16"/>
        </w:rPr>
        <w:t>20</w:t>
      </w:r>
    </w:p>
    <w:p>
      <w:pPr>
        <w:pStyle w:val="ListParagraph"/>
        <w:numPr>
          <w:ilvl w:val="0"/>
          <w:numId w:val="13"/>
        </w:numPr>
        <w:tabs>
          <w:tab w:pos="872" w:val="left" w:leader="none"/>
        </w:tabs>
        <w:spacing w:line="360" w:lineRule="auto" w:before="225" w:after="0"/>
        <w:ind w:left="518" w:right="962" w:firstLine="0"/>
        <w:jc w:val="both"/>
        <w:rPr>
          <w:sz w:val="24"/>
        </w:rPr>
      </w:pPr>
      <w:r>
        <w:rPr>
          <w:sz w:val="24"/>
        </w:rPr>
        <w:t>Fotografía de frente de oclusión: se utiliza para mostrar el estado de salud periodontal y dental, la relación de las líneas medias dentales superiores e inferiores, la sobremordida vertical y las posiciones</w:t>
      </w:r>
      <w:r>
        <w:rPr>
          <w:spacing w:val="-18"/>
          <w:sz w:val="24"/>
        </w:rPr>
        <w:t> </w:t>
      </w:r>
      <w:r>
        <w:rPr>
          <w:sz w:val="24"/>
        </w:rPr>
        <w:t>dentarias.</w:t>
      </w:r>
    </w:p>
    <w:p>
      <w:pPr>
        <w:pStyle w:val="ListParagraph"/>
        <w:numPr>
          <w:ilvl w:val="0"/>
          <w:numId w:val="13"/>
        </w:numPr>
        <w:tabs>
          <w:tab w:pos="848" w:val="left" w:leader="none"/>
        </w:tabs>
        <w:spacing w:line="345" w:lineRule="auto" w:before="204" w:after="0"/>
        <w:ind w:left="518" w:right="959" w:firstLine="0"/>
        <w:jc w:val="both"/>
        <w:rPr>
          <w:sz w:val="16"/>
        </w:rPr>
      </w:pPr>
      <w:r>
        <w:rPr>
          <w:sz w:val="24"/>
        </w:rPr>
        <w:t>Fotografía lateral derecha en oclusión: es útil para mostrar el estado de salud periodontal y dental, las relaciones caninas y molares, la intercuspidación dental y la relación del plano</w:t>
      </w:r>
      <w:r>
        <w:rPr>
          <w:spacing w:val="-6"/>
          <w:sz w:val="24"/>
        </w:rPr>
        <w:t> </w:t>
      </w:r>
      <w:r>
        <w:rPr>
          <w:sz w:val="24"/>
        </w:rPr>
        <w:t>oclusal.</w:t>
      </w:r>
      <w:r>
        <w:rPr>
          <w:position w:val="11"/>
          <w:sz w:val="16"/>
        </w:rPr>
        <w:t>12</w:t>
      </w:r>
    </w:p>
    <w:p>
      <w:pPr>
        <w:pStyle w:val="ListParagraph"/>
        <w:numPr>
          <w:ilvl w:val="0"/>
          <w:numId w:val="13"/>
        </w:numPr>
        <w:tabs>
          <w:tab w:pos="836" w:val="left" w:leader="none"/>
        </w:tabs>
        <w:spacing w:line="360" w:lineRule="auto" w:before="204" w:after="0"/>
        <w:ind w:left="518" w:right="961" w:firstLine="0"/>
        <w:jc w:val="both"/>
        <w:rPr>
          <w:sz w:val="24"/>
        </w:rPr>
      </w:pPr>
      <w:r>
        <w:rPr>
          <w:sz w:val="24"/>
        </w:rPr>
        <w:t>Fotografía lateral izquierda en oclusión: sirve para conocer el estado de salud periodontal y dental, las relaciones caninas y molares, la intercuspidación dental y la relación del plano</w:t>
      </w:r>
      <w:r>
        <w:rPr>
          <w:spacing w:val="-6"/>
          <w:sz w:val="24"/>
        </w:rPr>
        <w:t> </w:t>
      </w:r>
      <w:r>
        <w:rPr>
          <w:sz w:val="24"/>
        </w:rPr>
        <w:t>oclusal.</w:t>
      </w:r>
    </w:p>
    <w:p>
      <w:pPr>
        <w:pStyle w:val="BodyText"/>
        <w:spacing w:line="352" w:lineRule="auto" w:before="202"/>
        <w:ind w:left="518" w:right="956"/>
        <w:jc w:val="both"/>
        <w:rPr>
          <w:sz w:val="16"/>
        </w:rPr>
      </w:pPr>
      <w:r>
        <w:rPr/>
        <w:t>Estas tomas se realizan con el paciente sentado con el respaldo ligeramente  inclinado hacia atrás, de tal forma que el plano oclusal quede paralelo al suelo. En el lado que no se va a fotografiar se coloca un separador de plástico que debe sujetar  el paciente. La imagen que vemos en el espejo debe ser perpendicular al haz fotográfico.</w:t>
      </w:r>
      <w:r>
        <w:rPr>
          <w:position w:val="11"/>
          <w:sz w:val="16"/>
        </w:rPr>
        <w:t>20</w:t>
      </w:r>
    </w:p>
    <w:p>
      <w:pPr>
        <w:spacing w:after="0" w:line="352" w:lineRule="auto"/>
        <w:jc w:val="both"/>
        <w:rPr>
          <w:sz w:val="16"/>
        </w:rPr>
        <w:sectPr>
          <w:footerReference w:type="default" r:id="rId20"/>
          <w:pgSz w:w="12240" w:h="15840"/>
          <w:pgMar w:footer="974" w:header="596" w:top="1440" w:bottom="1160" w:left="900" w:right="740"/>
          <w:pgNumType w:start="21"/>
        </w:sectPr>
      </w:pPr>
    </w:p>
    <w:p>
      <w:pPr>
        <w:pStyle w:val="BodyText"/>
        <w:spacing w:before="9"/>
        <w:rPr>
          <w:sz w:val="15"/>
        </w:rPr>
      </w:pPr>
    </w:p>
    <w:p>
      <w:pPr>
        <w:pStyle w:val="ListParagraph"/>
        <w:numPr>
          <w:ilvl w:val="0"/>
          <w:numId w:val="13"/>
        </w:numPr>
        <w:tabs>
          <w:tab w:pos="829" w:val="left" w:leader="none"/>
        </w:tabs>
        <w:spacing w:line="360" w:lineRule="auto" w:before="70" w:after="0"/>
        <w:ind w:left="518" w:right="966" w:firstLine="0"/>
        <w:jc w:val="both"/>
        <w:rPr>
          <w:sz w:val="24"/>
        </w:rPr>
      </w:pPr>
      <w:r>
        <w:rPr>
          <w:sz w:val="24"/>
        </w:rPr>
        <w:t>Fotografía oclusal superior: se usa para observar el estado periodontal y dental, forma de arco y posiciones</w:t>
      </w:r>
      <w:r>
        <w:rPr>
          <w:spacing w:val="-13"/>
          <w:sz w:val="24"/>
        </w:rPr>
        <w:t> </w:t>
      </w:r>
      <w:r>
        <w:rPr>
          <w:sz w:val="24"/>
        </w:rPr>
        <w:t>dentarias.</w:t>
      </w:r>
    </w:p>
    <w:p>
      <w:pPr>
        <w:pStyle w:val="ListParagraph"/>
        <w:numPr>
          <w:ilvl w:val="0"/>
          <w:numId w:val="13"/>
        </w:numPr>
        <w:tabs>
          <w:tab w:pos="807" w:val="left" w:leader="none"/>
        </w:tabs>
        <w:spacing w:line="360" w:lineRule="auto" w:before="204" w:after="0"/>
        <w:ind w:left="518" w:right="961" w:firstLine="0"/>
        <w:jc w:val="both"/>
        <w:rPr>
          <w:sz w:val="24"/>
        </w:rPr>
      </w:pPr>
      <w:r>
        <w:rPr>
          <w:sz w:val="24"/>
        </w:rPr>
        <w:t>Fotografía oclusal inferior: sirve para conocer el estado periodontal y dental, forma de arco y posiciones</w:t>
      </w:r>
      <w:r>
        <w:rPr>
          <w:spacing w:val="-10"/>
          <w:sz w:val="24"/>
        </w:rPr>
        <w:t> </w:t>
      </w:r>
      <w:r>
        <w:rPr>
          <w:sz w:val="24"/>
        </w:rPr>
        <w:t>dentarias.</w:t>
      </w:r>
    </w:p>
    <w:p>
      <w:pPr>
        <w:pStyle w:val="ListParagraph"/>
        <w:numPr>
          <w:ilvl w:val="0"/>
          <w:numId w:val="13"/>
        </w:numPr>
        <w:tabs>
          <w:tab w:pos="762" w:val="left" w:leader="none"/>
        </w:tabs>
        <w:spacing w:line="360" w:lineRule="auto" w:before="202" w:after="0"/>
        <w:ind w:left="518" w:right="966" w:firstLine="0"/>
        <w:jc w:val="both"/>
        <w:rPr>
          <w:sz w:val="24"/>
        </w:rPr>
      </w:pPr>
      <w:r>
        <w:rPr>
          <w:sz w:val="24"/>
        </w:rPr>
        <w:t>Fotografía de sobremordida horizontal: se utiliza para mostrar el estado de salud periodontal y dental, cantidad de sobremordida horizontal y posiciones</w:t>
      </w:r>
      <w:r>
        <w:rPr>
          <w:spacing w:val="-35"/>
          <w:sz w:val="24"/>
        </w:rPr>
        <w:t> </w:t>
      </w:r>
      <w:r>
        <w:rPr>
          <w:sz w:val="24"/>
        </w:rPr>
        <w:t>dentarias.</w:t>
      </w:r>
    </w:p>
    <w:p>
      <w:pPr>
        <w:pStyle w:val="ListParagraph"/>
        <w:numPr>
          <w:ilvl w:val="0"/>
          <w:numId w:val="13"/>
        </w:numPr>
        <w:tabs>
          <w:tab w:pos="865" w:val="left" w:leader="none"/>
        </w:tabs>
        <w:spacing w:line="360" w:lineRule="auto" w:before="204" w:after="0"/>
        <w:ind w:left="518" w:right="965" w:firstLine="0"/>
        <w:jc w:val="both"/>
        <w:rPr>
          <w:sz w:val="24"/>
        </w:rPr>
      </w:pPr>
      <w:r>
        <w:rPr>
          <w:sz w:val="24"/>
        </w:rPr>
        <w:t>Fotografía de sobremordida vertical: es útil para conocer el estado de salud periodontal y dental, cantidad de sobremordida vertical y posiciones</w:t>
      </w:r>
      <w:r>
        <w:rPr>
          <w:spacing w:val="-31"/>
          <w:sz w:val="24"/>
        </w:rPr>
        <w:t> </w:t>
      </w:r>
      <w:r>
        <w:rPr>
          <w:sz w:val="24"/>
        </w:rPr>
        <w:t>dentarias.</w:t>
      </w:r>
    </w:p>
    <w:p>
      <w:pPr>
        <w:pStyle w:val="BodyText"/>
        <w:spacing w:line="345" w:lineRule="auto" w:before="204"/>
        <w:ind w:left="518" w:right="963"/>
        <w:jc w:val="both"/>
        <w:rPr>
          <w:sz w:val="16"/>
        </w:rPr>
      </w:pPr>
      <w:r>
        <w:rPr/>
        <w:t>El uso de la fotografía digital es una buena herramienta para la clínica dental, su uso se incrementó y en un futuro será un instrumento cotidiano junto a un equipo de cómputo para apreciar la imagen de inmediato con una gran calidad.</w:t>
      </w:r>
      <w:r>
        <w:rPr>
          <w:position w:val="11"/>
          <w:sz w:val="16"/>
        </w:rPr>
        <w:t>21</w:t>
      </w:r>
    </w:p>
    <w:p>
      <w:pPr>
        <w:pStyle w:val="BodyText"/>
        <w:spacing w:line="345" w:lineRule="auto" w:before="204"/>
        <w:ind w:left="518" w:right="959"/>
        <w:jc w:val="both"/>
        <w:rPr>
          <w:sz w:val="16"/>
        </w:rPr>
      </w:pPr>
      <w:r>
        <w:rPr/>
        <w:t>La fotografía clínica de buena calidad puede obtenerse fácilmente con un equipo correcto y apropiado. Cometer errores lo menos posible en la fotografía extraoral e intraoral incrementa la obtención de una imagen con alta calidad.</w:t>
      </w:r>
      <w:r>
        <w:rPr>
          <w:position w:val="11"/>
          <w:sz w:val="16"/>
        </w:rPr>
        <w:t>22</w:t>
      </w:r>
    </w:p>
    <w:p>
      <w:pPr>
        <w:pStyle w:val="Heading1"/>
        <w:numPr>
          <w:ilvl w:val="2"/>
          <w:numId w:val="9"/>
        </w:numPr>
        <w:tabs>
          <w:tab w:pos="1122" w:val="left" w:leader="none"/>
        </w:tabs>
        <w:spacing w:line="240" w:lineRule="auto" w:before="204" w:after="0"/>
        <w:ind w:left="1121" w:right="0" w:hanging="603"/>
        <w:jc w:val="both"/>
      </w:pPr>
      <w:bookmarkStart w:name="_TOC_250016" w:id="9"/>
      <w:r>
        <w:rPr/>
        <w:t>Evaluación y análisis de</w:t>
      </w:r>
      <w:r>
        <w:rPr>
          <w:spacing w:val="-12"/>
        </w:rPr>
        <w:t> </w:t>
      </w:r>
      <w:bookmarkEnd w:id="9"/>
      <w:r>
        <w:rPr/>
        <w:t>radiografías</w:t>
      </w:r>
    </w:p>
    <w:p>
      <w:pPr>
        <w:pStyle w:val="BodyText"/>
        <w:spacing w:before="2"/>
        <w:rPr>
          <w:b/>
          <w:sz w:val="29"/>
        </w:rPr>
      </w:pPr>
    </w:p>
    <w:p>
      <w:pPr>
        <w:pStyle w:val="BodyText"/>
        <w:spacing w:line="360" w:lineRule="auto"/>
        <w:ind w:left="518" w:right="961"/>
        <w:jc w:val="both"/>
      </w:pPr>
      <w:r>
        <w:rPr/>
        <w:t>Sobre las radiografías se localizan puntos y planos para obtener mediciones comparativas, lineales y angulares denominados trazados  cefalométricos;  su finalidad es  detectar anomalías y discrepancias esqueléticas y dentales.</w:t>
      </w:r>
    </w:p>
    <w:p>
      <w:pPr>
        <w:pStyle w:val="BodyText"/>
        <w:spacing w:line="345" w:lineRule="auto" w:before="204"/>
        <w:ind w:left="518" w:right="962"/>
        <w:jc w:val="both"/>
        <w:rPr>
          <w:sz w:val="16"/>
        </w:rPr>
      </w:pPr>
      <w:r>
        <w:rPr/>
        <w:t>La cefalometría proporciona información vital e importante para guiar la terapia ortodóncica, ofrece el análisis de los problemas para determinar soluciones así como evaluar los resultados del tratamiento.</w:t>
      </w:r>
      <w:r>
        <w:rPr>
          <w:position w:val="11"/>
          <w:sz w:val="16"/>
        </w:rPr>
        <w:t>23</w:t>
      </w:r>
    </w:p>
    <w:p>
      <w:pPr>
        <w:pStyle w:val="BodyText"/>
        <w:spacing w:before="204"/>
        <w:ind w:left="518"/>
        <w:jc w:val="both"/>
      </w:pPr>
      <w:r>
        <w:rPr/>
        <w:t>Las radiografías que se utilizan en ortodoncia son:</w:t>
      </w:r>
    </w:p>
    <w:p>
      <w:pPr>
        <w:pStyle w:val="BodyText"/>
        <w:spacing w:before="4"/>
        <w:rPr>
          <w:sz w:val="29"/>
        </w:rPr>
      </w:pPr>
    </w:p>
    <w:p>
      <w:pPr>
        <w:pStyle w:val="BodyText"/>
        <w:spacing w:line="360" w:lineRule="auto" w:before="1"/>
        <w:ind w:left="518" w:right="959"/>
        <w:jc w:val="both"/>
      </w:pPr>
      <w:r>
        <w:rPr/>
        <w:t>Ortopantomografía o radiografía panorámica. Muestra un aspecto general de las estructuras óseas y dentarias de la zona de los maxilares.</w:t>
      </w:r>
    </w:p>
    <w:p>
      <w:pPr>
        <w:spacing w:after="0" w:line="360" w:lineRule="auto"/>
        <w:jc w:val="both"/>
        <w:sectPr>
          <w:pgSz w:w="12240" w:h="15840"/>
          <w:pgMar w:header="596" w:footer="974" w:top="1440" w:bottom="1160" w:left="900" w:right="740"/>
        </w:sectPr>
      </w:pPr>
    </w:p>
    <w:p>
      <w:pPr>
        <w:pStyle w:val="BodyText"/>
        <w:spacing w:before="9"/>
        <w:rPr>
          <w:sz w:val="15"/>
        </w:rPr>
      </w:pPr>
    </w:p>
    <w:p>
      <w:pPr>
        <w:pStyle w:val="BodyText"/>
        <w:spacing w:line="360" w:lineRule="auto" w:before="70"/>
        <w:ind w:left="518" w:right="956"/>
        <w:jc w:val="both"/>
      </w:pPr>
      <w:r>
        <w:rPr/>
        <w:t>Radiografía lateral de cráneo. Permite obtener mediciones verticales y posteroanteriores, compararlas con valores promedio de la población, así como detectar anomalías y discrepancias esqueléticas y dentales.</w:t>
      </w:r>
    </w:p>
    <w:p>
      <w:pPr>
        <w:pStyle w:val="BodyText"/>
        <w:spacing w:line="360" w:lineRule="auto" w:before="204"/>
        <w:ind w:left="518" w:right="964"/>
        <w:jc w:val="both"/>
      </w:pPr>
      <w:r>
        <w:rPr/>
        <w:t>Realización de sobreimposiciones de los trazados cefalométricos entre radiografías iniciales, de seguimiento y finales para comparar los resultados.</w:t>
      </w:r>
    </w:p>
    <w:p>
      <w:pPr>
        <w:pStyle w:val="BodyText"/>
        <w:spacing w:line="328" w:lineRule="auto" w:before="204"/>
        <w:ind w:left="518" w:right="961"/>
        <w:jc w:val="both"/>
        <w:rPr>
          <w:sz w:val="16"/>
        </w:rPr>
      </w:pPr>
      <w:r>
        <w:rPr/>
        <w:t>El haz de rayos incide perpendicularmente al plano medio sagital de la cabeza del paciente.</w:t>
      </w:r>
      <w:r>
        <w:rPr>
          <w:position w:val="11"/>
          <w:sz w:val="16"/>
        </w:rPr>
        <w:t>24</w:t>
      </w:r>
    </w:p>
    <w:p>
      <w:pPr>
        <w:pStyle w:val="BodyText"/>
        <w:spacing w:line="360" w:lineRule="auto" w:before="226"/>
        <w:ind w:left="518" w:right="966"/>
        <w:jc w:val="both"/>
      </w:pPr>
      <w:r>
        <w:rPr/>
        <w:t>Radiografías dentoalveolares o periapicales. Muestra imágenes más detalladas de las estructuras</w:t>
      </w:r>
      <w:r>
        <w:rPr>
          <w:spacing w:val="-8"/>
        </w:rPr>
        <w:t> </w:t>
      </w:r>
      <w:r>
        <w:rPr/>
        <w:t>óseo-dentarias.</w:t>
      </w:r>
    </w:p>
    <w:p>
      <w:pPr>
        <w:pStyle w:val="BodyText"/>
        <w:spacing w:line="360" w:lineRule="auto" w:before="202"/>
        <w:ind w:left="518" w:right="965"/>
        <w:jc w:val="both"/>
      </w:pPr>
      <w:r>
        <w:rPr/>
        <w:t>Radiografías oclusales. Se emplean para tener una proyección transversal de uno o varios dientes del maxilar o mandíbula, la posición de las coronas y raíces de los dientes, grado de osificación de la sutura media palatina en tratamientos de expansión o disyunción palatina y la forma de los arcos dentales.</w:t>
      </w:r>
    </w:p>
    <w:p>
      <w:pPr>
        <w:pStyle w:val="BodyText"/>
        <w:spacing w:line="360" w:lineRule="auto" w:before="204"/>
        <w:ind w:left="518" w:right="958"/>
        <w:jc w:val="both"/>
      </w:pPr>
      <w:r>
        <w:rPr/>
        <w:t>Radiografía posteroanterior. Es útil en casos en los que se presenten asimetrías faciales y para evaluar posibles discrepancias óseas y dentarias en sentido transversal.</w:t>
      </w:r>
    </w:p>
    <w:p>
      <w:pPr>
        <w:pStyle w:val="BodyText"/>
        <w:spacing w:line="328" w:lineRule="auto" w:before="204"/>
        <w:ind w:left="518" w:right="963"/>
        <w:jc w:val="both"/>
        <w:rPr>
          <w:sz w:val="16"/>
        </w:rPr>
      </w:pPr>
      <w:r>
        <w:rPr/>
        <w:t>Para esta radiografía, el paciente está orientado de espalda al tubo de rayos, es decir mirando hacia el chasis.</w:t>
      </w:r>
      <w:r>
        <w:rPr>
          <w:position w:val="11"/>
          <w:sz w:val="16"/>
        </w:rPr>
        <w:t>24</w:t>
      </w:r>
    </w:p>
    <w:p>
      <w:pPr>
        <w:pStyle w:val="BodyText"/>
        <w:spacing w:line="360" w:lineRule="auto" w:before="225"/>
        <w:ind w:left="518" w:right="965"/>
        <w:jc w:val="both"/>
      </w:pPr>
      <w:r>
        <w:rPr/>
        <w:t>Radiografía de Waters. Sirve en casos de asimetrías faciales para mostrar la base de cráneo.</w:t>
      </w:r>
    </w:p>
    <w:p>
      <w:pPr>
        <w:pStyle w:val="BodyText"/>
        <w:spacing w:line="360" w:lineRule="auto" w:before="205"/>
        <w:ind w:left="518" w:right="965"/>
        <w:jc w:val="both"/>
      </w:pPr>
      <w:r>
        <w:rPr/>
        <w:t>Radiografía de ATM. Se emplea para evaluar la morfología de los cóndilos, cuello del cóndilo y cavidad glenoidea y la posición del cóndilo a boca cerrada y boca abierta.</w:t>
      </w:r>
    </w:p>
    <w:p>
      <w:pPr>
        <w:pStyle w:val="BodyText"/>
        <w:spacing w:line="360" w:lineRule="auto" w:before="202"/>
        <w:ind w:left="518" w:right="966"/>
        <w:jc w:val="both"/>
      </w:pPr>
      <w:r>
        <w:rPr/>
        <w:t>Radiografía digitopalmar o carpal. Es de gran ayuda para calcular la edad ósea o maduración esquelética de un paciente en crecimiento y definir el tipo de tratamiento que se debe seguir.</w:t>
      </w:r>
    </w:p>
    <w:p>
      <w:pPr>
        <w:spacing w:after="0" w:line="360" w:lineRule="auto"/>
        <w:jc w:val="both"/>
        <w:sectPr>
          <w:pgSz w:w="12240" w:h="15840"/>
          <w:pgMar w:header="596" w:footer="974" w:top="1440" w:bottom="1160" w:left="900" w:right="740"/>
        </w:sectPr>
      </w:pPr>
    </w:p>
    <w:p>
      <w:pPr>
        <w:pStyle w:val="BodyText"/>
        <w:spacing w:before="9"/>
        <w:rPr>
          <w:sz w:val="15"/>
        </w:rPr>
      </w:pPr>
    </w:p>
    <w:p>
      <w:pPr>
        <w:pStyle w:val="BodyText"/>
        <w:spacing w:line="352" w:lineRule="auto" w:before="70"/>
        <w:ind w:left="518" w:right="956"/>
        <w:jc w:val="both"/>
        <w:rPr>
          <w:sz w:val="16"/>
        </w:rPr>
      </w:pPr>
      <w:r>
        <w:rPr/>
        <w:t>A pesar de la correcta colocación del paciente mediante la ayuda del cefalostato, hay algunos factores que influyen negativamente en la correcta superposición de estructuras: asimetría facial, distinta altura de los conductos auditivos, asimetría mandibular, anomalías morfológicas de distinta naturaleza (malformaciones, traumas, etc), asimetría por tortícolis.</w:t>
      </w:r>
      <w:r>
        <w:rPr>
          <w:position w:val="11"/>
          <w:sz w:val="16"/>
        </w:rPr>
        <w:t>24</w:t>
      </w:r>
    </w:p>
    <w:p>
      <w:pPr>
        <w:pStyle w:val="BodyText"/>
        <w:spacing w:line="350" w:lineRule="auto" w:before="194"/>
        <w:ind w:left="518" w:right="961"/>
        <w:jc w:val="both"/>
        <w:rPr>
          <w:sz w:val="16"/>
        </w:rPr>
      </w:pPr>
      <w:r>
        <w:rPr/>
        <w:t>Actualmente la cefalometría es utilizada como una de las herramientas básicas de diagnóstico en ortodoncia. No solo debe ser utilizada como una herramienta estática, sino como una herramienta dinámica que permita diseñar, evaluar, analizar y  predecir el tratamiento y</w:t>
      </w:r>
      <w:r>
        <w:rPr>
          <w:spacing w:val="-7"/>
        </w:rPr>
        <w:t> </w:t>
      </w:r>
      <w:r>
        <w:rPr/>
        <w:t>resultados.</w:t>
      </w:r>
      <w:r>
        <w:rPr>
          <w:position w:val="11"/>
          <w:sz w:val="16"/>
        </w:rPr>
        <w:t>25</w:t>
      </w:r>
    </w:p>
    <w:p>
      <w:pPr>
        <w:pStyle w:val="BodyText"/>
        <w:spacing w:line="360" w:lineRule="auto" w:before="198"/>
        <w:ind w:left="518" w:right="965"/>
        <w:jc w:val="both"/>
      </w:pPr>
      <w:r>
        <w:rPr/>
        <w:t>Por sí sola es de uso limitado, pero en conjunto con otras herramientas de diagnóstico es una herramienta formidable e irremplazable.</w:t>
      </w:r>
    </w:p>
    <w:p>
      <w:pPr>
        <w:pStyle w:val="Heading1"/>
        <w:numPr>
          <w:ilvl w:val="2"/>
          <w:numId w:val="9"/>
        </w:numPr>
        <w:tabs>
          <w:tab w:pos="1122" w:val="left" w:leader="none"/>
        </w:tabs>
        <w:spacing w:line="240" w:lineRule="auto" w:before="204" w:after="0"/>
        <w:ind w:left="1121" w:right="0" w:hanging="603"/>
        <w:jc w:val="both"/>
      </w:pPr>
      <w:bookmarkStart w:name="_TOC_250015" w:id="10"/>
      <w:r>
        <w:rPr/>
        <w:t>Evaluación y análisis de modelos de</w:t>
      </w:r>
      <w:r>
        <w:rPr>
          <w:spacing w:val="-11"/>
        </w:rPr>
        <w:t> </w:t>
      </w:r>
      <w:bookmarkEnd w:id="10"/>
      <w:r>
        <w:rPr/>
        <w:t>estudio</w:t>
      </w:r>
    </w:p>
    <w:p>
      <w:pPr>
        <w:pStyle w:val="BodyText"/>
        <w:spacing w:before="4"/>
        <w:rPr>
          <w:b/>
          <w:sz w:val="29"/>
        </w:rPr>
      </w:pPr>
    </w:p>
    <w:p>
      <w:pPr>
        <w:pStyle w:val="BodyText"/>
        <w:spacing w:line="360" w:lineRule="auto" w:before="1"/>
        <w:ind w:left="518" w:right="966"/>
        <w:jc w:val="both"/>
      </w:pPr>
      <w:r>
        <w:rPr/>
        <w:t>Es uno de los medios de diagnóstico, se necesita obtener excelentes modelos de estudio mediante la utilización de una técnica de impresión precisa que registre no sólo la posición exacta de cada diente sino también de todo el proceso alveolar, hasta los límites del</w:t>
      </w:r>
      <w:r>
        <w:rPr>
          <w:spacing w:val="-11"/>
        </w:rPr>
        <w:t> </w:t>
      </w:r>
      <w:r>
        <w:rPr/>
        <w:t>vestíbulo.</w:t>
      </w:r>
    </w:p>
    <w:p>
      <w:pPr>
        <w:pStyle w:val="BodyText"/>
        <w:spacing w:line="352" w:lineRule="auto" w:before="204"/>
        <w:ind w:left="518" w:right="957"/>
        <w:jc w:val="both"/>
        <w:rPr>
          <w:sz w:val="16"/>
        </w:rPr>
      </w:pPr>
      <w:r>
        <w:rPr/>
        <w:t>Los datos aportados por el estudio de los modelos permiten hacer el análisis estático y dinámico de las arcadas, constituyéndose en una herramienta muy importante para la planificación. El estudio se raliza en los tres planos del espacio: transversal, anteroposterior o sagital y vertical. Cada uno de ellos considera cada arcada independientemente. La relación entre ellas se estudia con los modelos articulados.</w:t>
      </w:r>
      <w:r>
        <w:rPr>
          <w:position w:val="11"/>
          <w:sz w:val="16"/>
        </w:rPr>
        <w:t>24</w:t>
      </w:r>
    </w:p>
    <w:p>
      <w:pPr>
        <w:pStyle w:val="BodyText"/>
        <w:spacing w:line="345" w:lineRule="auto" w:before="195"/>
        <w:ind w:left="518" w:right="958"/>
        <w:jc w:val="both"/>
        <w:rPr>
          <w:sz w:val="16"/>
        </w:rPr>
      </w:pPr>
      <w:r>
        <w:rPr/>
        <w:t>Se hacen mediciones de discrepancia entre los arcos dentarios y arcos basales para obtener grados de apiñamiento y falta de espacio y valorar la profundidad de la curva de Spee y líneas medias.</w:t>
      </w:r>
      <w:r>
        <w:rPr>
          <w:position w:val="11"/>
          <w:sz w:val="16"/>
        </w:rPr>
        <w:t>16</w:t>
      </w:r>
    </w:p>
    <w:p>
      <w:pPr>
        <w:pStyle w:val="BodyText"/>
        <w:spacing w:line="360" w:lineRule="auto" w:before="204"/>
        <w:ind w:left="518" w:right="959"/>
        <w:jc w:val="both"/>
      </w:pPr>
      <w:r>
        <w:rPr/>
        <w:t>Modelos de estudio vista de frente en oclusión. Sirve para observar la relación de las líneas medias dentales superiores e inferiores, sobremordida vertical y posiciones dentarias.</w:t>
      </w:r>
    </w:p>
    <w:p>
      <w:pPr>
        <w:spacing w:after="0" w:line="360" w:lineRule="auto"/>
        <w:jc w:val="both"/>
        <w:sectPr>
          <w:pgSz w:w="12240" w:h="15840"/>
          <w:pgMar w:header="596" w:footer="974" w:top="1440" w:bottom="1160" w:left="900" w:right="740"/>
        </w:sectPr>
      </w:pPr>
    </w:p>
    <w:p>
      <w:pPr>
        <w:pStyle w:val="BodyText"/>
        <w:spacing w:before="9"/>
        <w:rPr>
          <w:sz w:val="15"/>
        </w:rPr>
      </w:pPr>
    </w:p>
    <w:p>
      <w:pPr>
        <w:pStyle w:val="BodyText"/>
        <w:spacing w:line="360" w:lineRule="auto" w:before="70"/>
        <w:ind w:left="518" w:right="965"/>
        <w:jc w:val="both"/>
      </w:pPr>
      <w:r>
        <w:rPr/>
        <w:t>Modelos de estudio vista en posterior en oclusión. Se utiliza para mostrar las relaciones de líneas medias superiores e inferiores, relaciones caninas y molares e intercuspidaciones dentales.</w:t>
      </w:r>
    </w:p>
    <w:p>
      <w:pPr>
        <w:pStyle w:val="BodyText"/>
        <w:spacing w:line="360" w:lineRule="auto" w:before="204"/>
        <w:ind w:left="518" w:right="965"/>
        <w:jc w:val="both"/>
      </w:pPr>
      <w:r>
        <w:rPr/>
        <w:t>Modelos de estudio vista derecha en oclusión. Es útil para conocer las relaciones caninas y molares, la intercuspidación dental y la relación del  plano oclusal.</w:t>
      </w:r>
    </w:p>
    <w:p>
      <w:pPr>
        <w:pStyle w:val="BodyText"/>
        <w:spacing w:line="360" w:lineRule="auto" w:before="204"/>
        <w:ind w:left="518" w:right="965"/>
        <w:jc w:val="both"/>
      </w:pPr>
      <w:r>
        <w:rPr/>
        <w:t>Modelos de estudio vista izquierda en oclusión. Se utiliza para mostrar las relaciones caninas y molares, la intercuspidación dental y la relación del  plano oclusal.</w:t>
      </w:r>
    </w:p>
    <w:p>
      <w:pPr>
        <w:pStyle w:val="BodyText"/>
        <w:spacing w:line="360" w:lineRule="auto" w:before="205"/>
        <w:ind w:left="518" w:right="966"/>
        <w:jc w:val="both"/>
      </w:pPr>
      <w:r>
        <w:rPr/>
        <w:t>Modelos de estudio vista oclusal superior. Se emplea para observar las formas de los arcos y las posiciones dentarias.</w:t>
      </w:r>
    </w:p>
    <w:p>
      <w:pPr>
        <w:pStyle w:val="BodyText"/>
        <w:spacing w:line="360" w:lineRule="auto" w:before="202"/>
        <w:ind w:left="518" w:right="955"/>
        <w:jc w:val="both"/>
      </w:pPr>
      <w:r>
        <w:rPr/>
        <w:t>Modelos de estudio vista inferior. Permiten mostrar las formas de los arcos y las posiciones dentarias.</w:t>
      </w:r>
    </w:p>
    <w:p>
      <w:pPr>
        <w:pStyle w:val="BodyText"/>
        <w:spacing w:line="345" w:lineRule="auto" w:before="204"/>
        <w:ind w:left="518" w:right="963"/>
        <w:jc w:val="both"/>
        <w:rPr>
          <w:sz w:val="16"/>
        </w:rPr>
      </w:pPr>
      <w:r>
        <w:rPr/>
        <w:t>Los modelos dentarios son los registros más importantes en la atención ortodóncica. Como registro del problema inicial, son invalorables para la planificación del tratamiento; sin embargo, su importancia aumenta con el progreso del tratamiento.</w:t>
      </w:r>
      <w:r>
        <w:rPr>
          <w:position w:val="11"/>
          <w:sz w:val="16"/>
        </w:rPr>
        <w:t>26</w:t>
      </w:r>
    </w:p>
    <w:p>
      <w:pPr>
        <w:pStyle w:val="BodyText"/>
        <w:spacing w:line="350" w:lineRule="auto" w:before="204"/>
        <w:ind w:left="518" w:right="959"/>
        <w:jc w:val="both"/>
        <w:rPr>
          <w:sz w:val="16"/>
        </w:rPr>
      </w:pPr>
      <w:r>
        <w:rPr/>
        <w:t>La anomalía dentofacial es la alteración en posición, tamaño y forma de los  maxilares, su relación con los dientes y con otras estructuras faciales. Para llegar a determinar un correcto diagnóstico se debe de tener en cuenta </w:t>
      </w:r>
      <w:r>
        <w:rPr>
          <w:spacing w:val="2"/>
        </w:rPr>
        <w:t>una </w:t>
      </w:r>
      <w:r>
        <w:rPr/>
        <w:t>metodología de trabajo</w:t>
      </w:r>
      <w:r>
        <w:rPr>
          <w:spacing w:val="-6"/>
        </w:rPr>
        <w:t> </w:t>
      </w:r>
      <w:r>
        <w:rPr/>
        <w:t>completa.</w:t>
      </w:r>
      <w:r>
        <w:rPr>
          <w:position w:val="11"/>
          <w:sz w:val="16"/>
        </w:rPr>
        <w:t>27</w:t>
      </w:r>
    </w:p>
    <w:p>
      <w:pPr>
        <w:spacing w:after="0" w:line="350" w:lineRule="auto"/>
        <w:jc w:val="both"/>
        <w:rPr>
          <w:sz w:val="16"/>
        </w:rPr>
        <w:sectPr>
          <w:pgSz w:w="12240" w:h="15840"/>
          <w:pgMar w:header="596" w:footer="974" w:top="1440" w:bottom="1160" w:left="900" w:right="740"/>
        </w:sectPr>
      </w:pPr>
    </w:p>
    <w:p>
      <w:pPr>
        <w:pStyle w:val="BodyText"/>
        <w:spacing w:before="9"/>
        <w:rPr>
          <w:sz w:val="15"/>
        </w:rPr>
      </w:pPr>
    </w:p>
    <w:p>
      <w:pPr>
        <w:pStyle w:val="Heading1"/>
        <w:numPr>
          <w:ilvl w:val="0"/>
          <w:numId w:val="3"/>
        </w:numPr>
        <w:tabs>
          <w:tab w:pos="4261" w:val="left" w:leader="none"/>
        </w:tabs>
        <w:spacing w:line="240" w:lineRule="auto" w:before="70" w:after="0"/>
        <w:ind w:left="4261" w:right="0" w:hanging="269"/>
        <w:jc w:val="left"/>
      </w:pPr>
      <w:bookmarkStart w:name="_TOC_250014" w:id="11"/>
      <w:bookmarkEnd w:id="11"/>
      <w:r>
        <w:rPr/>
        <w:t>CEFALOMETRÍA</w:t>
      </w:r>
    </w:p>
    <w:p>
      <w:pPr>
        <w:pStyle w:val="BodyText"/>
        <w:spacing w:before="4"/>
        <w:rPr>
          <w:b/>
          <w:sz w:val="23"/>
        </w:rPr>
      </w:pPr>
    </w:p>
    <w:p>
      <w:pPr>
        <w:pStyle w:val="Heading1"/>
        <w:numPr>
          <w:ilvl w:val="1"/>
          <w:numId w:val="14"/>
        </w:numPr>
        <w:tabs>
          <w:tab w:pos="924" w:val="left" w:leader="none"/>
        </w:tabs>
        <w:spacing w:line="240" w:lineRule="auto" w:before="70" w:after="0"/>
        <w:ind w:left="923" w:right="0" w:hanging="405"/>
        <w:jc w:val="both"/>
      </w:pPr>
      <w:bookmarkStart w:name="_TOC_250013" w:id="12"/>
      <w:bookmarkEnd w:id="12"/>
      <w:r>
        <w:rPr/>
        <w:t>Antecedentes</w:t>
      </w:r>
    </w:p>
    <w:p>
      <w:pPr>
        <w:pStyle w:val="BodyText"/>
        <w:spacing w:before="2"/>
        <w:rPr>
          <w:b/>
          <w:sz w:val="29"/>
        </w:rPr>
      </w:pPr>
    </w:p>
    <w:p>
      <w:pPr>
        <w:pStyle w:val="BodyText"/>
        <w:spacing w:line="355" w:lineRule="auto"/>
        <w:ind w:left="518" w:right="956"/>
        <w:jc w:val="both"/>
        <w:rPr>
          <w:sz w:val="16"/>
        </w:rPr>
      </w:pPr>
      <w:r>
        <w:rPr/>
        <w:t>Wilhelm Conrad Röentgen, el 8 de noviembre de 1895, realizó un experimento como parte de una investigación iniciada en 1894, sobre los rayos catódicos y sus efectos en placas fotográficas y material fluorescente. Al interponer su mano entre la fuente de radiación y el cartón fluorescente, vio sorprendido, la silueta de su mano proyectada en el cartón. Como desconocía la naturaleza de esos rayos, los bautizo con el nombre de  “rayos X”.</w:t>
      </w:r>
      <w:r>
        <w:rPr>
          <w:position w:val="11"/>
          <w:sz w:val="16"/>
        </w:rPr>
        <w:t>10</w:t>
      </w:r>
    </w:p>
    <w:p>
      <w:pPr>
        <w:pStyle w:val="BodyText"/>
        <w:spacing w:before="191"/>
        <w:ind w:left="518"/>
        <w:jc w:val="both"/>
      </w:pPr>
      <w:r>
        <w:rPr/>
        <w:t>Existen dos consideraciones importantes para el desarrollo de la cefalometría:</w:t>
      </w:r>
    </w:p>
    <w:p>
      <w:pPr>
        <w:pStyle w:val="BodyText"/>
        <w:spacing w:before="2"/>
        <w:rPr>
          <w:sz w:val="29"/>
        </w:rPr>
      </w:pPr>
    </w:p>
    <w:p>
      <w:pPr>
        <w:pStyle w:val="BodyText"/>
        <w:spacing w:line="360" w:lineRule="auto"/>
        <w:ind w:left="518" w:right="957"/>
        <w:jc w:val="both"/>
      </w:pPr>
      <w:r>
        <w:rPr/>
        <w:t>*La craneometría, que quizá tuvo su origen en 1791, cuando Petrus Camper (anatomista holándes), al investigar el prognatismo, descubre que las medidas craneales varían de acuerdo con el grupo étnico, edad y sexo de los individuos, percatándose a su vez, de que dichas variables le permitían reconocer el problema del crecimiento y desarrollo de las estructuras óseas.</w:t>
      </w:r>
    </w:p>
    <w:p>
      <w:pPr>
        <w:pStyle w:val="BodyText"/>
        <w:spacing w:line="345" w:lineRule="auto" w:before="204"/>
        <w:ind w:left="518" w:right="959"/>
        <w:jc w:val="both"/>
        <w:rPr>
          <w:sz w:val="16"/>
        </w:rPr>
      </w:pPr>
      <w:r>
        <w:rPr/>
        <w:t>*Durante el Congreso Internacional de Anatomistas y Antropólogos realizado en Frankfurt, Alemania, en 1882, se estableció el plano de Frankfort, que se utiliza para dar orientación natural a la cabeza.</w:t>
      </w:r>
      <w:r>
        <w:rPr>
          <w:position w:val="11"/>
          <w:sz w:val="16"/>
        </w:rPr>
        <w:t>28</w:t>
      </w:r>
    </w:p>
    <w:p>
      <w:pPr>
        <w:pStyle w:val="BodyText"/>
        <w:spacing w:line="360" w:lineRule="auto" w:before="204"/>
        <w:ind w:left="518" w:right="965"/>
        <w:jc w:val="both"/>
      </w:pPr>
      <w:r>
        <w:rPr/>
        <w:t>Broadbent desarrolló el cefalostato, dispositivo que permitió la obtención de teleradiografías con la cabeza del paciente siempre fija en una posición.</w:t>
      </w:r>
    </w:p>
    <w:p>
      <w:pPr>
        <w:pStyle w:val="BodyText"/>
        <w:spacing w:line="360" w:lineRule="auto" w:before="204"/>
        <w:ind w:left="518" w:right="955"/>
        <w:jc w:val="both"/>
      </w:pPr>
      <w:r>
        <w:rPr/>
        <w:t>El propósito original del cefalostato fue el de investigar los patrones de crecimiento del complejo craneofacial, a fin de comparar a un individuo con su grupo poblacional, y estableciendo promedios de varias medidas, con relación a sexo, raza y edad. Sin embargo tuvo otras aplicaciones clínicas: el establecimiento de los puntos y planos cefalométricos que sirven para establecer una base referencial de descripción morfológica, así como para establecer una comparación</w:t>
      </w:r>
      <w:r>
        <w:rPr>
          <w:spacing w:val="-23"/>
        </w:rPr>
        <w:t> </w:t>
      </w:r>
      <w:r>
        <w:rPr/>
        <w:t>longitudinal.</w:t>
      </w:r>
    </w:p>
    <w:p>
      <w:pPr>
        <w:spacing w:after="0" w:line="360" w:lineRule="auto"/>
        <w:jc w:val="both"/>
        <w:sectPr>
          <w:pgSz w:w="12240" w:h="15840"/>
          <w:pgMar w:header="596" w:footer="974" w:top="1440" w:bottom="1160" w:left="900" w:right="740"/>
        </w:sectPr>
      </w:pPr>
    </w:p>
    <w:p>
      <w:pPr>
        <w:pStyle w:val="BodyText"/>
        <w:spacing w:before="9"/>
        <w:rPr>
          <w:sz w:val="15"/>
        </w:rPr>
      </w:pPr>
    </w:p>
    <w:p>
      <w:pPr>
        <w:pStyle w:val="BodyText"/>
        <w:spacing w:line="350" w:lineRule="auto" w:before="70"/>
        <w:ind w:left="518" w:right="955"/>
        <w:jc w:val="both"/>
        <w:rPr>
          <w:sz w:val="16"/>
        </w:rPr>
      </w:pPr>
      <w:r>
        <w:rPr/>
        <w:t>Con la radiografía se realiza la cefalometría que es un método por medio del cual se obtienen medidas lineales y angulares de los diversos elementos anatómicos del cráneo y de la cara, ofreciendo importante información para la elaboración del  análisis</w:t>
      </w:r>
      <w:r>
        <w:rPr>
          <w:spacing w:val="-8"/>
        </w:rPr>
        <w:t> </w:t>
      </w:r>
      <w:r>
        <w:rPr/>
        <w:t>cefalométrico.</w:t>
      </w:r>
      <w:r>
        <w:rPr>
          <w:position w:val="11"/>
          <w:sz w:val="16"/>
        </w:rPr>
        <w:t>11</w:t>
      </w:r>
    </w:p>
    <w:p>
      <w:pPr>
        <w:spacing w:before="198"/>
        <w:ind w:left="518" w:right="0" w:firstLine="0"/>
        <w:jc w:val="both"/>
        <w:rPr>
          <w:b/>
          <w:sz w:val="24"/>
        </w:rPr>
      </w:pPr>
      <w:r>
        <w:rPr>
          <w:b/>
          <w:sz w:val="24"/>
        </w:rPr>
        <w:t>Objetivos de la cefalometría</w:t>
      </w:r>
    </w:p>
    <w:p>
      <w:pPr>
        <w:pStyle w:val="BodyText"/>
        <w:spacing w:before="4"/>
        <w:rPr>
          <w:b/>
          <w:sz w:val="29"/>
        </w:rPr>
      </w:pPr>
    </w:p>
    <w:p>
      <w:pPr>
        <w:pStyle w:val="BodyText"/>
        <w:spacing w:line="345" w:lineRule="auto" w:before="1"/>
        <w:ind w:left="518" w:right="963"/>
        <w:jc w:val="both"/>
        <w:rPr>
          <w:sz w:val="16"/>
        </w:rPr>
      </w:pPr>
      <w:r>
        <w:rPr/>
        <w:t>La técnica cefalométrica puede ser usada para valorar, comparar, expresar y predeterminar las relaciones espaciales del complejo craneomaxilofacial en un momento cronológico determinado a lo largo del tiempo.</w:t>
      </w:r>
      <w:r>
        <w:rPr>
          <w:position w:val="11"/>
          <w:sz w:val="16"/>
        </w:rPr>
        <w:t>7</w:t>
      </w:r>
    </w:p>
    <w:p>
      <w:pPr>
        <w:spacing w:before="204"/>
        <w:ind w:left="518" w:right="0" w:firstLine="0"/>
        <w:jc w:val="both"/>
        <w:rPr>
          <w:b/>
          <w:sz w:val="24"/>
        </w:rPr>
      </w:pPr>
      <w:r>
        <w:rPr>
          <w:b/>
          <w:sz w:val="24"/>
        </w:rPr>
        <w:t>Indicaciones de la cefalometría</w:t>
      </w:r>
    </w:p>
    <w:p>
      <w:pPr>
        <w:pStyle w:val="BodyText"/>
        <w:spacing w:before="2"/>
        <w:rPr>
          <w:b/>
          <w:sz w:val="29"/>
        </w:rPr>
      </w:pPr>
    </w:p>
    <w:p>
      <w:pPr>
        <w:pStyle w:val="ListParagraph"/>
        <w:numPr>
          <w:ilvl w:val="2"/>
          <w:numId w:val="14"/>
        </w:numPr>
        <w:tabs>
          <w:tab w:pos="1239" w:val="left" w:leader="none"/>
        </w:tabs>
        <w:spacing w:line="360" w:lineRule="auto" w:before="0" w:after="0"/>
        <w:ind w:left="1238" w:right="965" w:hanging="360"/>
        <w:jc w:val="both"/>
        <w:rPr>
          <w:sz w:val="24"/>
        </w:rPr>
      </w:pPr>
      <w:r>
        <w:rPr>
          <w:sz w:val="24"/>
        </w:rPr>
        <w:t>Permite la evaluación del crecimiento y desarrollo de los huesos maxilares y faciales.</w:t>
      </w:r>
    </w:p>
    <w:p>
      <w:pPr>
        <w:pStyle w:val="ListParagraph"/>
        <w:numPr>
          <w:ilvl w:val="2"/>
          <w:numId w:val="14"/>
        </w:numPr>
        <w:tabs>
          <w:tab w:pos="1239" w:val="left" w:leader="none"/>
        </w:tabs>
        <w:spacing w:line="360" w:lineRule="auto" w:before="2" w:after="0"/>
        <w:ind w:left="1238" w:right="959" w:hanging="360"/>
        <w:jc w:val="both"/>
        <w:rPr>
          <w:sz w:val="24"/>
        </w:rPr>
      </w:pPr>
      <w:r>
        <w:rPr>
          <w:sz w:val="24"/>
        </w:rPr>
        <w:t>Los datos proporcionados por el cefalograma brindan al ortodoncista medios eficientes para diagnosticar anomalías y alteraciones encontradas en las diferentes regiones del</w:t>
      </w:r>
      <w:r>
        <w:rPr>
          <w:spacing w:val="-9"/>
          <w:sz w:val="24"/>
        </w:rPr>
        <w:t> </w:t>
      </w:r>
      <w:r>
        <w:rPr>
          <w:sz w:val="24"/>
        </w:rPr>
        <w:t>cráneo.</w:t>
      </w:r>
    </w:p>
    <w:p>
      <w:pPr>
        <w:pStyle w:val="ListParagraph"/>
        <w:numPr>
          <w:ilvl w:val="2"/>
          <w:numId w:val="14"/>
        </w:numPr>
        <w:tabs>
          <w:tab w:pos="1239" w:val="left" w:leader="none"/>
        </w:tabs>
        <w:spacing w:line="360" w:lineRule="auto" w:before="5" w:after="0"/>
        <w:ind w:left="1238" w:right="965" w:hanging="360"/>
        <w:jc w:val="both"/>
        <w:rPr>
          <w:sz w:val="24"/>
        </w:rPr>
      </w:pPr>
      <w:r>
        <w:rPr>
          <w:sz w:val="24"/>
        </w:rPr>
        <w:t>Permiten que sean observados los cambios que están procesándose tanto por el crecimiento, como por la mecánica</w:t>
      </w:r>
      <w:r>
        <w:rPr>
          <w:spacing w:val="-16"/>
          <w:sz w:val="24"/>
        </w:rPr>
        <w:t> </w:t>
      </w:r>
      <w:r>
        <w:rPr>
          <w:sz w:val="24"/>
        </w:rPr>
        <w:t>empleada.</w:t>
      </w:r>
    </w:p>
    <w:p>
      <w:pPr>
        <w:pStyle w:val="ListParagraph"/>
        <w:numPr>
          <w:ilvl w:val="2"/>
          <w:numId w:val="14"/>
        </w:numPr>
        <w:tabs>
          <w:tab w:pos="1239" w:val="left" w:leader="none"/>
        </w:tabs>
        <w:spacing w:line="360" w:lineRule="auto" w:before="5" w:after="0"/>
        <w:ind w:left="1238" w:right="964" w:hanging="360"/>
        <w:jc w:val="both"/>
        <w:rPr>
          <w:sz w:val="24"/>
        </w:rPr>
      </w:pPr>
      <w:r>
        <w:rPr>
          <w:sz w:val="24"/>
        </w:rPr>
        <w:t>Al final del tratamiento ortodóncico nos permite evaluar los resultados obtenidos y verificar si las metas propuestas fueron</w:t>
      </w:r>
      <w:r>
        <w:rPr>
          <w:spacing w:val="-21"/>
          <w:sz w:val="24"/>
        </w:rPr>
        <w:t> </w:t>
      </w:r>
      <w:r>
        <w:rPr>
          <w:sz w:val="24"/>
        </w:rPr>
        <w:t>alcanzadas.</w:t>
      </w:r>
    </w:p>
    <w:p>
      <w:pPr>
        <w:pStyle w:val="ListParagraph"/>
        <w:numPr>
          <w:ilvl w:val="2"/>
          <w:numId w:val="14"/>
        </w:numPr>
        <w:tabs>
          <w:tab w:pos="1239" w:val="left" w:leader="none"/>
        </w:tabs>
        <w:spacing w:line="240" w:lineRule="auto" w:before="5" w:after="0"/>
        <w:ind w:left="1238" w:right="0" w:hanging="360"/>
        <w:jc w:val="left"/>
        <w:rPr>
          <w:sz w:val="24"/>
        </w:rPr>
      </w:pPr>
      <w:r>
        <w:rPr>
          <w:sz w:val="24"/>
        </w:rPr>
        <w:t>Como documento legal, respaldando al ortodoncista en el aspecto</w:t>
      </w:r>
      <w:r>
        <w:rPr>
          <w:spacing w:val="-28"/>
          <w:sz w:val="24"/>
        </w:rPr>
        <w:t> </w:t>
      </w:r>
      <w:r>
        <w:rPr>
          <w:sz w:val="24"/>
        </w:rPr>
        <w:t>profesional.</w:t>
      </w:r>
    </w:p>
    <w:p>
      <w:pPr>
        <w:pStyle w:val="BodyText"/>
        <w:spacing w:before="4"/>
        <w:rPr>
          <w:sz w:val="29"/>
        </w:rPr>
      </w:pPr>
    </w:p>
    <w:p>
      <w:pPr>
        <w:pStyle w:val="Heading1"/>
        <w:numPr>
          <w:ilvl w:val="1"/>
          <w:numId w:val="14"/>
        </w:numPr>
        <w:tabs>
          <w:tab w:pos="925" w:val="left" w:leader="none"/>
        </w:tabs>
        <w:spacing w:line="240" w:lineRule="auto" w:before="1" w:after="0"/>
        <w:ind w:left="924" w:right="0" w:hanging="406"/>
        <w:jc w:val="both"/>
      </w:pPr>
      <w:bookmarkStart w:name="_TOC_250012" w:id="13"/>
      <w:r>
        <w:rPr/>
        <w:t>Análisis</w:t>
      </w:r>
      <w:r>
        <w:rPr>
          <w:spacing w:val="-8"/>
        </w:rPr>
        <w:t> </w:t>
      </w:r>
      <w:bookmarkEnd w:id="13"/>
      <w:r>
        <w:rPr/>
        <w:t>Cefalométrico</w:t>
      </w:r>
    </w:p>
    <w:p>
      <w:pPr>
        <w:pStyle w:val="BodyText"/>
        <w:spacing w:before="2"/>
        <w:rPr>
          <w:b/>
          <w:sz w:val="29"/>
        </w:rPr>
      </w:pPr>
    </w:p>
    <w:p>
      <w:pPr>
        <w:pStyle w:val="BodyText"/>
        <w:spacing w:line="360" w:lineRule="auto"/>
        <w:ind w:left="518" w:right="959"/>
        <w:jc w:val="both"/>
      </w:pPr>
      <w:r>
        <w:rPr/>
        <w:t>A consecuencia del origen del cefalostato, comenzaron a surgir estudios que determinaron varias medidas cefalométricas; el análisis cefalométrico es una metodología de interpretación de los valores obtenidos en el cefalograma.</w:t>
      </w:r>
    </w:p>
    <w:p>
      <w:pPr>
        <w:pStyle w:val="BodyText"/>
        <w:spacing w:line="350" w:lineRule="auto" w:before="204"/>
        <w:ind w:left="518" w:right="962"/>
        <w:jc w:val="both"/>
        <w:rPr>
          <w:sz w:val="16"/>
        </w:rPr>
      </w:pPr>
      <w:r>
        <w:rPr/>
        <w:t>El cefalograma está compuesto por el diseño anatómico, en donde se destacan las estructuras anatómicas principales, representadas por puntos, dientes y perfil blando. Los trazos de orientación son hechos a través de la unión de esos puntos y estructuras, determinando las líneas y planos.</w:t>
      </w:r>
      <w:r>
        <w:rPr>
          <w:position w:val="11"/>
          <w:sz w:val="16"/>
        </w:rPr>
        <w:t>7</w:t>
      </w:r>
    </w:p>
    <w:p>
      <w:pPr>
        <w:spacing w:after="0" w:line="350" w:lineRule="auto"/>
        <w:jc w:val="both"/>
        <w:rPr>
          <w:sz w:val="16"/>
        </w:rPr>
        <w:sectPr>
          <w:pgSz w:w="12240" w:h="15840"/>
          <w:pgMar w:header="596" w:footer="974" w:top="1440" w:bottom="1160" w:left="900" w:right="740"/>
        </w:sectPr>
      </w:pPr>
    </w:p>
    <w:p>
      <w:pPr>
        <w:pStyle w:val="BodyText"/>
        <w:spacing w:before="9"/>
        <w:rPr>
          <w:sz w:val="15"/>
        </w:rPr>
      </w:pPr>
    </w:p>
    <w:p>
      <w:pPr>
        <w:pStyle w:val="BodyText"/>
        <w:spacing w:line="328" w:lineRule="auto" w:before="70"/>
        <w:ind w:left="518" w:right="955"/>
        <w:jc w:val="both"/>
        <w:rPr>
          <w:sz w:val="16"/>
        </w:rPr>
      </w:pPr>
      <w:r>
        <w:rPr/>
        <w:t>Los métodos existentes de análisis cefalométricos pueden agruparse en tres tipos: lineales, angulares y posicionales.</w:t>
      </w:r>
      <w:r>
        <w:rPr>
          <w:position w:val="11"/>
          <w:sz w:val="16"/>
        </w:rPr>
        <w:t>2</w:t>
      </w:r>
    </w:p>
    <w:p>
      <w:pPr>
        <w:pStyle w:val="BodyText"/>
        <w:spacing w:before="225"/>
        <w:ind w:left="518"/>
        <w:jc w:val="both"/>
      </w:pPr>
      <w:r>
        <w:rPr/>
        <w:t>Análisis lineales</w:t>
      </w:r>
    </w:p>
    <w:p>
      <w:pPr>
        <w:pStyle w:val="BodyText"/>
        <w:spacing w:before="4"/>
        <w:rPr>
          <w:sz w:val="29"/>
        </w:rPr>
      </w:pPr>
    </w:p>
    <w:p>
      <w:pPr>
        <w:pStyle w:val="BodyText"/>
        <w:spacing w:line="360" w:lineRule="auto" w:before="1"/>
        <w:ind w:left="518" w:right="955"/>
        <w:jc w:val="both"/>
      </w:pPr>
      <w:r>
        <w:rPr/>
        <w:t>Emplean mediciones directas que miden en mm o proporciones comparadas. Las mediciones lineales cambian, además, con la edad por lo que las normas cefalométricas tendrán que estar adaptadas a los años del paciente.</w:t>
      </w:r>
    </w:p>
    <w:p>
      <w:pPr>
        <w:pStyle w:val="BodyText"/>
        <w:spacing w:line="360" w:lineRule="auto" w:before="204"/>
        <w:ind w:left="518" w:right="971"/>
        <w:jc w:val="both"/>
      </w:pPr>
      <w:r>
        <w:rPr/>
        <w:t>En este grupo de análisis lineales se encuentran los métodos de Korkhaus, Schwarz, Wylie, Björk y Sassouni.</w:t>
      </w:r>
    </w:p>
    <w:p>
      <w:pPr>
        <w:pStyle w:val="BodyText"/>
        <w:spacing w:before="204"/>
        <w:ind w:left="518"/>
        <w:jc w:val="both"/>
      </w:pPr>
      <w:r>
        <w:rPr/>
        <w:t>Análisis angulares</w:t>
      </w:r>
    </w:p>
    <w:p>
      <w:pPr>
        <w:pStyle w:val="BodyText"/>
        <w:spacing w:before="4"/>
        <w:rPr>
          <w:sz w:val="29"/>
        </w:rPr>
      </w:pPr>
    </w:p>
    <w:p>
      <w:pPr>
        <w:pStyle w:val="BodyText"/>
        <w:spacing w:line="360" w:lineRule="auto" w:before="1"/>
        <w:ind w:left="518" w:right="956"/>
        <w:jc w:val="both"/>
      </w:pPr>
      <w:r>
        <w:rPr/>
        <w:t>Un ángulo expresa una proporción entre dos líneas (por lo tanto entre tres puntos).  Es necesario decidir qué lado del ángulo es el que se considera fijo y cuál el</w:t>
      </w:r>
      <w:r>
        <w:rPr>
          <w:spacing w:val="-32"/>
        </w:rPr>
        <w:t> </w:t>
      </w:r>
      <w:r>
        <w:rPr/>
        <w:t>variable.</w:t>
      </w:r>
    </w:p>
    <w:p>
      <w:pPr>
        <w:pStyle w:val="BodyText"/>
        <w:spacing w:line="360" w:lineRule="auto" w:before="204"/>
        <w:ind w:left="518" w:right="956"/>
        <w:jc w:val="both"/>
      </w:pPr>
      <w:r>
        <w:rPr/>
        <w:t>En este grupo de análisis angulares están los métodos de Downs, Tweed, Ballard, entre otros. Algunos métodos combinan las mediciones lineales y angulares, tales como los de Steiner, Holdaway, Björk y Ricketts.</w:t>
      </w:r>
    </w:p>
    <w:p>
      <w:pPr>
        <w:pStyle w:val="BodyText"/>
        <w:spacing w:before="204"/>
        <w:ind w:left="518"/>
        <w:jc w:val="both"/>
      </w:pPr>
      <w:r>
        <w:rPr/>
        <w:t>Análisis posicionales</w:t>
      </w:r>
    </w:p>
    <w:p>
      <w:pPr>
        <w:pStyle w:val="BodyText"/>
        <w:spacing w:before="4"/>
        <w:rPr>
          <w:sz w:val="29"/>
        </w:rPr>
      </w:pPr>
    </w:p>
    <w:p>
      <w:pPr>
        <w:pStyle w:val="BodyText"/>
        <w:spacing w:line="360" w:lineRule="auto" w:before="1"/>
        <w:ind w:left="518" w:right="962"/>
        <w:jc w:val="both"/>
      </w:pPr>
      <w:r>
        <w:rPr/>
        <w:t>Son los más sencillos de interpretar porque dan en tamaño real la cuantía y naturaleza de la desviación. En este tipo de análisis posicionales se encuentran el método de Izard, Muzj, Kosky y Sassouni.</w:t>
      </w:r>
    </w:p>
    <w:p>
      <w:pPr>
        <w:pStyle w:val="BodyText"/>
        <w:spacing w:line="345" w:lineRule="auto" w:before="202"/>
        <w:ind w:left="518" w:right="956"/>
        <w:jc w:val="both"/>
        <w:rPr>
          <w:sz w:val="16"/>
        </w:rPr>
      </w:pPr>
      <w:r>
        <w:rPr/>
        <w:t>El método cefalométrico proporciona una reducción formal de la morfología craneofacial de acuerdo a puntos y líneas, es una representación convencional de uso clínico.</w:t>
      </w:r>
      <w:r>
        <w:rPr>
          <w:position w:val="11"/>
          <w:sz w:val="16"/>
        </w:rPr>
        <w:t>29</w:t>
      </w:r>
    </w:p>
    <w:p>
      <w:pPr>
        <w:pStyle w:val="BodyText"/>
        <w:spacing w:line="360" w:lineRule="auto" w:before="204"/>
        <w:ind w:left="518" w:right="958"/>
        <w:jc w:val="both"/>
      </w:pPr>
      <w:r>
        <w:rPr/>
        <w:t>Es así como surgen diversos análisis cefalométricos originales o modificaciones a los anteriores.</w:t>
      </w:r>
    </w:p>
    <w:p>
      <w:pPr>
        <w:spacing w:after="0" w:line="360" w:lineRule="auto"/>
        <w:jc w:val="both"/>
        <w:sectPr>
          <w:pgSz w:w="12240" w:h="15840"/>
          <w:pgMar w:header="596" w:footer="974" w:top="1440" w:bottom="1160" w:left="900" w:right="740"/>
        </w:sectPr>
      </w:pPr>
    </w:p>
    <w:p>
      <w:pPr>
        <w:pStyle w:val="BodyText"/>
        <w:spacing w:before="9"/>
        <w:rPr>
          <w:sz w:val="11"/>
        </w:rPr>
      </w:pPr>
    </w:p>
    <w:p>
      <w:pPr>
        <w:pStyle w:val="BodyText"/>
        <w:spacing w:line="360" w:lineRule="auto" w:before="81"/>
        <w:ind w:left="518" w:right="964"/>
        <w:jc w:val="both"/>
      </w:pPr>
      <w:r>
        <w:rPr/>
        <w:t>En 1948 Downs</w:t>
      </w:r>
      <w:r>
        <w:rPr>
          <w:position w:val="11"/>
          <w:sz w:val="16"/>
        </w:rPr>
        <w:t>30 </w:t>
      </w:r>
      <w:r>
        <w:rPr/>
        <w:t>desarrolló en la Universidad de Illinois su análisis, que se basaba en proporciones esqueléticas y dentales de 20 adolescentes no tratados con oclusión ideal, utilizando como plano de referencia el plano de Frankfort.</w:t>
      </w:r>
    </w:p>
    <w:p>
      <w:pPr>
        <w:pStyle w:val="BodyText"/>
        <w:spacing w:line="360" w:lineRule="auto" w:before="204"/>
        <w:ind w:left="518" w:right="961"/>
        <w:jc w:val="both"/>
      </w:pPr>
      <w:r>
        <w:rPr/>
        <w:t>En esos años Tweed y sus discípulos comenzaron a hacer extracciones y, conforme con la posición basal del incisivo inferior, determinaron el análisis cefalométrico de Tweed (1953, 1954), mismo que se realizó en pacientes tratados sin extracciones, pero a los que se les propuso la extracción.</w:t>
      </w:r>
    </w:p>
    <w:p>
      <w:pPr>
        <w:pStyle w:val="BodyText"/>
        <w:spacing w:line="352" w:lineRule="auto" w:before="205"/>
        <w:ind w:left="518" w:right="957"/>
        <w:jc w:val="both"/>
        <w:rPr>
          <w:sz w:val="16"/>
        </w:rPr>
      </w:pPr>
      <w:r>
        <w:rPr/>
        <w:t>En 1953, basándose en una actriz de Hollywood, fue presentado el análisis de Steiner, quién seleccionó de los trabajos de distintos autores (Wylie, Downs, Riedel, Brodie, Holdaway) los elementos que le parecían más significativos para ilustrar sus problemas ortodóncicos, la línea de referencia es SN (Silla- Nasión), eligió por su fácil</w:t>
      </w:r>
      <w:r>
        <w:rPr>
          <w:spacing w:val="-4"/>
        </w:rPr>
        <w:t> </w:t>
      </w:r>
      <w:r>
        <w:rPr/>
        <w:t>localización.</w:t>
      </w:r>
      <w:r>
        <w:rPr>
          <w:position w:val="11"/>
          <w:sz w:val="16"/>
        </w:rPr>
        <w:t>23</w:t>
      </w:r>
    </w:p>
    <w:p>
      <w:pPr>
        <w:pStyle w:val="BodyText"/>
        <w:spacing w:line="360" w:lineRule="auto" w:before="194"/>
        <w:ind w:left="518" w:right="958"/>
        <w:jc w:val="both"/>
      </w:pPr>
      <w:r>
        <w:rPr/>
        <w:t>El análisis cefalométrico de Ricketts nació hacia 1957; este análisis ofrece una información general de las anomalías esqueléticas, dentales y estéticas.</w:t>
      </w:r>
    </w:p>
    <w:p>
      <w:pPr>
        <w:pStyle w:val="BodyText"/>
        <w:spacing w:line="360" w:lineRule="auto" w:before="204"/>
        <w:ind w:left="518" w:right="965"/>
        <w:jc w:val="both"/>
      </w:pPr>
      <w:r>
        <w:rPr/>
        <w:t>Jarabak desarrolla su análisis, en 1969, basado en los trabajos de Björk, en niños con promedio de 11 años de</w:t>
      </w:r>
      <w:r>
        <w:rPr>
          <w:spacing w:val="-14"/>
        </w:rPr>
        <w:t> </w:t>
      </w:r>
      <w:r>
        <w:rPr/>
        <w:t>edad.</w:t>
      </w:r>
    </w:p>
    <w:p>
      <w:pPr>
        <w:pStyle w:val="BodyText"/>
        <w:spacing w:line="352" w:lineRule="auto" w:before="169"/>
        <w:ind w:left="518" w:right="957"/>
        <w:jc w:val="both"/>
        <w:rPr>
          <w:sz w:val="16"/>
        </w:rPr>
      </w:pPr>
      <w:r>
        <w:rPr/>
        <w:t>En 1975, surge el análisis de Wits</w:t>
      </w:r>
      <w:r>
        <w:rPr>
          <w:position w:val="11"/>
          <w:sz w:val="16"/>
        </w:rPr>
        <w:t>31</w:t>
      </w:r>
      <w:r>
        <w:rPr/>
        <w:t>, realizado por Alex Jacobson, Jefe del Departamento de Ortodoncia de la Universidad de Witwatersrand (conocida como Wits) África del sur. No es un análisis como tal, tiene la finalidad de complementar el diagnóstico y el grado de severidad de la discrepancia anteroposterior de los maxilares.</w:t>
      </w:r>
      <w:r>
        <w:rPr>
          <w:position w:val="11"/>
          <w:sz w:val="16"/>
        </w:rPr>
        <w:t>32</w:t>
      </w:r>
    </w:p>
    <w:p>
      <w:pPr>
        <w:pStyle w:val="BodyText"/>
        <w:spacing w:line="350" w:lineRule="auto" w:before="195"/>
        <w:ind w:left="518" w:right="955"/>
        <w:jc w:val="both"/>
        <w:rPr>
          <w:sz w:val="16"/>
        </w:rPr>
      </w:pPr>
      <w:r>
        <w:rPr/>
        <w:t>A través del tiempo, ha existido una controversia sobre la línea de referencia más apropiada para una mejor orientación cefalométrica, en base a este tema, Ricketts, en 1976, llegó a la conclusión que es mejor apreciable el plano de Frankfort que la línea</w:t>
      </w:r>
      <w:r>
        <w:rPr>
          <w:spacing w:val="-5"/>
        </w:rPr>
        <w:t> </w:t>
      </w:r>
      <w:r>
        <w:rPr/>
        <w:t>Silla-Nasión.</w:t>
      </w:r>
      <w:r>
        <w:rPr>
          <w:position w:val="11"/>
          <w:sz w:val="16"/>
        </w:rPr>
        <w:t>33</w:t>
      </w:r>
    </w:p>
    <w:p>
      <w:pPr>
        <w:pStyle w:val="BodyText"/>
        <w:spacing w:line="331" w:lineRule="auto" w:before="197"/>
        <w:ind w:left="518" w:right="956"/>
        <w:jc w:val="both"/>
        <w:rPr>
          <w:sz w:val="16"/>
        </w:rPr>
      </w:pPr>
      <w:r>
        <w:rPr/>
        <w:t>Young Jae Huh, 2013, menciona que el ángulo entre Frankfort y el plano Silla- Nasión, es constante, no existe variación en un largo periodo de tiempo.</w:t>
      </w:r>
      <w:r>
        <w:rPr>
          <w:position w:val="11"/>
          <w:sz w:val="16"/>
        </w:rPr>
        <w:t>34</w:t>
      </w:r>
    </w:p>
    <w:p>
      <w:pPr>
        <w:spacing w:after="0" w:line="331" w:lineRule="auto"/>
        <w:jc w:val="both"/>
        <w:rPr>
          <w:sz w:val="16"/>
        </w:rPr>
        <w:sectPr>
          <w:pgSz w:w="12240" w:h="15840"/>
          <w:pgMar w:header="596" w:footer="974" w:top="1440" w:bottom="1160" w:left="900" w:right="740"/>
        </w:sectPr>
      </w:pPr>
    </w:p>
    <w:p>
      <w:pPr>
        <w:pStyle w:val="BodyText"/>
        <w:spacing w:before="9"/>
        <w:rPr>
          <w:sz w:val="15"/>
        </w:rPr>
      </w:pPr>
    </w:p>
    <w:p>
      <w:pPr>
        <w:pStyle w:val="BodyText"/>
        <w:spacing w:line="345" w:lineRule="auto" w:before="70"/>
        <w:ind w:left="518" w:right="957"/>
        <w:jc w:val="both"/>
        <w:rPr>
          <w:sz w:val="16"/>
        </w:rPr>
      </w:pPr>
      <w:r>
        <w:rPr/>
        <w:t>En 1977, Biggersatff, estableció planos lineales con la finalidad de valorar el patrón de crecimiento en sentido vertical y así poder valorar las displasias verticales de acuerdo con la edad y sexo del</w:t>
      </w:r>
      <w:r>
        <w:rPr>
          <w:spacing w:val="-12"/>
        </w:rPr>
        <w:t> </w:t>
      </w:r>
      <w:r>
        <w:rPr/>
        <w:t>paciente.</w:t>
      </w:r>
      <w:r>
        <w:rPr>
          <w:position w:val="11"/>
          <w:sz w:val="16"/>
        </w:rPr>
        <w:t>35</w:t>
      </w:r>
    </w:p>
    <w:p>
      <w:pPr>
        <w:pStyle w:val="BodyText"/>
        <w:spacing w:line="328" w:lineRule="auto" w:before="204"/>
        <w:ind w:left="518" w:right="965"/>
        <w:jc w:val="both"/>
        <w:rPr>
          <w:sz w:val="16"/>
        </w:rPr>
      </w:pPr>
      <w:r>
        <w:rPr/>
        <w:t>Leth Nielsen, 1991, establece que las maloclusiones verticales son resultado del juego de diferentes factores etiológicos durante el periodo de crecimiento.</w:t>
      </w:r>
      <w:r>
        <w:rPr>
          <w:position w:val="11"/>
          <w:sz w:val="16"/>
        </w:rPr>
        <w:t>36</w:t>
      </w:r>
    </w:p>
    <w:p>
      <w:pPr>
        <w:pStyle w:val="BodyText"/>
        <w:spacing w:line="360" w:lineRule="auto" w:before="225"/>
        <w:ind w:left="518" w:right="965"/>
        <w:jc w:val="both"/>
      </w:pPr>
      <w:r>
        <w:rPr/>
        <w:t>Utilizando elementos de Ricketts y Harvold, McNamara publica en 1983, un análisis de la posición esquelética y dental. Basándose en cefalogramas obtenidos de tres grupos distintos de pacientes con buena armonía entre dientes, huesos y perfil blando.</w:t>
      </w:r>
    </w:p>
    <w:p>
      <w:pPr>
        <w:pStyle w:val="BodyText"/>
        <w:spacing w:line="345" w:lineRule="auto" w:before="204"/>
        <w:ind w:left="518" w:right="958"/>
        <w:jc w:val="both"/>
        <w:rPr>
          <w:sz w:val="16"/>
        </w:rPr>
      </w:pPr>
      <w:r>
        <w:rPr/>
        <w:t>Algunos investigadores han estudiado el tejido blando para determinar la relación entre el tejido duro y el blando, con esto determinar los efectos del tejido duro en la estética facial.</w:t>
      </w:r>
      <w:r>
        <w:rPr>
          <w:position w:val="11"/>
          <w:sz w:val="16"/>
        </w:rPr>
        <w:t>37</w:t>
      </w:r>
    </w:p>
    <w:p>
      <w:pPr>
        <w:pStyle w:val="BodyText"/>
        <w:spacing w:line="345" w:lineRule="auto" w:before="204"/>
        <w:ind w:left="518" w:right="955"/>
        <w:jc w:val="both"/>
        <w:rPr>
          <w:sz w:val="16"/>
        </w:rPr>
      </w:pPr>
      <w:r>
        <w:rPr/>
        <w:t>Entre los estudios para analizar el perfil facial, se considera el realizado por  Holdaway en 1983, en el cuál escribe sobre las variaciones de la armonía facial relacionadas con la convexidad esqueletal.</w:t>
      </w:r>
      <w:r>
        <w:rPr>
          <w:position w:val="11"/>
          <w:sz w:val="16"/>
        </w:rPr>
        <w:t>38 </w:t>
      </w:r>
      <w:r>
        <w:rPr/>
        <w:t>En 1984, continuó  su  estudio analizando el perfil facial el cuál puede variar y todavía estar en balance y armonía facial.</w:t>
      </w:r>
      <w:r>
        <w:rPr>
          <w:position w:val="11"/>
          <w:sz w:val="16"/>
        </w:rPr>
        <w:t>39</w:t>
      </w:r>
    </w:p>
    <w:p>
      <w:pPr>
        <w:spacing w:after="0" w:line="345" w:lineRule="auto"/>
        <w:jc w:val="both"/>
        <w:rPr>
          <w:sz w:val="16"/>
        </w:rPr>
        <w:sectPr>
          <w:footerReference w:type="default" r:id="rId21"/>
          <w:pgSz w:w="12240" w:h="15840"/>
          <w:pgMar w:footer="974" w:header="596" w:top="1440" w:bottom="1160" w:left="900" w:right="740"/>
        </w:sectPr>
      </w:pPr>
    </w:p>
    <w:p>
      <w:pPr>
        <w:pStyle w:val="BodyText"/>
        <w:spacing w:before="9"/>
        <w:rPr>
          <w:sz w:val="15"/>
        </w:rPr>
      </w:pPr>
    </w:p>
    <w:p>
      <w:pPr>
        <w:pStyle w:val="Heading1"/>
        <w:numPr>
          <w:ilvl w:val="0"/>
          <w:numId w:val="3"/>
        </w:numPr>
        <w:tabs>
          <w:tab w:pos="3227" w:val="left" w:leader="none"/>
        </w:tabs>
        <w:spacing w:line="240" w:lineRule="auto" w:before="70" w:after="0"/>
        <w:ind w:left="3226" w:right="0" w:hanging="269"/>
        <w:jc w:val="left"/>
      </w:pPr>
      <w:bookmarkStart w:name="_TOC_250011" w:id="14"/>
      <w:r>
        <w:rPr/>
        <w:t>ESTÁNDARES</w:t>
      </w:r>
      <w:r>
        <w:rPr>
          <w:spacing w:val="-10"/>
        </w:rPr>
        <w:t> </w:t>
      </w:r>
      <w:bookmarkEnd w:id="14"/>
      <w:r>
        <w:rPr/>
        <w:t>CEFALOMÉTRICOS</w:t>
      </w:r>
    </w:p>
    <w:p>
      <w:pPr>
        <w:pStyle w:val="BodyText"/>
        <w:spacing w:before="4"/>
        <w:rPr>
          <w:b/>
          <w:sz w:val="29"/>
        </w:rPr>
      </w:pPr>
    </w:p>
    <w:p>
      <w:pPr>
        <w:pStyle w:val="Heading1"/>
        <w:numPr>
          <w:ilvl w:val="1"/>
          <w:numId w:val="15"/>
        </w:numPr>
        <w:tabs>
          <w:tab w:pos="925" w:val="left" w:leader="none"/>
        </w:tabs>
        <w:spacing w:line="240" w:lineRule="auto" w:before="1" w:after="0"/>
        <w:ind w:left="924" w:right="0" w:hanging="406"/>
        <w:jc w:val="both"/>
      </w:pPr>
      <w:bookmarkStart w:name="_TOC_250010" w:id="15"/>
      <w:r>
        <w:rPr/>
        <w:t>Análisis del Dr. Young H.</w:t>
      </w:r>
      <w:r>
        <w:rPr>
          <w:spacing w:val="-11"/>
        </w:rPr>
        <w:t> </w:t>
      </w:r>
      <w:bookmarkEnd w:id="15"/>
      <w:r>
        <w:rPr/>
        <w:t>Kim</w:t>
      </w:r>
    </w:p>
    <w:p>
      <w:pPr>
        <w:pStyle w:val="BodyText"/>
        <w:spacing w:before="2"/>
        <w:rPr>
          <w:b/>
          <w:sz w:val="29"/>
        </w:rPr>
      </w:pPr>
    </w:p>
    <w:p>
      <w:pPr>
        <w:pStyle w:val="BodyText"/>
        <w:spacing w:line="350" w:lineRule="auto"/>
        <w:ind w:left="518" w:right="958"/>
        <w:jc w:val="both"/>
        <w:rPr>
          <w:sz w:val="16"/>
        </w:rPr>
      </w:pPr>
      <w:r>
        <w:rPr/>
        <w:t>Young Kim, en 1974, desarrolló un método cefalométrico analítico que permite evaluar el patrón de la maloclusión desde un punto de vista vertical y horizontal, por separado y en conjunto; al mismo tiempo ofrece un índice de extracción que contribuye a la decisión de este procedimiento con fines ortodóncicos.</w:t>
      </w:r>
      <w:r>
        <w:rPr>
          <w:position w:val="11"/>
          <w:sz w:val="16"/>
        </w:rPr>
        <w:t>4</w:t>
      </w:r>
    </w:p>
    <w:p>
      <w:pPr>
        <w:pStyle w:val="BodyText"/>
        <w:spacing w:line="350" w:lineRule="auto" w:before="198"/>
        <w:ind w:left="518" w:right="957"/>
        <w:jc w:val="both"/>
        <w:rPr>
          <w:sz w:val="16"/>
        </w:rPr>
      </w:pPr>
      <w:r>
        <w:rPr/>
        <w:t>El Dr. Kim, estudió cefalogramas de 119 personas caucásicas con oclusión normal y los comparó con 500 diferentes maloclusiones, seleccionando 15 medidas cefalométricas para determinar cuál de ellas producía la correlación más alta entre la profundidad de la sobremordida vertical.</w:t>
      </w:r>
      <w:r>
        <w:rPr>
          <w:position w:val="11"/>
          <w:sz w:val="16"/>
        </w:rPr>
        <w:t>40</w:t>
      </w:r>
    </w:p>
    <w:p>
      <w:pPr>
        <w:spacing w:before="198"/>
        <w:ind w:left="518" w:right="0" w:firstLine="0"/>
        <w:jc w:val="both"/>
        <w:rPr>
          <w:sz w:val="24"/>
        </w:rPr>
      </w:pPr>
      <w:r>
        <w:rPr>
          <w:b/>
          <w:sz w:val="24"/>
        </w:rPr>
        <w:t>Referencias cefalométricas. </w:t>
      </w:r>
      <w:r>
        <w:rPr>
          <w:sz w:val="24"/>
        </w:rPr>
        <w:t>(Fig. 6)</w:t>
      </w:r>
    </w:p>
    <w:p>
      <w:pPr>
        <w:pStyle w:val="BodyText"/>
        <w:spacing w:before="4"/>
        <w:rPr>
          <w:sz w:val="29"/>
        </w:rPr>
      </w:pPr>
    </w:p>
    <w:p>
      <w:pPr>
        <w:pStyle w:val="BodyText"/>
        <w:spacing w:line="360" w:lineRule="auto" w:before="1"/>
        <w:ind w:left="518" w:right="964"/>
      </w:pPr>
      <w:r>
        <w:rPr/>
        <w:t>A Punto A; punto más profundo de la curvatura del maxilar ubicado entre la espina nasal anterior y el alveolo dental.</w:t>
      </w:r>
    </w:p>
    <w:p>
      <w:pPr>
        <w:pStyle w:val="BodyText"/>
        <w:spacing w:line="535" w:lineRule="auto" w:before="204"/>
        <w:ind w:left="518" w:right="4970"/>
      </w:pPr>
      <w:r>
        <w:rPr/>
        <w:t>A1 Incisal; punto incisal del incisivo superior. AR Incisal; punto de la raíz del incisivo</w:t>
      </w:r>
      <w:r>
        <w:rPr>
          <w:spacing w:val="-14"/>
        </w:rPr>
        <w:t> </w:t>
      </w:r>
      <w:r>
        <w:rPr/>
        <w:t>superior.</w:t>
      </w:r>
    </w:p>
    <w:p>
      <w:pPr>
        <w:pStyle w:val="BodyText"/>
        <w:spacing w:before="8"/>
        <w:ind w:left="518"/>
        <w:jc w:val="both"/>
      </w:pPr>
      <w:r>
        <w:rPr/>
        <w:t>ENA Maxila; punto más anterior de la espina nasal anterior</w:t>
      </w:r>
    </w:p>
    <w:p>
      <w:pPr>
        <w:pStyle w:val="BodyText"/>
        <w:spacing w:before="4"/>
        <w:rPr>
          <w:sz w:val="29"/>
        </w:rPr>
      </w:pPr>
    </w:p>
    <w:p>
      <w:pPr>
        <w:pStyle w:val="BodyText"/>
        <w:spacing w:line="532" w:lineRule="auto" w:before="1"/>
        <w:ind w:left="518" w:right="1470"/>
      </w:pPr>
      <w:r>
        <w:rPr/>
        <w:t>B Punto B; punto más profundo de la curvatura anterior de la sínfisis mandibular. B1 Incisal; punto incisal del incisivo inferior.</w:t>
      </w:r>
    </w:p>
    <w:p>
      <w:pPr>
        <w:pStyle w:val="BodyText"/>
        <w:spacing w:before="11"/>
        <w:ind w:left="518"/>
        <w:jc w:val="both"/>
      </w:pPr>
      <w:r>
        <w:rPr/>
        <w:t>BR Incisal; punto de la raíz del incisivo inferior.</w:t>
      </w:r>
    </w:p>
    <w:p>
      <w:pPr>
        <w:pStyle w:val="BodyText"/>
        <w:spacing w:before="5"/>
        <w:rPr>
          <w:sz w:val="29"/>
        </w:rPr>
      </w:pPr>
    </w:p>
    <w:p>
      <w:pPr>
        <w:pStyle w:val="BodyText"/>
        <w:spacing w:line="360" w:lineRule="auto"/>
        <w:ind w:left="518" w:right="964"/>
      </w:pPr>
      <w:r>
        <w:rPr/>
        <w:t>DT Mentón; punto más anterior de la curvatura del mentón blando, tangente al plano estético.</w:t>
      </w:r>
    </w:p>
    <w:p>
      <w:pPr>
        <w:pStyle w:val="BodyText"/>
        <w:spacing w:before="204"/>
        <w:ind w:left="518"/>
        <w:jc w:val="both"/>
      </w:pPr>
      <w:r>
        <w:rPr/>
        <w:t>En Nariz; punto de la nariz.</w:t>
      </w:r>
    </w:p>
    <w:p>
      <w:pPr>
        <w:pStyle w:val="BodyText"/>
        <w:spacing w:before="4"/>
        <w:rPr>
          <w:sz w:val="29"/>
        </w:rPr>
      </w:pPr>
    </w:p>
    <w:p>
      <w:pPr>
        <w:pStyle w:val="BodyText"/>
        <w:spacing w:before="1"/>
        <w:ind w:left="518"/>
        <w:jc w:val="both"/>
      </w:pPr>
      <w:r>
        <w:rPr/>
        <w:t>Mn mitad de nariz; un punto a la mitad de la nariz.</w:t>
      </w:r>
    </w:p>
    <w:p>
      <w:pPr>
        <w:spacing w:after="0"/>
        <w:jc w:val="both"/>
        <w:sectPr>
          <w:footerReference w:type="default" r:id="rId22"/>
          <w:pgSz w:w="12240" w:h="15840"/>
          <w:pgMar w:footer="974" w:header="596" w:top="1440" w:bottom="1160" w:left="900" w:right="740"/>
          <w:pgNumType w:start="31"/>
        </w:sectPr>
      </w:pPr>
    </w:p>
    <w:p>
      <w:pPr>
        <w:pStyle w:val="BodyText"/>
        <w:spacing w:before="9"/>
        <w:rPr>
          <w:sz w:val="15"/>
        </w:rPr>
      </w:pPr>
    </w:p>
    <w:p>
      <w:pPr>
        <w:pStyle w:val="BodyText"/>
        <w:spacing w:line="360" w:lineRule="auto" w:before="70"/>
        <w:ind w:left="518" w:right="964"/>
      </w:pPr>
      <w:r>
        <w:rPr/>
        <w:t>Go Mandíbula; intersección de la rama mandibular y el plano mandibular (Go cefalométrico)</w:t>
      </w:r>
    </w:p>
    <w:p>
      <w:pPr>
        <w:pStyle w:val="BodyText"/>
        <w:spacing w:line="535" w:lineRule="auto" w:before="204"/>
        <w:ind w:left="518" w:right="2898"/>
      </w:pPr>
      <w:r>
        <w:rPr/>
        <w:t>Me Mentón; punto más inferior inferior de la curvatura de la sínfisis. N Nasion; punto más anterior de la sutura frontonasal.</w:t>
      </w:r>
    </w:p>
    <w:p>
      <w:pPr>
        <w:pStyle w:val="BodyText"/>
        <w:spacing w:line="360" w:lineRule="auto" w:before="8"/>
        <w:ind w:left="518" w:right="964"/>
      </w:pPr>
      <w:r>
        <w:rPr/>
        <w:t>O Orbital; punto más inferior del borde inferior de la órbita, tangente al plano de Frankfort.</w:t>
      </w:r>
    </w:p>
    <w:p>
      <w:pPr>
        <w:pStyle w:val="BodyText"/>
        <w:spacing w:before="205"/>
        <w:ind w:left="518" w:right="964"/>
      </w:pPr>
      <w:r>
        <w:rPr/>
        <w:t>PAC Cartílago alar posterior.</w:t>
      </w:r>
    </w:p>
    <w:p>
      <w:pPr>
        <w:pStyle w:val="BodyText"/>
        <w:spacing w:before="4"/>
        <w:rPr>
          <w:sz w:val="29"/>
        </w:rPr>
      </w:pPr>
    </w:p>
    <w:p>
      <w:pPr>
        <w:pStyle w:val="BodyText"/>
        <w:spacing w:before="1"/>
        <w:ind w:left="518" w:right="964"/>
      </w:pPr>
      <w:r>
        <w:rPr/>
        <w:t>ENP Maxilar; punto ubicado en la espina nasal posterior.</w:t>
      </w:r>
    </w:p>
    <w:p>
      <w:pPr>
        <w:pStyle w:val="BodyText"/>
        <w:spacing w:before="4"/>
        <w:rPr>
          <w:sz w:val="29"/>
        </w:rPr>
      </w:pPr>
    </w:p>
    <w:p>
      <w:pPr>
        <w:pStyle w:val="BodyText"/>
        <w:spacing w:line="360" w:lineRule="auto" w:before="1"/>
        <w:ind w:left="518" w:right="964"/>
      </w:pPr>
      <w:r>
        <w:rPr/>
        <w:t>Pr Porion; punto más superior del conducto auditivo externo, tangente al plano de Frankfort.</w:t>
      </w:r>
    </w:p>
    <w:p>
      <w:pPr>
        <w:pStyle w:val="BodyText"/>
        <w:spacing w:line="360" w:lineRule="auto" w:before="204"/>
        <w:ind w:left="518" w:right="964"/>
      </w:pPr>
      <w:r>
        <w:rPr/>
        <w:pict>
          <v:group style="position:absolute;margin-left:96.720001pt;margin-top:38.285858pt;width:379.45pt;height:234.8pt;mso-position-horizontal-relative:page;mso-position-vertical-relative:paragraph;z-index:-103480" coordorigin="1934,766" coordsize="7589,4696">
            <v:shape style="position:absolute;left:1934;top:858;width:6814;height:4512" type="#_x0000_t75" stroked="false">
              <v:imagedata r:id="rId23" o:title=""/>
            </v:shape>
            <v:shape style="position:absolute;left:3853;top:2385;width:292;height:278" type="#_x0000_t75" stroked="false">
              <v:imagedata r:id="rId24" o:title=""/>
            </v:shape>
            <v:shape style="position:absolute;left:5530;top:2335;width:171;height:555" coordorigin="5530,2335" coordsize="171,555" path="m5666,2890l5635,2826,5574,2678,5530,2512,5550,2393,5561,2380,5579,2360,5599,2342,5615,2335,5632,2342,5652,2359,5671,2379,5683,2393,5700,2444,5690,2513,5668,2589,5646,2662,5638,2721,5643,2765,5653,2821,5662,2869,5666,2890e" filled="false" stroked="true" strokeweight="1.0pt" strokecolor="#000000">
              <v:path arrowok="t"/>
            </v:shape>
            <v:shape style="position:absolute;left:5470;top:2418;width:288;height:391" type="#_x0000_t75" stroked="false">
              <v:imagedata r:id="rId25" o:title=""/>
            </v:shape>
            <v:shape style="position:absolute;left:7701;top:1321;width:511;height:662" type="#_x0000_t75" stroked="false">
              <v:imagedata r:id="rId26" o:title=""/>
            </v:shape>
            <v:shape style="position:absolute;left:4085;top:1033;width:3341;height:2105" type="#_x0000_t75" stroked="false">
              <v:imagedata r:id="rId27" o:title=""/>
            </v:shape>
            <v:shape style="position:absolute;left:5235;top:1578;width:1220;height:112" coordorigin="5235,1578" coordsize="1220,112" path="m5235,1690l5260,1673,5319,1635,5388,1597,5445,1578,5482,1583,5530,1597,5578,1612,5618,1621,5678,1621,5751,1614,5825,1606,5885,1602,6035,1607,6224,1624,6386,1642,6455,1651e" filled="false" stroked="true" strokeweight="1pt" strokecolor="#000000">
              <v:path arrowok="t"/>
            </v:shape>
            <v:shape style="position:absolute;left:6734;top:766;width:2030;height:4696" type="#_x0000_t75" stroked="false">
              <v:imagedata r:id="rId28" o:title=""/>
            </v:shape>
            <v:shape style="position:absolute;left:7789;top:2896;width:616;height:245" type="#_x0000_t75" stroked="false">
              <v:imagedata r:id="rId29" o:title=""/>
            </v:shape>
            <v:shape style="position:absolute;left:6928;top:1546;width:492;height:344" coordorigin="6928,1546" coordsize="492,344" path="m6928,1812l6983,1813,7110,1819,7255,1833,7362,1861,7377,1867,7396,1877,7412,1886,7419,1890m6928,1812l6982,1790,7107,1735,7247,1667,7348,1602,7362,1588,7381,1569,7397,1553,7404,1546e" filled="false" stroked="true" strokeweight="1pt" strokecolor="#000000">
              <v:path arrowok="t"/>
            </v:shape>
            <v:shape style="position:absolute;left:6938;top:1628;width:456;height:103" type="#_x0000_t75" stroked="false">
              <v:imagedata r:id="rId30" o:title=""/>
            </v:shape>
            <v:shape style="position:absolute;left:7348;top:1602;width:37;height:259" coordorigin="7348,1602" coordsize="37,259" path="m7362,1861l7366,1845,7374,1808,7382,1765,7384,1731,7379,1697,7366,1654,7353,1617,7348,1602e" filled="false" stroked="true" strokeweight="1pt" strokecolor="#000000">
              <v:path arrowok="t"/>
            </v:shape>
            <v:shape style="position:absolute;left:7358;top:1683;width:288;height:96" type="#_x0000_t75" stroked="false">
              <v:imagedata r:id="rId31" o:title=""/>
            </v:shape>
            <v:shape style="position:absolute;left:6913;top:4223;width:547;height:865" type="#_x0000_t75" stroked="false">
              <v:imagedata r:id="rId32" o:title=""/>
            </v:shape>
            <v:shape style="position:absolute;left:4350;top:2405;width:2705;height:2612" type="#_x0000_t75" stroked="false">
              <v:imagedata r:id="rId33" o:title=""/>
            </v:shape>
            <v:shape style="position:absolute;left:5704;top:3048;width:2068;height:675" type="#_x0000_t75" stroked="false">
              <v:imagedata r:id="rId34" o:title=""/>
            </v:shape>
            <v:shape style="position:absolute;left:7417;top:3559;width:287;height:411" type="#_x0000_t75" stroked="false">
              <v:imagedata r:id="rId35" o:title=""/>
            </v:shape>
            <v:shape style="position:absolute;left:7438;top:3651;width:288;height:228" type="#_x0000_t75" stroked="false">
              <v:imagedata r:id="rId36" o:title=""/>
            </v:shape>
            <v:shape style="position:absolute;left:7275;top:3189;width:389;height:533" type="#_x0000_t75" stroked="false">
              <v:imagedata r:id="rId37" o:title=""/>
            </v:shape>
            <v:shape style="position:absolute;left:7156;top:3808;width:403;height:467" type="#_x0000_t75" stroked="false">
              <v:imagedata r:id="rId38" o:title=""/>
            </v:shape>
            <v:shape style="position:absolute;left:7097;top:4223;width:363;height:344" type="#_x0000_t75" stroked="false">
              <v:imagedata r:id="rId39" o:title=""/>
            </v:shape>
            <v:shape style="position:absolute;left:7116;top:4316;width:324;height:161" type="#_x0000_t75" stroked="false">
              <v:imagedata r:id="rId40" o:title=""/>
            </v:shape>
            <v:shape style="position:absolute;left:6050;top:3368;width:519;height:406" type="#_x0000_t75" stroked="false">
              <v:imagedata r:id="rId41" o:title=""/>
            </v:shape>
            <v:shape style="position:absolute;left:6155;top:2999;width:485;height:499" type="#_x0000_t75" stroked="false">
              <v:imagedata r:id="rId42" o:title=""/>
            </v:shape>
            <v:shape style="position:absolute;left:6073;top:3688;width:519;height:345" type="#_x0000_t75" stroked="false">
              <v:imagedata r:id="rId43" o:title=""/>
            </v:shape>
            <v:shape style="position:absolute;left:5923;top:3911;width:564;height:489" type="#_x0000_t75" stroked="false">
              <v:imagedata r:id="rId44" o:title=""/>
            </v:shape>
            <v:shape style="position:absolute;left:3845;top:2144;width:802;height:206" type="#_x0000_t75" stroked="false">
              <v:imagedata r:id="rId45" o:title=""/>
            </v:shape>
            <v:shape style="position:absolute;left:7586;top:1100;width:802;height:206" type="#_x0000_t75" stroked="false">
              <v:imagedata r:id="rId45" o:title=""/>
            </v:shape>
            <v:shape style="position:absolute;left:4834;top:3733;width:802;height:206" type="#_x0000_t75" stroked="false">
              <v:imagedata r:id="rId45" o:title=""/>
            </v:shape>
            <v:shape style="position:absolute;left:7483;top:2687;width:802;height:209" type="#_x0000_t75" stroked="false">
              <v:imagedata r:id="rId46" o:title=""/>
            </v:shape>
            <v:shape style="position:absolute;left:5798;top:2919;width:802;height:206" type="#_x0000_t75" stroked="false">
              <v:imagedata r:id="rId45" o:title=""/>
            </v:shape>
            <v:shape style="position:absolute;left:7596;top:3140;width:804;height:206" type="#_x0000_t75" stroked="false">
              <v:imagedata r:id="rId45" o:title=""/>
            </v:shape>
            <v:shape style="position:absolute;left:6607;top:2365;width:802;height:206" type="#_x0000_t75" stroked="false">
              <v:imagedata r:id="rId45" o:title=""/>
            </v:shape>
            <v:shape style="position:absolute;left:6792;top:5067;width:804;height:209" type="#_x0000_t75" stroked="false">
              <v:imagedata r:id="rId46" o:title=""/>
            </v:shape>
            <v:shape style="position:absolute;left:7248;top:4789;width:802;height:206" type="#_x0000_t75" stroked="false">
              <v:imagedata r:id="rId45" o:title=""/>
            </v:shape>
            <v:shape style="position:absolute;left:7694;top:4955;width:804;height:209" type="#_x0000_t75" stroked="false">
              <v:imagedata r:id="rId46" o:title=""/>
            </v:shape>
            <v:shape style="position:absolute;left:6917;top:3164;width:802;height:206" type="#_x0000_t75" stroked="false">
              <v:imagedata r:id="rId45" o:title=""/>
            </v:shape>
            <v:shape style="position:absolute;left:7586;top:3731;width:802;height:209" type="#_x0000_t75" stroked="false">
              <v:imagedata r:id="rId46" o:title=""/>
            </v:shape>
            <v:shape style="position:absolute;left:7030;top:3731;width:802;height:209" type="#_x0000_t75" stroked="false">
              <v:imagedata r:id="rId46" o:title=""/>
            </v:shape>
            <v:shape style="position:absolute;left:6566;top:4388;width:804;height:206" type="#_x0000_t75" stroked="false">
              <v:imagedata r:id="rId45" o:title=""/>
            </v:shape>
            <v:shape style="position:absolute;left:7248;top:4412;width:802;height:206" type="#_x0000_t75" stroked="false">
              <v:imagedata r:id="rId45" o:title=""/>
            </v:shape>
            <v:shape style="position:absolute;left:8162;top:3164;width:804;height:206" type="#_x0000_t75" stroked="false">
              <v:imagedata r:id="rId45" o:title=""/>
            </v:shape>
            <v:shape style="position:absolute;left:7937;top:2711;width:1586;height:206" type="#_x0000_t75" stroked="false">
              <v:imagedata r:id="rId47" o:title=""/>
            </v:shape>
            <v:shape style="position:absolute;left:3982;top:2391;width:119;height:130" type="#_x0000_t75" stroked="false">
              <v:imagedata r:id="rId48" o:title=""/>
            </v:shape>
            <v:shape style="position:absolute;left:4896;top:3979;width:112;height:122" type="#_x0000_t75" stroked="false">
              <v:imagedata r:id="rId49" o:title=""/>
            </v:shape>
            <v:shape style="position:absolute;left:7051;top:4917;width:112;height:122" type="#_x0000_t75" stroked="false">
              <v:imagedata r:id="rId50" o:title=""/>
            </v:shape>
            <v:shape style="position:absolute;left:7236;top:4886;width:112;height:122" type="#_x0000_t75" stroked="false">
              <v:imagedata r:id="rId50" o:title=""/>
            </v:shape>
            <v:shape style="position:absolute;left:7690;top:4886;width:112;height:122" type="#_x0000_t75" stroked="false">
              <v:imagedata r:id="rId51" o:title=""/>
            </v:shape>
            <v:shape style="position:absolute;left:7123;top:4464;width:112;height:122" type="#_x0000_t75" stroked="false">
              <v:imagedata r:id="rId52" o:title=""/>
            </v:shape>
            <v:shape style="position:absolute;left:7278;top:4546;width:112;height:122" type="#_x0000_t75" stroked="false">
              <v:imagedata r:id="rId50" o:title=""/>
            </v:shape>
            <v:shape style="position:absolute;left:7504;top:3752;width:225;height:235" type="#_x0000_t75" stroked="false">
              <v:imagedata r:id="rId53" o:title=""/>
            </v:shape>
            <v:shape style="position:absolute;left:5649;top:3071;width:112;height:122" type="#_x0000_t75" stroked="false">
              <v:imagedata r:id="rId49" o:title=""/>
            </v:shape>
            <v:shape style="position:absolute;left:7278;top:3185;width:112;height:122" type="#_x0000_t75" stroked="false">
              <v:imagedata r:id="rId50" o:title=""/>
            </v:shape>
            <v:shape style="position:absolute;left:7618;top:3071;width:225;height:235" type="#_x0000_t75" stroked="false">
              <v:imagedata r:id="rId54" o:title=""/>
            </v:shape>
            <v:shape style="position:absolute;left:8071;top:2989;width:112;height:122" type="#_x0000_t75" stroked="false">
              <v:imagedata r:id="rId51" o:title=""/>
            </v:shape>
            <v:shape style="position:absolute;left:8412;top:2989;width:112;height:122" type="#_x0000_t75" stroked="false">
              <v:imagedata r:id="rId55" o:title=""/>
            </v:shape>
            <v:shape style="position:absolute;left:8752;top:2731;width:112;height:122" type="#_x0000_t75" stroked="false">
              <v:imagedata r:id="rId56" o:title=""/>
            </v:shape>
            <v:shape style="position:absolute;left:6896;top:2309;width:112;height:122" type="#_x0000_t75" stroked="false">
              <v:imagedata r:id="rId50" o:title=""/>
            </v:shape>
            <v:shape style="position:absolute;left:7731;top:1257;width:112;height:122" type="#_x0000_t75" stroked="false">
              <v:imagedata r:id="rId51" o:title=""/>
            </v:shape>
            <w10:wrap type="none"/>
          </v:group>
        </w:pict>
      </w:r>
      <w:r>
        <w:rPr/>
        <w:t>Pg Pogonion; punto más anterior de la sínfisis de la mandíbula, tangente al plano facial.</w:t>
      </w:r>
    </w:p>
    <w:p>
      <w:pPr>
        <w:spacing w:before="69"/>
        <w:ind w:left="3193" w:right="0" w:firstLine="0"/>
        <w:jc w:val="center"/>
        <w:rPr>
          <w:b/>
          <w:sz w:val="18"/>
        </w:rPr>
      </w:pPr>
      <w:r>
        <w:rPr>
          <w:b/>
          <w:w w:val="99"/>
          <w:sz w:val="18"/>
        </w:rPr>
        <w:t>N</w:t>
      </w:r>
    </w:p>
    <w:p>
      <w:pPr>
        <w:pStyle w:val="BodyText"/>
        <w:rPr>
          <w:b/>
          <w:sz w:val="20"/>
        </w:rPr>
      </w:pPr>
    </w:p>
    <w:p>
      <w:pPr>
        <w:pStyle w:val="BodyText"/>
        <w:rPr>
          <w:b/>
          <w:sz w:val="20"/>
        </w:rPr>
      </w:pPr>
    </w:p>
    <w:p>
      <w:pPr>
        <w:pStyle w:val="BodyText"/>
        <w:spacing w:before="1"/>
        <w:rPr>
          <w:b/>
          <w:sz w:val="26"/>
        </w:rPr>
      </w:pPr>
    </w:p>
    <w:p>
      <w:pPr>
        <w:spacing w:after="0"/>
        <w:rPr>
          <w:sz w:val="26"/>
        </w:rPr>
        <w:sectPr>
          <w:pgSz w:w="12240" w:h="15840"/>
          <w:pgMar w:header="596" w:footer="974" w:top="1440" w:bottom="1160" w:left="900" w:right="740"/>
        </w:sectPr>
      </w:pPr>
    </w:p>
    <w:p>
      <w:pPr>
        <w:spacing w:before="77"/>
        <w:ind w:left="3069" w:right="2693" w:firstLine="0"/>
        <w:jc w:val="center"/>
        <w:rPr>
          <w:b/>
          <w:sz w:val="18"/>
        </w:rPr>
      </w:pPr>
      <w:r>
        <w:rPr>
          <w:b/>
          <w:sz w:val="18"/>
        </w:rPr>
        <w:t>Pr</w:t>
      </w:r>
    </w:p>
    <w:p>
      <w:pPr>
        <w:spacing w:before="14"/>
        <w:ind w:left="5852" w:right="0" w:firstLine="0"/>
        <w:jc w:val="left"/>
        <w:rPr>
          <w:b/>
          <w:sz w:val="18"/>
        </w:rPr>
      </w:pPr>
      <w:r>
        <w:rPr>
          <w:b/>
          <w:sz w:val="18"/>
        </w:rPr>
        <w:t>O</w:t>
      </w:r>
    </w:p>
    <w:p>
      <w:pPr>
        <w:pStyle w:val="BodyText"/>
        <w:rPr>
          <w:b/>
          <w:sz w:val="18"/>
        </w:rPr>
      </w:pPr>
    </w:p>
    <w:p>
      <w:pPr>
        <w:spacing w:before="138"/>
        <w:ind w:left="0" w:right="577" w:firstLine="0"/>
        <w:jc w:val="right"/>
        <w:rPr>
          <w:b/>
          <w:sz w:val="18"/>
        </w:rPr>
      </w:pPr>
      <w:r>
        <w:rPr>
          <w:b/>
          <w:sz w:val="18"/>
        </w:rPr>
        <w:t>PNS</w:t>
      </w:r>
    </w:p>
    <w:p>
      <w:pPr>
        <w:pStyle w:val="BodyText"/>
        <w:rPr>
          <w:b/>
          <w:sz w:val="20"/>
        </w:rPr>
      </w:pPr>
      <w:r>
        <w:rPr/>
        <w:br w:type="column"/>
      </w:r>
      <w:r>
        <w:rPr>
          <w:b/>
          <w:sz w:val="20"/>
        </w:rPr>
      </w:r>
    </w:p>
    <w:p>
      <w:pPr>
        <w:pStyle w:val="BodyText"/>
        <w:rPr>
          <w:b/>
          <w:sz w:val="20"/>
        </w:rPr>
      </w:pPr>
    </w:p>
    <w:p>
      <w:pPr>
        <w:tabs>
          <w:tab w:pos="1934" w:val="left" w:leader="none"/>
        </w:tabs>
        <w:spacing w:before="163"/>
        <w:ind w:left="695" w:right="0" w:firstLine="0"/>
        <w:jc w:val="left"/>
        <w:rPr>
          <w:b/>
          <w:sz w:val="18"/>
        </w:rPr>
      </w:pPr>
      <w:r>
        <w:rPr>
          <w:b/>
          <w:position w:val="2"/>
          <w:sz w:val="18"/>
        </w:rPr>
        <w:t>ANS</w:t>
      </w:r>
      <w:r>
        <w:rPr>
          <w:b/>
          <w:spacing w:val="23"/>
          <w:position w:val="2"/>
          <w:sz w:val="18"/>
        </w:rPr>
        <w:t> </w:t>
      </w:r>
      <w:r>
        <w:rPr>
          <w:b/>
          <w:sz w:val="18"/>
        </w:rPr>
        <w:t>PAC</w:t>
        <w:tab/>
        <w:t>En</w:t>
      </w:r>
    </w:p>
    <w:p>
      <w:pPr>
        <w:spacing w:after="0"/>
        <w:jc w:val="left"/>
        <w:rPr>
          <w:sz w:val="18"/>
        </w:rPr>
        <w:sectPr>
          <w:type w:val="continuous"/>
          <w:pgSz w:w="12240" w:h="15840"/>
          <w:pgMar w:top="820" w:bottom="280" w:left="900" w:right="740"/>
          <w:cols w:num="2" w:equalWidth="0">
            <w:col w:w="5993" w:space="40"/>
            <w:col w:w="4567"/>
          </w:cols>
        </w:sectPr>
      </w:pPr>
    </w:p>
    <w:p>
      <w:pPr>
        <w:tabs>
          <w:tab w:pos="6841" w:val="left" w:leader="none"/>
          <w:tab w:pos="7407" w:val="left" w:leader="none"/>
        </w:tabs>
        <w:spacing w:before="20"/>
        <w:ind w:left="6162" w:right="964" w:firstLine="0"/>
        <w:jc w:val="left"/>
        <w:rPr>
          <w:b/>
          <w:sz w:val="18"/>
        </w:rPr>
      </w:pPr>
      <w:r>
        <w:rPr>
          <w:b/>
          <w:sz w:val="18"/>
        </w:rPr>
        <w:t>AR</w:t>
        <w:tab/>
      </w:r>
      <w:r>
        <w:rPr>
          <w:b/>
          <w:position w:val="2"/>
          <w:sz w:val="18"/>
        </w:rPr>
        <w:t>A</w:t>
        <w:tab/>
      </w:r>
      <w:r>
        <w:rPr>
          <w:b/>
          <w:sz w:val="18"/>
        </w:rPr>
        <w:t>Mn</w:t>
      </w:r>
    </w:p>
    <w:p>
      <w:pPr>
        <w:pStyle w:val="BodyText"/>
        <w:spacing w:before="6"/>
        <w:rPr>
          <w:b/>
        </w:rPr>
      </w:pPr>
    </w:p>
    <w:p>
      <w:pPr>
        <w:tabs>
          <w:tab w:pos="2731" w:val="left" w:leader="none"/>
          <w:tab w:pos="3288" w:val="left" w:leader="none"/>
        </w:tabs>
        <w:spacing w:before="80"/>
        <w:ind w:left="534" w:right="0" w:firstLine="0"/>
        <w:jc w:val="center"/>
        <w:rPr>
          <w:b/>
          <w:sz w:val="18"/>
        </w:rPr>
      </w:pPr>
      <w:r>
        <w:rPr>
          <w:b/>
          <w:sz w:val="18"/>
        </w:rPr>
        <w:t>Go</w:t>
        <w:tab/>
        <w:t>B1</w:t>
        <w:tab/>
      </w:r>
      <w:r>
        <w:rPr>
          <w:b/>
          <w:spacing w:val="-3"/>
          <w:sz w:val="18"/>
        </w:rPr>
        <w:t>A1</w:t>
      </w:r>
    </w:p>
    <w:p>
      <w:pPr>
        <w:pStyle w:val="BodyText"/>
        <w:rPr>
          <w:b/>
          <w:sz w:val="20"/>
        </w:rPr>
      </w:pPr>
    </w:p>
    <w:p>
      <w:pPr>
        <w:pStyle w:val="BodyText"/>
        <w:spacing w:before="11"/>
        <w:rPr>
          <w:b/>
          <w:sz w:val="18"/>
        </w:rPr>
      </w:pPr>
    </w:p>
    <w:p>
      <w:pPr>
        <w:tabs>
          <w:tab w:pos="2516" w:val="left" w:leader="none"/>
        </w:tabs>
        <w:spacing w:before="0"/>
        <w:ind w:left="1835" w:right="0" w:firstLine="0"/>
        <w:jc w:val="center"/>
        <w:rPr>
          <w:b/>
          <w:sz w:val="18"/>
        </w:rPr>
      </w:pPr>
      <w:r>
        <w:rPr>
          <w:b/>
          <w:sz w:val="18"/>
        </w:rPr>
        <w:t>BR</w:t>
        <w:tab/>
      </w:r>
      <w:r>
        <w:rPr>
          <w:b/>
          <w:position w:val="-1"/>
          <w:sz w:val="18"/>
        </w:rPr>
        <w:t>B</w:t>
      </w:r>
    </w:p>
    <w:p>
      <w:pPr>
        <w:pStyle w:val="BodyText"/>
        <w:spacing w:before="1"/>
        <w:rPr>
          <w:b/>
          <w:sz w:val="15"/>
        </w:rPr>
      </w:pPr>
    </w:p>
    <w:p>
      <w:pPr>
        <w:spacing w:line="186" w:lineRule="exact" w:before="1"/>
        <w:ind w:left="2616" w:right="0" w:firstLine="0"/>
        <w:jc w:val="center"/>
        <w:rPr>
          <w:b/>
          <w:sz w:val="18"/>
        </w:rPr>
      </w:pPr>
      <w:r>
        <w:rPr>
          <w:b/>
          <w:sz w:val="18"/>
        </w:rPr>
        <w:t>Pg</w:t>
      </w:r>
    </w:p>
    <w:p>
      <w:pPr>
        <w:tabs>
          <w:tab w:pos="3518" w:val="left" w:leader="none"/>
        </w:tabs>
        <w:spacing w:line="296" w:lineRule="exact" w:before="0"/>
        <w:ind w:left="2616" w:right="0" w:firstLine="0"/>
        <w:jc w:val="center"/>
        <w:rPr>
          <w:b/>
          <w:sz w:val="18"/>
        </w:rPr>
      </w:pPr>
      <w:r>
        <w:rPr>
          <w:b/>
          <w:position w:val="-10"/>
          <w:sz w:val="18"/>
        </w:rPr>
        <w:t>Me</w:t>
        <w:tab/>
      </w:r>
      <w:r>
        <w:rPr>
          <w:b/>
          <w:sz w:val="18"/>
        </w:rPr>
        <w:t>DT</w:t>
      </w:r>
    </w:p>
    <w:p>
      <w:pPr>
        <w:pStyle w:val="BodyText"/>
        <w:rPr>
          <w:b/>
          <w:sz w:val="20"/>
        </w:rPr>
      </w:pPr>
    </w:p>
    <w:p>
      <w:pPr>
        <w:pStyle w:val="BodyText"/>
        <w:spacing w:before="1"/>
        <w:rPr>
          <w:b/>
          <w:sz w:val="22"/>
        </w:rPr>
      </w:pPr>
    </w:p>
    <w:p>
      <w:pPr>
        <w:spacing w:before="77"/>
        <w:ind w:left="652" w:right="1088" w:firstLine="0"/>
        <w:jc w:val="center"/>
        <w:rPr>
          <w:sz w:val="18"/>
        </w:rPr>
      </w:pPr>
      <w:r>
        <w:rPr>
          <w:sz w:val="18"/>
        </w:rPr>
        <w:t>Fig. 6 “Puntos cefalométricos”</w:t>
      </w:r>
    </w:p>
    <w:p>
      <w:pPr>
        <w:pStyle w:val="BodyText"/>
        <w:spacing w:before="2"/>
        <w:rPr>
          <w:sz w:val="26"/>
        </w:rPr>
      </w:pPr>
    </w:p>
    <w:p>
      <w:pPr>
        <w:spacing w:before="1"/>
        <w:ind w:left="647" w:right="1088" w:firstLine="0"/>
        <w:jc w:val="center"/>
        <w:rPr>
          <w:sz w:val="18"/>
        </w:rPr>
      </w:pPr>
      <w:r>
        <w:rPr>
          <w:sz w:val="18"/>
        </w:rPr>
        <w:t>Fuente: </w:t>
      </w:r>
      <w:hyperlink r:id="rId57">
        <w:r>
          <w:rPr>
            <w:sz w:val="18"/>
            <w:u w:val="single"/>
          </w:rPr>
          <w:t>http://www.orthofree.com/cms/assets/pdf/99.pdf</w:t>
        </w:r>
      </w:hyperlink>
    </w:p>
    <w:p>
      <w:pPr>
        <w:spacing w:after="0"/>
        <w:jc w:val="center"/>
        <w:rPr>
          <w:sz w:val="18"/>
        </w:rPr>
        <w:sectPr>
          <w:type w:val="continuous"/>
          <w:pgSz w:w="12240" w:h="15840"/>
          <w:pgMar w:top="820" w:bottom="280" w:left="900" w:right="740"/>
        </w:sectPr>
      </w:pPr>
    </w:p>
    <w:p>
      <w:pPr>
        <w:pStyle w:val="BodyText"/>
        <w:spacing w:before="9"/>
        <w:rPr>
          <w:sz w:val="15"/>
        </w:rPr>
      </w:pPr>
    </w:p>
    <w:p>
      <w:pPr>
        <w:spacing w:before="70"/>
        <w:ind w:left="518" w:right="964" w:firstLine="0"/>
        <w:jc w:val="left"/>
        <w:rPr>
          <w:b/>
          <w:sz w:val="24"/>
        </w:rPr>
      </w:pPr>
      <w:r>
        <w:rPr>
          <w:b/>
          <w:sz w:val="24"/>
        </w:rPr>
        <w:t>Planos cefalométricos</w:t>
      </w:r>
    </w:p>
    <w:p>
      <w:pPr>
        <w:pStyle w:val="BodyText"/>
        <w:spacing w:before="4"/>
        <w:rPr>
          <w:b/>
          <w:sz w:val="29"/>
        </w:rPr>
      </w:pPr>
    </w:p>
    <w:p>
      <w:pPr>
        <w:pStyle w:val="ListParagraph"/>
        <w:numPr>
          <w:ilvl w:val="2"/>
          <w:numId w:val="15"/>
        </w:numPr>
        <w:tabs>
          <w:tab w:pos="1239" w:val="left" w:leader="none"/>
        </w:tabs>
        <w:spacing w:line="240" w:lineRule="auto" w:before="1" w:after="0"/>
        <w:ind w:left="1238" w:right="0" w:hanging="360"/>
        <w:jc w:val="left"/>
        <w:rPr>
          <w:sz w:val="24"/>
        </w:rPr>
      </w:pPr>
      <w:r>
        <w:rPr>
          <w:sz w:val="24"/>
        </w:rPr>
        <w:t>Plano Horizontal Frankfort: de porion a orbital</w:t>
      </w:r>
      <w:r>
        <w:rPr>
          <w:spacing w:val="-14"/>
          <w:sz w:val="24"/>
        </w:rPr>
        <w:t> </w:t>
      </w:r>
      <w:r>
        <w:rPr>
          <w:sz w:val="24"/>
        </w:rPr>
        <w:t>(Po-O).</w:t>
      </w:r>
    </w:p>
    <w:p>
      <w:pPr>
        <w:pStyle w:val="ListParagraph"/>
        <w:numPr>
          <w:ilvl w:val="2"/>
          <w:numId w:val="15"/>
        </w:numPr>
        <w:tabs>
          <w:tab w:pos="1239" w:val="left" w:leader="none"/>
        </w:tabs>
        <w:spacing w:line="240" w:lineRule="auto" w:before="137" w:after="0"/>
        <w:ind w:left="1238" w:right="0" w:hanging="360"/>
        <w:jc w:val="left"/>
        <w:rPr>
          <w:sz w:val="24"/>
        </w:rPr>
      </w:pPr>
      <w:r>
        <w:rPr>
          <w:sz w:val="24"/>
        </w:rPr>
        <w:t>Plano Facial: de nasion a pogonion</w:t>
      </w:r>
      <w:r>
        <w:rPr>
          <w:spacing w:val="-14"/>
          <w:sz w:val="24"/>
        </w:rPr>
        <w:t> </w:t>
      </w:r>
      <w:r>
        <w:rPr>
          <w:sz w:val="24"/>
        </w:rPr>
        <w:t>(N-Pg).</w:t>
      </w:r>
    </w:p>
    <w:p>
      <w:pPr>
        <w:pStyle w:val="ListParagraph"/>
        <w:numPr>
          <w:ilvl w:val="2"/>
          <w:numId w:val="15"/>
        </w:numPr>
        <w:tabs>
          <w:tab w:pos="1239" w:val="left" w:leader="none"/>
        </w:tabs>
        <w:spacing w:line="240" w:lineRule="auto" w:before="139" w:after="0"/>
        <w:ind w:left="1238" w:right="0" w:hanging="360"/>
        <w:jc w:val="left"/>
        <w:rPr>
          <w:sz w:val="24"/>
        </w:rPr>
      </w:pPr>
      <w:r>
        <w:rPr>
          <w:sz w:val="24"/>
        </w:rPr>
        <w:t>Plano Mandibular: de gonión a mentón</w:t>
      </w:r>
      <w:r>
        <w:rPr>
          <w:spacing w:val="-12"/>
          <w:sz w:val="24"/>
        </w:rPr>
        <w:t> </w:t>
      </w:r>
      <w:r>
        <w:rPr>
          <w:sz w:val="24"/>
        </w:rPr>
        <w:t>(Go-Me).</w:t>
      </w:r>
    </w:p>
    <w:p>
      <w:pPr>
        <w:pStyle w:val="BodyText"/>
        <w:spacing w:line="360" w:lineRule="auto" w:before="137"/>
        <w:ind w:left="1238" w:right="964"/>
      </w:pPr>
      <w:r>
        <w:rPr/>
        <w:t>En caso de marcar antegonial, la concavidad deberá ser atravesada por el plano mandibular.</w:t>
      </w:r>
    </w:p>
    <w:p>
      <w:pPr>
        <w:pStyle w:val="ListParagraph"/>
        <w:numPr>
          <w:ilvl w:val="2"/>
          <w:numId w:val="15"/>
        </w:numPr>
        <w:tabs>
          <w:tab w:pos="1239" w:val="left" w:leader="none"/>
        </w:tabs>
        <w:spacing w:line="240" w:lineRule="auto" w:before="2" w:after="0"/>
        <w:ind w:left="1238" w:right="0" w:hanging="360"/>
        <w:jc w:val="left"/>
        <w:rPr>
          <w:sz w:val="24"/>
        </w:rPr>
      </w:pPr>
      <w:r>
        <w:rPr>
          <w:sz w:val="24"/>
        </w:rPr>
        <w:t>AB Plano: de punto A a punto B</w:t>
      </w:r>
      <w:r>
        <w:rPr>
          <w:spacing w:val="-10"/>
          <w:sz w:val="24"/>
        </w:rPr>
        <w:t> </w:t>
      </w:r>
      <w:r>
        <w:rPr>
          <w:sz w:val="24"/>
        </w:rPr>
        <w:t>(A-B).</w:t>
      </w:r>
    </w:p>
    <w:p>
      <w:pPr>
        <w:pStyle w:val="ListParagraph"/>
        <w:numPr>
          <w:ilvl w:val="2"/>
          <w:numId w:val="15"/>
        </w:numPr>
        <w:tabs>
          <w:tab w:pos="1239" w:val="left" w:leader="none"/>
        </w:tabs>
        <w:spacing w:line="360" w:lineRule="auto" w:before="137" w:after="0"/>
        <w:ind w:left="1238" w:right="955" w:hanging="360"/>
        <w:jc w:val="both"/>
        <w:rPr>
          <w:sz w:val="24"/>
        </w:rPr>
      </w:pPr>
      <w:r>
        <w:rPr>
          <w:sz w:val="24"/>
        </w:rPr>
        <w:t>Plano Palatino: de espina nasal anterior a espina nasal posterior (ENA-ENP). El plano maxilar normalmente se extiende anteriormente a la base de la nariz (parte posterior e inferior del cartílago alar;</w:t>
      </w:r>
      <w:r>
        <w:rPr>
          <w:spacing w:val="-17"/>
          <w:sz w:val="24"/>
        </w:rPr>
        <w:t> </w:t>
      </w:r>
      <w:r>
        <w:rPr>
          <w:sz w:val="24"/>
        </w:rPr>
        <w:t>PAC).</w:t>
      </w:r>
    </w:p>
    <w:p>
      <w:pPr>
        <w:pStyle w:val="ListParagraph"/>
        <w:numPr>
          <w:ilvl w:val="2"/>
          <w:numId w:val="15"/>
        </w:numPr>
        <w:tabs>
          <w:tab w:pos="1239" w:val="left" w:leader="none"/>
        </w:tabs>
        <w:spacing w:line="360" w:lineRule="auto" w:before="5" w:after="0"/>
        <w:ind w:left="1238" w:right="955" w:hanging="360"/>
        <w:jc w:val="both"/>
        <w:rPr>
          <w:sz w:val="24"/>
        </w:rPr>
      </w:pPr>
      <w:r>
        <w:rPr>
          <w:sz w:val="24"/>
        </w:rPr>
        <w:t>Línea estética: para personas caucásicas, ésta es dibujada del punto medio  de la nariz a la punta de mentón blando (Mn-DT), y para Ásiáticos, deberá ser dibujada de la punta de la nariz a la punta del mentón blando</w:t>
      </w:r>
      <w:r>
        <w:rPr>
          <w:spacing w:val="-17"/>
          <w:sz w:val="24"/>
        </w:rPr>
        <w:t> </w:t>
      </w:r>
      <w:r>
        <w:rPr>
          <w:sz w:val="24"/>
        </w:rPr>
        <w:t>(En-DT).</w:t>
      </w:r>
    </w:p>
    <w:p>
      <w:pPr>
        <w:pStyle w:val="ListParagraph"/>
        <w:numPr>
          <w:ilvl w:val="2"/>
          <w:numId w:val="15"/>
        </w:numPr>
        <w:tabs>
          <w:tab w:pos="1239" w:val="left" w:leader="none"/>
        </w:tabs>
        <w:spacing w:line="240" w:lineRule="auto" w:before="2" w:after="0"/>
        <w:ind w:left="1238" w:right="0" w:hanging="360"/>
        <w:jc w:val="left"/>
        <w:rPr>
          <w:sz w:val="24"/>
        </w:rPr>
      </w:pPr>
      <w:r>
        <w:rPr/>
        <w:pict>
          <v:group style="position:absolute;margin-left:69.480003pt;margin-top:16.595850pt;width:354.15pt;height:234.8pt;mso-position-horizontal-relative:page;mso-position-vertical-relative:paragraph;z-index:1384;mso-wrap-distance-left:0;mso-wrap-distance-right:0" coordorigin="1390,332" coordsize="7083,4696">
            <v:shape style="position:absolute;left:1390;top:425;width:6814;height:4512" type="#_x0000_t75" stroked="false">
              <v:imagedata r:id="rId23" o:title=""/>
            </v:shape>
            <v:shape style="position:absolute;left:3308;top:1951;width:292;height:278" type="#_x0000_t75" stroked="false">
              <v:imagedata r:id="rId58" o:title=""/>
            </v:shape>
            <v:shape style="position:absolute;left:4984;top:1901;width:171;height:555" coordorigin="4984,1901" coordsize="171,555" path="m5121,2456l5090,2392,5029,2244,4984,2078,5005,1959,5016,1946,5034,1926,5054,1908,5070,1901,5087,1908,5107,1925,5126,1945,5138,1959,5155,2010,5145,2079,5123,2155,5101,2228,5093,2287,5098,2331,5108,2387,5117,2435,5121,2456e" filled="false" stroked="true" strokeweight="1.0pt" strokecolor="#000000">
              <v:path arrowok="t"/>
            </v:shape>
            <v:shape style="position:absolute;left:4925;top:1983;width:288;height:391" type="#_x0000_t75" stroked="false">
              <v:imagedata r:id="rId25" o:title=""/>
            </v:shape>
            <v:shape style="position:absolute;left:7156;top:887;width:511;height:662" type="#_x0000_t75" stroked="false">
              <v:imagedata r:id="rId59" o:title=""/>
            </v:shape>
            <v:shape style="position:absolute;left:3540;top:599;width:3341;height:2105" type="#_x0000_t75" stroked="false">
              <v:imagedata r:id="rId60" o:title=""/>
            </v:shape>
            <v:shape style="position:absolute;left:4690;top:1144;width:1220;height:112" coordorigin="4690,1144" coordsize="1220,112" path="m4690,1256l4715,1239,4774,1201,4843,1163,4900,1144,4937,1149,4984,1163,5033,1178,5073,1188,5133,1187,5206,1180,5280,1172,5340,1168,5490,1174,5679,1191,5841,1208,5910,1217e" filled="false" stroked="true" strokeweight="1pt" strokecolor="#000000">
              <v:path arrowok="t"/>
            </v:shape>
            <v:shape style="position:absolute;left:6189;top:332;width:2030;height:4696" type="#_x0000_t75" stroked="false">
              <v:imagedata r:id="rId61" o:title=""/>
            </v:shape>
            <v:shape style="position:absolute;left:7244;top:2462;width:616;height:245" type="#_x0000_t75" stroked="false">
              <v:imagedata r:id="rId62" o:title=""/>
            </v:shape>
            <v:shape style="position:absolute;left:6383;top:1378;width:492;height:79" coordorigin="6383,1378" coordsize="492,79" path="m6383,1378l6565,1385,6710,1399,6817,1427,6867,1452,6874,1456e" filled="false" stroked="true" strokeweight="1pt" strokecolor="#000000">
              <v:path arrowok="t"/>
            </v:shape>
            <v:shape style="position:absolute;left:6383;top:1112;width:477;height:266" coordorigin="6383,1112" coordsize="477,266" path="m6383,1378l6562,1301,6702,1233,6802,1168,6852,1119,6859,1112e" filled="false" stroked="true" strokeweight="1.0pt" strokecolor="#000000">
              <v:path arrowok="t"/>
            </v:shape>
            <v:shape style="position:absolute;left:6394;top:1193;width:456;height:103" type="#_x0000_t75" stroked="false">
              <v:imagedata r:id="rId30" o:title=""/>
            </v:shape>
            <v:shape style="position:absolute;left:6802;top:1168;width:37;height:259" coordorigin="6802,1168" coordsize="37,259" path="m6817,1427l6821,1411,6829,1374,6837,1331,6839,1297,6834,1263,6821,1220,6808,1183,6802,1168e" filled="false" stroked="true" strokeweight="1pt" strokecolor="#000000">
              <v:path arrowok="t"/>
            </v:shape>
            <v:shape style="position:absolute;left:6811;top:1251;width:288;height:94" type="#_x0000_t75" stroked="false">
              <v:imagedata r:id="rId63" o:title=""/>
            </v:shape>
            <v:shape style="position:absolute;left:6368;top:3789;width:547;height:865" type="#_x0000_t75" stroked="false">
              <v:imagedata r:id="rId64" o:title=""/>
            </v:shape>
            <v:shape style="position:absolute;left:3805;top:1971;width:2705;height:2612" type="#_x0000_t75" stroked="false">
              <v:imagedata r:id="rId65" o:title=""/>
            </v:shape>
            <v:shape style="position:absolute;left:5159;top:2614;width:2068;height:675" type="#_x0000_t75" stroked="false">
              <v:imagedata r:id="rId66" o:title=""/>
            </v:shape>
            <v:shape style="position:absolute;left:6872;top:3125;width:287;height:411" type="#_x0000_t75" stroked="false">
              <v:imagedata r:id="rId67" o:title=""/>
            </v:shape>
            <v:shape style="position:absolute;left:6893;top:3217;width:288;height:228" type="#_x0000_t75" stroked="false">
              <v:imagedata r:id="rId36" o:title=""/>
            </v:shape>
            <v:shape style="position:absolute;left:6730;top:2755;width:389;height:533" type="#_x0000_t75" stroked="false">
              <v:imagedata r:id="rId68" o:title=""/>
            </v:shape>
            <v:shape style="position:absolute;left:6611;top:3374;width:403;height:467" type="#_x0000_t75" stroked="false">
              <v:imagedata r:id="rId69" o:title=""/>
            </v:shape>
            <v:shape style="position:absolute;left:6552;top:3789;width:363;height:344" type="#_x0000_t75" stroked="false">
              <v:imagedata r:id="rId70" o:title=""/>
            </v:shape>
            <v:shape style="position:absolute;left:6571;top:3881;width:324;height:161" type="#_x0000_t75" stroked="false">
              <v:imagedata r:id="rId40" o:title=""/>
            </v:shape>
            <v:shape style="position:absolute;left:5505;top:2934;width:519;height:406" type="#_x0000_t75" stroked="false">
              <v:imagedata r:id="rId71" o:title=""/>
            </v:shape>
            <v:shape style="position:absolute;left:5610;top:2565;width:485;height:499" type="#_x0000_t75" stroked="false">
              <v:imagedata r:id="rId72" o:title=""/>
            </v:shape>
            <v:shape style="position:absolute;left:5528;top:3254;width:519;height:345" type="#_x0000_t75" stroked="false">
              <v:imagedata r:id="rId73" o:title=""/>
            </v:shape>
            <v:shape style="position:absolute;left:5378;top:3477;width:565;height:489" type="#_x0000_t75" stroked="false">
              <v:imagedata r:id="rId74" o:title=""/>
            </v:shape>
            <v:line style="position:absolute" from="7148,4812" to="8072,897" stroked="true" strokeweight="1.5pt" strokecolor="#000000"/>
            <v:line style="position:absolute" from="3542,1964" to="7411,1959" stroked="true" strokeweight="1.5pt" strokecolor="#000000"/>
            <v:line style="position:absolute" from="4103,3487" to="7067,4812" stroked="true" strokeweight="1.5pt" strokecolor="#000000"/>
            <v:line style="position:absolute" from="6793,4598" to="7166,897" stroked="true" strokeweight="1.5pt" strokecolor="#000000"/>
            <v:line style="position:absolute" from="6628,4770" to="7080,2508" stroked="true" strokeweight="1.5pt" strokecolor="#000000"/>
            <v:line style="position:absolute" from="7393,3956" to="6369,1760" stroked="true" strokeweight="1.5pt" strokecolor="#000000"/>
            <v:line style="position:absolute" from="6499,4574" to="7411,2221" stroked="true" strokeweight="1.5pt" strokecolor="#000000"/>
            <v:shape style="position:absolute;left:5340;top:1709;width:804;height:206" type="#_x0000_t75" stroked="false">
              <v:imagedata r:id="rId45" o:title=""/>
            </v:shape>
            <v:shape style="position:absolute;left:7042;top:665;width:804;height:206" type="#_x0000_t75" stroked="false">
              <v:imagedata r:id="rId45" o:title=""/>
            </v:shape>
            <v:shape style="position:absolute;left:4577;top:3560;width:804;height:206" type="#_x0000_t75" stroked="false">
              <v:imagedata r:id="rId45" o:title=""/>
            </v:shape>
            <v:shape style="position:absolute;left:6936;top:2254;width:804;height:206" type="#_x0000_t75" stroked="false">
              <v:imagedata r:id="rId45" o:title=""/>
            </v:shape>
            <v:shape style="position:absolute;left:5254;top:2485;width:804;height:206" type="#_x0000_t75" stroked="false">
              <v:imagedata r:id="rId45" o:title=""/>
            </v:shape>
            <v:shape style="position:absolute;left:7670;top:2276;width:802;height:209" type="#_x0000_t75" stroked="false">
              <v:imagedata r:id="rId46" o:title=""/>
            </v:shape>
            <v:shape style="position:absolute;left:7042;top:3125;width:802;height:209" type="#_x0000_t75" stroked="false">
              <v:imagedata r:id="rId46" o:title=""/>
            </v:shape>
            <v:shape style="position:absolute;left:7187;top:684;width:101;height:180" type="#_x0000_t202" filled="false" stroked="false">
              <v:textbox inset="0,0,0,0">
                <w:txbxContent>
                  <w:p>
                    <w:pPr>
                      <w:spacing w:line="180" w:lineRule="exact" w:before="0"/>
                      <w:ind w:left="0" w:right="0" w:firstLine="0"/>
                      <w:jc w:val="left"/>
                      <w:rPr>
                        <w:b/>
                        <w:sz w:val="18"/>
                      </w:rPr>
                    </w:pPr>
                    <w:r>
                      <w:rPr>
                        <w:b/>
                        <w:w w:val="99"/>
                        <w:sz w:val="18"/>
                      </w:rPr>
                      <w:t>2</w:t>
                    </w:r>
                  </w:p>
                </w:txbxContent>
              </v:textbox>
              <w10:wrap type="none"/>
            </v:shape>
            <v:shape style="position:absolute;left:5485;top:1728;width:101;height:180" type="#_x0000_t202" filled="false" stroked="false">
              <v:textbox inset="0,0,0,0">
                <w:txbxContent>
                  <w:p>
                    <w:pPr>
                      <w:spacing w:line="180" w:lineRule="exact" w:before="0"/>
                      <w:ind w:left="0" w:right="0" w:firstLine="0"/>
                      <w:jc w:val="left"/>
                      <w:rPr>
                        <w:b/>
                        <w:sz w:val="18"/>
                      </w:rPr>
                    </w:pPr>
                    <w:r>
                      <w:rPr>
                        <w:b/>
                        <w:w w:val="99"/>
                        <w:sz w:val="18"/>
                      </w:rPr>
                      <w:t>1</w:t>
                    </w:r>
                  </w:p>
                </w:txbxContent>
              </v:textbox>
              <w10:wrap type="none"/>
            </v:shape>
            <v:shape style="position:absolute;left:7081;top:2273;width:101;height:180" type="#_x0000_t202" filled="false" stroked="false">
              <v:textbox inset="0,0,0,0">
                <w:txbxContent>
                  <w:p>
                    <w:pPr>
                      <w:spacing w:line="180" w:lineRule="exact" w:before="0"/>
                      <w:ind w:left="0" w:right="0" w:firstLine="0"/>
                      <w:jc w:val="left"/>
                      <w:rPr>
                        <w:b/>
                        <w:sz w:val="18"/>
                      </w:rPr>
                    </w:pPr>
                    <w:r>
                      <w:rPr>
                        <w:b/>
                        <w:w w:val="99"/>
                        <w:sz w:val="18"/>
                      </w:rPr>
                      <w:t>4</w:t>
                    </w:r>
                  </w:p>
                </w:txbxContent>
              </v:textbox>
              <w10:wrap type="none"/>
            </v:shape>
            <v:shape style="position:absolute;left:7816;top:2294;width:101;height:180" type="#_x0000_t202" filled="false" stroked="false">
              <v:textbox inset="0,0,0,0">
                <w:txbxContent>
                  <w:p>
                    <w:pPr>
                      <w:spacing w:line="180" w:lineRule="exact" w:before="0"/>
                      <w:ind w:left="0" w:right="0" w:firstLine="0"/>
                      <w:jc w:val="left"/>
                      <w:rPr>
                        <w:b/>
                        <w:sz w:val="18"/>
                      </w:rPr>
                    </w:pPr>
                    <w:r>
                      <w:rPr>
                        <w:b/>
                        <w:w w:val="99"/>
                        <w:sz w:val="18"/>
                      </w:rPr>
                      <w:t>6</w:t>
                    </w:r>
                  </w:p>
                </w:txbxContent>
              </v:textbox>
              <w10:wrap type="none"/>
            </v:shape>
            <v:shape style="position:absolute;left:5399;top:2503;width:101;height:180" type="#_x0000_t202" filled="false" stroked="false">
              <v:textbox inset="0,0,0,0">
                <w:txbxContent>
                  <w:p>
                    <w:pPr>
                      <w:spacing w:line="180" w:lineRule="exact" w:before="0"/>
                      <w:ind w:left="0" w:right="0" w:firstLine="0"/>
                      <w:jc w:val="left"/>
                      <w:rPr>
                        <w:b/>
                        <w:sz w:val="18"/>
                      </w:rPr>
                    </w:pPr>
                    <w:r>
                      <w:rPr>
                        <w:b/>
                        <w:w w:val="99"/>
                        <w:sz w:val="18"/>
                      </w:rPr>
                      <w:t>5</w:t>
                    </w:r>
                  </w:p>
                </w:txbxContent>
              </v:textbox>
              <w10:wrap type="none"/>
            </v:shape>
            <v:shape style="position:absolute;left:7187;top:3144;width:101;height:180" type="#_x0000_t202" filled="false" stroked="false">
              <v:textbox inset="0,0,0,0">
                <w:txbxContent>
                  <w:p>
                    <w:pPr>
                      <w:spacing w:line="180" w:lineRule="exact" w:before="0"/>
                      <w:ind w:left="0" w:right="0" w:firstLine="0"/>
                      <w:jc w:val="left"/>
                      <w:rPr>
                        <w:b/>
                        <w:sz w:val="18"/>
                      </w:rPr>
                    </w:pPr>
                    <w:r>
                      <w:rPr>
                        <w:b/>
                        <w:w w:val="99"/>
                        <w:sz w:val="18"/>
                      </w:rPr>
                      <w:t>7</w:t>
                    </w:r>
                  </w:p>
                </w:txbxContent>
              </v:textbox>
              <w10:wrap type="none"/>
            </v:shape>
            <v:shape style="position:absolute;left:4722;top:3578;width:101;height:180" type="#_x0000_t202" filled="false" stroked="false">
              <v:textbox inset="0,0,0,0">
                <w:txbxContent>
                  <w:p>
                    <w:pPr>
                      <w:spacing w:line="180" w:lineRule="exact" w:before="0"/>
                      <w:ind w:left="0" w:right="0" w:firstLine="0"/>
                      <w:jc w:val="left"/>
                      <w:rPr>
                        <w:b/>
                        <w:sz w:val="18"/>
                      </w:rPr>
                    </w:pPr>
                    <w:r>
                      <w:rPr>
                        <w:b/>
                        <w:w w:val="99"/>
                        <w:sz w:val="18"/>
                      </w:rPr>
                      <w:t>3</w:t>
                    </w:r>
                  </w:p>
                </w:txbxContent>
              </v:textbox>
              <w10:wrap type="none"/>
            </v:shape>
            <w10:wrap type="topAndBottom"/>
          </v:group>
        </w:pict>
      </w:r>
      <w:r>
        <w:rPr>
          <w:sz w:val="24"/>
        </w:rPr>
        <w:t>Ejes incisales: eje longitudinal de los incisivos (A1-AR, B1-BR). (Fig.</w:t>
      </w:r>
      <w:r>
        <w:rPr>
          <w:spacing w:val="-19"/>
          <w:sz w:val="24"/>
        </w:rPr>
        <w:t> </w:t>
      </w:r>
      <w:r>
        <w:rPr>
          <w:sz w:val="24"/>
        </w:rPr>
        <w:t>7)</w:t>
      </w:r>
    </w:p>
    <w:p>
      <w:pPr>
        <w:pStyle w:val="BodyText"/>
        <w:rPr>
          <w:sz w:val="32"/>
        </w:rPr>
      </w:pPr>
    </w:p>
    <w:p>
      <w:pPr>
        <w:spacing w:before="1"/>
        <w:ind w:left="647" w:right="1088" w:firstLine="0"/>
        <w:jc w:val="center"/>
        <w:rPr>
          <w:rFonts w:ascii="Calibri" w:hAnsi="Calibri"/>
          <w:sz w:val="22"/>
        </w:rPr>
      </w:pPr>
      <w:r>
        <w:rPr>
          <w:rFonts w:ascii="Calibri" w:hAnsi="Calibri"/>
          <w:sz w:val="22"/>
        </w:rPr>
        <w:t>Fig. 7 “Planos cefalométricos”</w:t>
      </w:r>
    </w:p>
    <w:p>
      <w:pPr>
        <w:spacing w:before="0"/>
        <w:ind w:left="647" w:right="1088" w:firstLine="0"/>
        <w:jc w:val="center"/>
        <w:rPr>
          <w:sz w:val="18"/>
        </w:rPr>
      </w:pPr>
      <w:r>
        <w:rPr>
          <w:rFonts w:ascii="Calibri"/>
          <w:sz w:val="22"/>
        </w:rPr>
        <w:t>Fuente: </w:t>
      </w:r>
      <w:hyperlink r:id="rId57">
        <w:r>
          <w:rPr>
            <w:sz w:val="18"/>
            <w:u w:val="single"/>
          </w:rPr>
          <w:t>http://www.orthofree.com/cms/assets/pdf/99.pdf</w:t>
        </w:r>
      </w:hyperlink>
    </w:p>
    <w:p>
      <w:pPr>
        <w:spacing w:after="0"/>
        <w:jc w:val="center"/>
        <w:rPr>
          <w:sz w:val="18"/>
        </w:rPr>
        <w:sectPr>
          <w:pgSz w:w="12240" w:h="15840"/>
          <w:pgMar w:header="596" w:footer="974" w:top="1440" w:bottom="1160" w:left="900" w:right="740"/>
        </w:sectPr>
      </w:pPr>
    </w:p>
    <w:p>
      <w:pPr>
        <w:pStyle w:val="BodyText"/>
        <w:spacing w:before="9"/>
        <w:rPr>
          <w:sz w:val="15"/>
        </w:rPr>
      </w:pPr>
    </w:p>
    <w:p>
      <w:pPr>
        <w:pStyle w:val="BodyText"/>
        <w:spacing w:line="360" w:lineRule="auto" w:before="70"/>
        <w:ind w:left="518" w:right="959"/>
        <w:jc w:val="both"/>
      </w:pPr>
      <w:r>
        <w:rPr/>
        <w:t>El análisis diferencial cefalométrico se basa del Indicador de Sobremordida Vertical (componente vertical) y del Indicador de Displasia Anteroposterior (componente horizontal), del  Factor de combinación y del Índice de Extracción.</w:t>
      </w:r>
    </w:p>
    <w:p>
      <w:pPr>
        <w:spacing w:before="204"/>
        <w:ind w:left="518" w:right="0" w:firstLine="0"/>
        <w:jc w:val="both"/>
        <w:rPr>
          <w:b/>
          <w:sz w:val="24"/>
        </w:rPr>
      </w:pPr>
      <w:r>
        <w:rPr>
          <w:b/>
          <w:sz w:val="24"/>
        </w:rPr>
        <w:t>Indicador de profundidad de sobremordida vertical (ODI)</w:t>
      </w:r>
    </w:p>
    <w:p>
      <w:pPr>
        <w:pStyle w:val="BodyText"/>
        <w:spacing w:before="2"/>
        <w:rPr>
          <w:b/>
          <w:sz w:val="29"/>
        </w:rPr>
      </w:pPr>
    </w:p>
    <w:p>
      <w:pPr>
        <w:pStyle w:val="BodyText"/>
        <w:spacing w:line="360" w:lineRule="auto"/>
        <w:ind w:left="559" w:right="1004" w:hanging="2"/>
        <w:jc w:val="center"/>
      </w:pPr>
      <w:r>
        <w:rPr/>
        <w:t>El Indicador de Profundidad de Sobremordida Vertical (Overbite Depth Indicator ODI), es la suma aritmética del ángulo del Plano A-B al Plano Mandibular y el ángulo del Plano Palatino al Plano horizontal de Frankfort. (Fig. 8)</w:t>
      </w:r>
    </w:p>
    <w:p>
      <w:pPr>
        <w:pStyle w:val="BodyText"/>
        <w:spacing w:before="6"/>
        <w:rPr>
          <w:sz w:val="10"/>
        </w:rPr>
      </w:pPr>
      <w:r>
        <w:rPr/>
        <w:pict>
          <v:group style="position:absolute;margin-left:156.225006pt;margin-top:8.013902pt;width:271.1pt;height:148.8pt;mso-position-horizontal-relative:page;mso-position-vertical-relative:paragraph;z-index:1432;mso-wrap-distance-left:0;mso-wrap-distance-right:0" coordorigin="3125,160" coordsize="5422,2976">
            <v:line style="position:absolute" from="3891,564" to="8121,564" stroked="true" strokeweight=".75pt" strokecolor="#000000"/>
            <v:line style="position:absolute" from="6038,3128" to="8121,564" stroked="true" strokeweight=".75pt" strokecolor="#000000"/>
            <v:line style="position:absolute" from="3132,564" to="6038,3128" stroked="true" strokeweight=".75pt" strokecolor="#000000"/>
            <v:line style="position:absolute" from="5881,564" to="8121,337" stroked="true" strokeweight=".75pt" strokecolor="#000000"/>
            <v:shape style="position:absolute;left:7988;top:317;width:238;height:320" type="#_x0000_t75" stroked="false">
              <v:imagedata r:id="rId75" o:title=""/>
            </v:shape>
            <v:shape style="position:absolute;left:8028;top:429;width:288;height:101" type="#_x0000_t75" stroked="false">
              <v:imagedata r:id="rId76" o:title=""/>
            </v:shape>
            <v:shape style="position:absolute;left:5522;top:160;width:2722;height:206" type="#_x0000_t75" stroked="false">
              <v:imagedata r:id="rId77" o:title=""/>
            </v:shape>
            <v:shape style="position:absolute;left:4267;top:693;width:3967;height:206" type="#_x0000_t75" stroked="false">
              <v:imagedata r:id="rId78" o:title=""/>
            </v:shape>
            <v:shape style="position:absolute;left:6532;top:837;width:2013;height:2129" type="#_x0000_t75" stroked="false">
              <v:imagedata r:id="rId79" o:title=""/>
            </v:shape>
            <v:shape style="position:absolute;left:6690;top:2655;width:162;height:176" type="#_x0000_t75" stroked="false">
              <v:imagedata r:id="rId80" o:title=""/>
            </v:shape>
            <v:shape style="position:absolute;left:6793;top:2039;width:619;height:647" coordorigin="6793,2039" coordsize="619,647" path="m6867,2536l6862,2536,6853,2538,6849,2540,6841,2547,6835,2552,6822,2566,6793,2597,6887,2685,6917,2653,6919,2651,6889,2651,6864,2628,6878,2613,6848,2613,6826,2593,6837,2582,6850,2567,6852,2566,6855,2563,6859,2562,6895,2562,6895,2559,6893,2554,6890,2549,6886,2545,6882,2541,6877,2539,6872,2538,6867,2536xm6943,2594l6902,2594,6905,2595,6908,2595,6911,2597,6914,2600,6918,2603,6919,2606,6920,2610,6920,2613,6919,2617,6917,2620,6916,2622,6912,2627,6889,2651,6919,2651,6928,2641,6935,2633,6938,2630,6942,2624,6944,2618,6946,2607,6945,2601,6943,2594xm6895,2562l6859,2562,6862,2562,6865,2562,6869,2563,6871,2566,6874,2569,6876,2572,6876,2579,6875,2583,6872,2586,6871,2588,6867,2593,6860,2601,6848,2613,6878,2613,6886,2604,6892,2598,6895,2597,6899,2595,6902,2594,6943,2594,6941,2590,6938,2585,6933,2581,6930,2577,6894,2577,6896,2571,6896,2566,6895,2562xm6908,2571l6901,2573,6894,2577,6930,2577,6928,2576,6922,2573,6915,2572,6908,2571xm6981,2408l6974,2410,6967,2414,6963,2417,6955,2424,6942,2438,6916,2466,7010,2554,7028,2535,6992,2502,7004,2489,7006,2487,6976,2487,6950,2462,6965,2446,6969,2441,6972,2439,6975,2437,6979,2436,7023,2436,7022,2432,7018,2426,7005,2414,6997,2410,6981,2408xm7023,2436l6987,2436,6991,2437,6994,2441,6997,2443,6999,2446,7000,2453,7000,2456,6997,2463,6993,2469,6976,2487,7006,2487,7012,2481,7018,2474,7021,2468,7023,2464,7025,2460,7027,2449,7026,2443,7023,2436xm7017,2359l6999,2378,7093,2466,7124,2432,7094,2432,7017,2359xm7139,2385l7094,2432,7124,2432,7155,2400,7139,2385xm7119,2249l7101,2269,7160,2393,7179,2373,7165,2346,7184,2325,7155,2325,7132,2279,7198,2279,7119,2249xm7198,2279l7132,2279,7179,2299,7155,2325,7184,2325,7200,2308,7240,2308,7249,2299,7198,2279xm7240,2308l7200,2308,7229,2320,7240,2308xm7180,2184l7162,2203,7256,2291,7273,2273,7212,2216,7326,2216,7314,2205,7278,2205,7180,2184xm7326,2216l7212,2216,7308,2235,7326,2216,7326,2216xm7232,2128l7216,2146,7278,2205,7314,2205,7232,2128xm7316,2039l7251,2108,7345,2197,7377,2163,7347,2163,7321,2139,7335,2124,7305,2124,7284,2104,7332,2054,7316,2039xm7396,2110l7347,2163,7377,2163,7412,2125,7396,2110xm7350,2077l7305,2124,7335,2124,7365,2092,7350,2077xe" filled="true" fillcolor="#000000" stroked="false">
              <v:path arrowok="t"/>
              <v:fill type="solid"/>
            </v:shape>
            <v:shape style="position:absolute;left:3800;top:857;width:2243;height:1875" type="#_x0000_t75" stroked="false">
              <v:imagedata r:id="rId81" o:title=""/>
            </v:shape>
            <v:shape style="position:absolute;left:3949;top:983;width:1559;height:1301" coordorigin="3949,983" coordsize="1559,1301" path="m4880,1743l4847,1743,4851,1747,4856,1751,4859,1753,4861,1757,4862,1759,4863,1761,4863,1765,4864,1769,4863,1781,4862,1789,4859,1823,4883,1841,4887,1813,4888,1801,4889,1793,4888,1781,4887,1775,4885,1769,4929,1769,4934,1763,4938,1757,4939,1755,4898,1755,4894,1753,4891,1753,4885,1747,4880,1743xm4875,1669l4793,1769,4814,1785,4847,1743,4880,1743,4860,1727,4881,1703,4917,1703,4875,1669xm4929,1769l4885,1769,4894,1775,4903,1779,4920,1775,4927,1771,4929,1769xm4766,1681l4732,1681,4772,1715,4763,1745,4785,1761,4806,1693,4780,1693,4766,1681xm4917,1703l4881,1703,4897,1715,4905,1721,4910,1725,4914,1731,4916,1733,4916,1741,4914,1745,4912,1747,4909,1751,4907,1753,4904,1753,4901,1755,4939,1755,4941,1751,4943,1737,4942,1731,4935,1719,4928,1713,4917,1703xm4804,1611l4684,1681,4706,1699,4732,1681,4766,1681,4752,1669,4796,1643,4821,1643,4826,1629,4804,1611xm4821,1643l4796,1643,4780,1693,4806,1693,4821,1643xm4688,1519l4607,1619,4678,1675,4692,1659,4641,1617,4708,1535,4688,1519xm4587,1435l4544,1489,4535,1501,4529,1509,4525,1517,4523,1521,4522,1525,4522,1537,4524,1543,4530,1557,4536,1563,4546,1571,4554,1577,4561,1581,4574,1585,4586,1585,4592,1583,4597,1581,4607,1573,4615,1565,4618,1561,4570,1561,4565,1557,4559,1553,4554,1549,4550,1543,4549,1539,4548,1533,4548,1529,4551,1523,4552,1521,4557,1515,4608,1453,4587,1435xm4647,1485l4602,1539,4596,1547,4591,1553,4587,1555,4584,1559,4580,1561,4618,1561,4624,1553,4667,1501,4647,1485xm4487,1355l4406,1455,4440,1481,4453,1493,4461,1499,4465,1501,4471,1505,4476,1507,4493,1507,4499,1505,4505,1501,4509,1499,4513,1493,4518,1487,4519,1483,4480,1483,4476,1481,4470,1479,4466,1475,4458,1469,4440,1453,4461,1427,4496,1427,4475,1411,4494,1387,4527,1387,4487,1355xm4496,1427l4461,1427,4487,1447,4492,1453,4496,1459,4497,1463,4497,1469,4495,1473,4493,1475,4490,1479,4487,1481,4483,1481,4480,1483,4519,1483,4520,1481,4521,1467,4518,1461,4514,1453,4531,1453,4537,1451,4542,1449,4545,1443,4549,1439,4550,1437,4510,1437,4507,1435,4503,1433,4501,1431,4496,1427xm4531,1453l4514,1453,4520,1455,4525,1455,4531,1453xm4447,1321l4366,1421,4386,1439,4467,1339,4447,1321xm4527,1387l4494,1387,4505,1397,4520,1409,4522,1411,4525,1415,4527,1417,4527,1425,4523,1431,4521,1433,4518,1435,4514,1435,4510,1437,4550,1437,4551,1435,4553,1425,4552,1419,4551,1415,4550,1411,4547,1405,4540,1399,4535,1393,4527,1387xm4347,1241l4266,1341,4304,1371,4311,1377,4318,1381,4331,1387,4338,1389,4352,1387,4369,1379,4376,1375,4383,1369,4385,1365,4336,1365,4332,1363,4325,1361,4320,1357,4315,1353,4300,1341,4353,1275,4389,1275,4384,1271,4347,1241xm4389,1275l4353,1275,4363,1281,4371,1289,4376,1293,4381,1299,4383,1303,4384,1309,4384,1313,4384,1317,4382,1323,4380,1327,4376,1335,4369,1341,4363,1349,4357,1355,4352,1359,4347,1361,4343,1363,4336,1365,4385,1365,4389,1359,4397,1351,4402,1341,4408,1325,4410,1317,4408,1301,4406,1295,4401,1289,4398,1283,4392,1277,4389,1275xm4262,1209l4237,1209,4225,1307,4245,1323,4284,1275,4253,1275,4262,1209xm4247,1159l4165,1259,4184,1275,4237,1209,4262,1209,4266,1175,4247,1159xm4307,1209l4253,1275,4284,1275,4326,1223,4307,1209xm4139,1173l4104,1173,4144,1205,4135,1235,4157,1253,4178,1183,4152,1183,4139,1173xm4176,1103l4056,1171,4078,1189,4104,1173,4139,1173,4124,1161,4168,1135,4193,1135,4198,1119,4176,1103xm4193,1135l4168,1135,4152,1183,4178,1183,4193,1135xm4120,1069l4091,1069,4027,1147,4045,1161,4120,1069xm4056,1019l4031,1019,3987,1115,4007,1131,4061,1091,4023,1091,4056,1019xm4030,983l3949,1083,3968,1099,4031,1019,4056,1019,4060,1009,4030,983xm4096,1037l4023,1091,4061,1091,4091,1069,4120,1069,4127,1061,4096,1037xm5433,2121l5352,2221,5428,2283,5442,2266,5386,2221,5408,2194,5443,2194,5422,2177,5440,2155,5475,2155,5433,2121xm5443,2194l5408,2194,5458,2235,5472,2218,5443,2194xm5348,2090l5324,2090,5311,2188,5331,2204,5371,2156,5339,2156,5348,2090xm5475,2155l5440,2155,5494,2199,5508,2182,5475,2155xm5394,2089l5339,2156,5371,2156,5412,2104,5394,2089xm5333,2040l5252,2140,5271,2155,5324,2090,5348,2090,5353,2056,5333,2040xm5225,2053l5191,2053,5231,2085,5221,2115,5243,2133,5265,2063,5238,2063,5225,2053xm5263,1983l5143,2051,5164,2069,5191,2053,5225,2053,5211,2041,5254,2015,5280,2015,5284,2000,5263,1983xm5280,2015l5254,2015,5238,2063,5265,2063,5280,2015xm5146,1890l5066,1989,5136,2046,5150,2029,5100,1989,5167,1906,5146,1890xm5053,1813l4972,1913,4992,1929,5023,1892,5058,1892,5056,1890,5048,1884,5037,1875,5060,1846,5094,1846,5053,1813xm5058,1892l5023,1892,5036,1902,5045,1910,5053,1915,5058,1918,5062,1920,5067,1921,5078,1922,5083,1921,5095,1916,5100,1912,5111,1898,5112,1896,5072,1896,5069,1896,5065,1895,5062,1894,5058,1892xm5094,1846l5060,1846,5070,1854,5077,1860,5081,1864,5084,1867,5086,1870,5088,1873,5088,1875,5088,1882,5087,1886,5083,1890,5082,1892,5079,1894,5075,1895,5072,1896,5112,1896,5115,1890,5115,1886,5115,1873,5113,1866,5108,1860,5106,1856,5098,1849,5094,1846xe" filled="true" fillcolor="#000000" stroked="false">
              <v:path arrowok="t"/>
              <v:fill type="solid"/>
            </v:shape>
            <v:shape style="position:absolute;left:5652;top:1908;width:473;height:506" coordorigin="5652,1908" coordsize="473,506" path="m6124,1908l5998,1908,5936,1916,5877,1940,5823,1977,5775,2027,5733,2088,5699,2158,5674,2237,5658,2323,5652,2413,5778,2413,5784,2323,5800,2237,5825,2158,5860,2088,5901,2027,5950,1977,6004,1940,6062,1916,6124,1908xe" filled="true" fillcolor="#cdcdcd" stroked="false">
              <v:path arrowok="t"/>
              <v:fill type="solid"/>
            </v:shape>
            <v:shape style="position:absolute;left:5652;top:1908;width:871;height:506" coordorigin="5652,1908" coordsize="871,506" path="m6124,1908l6062,1916,6004,1940,5950,1977,5901,2027,5860,2088,5825,2158,5800,2237,5784,2323,5778,2413,5652,2413,5658,2323,5674,2237,5699,2158,5733,2088,5775,2027,5823,1977,5877,1940,5936,1916,5998,1908,6124,1908,6191,1917,6253,1944,6310,1987,6361,2044,6404,2114,6437,2196,6460,2287,6523,2287,6407,2413,6270,2287,6333,2287,6311,2196,6277,2114,6234,2044,6183,1986,6125,1943,6061,1916e" filled="false" stroked="true" strokeweight="2pt" strokecolor="#000000">
              <v:path arrowok="t"/>
            </v:shape>
            <v:shape style="position:absolute;left:5745;top:1926;width:698;height:466" type="#_x0000_t75" stroked="false">
              <v:imagedata r:id="rId82" o:title=""/>
            </v:shape>
            <v:shape style="position:absolute;left:3125;top:160;width:5422;height:2976" type="#_x0000_t202" filled="false" stroked="false">
              <v:textbox inset="0,0,0,0">
                <w:txbxContent>
                  <w:p>
                    <w:pPr>
                      <w:spacing w:line="616" w:lineRule="auto" w:before="0"/>
                      <w:ind w:left="1287" w:right="1105" w:firstLine="1255"/>
                      <w:jc w:val="left"/>
                      <w:rPr>
                        <w:b/>
                        <w:sz w:val="18"/>
                      </w:rPr>
                    </w:pPr>
                    <w:r>
                      <w:rPr>
                        <w:b/>
                        <w:sz w:val="18"/>
                      </w:rPr>
                      <w:t>PALATAL PLANE FRANKFORT HORIZONTAL PLANE</w:t>
                    </w:r>
                  </w:p>
                </w:txbxContent>
              </v:textbox>
              <w10:wrap type="none"/>
            </v:shape>
            <w10:wrap type="topAndBottom"/>
          </v:group>
        </w:pict>
      </w:r>
    </w:p>
    <w:p>
      <w:pPr>
        <w:pStyle w:val="BodyText"/>
        <w:spacing w:before="10"/>
        <w:rPr>
          <w:sz w:val="29"/>
        </w:rPr>
      </w:pPr>
    </w:p>
    <w:p>
      <w:pPr>
        <w:spacing w:before="0"/>
        <w:ind w:left="2419" w:right="2860" w:firstLine="0"/>
        <w:jc w:val="center"/>
        <w:rPr>
          <w:sz w:val="18"/>
        </w:rPr>
      </w:pPr>
      <w:r>
        <w:rPr>
          <w:rFonts w:ascii="Calibri" w:hAnsi="Calibri"/>
          <w:sz w:val="22"/>
        </w:rPr>
        <w:t>Fig. 8 “Indicador de Profundidad de Sobremordida Vertical” Fuente: </w:t>
      </w:r>
      <w:hyperlink r:id="rId57">
        <w:r>
          <w:rPr>
            <w:sz w:val="18"/>
            <w:u w:val="single"/>
          </w:rPr>
          <w:t>http://www.orthofree.com/cms/assets/pdf/99.pdf</w:t>
        </w:r>
      </w:hyperlink>
    </w:p>
    <w:p>
      <w:pPr>
        <w:pStyle w:val="BodyText"/>
        <w:spacing w:before="11"/>
        <w:rPr>
          <w:sz w:val="29"/>
        </w:rPr>
      </w:pPr>
    </w:p>
    <w:p>
      <w:pPr>
        <w:pStyle w:val="BodyText"/>
        <w:spacing w:line="360" w:lineRule="auto" w:before="69"/>
        <w:ind w:left="518" w:right="962"/>
        <w:jc w:val="both"/>
      </w:pPr>
      <w:r>
        <w:rPr/>
        <w:t>El ODI es valioso para clasificar la profundidad de la sobremordida vertical y la mordida abierta. La mordida abierta severa se puede tratar con la técnica de alambre edgewise multiloop (MEAW) creada por el Dr. Kim en 1967.</w:t>
      </w:r>
    </w:p>
    <w:p>
      <w:pPr>
        <w:pStyle w:val="BodyText"/>
        <w:spacing w:line="360" w:lineRule="auto" w:before="204"/>
        <w:ind w:left="518" w:right="966"/>
        <w:jc w:val="both"/>
      </w:pPr>
      <w:r>
        <w:rPr/>
        <w:t>En una muestra caucásica normal, la media de ODI es de 74.5° con una desviación estándar de 6.07°.</w:t>
      </w:r>
    </w:p>
    <w:p>
      <w:pPr>
        <w:pStyle w:val="BodyText"/>
        <w:spacing w:line="350" w:lineRule="auto" w:before="202"/>
        <w:ind w:left="518" w:right="966"/>
        <w:jc w:val="both"/>
        <w:rPr>
          <w:sz w:val="16"/>
        </w:rPr>
      </w:pPr>
      <w:r>
        <w:rPr/>
        <w:t>A medida que el ODI aumenta a valores de 80° o más, la oclusión probablemente se transformará en una sobremordida cada vez mayor, y cuando baja hasta un valor similar a 68° o menos, la oclusión se transformará en una mordida abierta esquéletica. </w:t>
      </w:r>
      <w:r>
        <w:rPr>
          <w:position w:val="11"/>
          <w:sz w:val="16"/>
        </w:rPr>
        <w:t>31</w:t>
      </w:r>
    </w:p>
    <w:p>
      <w:pPr>
        <w:spacing w:after="0" w:line="350" w:lineRule="auto"/>
        <w:jc w:val="both"/>
        <w:rPr>
          <w:sz w:val="16"/>
        </w:rPr>
        <w:sectPr>
          <w:pgSz w:w="12240" w:h="15840"/>
          <w:pgMar w:header="596" w:footer="974" w:top="1440" w:bottom="1160" w:left="900" w:right="740"/>
        </w:sectPr>
      </w:pPr>
    </w:p>
    <w:p>
      <w:pPr>
        <w:pStyle w:val="BodyText"/>
        <w:spacing w:before="9"/>
        <w:rPr>
          <w:sz w:val="15"/>
        </w:rPr>
      </w:pPr>
    </w:p>
    <w:p>
      <w:pPr>
        <w:pStyle w:val="ListParagraph"/>
        <w:numPr>
          <w:ilvl w:val="0"/>
          <w:numId w:val="16"/>
        </w:numPr>
        <w:tabs>
          <w:tab w:pos="1239" w:val="left" w:leader="none"/>
        </w:tabs>
        <w:spacing w:line="240" w:lineRule="auto" w:before="70" w:after="0"/>
        <w:ind w:left="1238" w:right="0" w:hanging="360"/>
        <w:jc w:val="left"/>
        <w:rPr>
          <w:sz w:val="24"/>
        </w:rPr>
      </w:pPr>
      <w:r>
        <w:rPr>
          <w:sz w:val="24"/>
        </w:rPr>
        <w:t>Ángulo del Plano Mandibular a Plano</w:t>
      </w:r>
      <w:r>
        <w:rPr>
          <w:spacing w:val="-11"/>
          <w:sz w:val="24"/>
        </w:rPr>
        <w:t> </w:t>
      </w:r>
      <w:r>
        <w:rPr>
          <w:sz w:val="24"/>
        </w:rPr>
        <w:t>A-B.</w:t>
      </w:r>
    </w:p>
    <w:p>
      <w:pPr>
        <w:pStyle w:val="BodyText"/>
        <w:spacing w:before="4"/>
        <w:rPr>
          <w:sz w:val="29"/>
        </w:rPr>
      </w:pPr>
    </w:p>
    <w:p>
      <w:pPr>
        <w:pStyle w:val="BodyText"/>
        <w:spacing w:line="352" w:lineRule="auto" w:before="1"/>
        <w:ind w:left="518" w:right="957"/>
        <w:jc w:val="both"/>
        <w:rPr>
          <w:sz w:val="16"/>
        </w:rPr>
      </w:pPr>
      <w:r>
        <w:rPr/>
        <w:t>Este ángulo está formado por el plano mandibular y el plano A-B, la medida es de 75.8° aproximadamente y representa el cono facial, de acuerdo con la disposición de los componentes de la estructura facial, el ángulo puede estar cerrado. Un ángulo abierto se relaciona con mordida profunda y un ángulo cerrado con mordida abierta. (Fig. 9)</w:t>
      </w:r>
      <w:r>
        <w:rPr>
          <w:position w:val="11"/>
          <w:sz w:val="16"/>
        </w:rPr>
        <w:t>42</w:t>
      </w:r>
    </w:p>
    <w:p>
      <w:pPr>
        <w:pStyle w:val="BodyText"/>
        <w:ind w:left="2786"/>
        <w:rPr>
          <w:sz w:val="20"/>
        </w:rPr>
      </w:pPr>
      <w:r>
        <w:rPr>
          <w:sz w:val="20"/>
        </w:rPr>
        <w:pict>
          <v:group style="width:239.9pt;height:165.35pt;mso-position-horizontal-relative:char;mso-position-vertical-relative:line" coordorigin="0,0" coordsize="4798,3307">
            <v:shape style="position:absolute;left:0;top:91;width:4781;height:3125" type="#_x0000_t75" stroked="false">
              <v:imagedata r:id="rId83" o:title=""/>
            </v:shape>
            <v:shape style="position:absolute;left:1341;top:1138;width:296;height:201" type="#_x0000_t75" stroked="false">
              <v:imagedata r:id="rId84" o:title=""/>
            </v:shape>
            <v:shape style="position:absolute;left:2512;top:1096;width:139;height:410" type="#_x0000_t75" stroked="false">
              <v:imagedata r:id="rId85" o:title=""/>
            </v:shape>
            <v:shape style="position:absolute;left:2482;top:1188;width:288;height:226" type="#_x0000_t75" stroked="false">
              <v:imagedata r:id="rId36" o:title=""/>
            </v:shape>
            <v:shape style="position:absolute;left:4045;top:390;width:365;height:471" type="#_x0000_t75" stroked="false">
              <v:imagedata r:id="rId86" o:title=""/>
            </v:shape>
            <v:shape style="position:absolute;left:1504;top:188;width:2354;height:1482" type="#_x0000_t75" stroked="false">
              <v:imagedata r:id="rId87" o:title=""/>
            </v:shape>
            <v:shape style="position:absolute;left:2316;top:574;width:857;height:79" coordorigin="2316,574" coordsize="857,79" path="m2316,652l2333,640,2374,614,2423,587,2463,574,2489,577,2522,587,2557,598,2585,604,2627,604,2678,599,2730,593,2772,591,2877,595,3010,606,3124,619,3172,625e" filled="false" stroked="true" strokeweight="1pt" strokecolor="#000000">
              <v:path arrowok="t"/>
            </v:shape>
            <v:shape style="position:absolute;left:3366;top:0;width:1432;height:3307" type="#_x0000_t75" stroked="false">
              <v:imagedata r:id="rId88" o:title=""/>
            </v:shape>
            <v:shape style="position:absolute;left:4117;top:1507;width:419;height:159" coordorigin="4117,1507" coordsize="419,159" path="m4117,1638l4130,1642,4159,1651,4192,1661,4215,1666,4268,1647,4325,1599,4381,1547,4434,1516,4459,1513,4493,1510,4523,1508,4536,1507e" filled="false" stroked="true" strokeweight="1pt" strokecolor="#000000">
              <v:path arrowok="t"/>
            </v:shape>
            <v:shape style="position:absolute;left:3505;top:738;width:346;height:55" coordorigin="3505,738" coordsize="346,55" path="m3505,738l3633,743,3735,753,3810,772,3845,790,3850,793e" filled="false" stroked="true" strokeweight="1pt" strokecolor="#000000">
              <v:path arrowok="t"/>
            </v:shape>
            <v:shape style="position:absolute;left:3505;top:551;width:335;height:187" coordorigin="3505,551" coordsize="335,187" path="m3505,738l3631,684,3729,636,3800,591,3835,556,3840,551e" filled="false" stroked="true" strokeweight="1pt" strokecolor="#000000">
              <v:path arrowok="t"/>
            </v:shape>
            <v:shape style="position:absolute;left:3514;top:634;width:317;height:22" type="#_x0000_t75" stroked="false">
              <v:imagedata r:id="rId89" o:title=""/>
            </v:shape>
            <v:shape style="position:absolute;left:3800;top:590;width:26;height:182" coordorigin="3800,590" coordsize="26,182" path="m3810,772l3813,761,3818,735,3824,705,3826,681,3822,658,3813,628,3804,601,3800,590e" filled="false" stroked="true" strokeweight="1pt" strokecolor="#000000">
              <v:path arrowok="t"/>
            </v:shape>
            <v:shape style="position:absolute;left:3809;top:672;width:288;height:19" type="#_x0000_t75" stroked="false">
              <v:imagedata r:id="rId90" o:title=""/>
            </v:shape>
            <v:shape style="position:absolute;left:3491;top:2430;width:390;height:614" type="#_x0000_t75" stroked="false">
              <v:imagedata r:id="rId91" o:title=""/>
            </v:shape>
            <v:shape style="position:absolute;left:1690;top:1152;width:1907;height:1842" type="#_x0000_t75" stroked="false">
              <v:imagedata r:id="rId92" o:title=""/>
            </v:shape>
            <v:shape style="position:absolute;left:2642;top:1604;width:1459;height:480" type="#_x0000_t75" stroked="false">
              <v:imagedata r:id="rId93" o:title=""/>
            </v:shape>
            <v:shape style="position:absolute;left:3856;top:1973;width:188;height:275" coordorigin="3856,1973" coordsize="188,275" path="m4015,1973l4031,2014,4037,2064,4043,2111,4041,2169,4037,2202,4033,2227,4017,2248,3999,2245,3975,2229,3961,2196,3947,2167,3931,2136,3903,2109,3874,2088,3856,2075,3870,2052,3899,2038,3937,2035,3969,2032,3995,2018,4011,1994,4015,1973e" filled="false" stroked="true" strokeweight="1pt" strokecolor="#000000">
              <v:path arrowok="t"/>
            </v:shape>
            <v:shape style="position:absolute;left:3866;top:2054;width:288;height:113" type="#_x0000_t75" stroked="false">
              <v:imagedata r:id="rId94" o:title=""/>
            </v:shape>
            <v:shape style="position:absolute;left:3746;top:1704;width:308;height:381" type="#_x0000_t75" stroked="false">
              <v:imagedata r:id="rId95" o:title=""/>
            </v:shape>
            <v:shape style="position:absolute;left:3662;top:2138;width:307;height:334" type="#_x0000_t75" stroked="false">
              <v:imagedata r:id="rId96" o:title=""/>
            </v:shape>
            <v:shape style="position:absolute;left:3621;top:2430;width:308;height:248" type="#_x0000_t75" stroked="false">
              <v:imagedata r:id="rId97" o:title=""/>
            </v:shape>
            <v:shape style="position:absolute;left:2885;top:1829;width:371;height:291" type="#_x0000_t75" stroked="false">
              <v:imagedata r:id="rId98" o:title=""/>
            </v:shape>
            <v:shape style="position:absolute;left:2959;top:1570;width:347;height:357" type="#_x0000_t75" stroked="false">
              <v:imagedata r:id="rId99" o:title=""/>
            </v:shape>
            <v:shape style="position:absolute;left:2901;top:2054;width:371;height:249" type="#_x0000_t75" stroked="false">
              <v:imagedata r:id="rId100" o:title=""/>
            </v:shape>
            <v:shape style="position:absolute;left:2796;top:2211;width:403;height:350" type="#_x0000_t75" stroked="false">
              <v:imagedata r:id="rId101" o:title=""/>
            </v:shape>
            <v:line style="position:absolute" from="3796,3187" to="4055,400" stroked="true" strokeweight="1.5pt" strokecolor="#000000"/>
            <v:line style="position:absolute" from="3796,3163" to="1269,1832" stroked="true" strokeweight="1.5pt" strokecolor="#000000"/>
            <v:shape style="position:absolute;left:3082;top:1969;width:556;height:411" coordorigin="3082,1969" coordsize="556,411" path="m3205,1969l3143,1976,3082,1996,3146,2002,3209,2020,3269,2051,3326,2093,3377,2145,3422,2207,3460,2277,3401,2291,3559,2379,3630,2249,3579,2249,3541,2178,3495,2116,3444,2065,3388,2023,3329,1993,3267,1975,3205,1969xm3638,2236l3579,2249,3630,2249,3638,2236xe" filled="true" fillcolor="#000000" stroked="false">
              <v:path arrowok="t"/>
              <v:fill type="solid"/>
            </v:shape>
            <v:shape style="position:absolute;left:2729;top:1921;width:929;height:663" type="#_x0000_t75" stroked="false">
              <v:imagedata r:id="rId102" o:title=""/>
            </v:shape>
          </v:group>
        </w:pict>
      </w:r>
      <w:r>
        <w:rPr>
          <w:sz w:val="20"/>
        </w:rPr>
      </w:r>
    </w:p>
    <w:p>
      <w:pPr>
        <w:spacing w:before="102"/>
        <w:ind w:left="2810" w:right="3234" w:firstLine="247"/>
        <w:jc w:val="left"/>
        <w:rPr>
          <w:sz w:val="18"/>
        </w:rPr>
      </w:pPr>
      <w:r>
        <w:rPr>
          <w:rFonts w:ascii="Calibri" w:hAnsi="Calibri"/>
          <w:sz w:val="22"/>
        </w:rPr>
        <w:t>Fig. 9 “Ángulo Plano Mandibular y Plano A-B” Fuente: </w:t>
      </w:r>
      <w:hyperlink r:id="rId57">
        <w:r>
          <w:rPr>
            <w:sz w:val="18"/>
            <w:u w:val="single"/>
          </w:rPr>
          <w:t>http://www.orthofree.com/cms/assets/pdf/99.pdf</w:t>
        </w:r>
      </w:hyperlink>
    </w:p>
    <w:p>
      <w:pPr>
        <w:pStyle w:val="BodyText"/>
        <w:spacing w:before="5"/>
        <w:rPr>
          <w:sz w:val="17"/>
        </w:rPr>
      </w:pPr>
    </w:p>
    <w:p>
      <w:pPr>
        <w:pStyle w:val="ListParagraph"/>
        <w:numPr>
          <w:ilvl w:val="0"/>
          <w:numId w:val="16"/>
        </w:numPr>
        <w:tabs>
          <w:tab w:pos="1239" w:val="left" w:leader="none"/>
        </w:tabs>
        <w:spacing w:line="240" w:lineRule="auto" w:before="70" w:after="0"/>
        <w:ind w:left="1238" w:right="0" w:hanging="360"/>
        <w:jc w:val="left"/>
        <w:rPr>
          <w:sz w:val="24"/>
        </w:rPr>
      </w:pPr>
      <w:r>
        <w:rPr>
          <w:sz w:val="24"/>
        </w:rPr>
        <w:t>Ángulo del Plano Horizontal de Frankfort con Plano</w:t>
      </w:r>
      <w:r>
        <w:rPr>
          <w:spacing w:val="-27"/>
          <w:sz w:val="24"/>
        </w:rPr>
        <w:t> </w:t>
      </w:r>
      <w:r>
        <w:rPr>
          <w:sz w:val="24"/>
        </w:rPr>
        <w:t>Palatino</w:t>
      </w:r>
    </w:p>
    <w:p>
      <w:pPr>
        <w:pStyle w:val="BodyText"/>
        <w:spacing w:before="4"/>
        <w:rPr>
          <w:sz w:val="29"/>
        </w:rPr>
      </w:pPr>
    </w:p>
    <w:p>
      <w:pPr>
        <w:pStyle w:val="BodyText"/>
        <w:spacing w:line="360" w:lineRule="auto" w:before="1"/>
        <w:ind w:left="518" w:right="964"/>
      </w:pPr>
      <w:r>
        <w:rPr/>
        <w:pict>
          <v:group style="position:absolute;margin-left:168.720001pt;margin-top:38.495865pt;width:254.75pt;height:172.6pt;mso-position-horizontal-relative:page;mso-position-vertical-relative:paragraph;z-index:-103192" coordorigin="3374,770" coordsize="5095,3452">
            <v:shape style="position:absolute;left:3374;top:863;width:5078;height:3266" type="#_x0000_t75" stroked="false">
              <v:imagedata r:id="rId103" o:title=""/>
            </v:shape>
            <v:shape style="position:absolute;left:4800;top:1958;width:295;height:209" type="#_x0000_t75" stroked="false">
              <v:imagedata r:id="rId104" o:title=""/>
            </v:shape>
            <v:shape style="position:absolute;left:6054;top:1924;width:127;height:408" coordorigin="6054,1924" coordsize="127,408" path="m6156,2331l6133,2284,6087,2176,6054,2054,6069,1967,6077,1957,6091,1943,6106,1930,6118,1924,6130,1929,6146,1942,6160,1956,6169,1967,6181,2016,6166,2083,6144,2152,6135,2208,6139,2240,6146,2281,6153,2316,6156,2331e" filled="false" stroked="true" strokeweight="1pt" strokecolor="#000000">
              <v:path arrowok="t"/>
            </v:shape>
            <v:shape style="position:absolute;left:6012;top:2006;width:288;height:245" type="#_x0000_t75" stroked="false">
              <v:imagedata r:id="rId105" o:title=""/>
            </v:shape>
            <v:shape style="position:absolute;left:7671;top:1177;width:386;height:491" type="#_x0000_t75" stroked="false">
              <v:imagedata r:id="rId106" o:title=""/>
            </v:shape>
            <v:shape style="position:absolute;left:4974;top:967;width:2498;height:1548" type="#_x0000_t75" stroked="false">
              <v:imagedata r:id="rId107" o:title=""/>
            </v:shape>
            <v:shape style="position:absolute;left:5834;top:1368;width:910;height:83" coordorigin="5834,1368" coordsize="910,83" path="m5834,1451l5853,1438,5897,1411,5949,1383,5991,1368,6018,1372,6054,1382,6090,1394,6120,1401,6165,1401,6219,1395,6274,1389,6319,1386,6431,1390,6572,1403,6693,1416,6744,1422e" filled="false" stroked="true" strokeweight="1pt" strokecolor="#000000">
              <v:path arrowok="t"/>
            </v:shape>
            <v:shape style="position:absolute;left:6950;top:770;width:1519;height:3452" type="#_x0000_t75" stroked="false">
              <v:imagedata r:id="rId108" o:title=""/>
            </v:shape>
            <v:shape style="position:absolute;left:7737;top:2334;width:464;height:185" type="#_x0000_t75" stroked="false">
              <v:imagedata r:id="rId109" o:title=""/>
            </v:shape>
            <v:shape style="position:absolute;left:7097;top:1345;width:367;height:253" coordorigin="7097,1345" coordsize="367,253" path="m7097,1540l7138,1541,7233,1545,7341,1556,7421,1576,7432,1581,7446,1588,7458,1595,7463,1598m7097,1540l7137,1524,7231,1484,7335,1434,7410,1386,7421,1376,7435,1362,7447,1350,7452,1345e" filled="false" stroked="true" strokeweight="1pt" strokecolor="#000000">
              <v:path arrowok="t"/>
            </v:shape>
            <v:shape style="position:absolute;left:7106;top:1427;width:336;height:31" type="#_x0000_t75" stroked="false">
              <v:imagedata r:id="rId110" o:title=""/>
            </v:shape>
            <v:shape style="position:absolute;left:7410;top:1386;width:28;height:191" coordorigin="7410,1386" coordsize="28,191" path="m7421,1576l7424,1565,7430,1537,7436,1506,7438,1481,7433,1456,7424,1425,7414,1397,7410,1386e" filled="false" stroked="true" strokeweight="1pt" strokecolor="#000000">
              <v:path arrowok="t"/>
            </v:shape>
            <v:shape style="position:absolute;left:7421;top:1468;width:288;height:26" type="#_x0000_t75" stroked="false">
              <v:imagedata r:id="rId111" o:title=""/>
            </v:shape>
            <v:shape style="position:absolute;left:7083;top:3308;width:413;height:640" type="#_x0000_t75" stroked="false">
              <v:imagedata r:id="rId112" o:title=""/>
            </v:shape>
            <v:shape style="position:absolute;left:5171;top:1973;width:2023;height:1922" type="#_x0000_t75" stroked="false">
              <v:imagedata r:id="rId113" o:title=""/>
            </v:shape>
            <v:shape style="position:absolute;left:6181;top:2445;width:1548;height:500" type="#_x0000_t75" stroked="false">
              <v:imagedata r:id="rId114" o:title=""/>
            </v:shape>
            <v:shape style="position:absolute;left:7459;top:2820;width:307;height:307" type="#_x0000_t75" stroked="false">
              <v:imagedata r:id="rId115" o:title=""/>
            </v:shape>
            <v:shape style="position:absolute;left:7354;top:2549;width:310;height:396" type="#_x0000_t75" stroked="false">
              <v:imagedata r:id="rId116" o:title=""/>
            </v:shape>
            <v:shape style="position:absolute;left:7265;top:3003;width:307;height:348" type="#_x0000_t75" stroked="false">
              <v:imagedata r:id="rId117" o:title=""/>
            </v:shape>
            <v:shape style="position:absolute;left:7221;top:3308;width:308;height:258" type="#_x0000_t75" stroked="false">
              <v:imagedata r:id="rId118" o:title=""/>
            </v:shape>
            <v:shape style="position:absolute;left:6440;top:2680;width:392;height:303" type="#_x0000_t75" stroked="false">
              <v:imagedata r:id="rId119" o:title=""/>
            </v:shape>
            <v:shape style="position:absolute;left:6518;top:2409;width:367;height:372" type="#_x0000_t75" stroked="false">
              <v:imagedata r:id="rId120" o:title=""/>
            </v:shape>
            <v:shape style="position:absolute;left:6457;top:2915;width:392;height:259" type="#_x0000_t75" stroked="false">
              <v:imagedata r:id="rId121" o:title=""/>
            </v:shape>
            <v:shape style="position:absolute;left:6345;top:3078;width:426;height:364" type="#_x0000_t75" stroked="false">
              <v:imagedata r:id="rId122" o:title=""/>
            </v:shape>
            <v:shape style="position:absolute;left:4925;top:1924;width:2940;height:623" coordorigin="4925,1924" coordsize="2940,623" path="m4925,1969l7864,1924m7841,2330l6083,2547e" filled="false" stroked="true" strokeweight="1.5pt" strokecolor="#000000">
              <v:path arrowok="t"/>
            </v:shape>
            <v:shape style="position:absolute;left:7737;top:2298;width:286;height:292" type="#_x0000_t75" stroked="false">
              <v:imagedata r:id="rId123" o:title=""/>
            </v:shape>
            <v:shape style="position:absolute;left:7796;top:2353;width:298;height:139" type="#_x0000_t75" stroked="false">
              <v:imagedata r:id="rId124" o:title=""/>
            </v:shape>
            <v:line style="position:absolute" from="7747,2462" to="6065,2496" stroked="true" strokeweight="1.5pt" strokecolor="#000000"/>
            <w10:wrap type="none"/>
          </v:group>
        </w:pict>
      </w:r>
      <w:r>
        <w:rPr/>
        <w:t>Está formado por el plano horizontal de Frankfort y el plano palatino; el promedio es de aproximadamente -2° y representa la posición del paladar. (Fig. 10)</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3"/>
        <w:rPr>
          <w:sz w:val="26"/>
        </w:rPr>
      </w:pPr>
    </w:p>
    <w:p>
      <w:pPr>
        <w:spacing w:line="362" w:lineRule="auto" w:before="0"/>
        <w:ind w:left="2846" w:right="2898" w:hanging="267"/>
        <w:jc w:val="left"/>
        <w:rPr>
          <w:sz w:val="18"/>
        </w:rPr>
      </w:pPr>
      <w:r>
        <w:rPr>
          <w:sz w:val="18"/>
        </w:rPr>
        <w:t>Fig. 10 “Ángulo Plano horizontal de Frankfort y Plano Palatino” Fuente: </w:t>
      </w:r>
      <w:hyperlink r:id="rId57">
        <w:r>
          <w:rPr>
            <w:sz w:val="18"/>
            <w:u w:val="single"/>
          </w:rPr>
          <w:t>http://www.orthofree.com/cms/assets/pdf/99.pdf</w:t>
        </w:r>
      </w:hyperlink>
    </w:p>
    <w:p>
      <w:pPr>
        <w:spacing w:after="0" w:line="362" w:lineRule="auto"/>
        <w:jc w:val="left"/>
        <w:rPr>
          <w:sz w:val="18"/>
        </w:rPr>
        <w:sectPr>
          <w:pgSz w:w="12240" w:h="15840"/>
          <w:pgMar w:header="596" w:footer="974" w:top="1440" w:bottom="1160" w:left="900" w:right="740"/>
        </w:sectPr>
      </w:pPr>
    </w:p>
    <w:p>
      <w:pPr>
        <w:pStyle w:val="BodyText"/>
        <w:spacing w:before="9"/>
        <w:rPr>
          <w:sz w:val="15"/>
        </w:rPr>
      </w:pPr>
    </w:p>
    <w:p>
      <w:pPr>
        <w:pStyle w:val="BodyText"/>
        <w:spacing w:line="360" w:lineRule="auto" w:before="70"/>
        <w:ind w:left="518" w:right="966"/>
        <w:jc w:val="both"/>
      </w:pPr>
      <w:r>
        <w:rPr/>
        <w:pict>
          <v:group style="position:absolute;margin-left:121.800003pt;margin-top:69.845848pt;width:302pt;height:216.35pt;mso-position-horizontal-relative:page;mso-position-vertical-relative:paragraph;z-index:1504;mso-wrap-distance-left:0;mso-wrap-distance-right:0" coordorigin="2436,1397" coordsize="6040,4327">
            <v:shape style="position:absolute;left:2436;top:1490;width:6024;height:3643" type="#_x0000_t75" stroked="false">
              <v:imagedata r:id="rId125" o:title=""/>
            </v:shape>
            <v:shape style="position:absolute;left:3564;top:2888;width:290;height:258" type="#_x0000_t75" stroked="false">
              <v:imagedata r:id="rId126" o:title=""/>
            </v:shape>
            <v:shape style="position:absolute;left:5241;top:2843;width:170;height:512" coordorigin="5241,2843" coordsize="170,512" path="m5378,3354l5347,3295,5285,3159,5241,3006,5261,2897,5272,2884,5291,2866,5310,2850,5326,2843,5343,2849,5364,2865,5383,2883,5395,2897,5411,2958,5391,3042,5362,3128,5349,3199,5355,3239,5364,3291,5374,3335,5378,3354e" filled="false" stroked="true" strokeweight="1.0pt" strokecolor="#000000">
              <v:path arrowok="t"/>
            </v:shape>
            <v:shape style="position:absolute;left:5179;top:2925;width:288;height:348" type="#_x0000_t75" stroked="false">
              <v:imagedata r:id="rId127" o:title=""/>
            </v:shape>
            <v:shape style="position:absolute;left:7412;top:1908;width:511;height:611" type="#_x0000_t75" stroked="false">
              <v:imagedata r:id="rId128" o:title=""/>
            </v:shape>
            <v:shape style="position:absolute;left:3797;top:1643;width:3341;height:1941" type="#_x0000_t75" stroked="false">
              <v:imagedata r:id="rId129" o:title=""/>
            </v:shape>
            <v:shape style="position:absolute;left:4947;top:2146;width:1220;height:103" coordorigin="4947,2146" coordsize="1220,103" path="m4947,2249l4971,2233,5030,2199,5100,2163,5157,2146,5193,2150,5241,2163,5290,2177,5330,2186,5390,2186,5463,2179,5536,2172,5596,2168,5746,2173,5935,2189,6097,2205,6166,2213e" filled="false" stroked="true" strokeweight="1pt" strokecolor="#000000">
              <v:path arrowok="t"/>
            </v:shape>
            <v:shape style="position:absolute;left:6445;top:1397;width:2030;height:4327" type="#_x0000_t75" stroked="false">
              <v:imagedata r:id="rId130" o:title=""/>
            </v:shape>
            <v:shape style="position:absolute;left:7500;top:3359;width:616;height:227" type="#_x0000_t75" stroked="false">
              <v:imagedata r:id="rId131" o:title=""/>
            </v:shape>
            <v:shape style="position:absolute;left:6639;top:2361;width:492;height:72" coordorigin="6639,2361" coordsize="492,72" path="m6639,2361l6821,2368,6966,2381,7074,2406,7124,2430,7130,2433e" filled="false" stroked="true" strokeweight="1pt" strokecolor="#000000">
              <v:path arrowok="t"/>
            </v:shape>
            <v:shape style="position:absolute;left:6639;top:2116;width:477;height:245" coordorigin="6639,2116" coordsize="477,245" path="m6639,2361l6818,2291,6959,2227,7059,2168,7109,2123,7116,2116e" filled="false" stroked="true" strokeweight="1pt" strokecolor="#000000">
              <v:path arrowok="t"/>
            </v:shape>
            <v:shape style="position:absolute;left:6648;top:2198;width:458;height:82" type="#_x0000_t75" stroked="false">
              <v:imagedata r:id="rId132" o:title=""/>
            </v:shape>
            <v:shape style="position:absolute;left:7059;top:2168;width:37;height:239" coordorigin="7059,2168" coordsize="37,239" path="m7073,2406l7077,2392,7086,2357,7093,2318,7096,2287,7090,2256,7077,2216,7065,2182,7059,2168e" filled="false" stroked="true" strokeweight="1.0pt" strokecolor="#000000">
              <v:path arrowok="t"/>
            </v:shape>
            <v:shape style="position:absolute;left:7068;top:2251;width:288;height:74" type="#_x0000_t75" stroked="false">
              <v:imagedata r:id="rId133" o:title=""/>
            </v:shape>
            <v:shape style="position:absolute;left:6624;top:4582;width:547;height:799" type="#_x0000_t75" stroked="false">
              <v:imagedata r:id="rId134" o:title=""/>
            </v:shape>
            <v:shape style="position:absolute;left:4061;top:2907;width:2705;height:2407" type="#_x0000_t75" stroked="false">
              <v:imagedata r:id="rId135" o:title=""/>
            </v:shape>
            <v:shape style="position:absolute;left:5415;top:3499;width:2068;height:623" type="#_x0000_t75" stroked="false">
              <v:imagedata r:id="rId136" o:title=""/>
            </v:shape>
            <v:shape style="position:absolute;left:7128;top:3969;width:287;height:380" type="#_x0000_t75" stroked="false">
              <v:imagedata r:id="rId137" o:title=""/>
            </v:shape>
            <v:shape style="position:absolute;left:7147;top:4060;width:288;height:197" type="#_x0000_t75" stroked="false">
              <v:imagedata r:id="rId138" o:title=""/>
            </v:shape>
            <v:shape style="position:absolute;left:6987;top:3629;width:389;height:493" type="#_x0000_t75" stroked="false">
              <v:imagedata r:id="rId139" o:title=""/>
            </v:shape>
            <v:shape style="position:absolute;left:6867;top:4199;width:403;height:431" type="#_x0000_t75" stroked="false">
              <v:imagedata r:id="rId140" o:title=""/>
            </v:shape>
            <v:shape style="position:absolute;left:6808;top:4582;width:363;height:319" type="#_x0000_t75" stroked="false">
              <v:imagedata r:id="rId141" o:title=""/>
            </v:shape>
            <v:shape style="position:absolute;left:6828;top:4675;width:324;height:134" type="#_x0000_t75" stroked="false">
              <v:imagedata r:id="rId142" o:title=""/>
            </v:shape>
            <v:shape style="position:absolute;left:5761;top:3794;width:519;height:376" type="#_x0000_t75" stroked="false">
              <v:imagedata r:id="rId143" o:title=""/>
            </v:shape>
            <v:shape style="position:absolute;left:5867;top:3454;width:485;height:461" type="#_x0000_t75" stroked="false">
              <v:imagedata r:id="rId144" o:title=""/>
            </v:shape>
            <v:shape style="position:absolute;left:5784;top:4088;width:519;height:320" type="#_x0000_t75" stroked="false">
              <v:imagedata r:id="rId145" o:title=""/>
            </v:shape>
            <v:shape style="position:absolute;left:5634;top:4294;width:564;height:452" type="#_x0000_t75" stroked="false">
              <v:imagedata r:id="rId146" o:title=""/>
            </v:shape>
            <v:line style="position:absolute" from="3727,2899" to="7668,2843" stroked="true" strokeweight="1.5pt" strokecolor="#000000"/>
            <v:line style="position:absolute" from="7523,3684" to="5311,3509" stroked="true" strokeweight="1.5pt" strokecolor="#000000"/>
            <v:shape style="position:absolute;left:7506;top:3480;width:367;height:357" type="#_x0000_t75" stroked="false">
              <v:imagedata r:id="rId147" o:title=""/>
            </v:shape>
            <v:shape style="position:absolute;left:7566;top:3540;width:312;height:202" type="#_x0000_t75" stroked="false">
              <v:imagedata r:id="rId148" o:title=""/>
            </v:shape>
            <v:line style="position:absolute" from="7510,3518" to="5255,3561" stroked="true" strokeweight="1.5pt" strokecolor="#000000"/>
            <w10:wrap type="topAndBottom"/>
          </v:group>
        </w:pict>
      </w:r>
      <w:r>
        <w:rPr/>
        <w:t>Cuando el plano palatino se relaciona con el plano de Frankfort en dirección inferior y anterior, el ángulo se lee como positivo, esto indica que el paladar está inclinado hacia  adelante y abajo,  se relaciona con mordida profunda. (Fig. 11)</w:t>
      </w:r>
    </w:p>
    <w:p>
      <w:pPr>
        <w:pStyle w:val="BodyText"/>
        <w:rPr>
          <w:sz w:val="26"/>
        </w:rPr>
      </w:pPr>
    </w:p>
    <w:p>
      <w:pPr>
        <w:spacing w:before="0"/>
        <w:ind w:left="2846" w:right="3271" w:firstLine="478"/>
        <w:jc w:val="left"/>
        <w:rPr>
          <w:sz w:val="18"/>
        </w:rPr>
      </w:pPr>
      <w:r>
        <w:rPr>
          <w:sz w:val="18"/>
        </w:rPr>
        <w:t>Fig. 11 “Ángulo positivo= mordida profunda” Fuente: </w:t>
      </w:r>
      <w:hyperlink r:id="rId57">
        <w:r>
          <w:rPr>
            <w:sz w:val="18"/>
            <w:u w:val="single"/>
          </w:rPr>
          <w:t>http://www.orthofree.com/cms/assets/pdf/99.pdf</w:t>
        </w:r>
      </w:hyperlink>
    </w:p>
    <w:p>
      <w:pPr>
        <w:pStyle w:val="BodyText"/>
        <w:rPr>
          <w:sz w:val="12"/>
        </w:rPr>
      </w:pPr>
    </w:p>
    <w:p>
      <w:pPr>
        <w:pStyle w:val="BodyText"/>
        <w:spacing w:line="345" w:lineRule="auto" w:before="69"/>
        <w:ind w:left="518" w:right="966"/>
        <w:jc w:val="both"/>
        <w:rPr>
          <w:sz w:val="16"/>
        </w:rPr>
      </w:pPr>
      <w:r>
        <w:rPr/>
        <w:t>Cuando el plano palatino se relaciona con Frankfort en dirección superior y anterior se lee como negativo, esto indica que el paladar está inclinado hacia arriba y hacia adelante, lo que se relaciona con mordida abierta. (Fig.</w:t>
      </w:r>
      <w:r>
        <w:rPr>
          <w:spacing w:val="-16"/>
        </w:rPr>
        <w:t> </w:t>
      </w:r>
      <w:r>
        <w:rPr/>
        <w:t>12)</w:t>
      </w:r>
      <w:r>
        <w:rPr>
          <w:position w:val="11"/>
          <w:sz w:val="16"/>
        </w:rPr>
        <w:t>42</w:t>
      </w:r>
    </w:p>
    <w:p>
      <w:pPr>
        <w:pStyle w:val="BodyText"/>
        <w:spacing w:before="3"/>
        <w:rPr>
          <w:sz w:val="11"/>
        </w:rPr>
      </w:pPr>
      <w:r>
        <w:rPr/>
        <w:pict>
          <v:group style="position:absolute;margin-left:104.760002pt;margin-top:8.471576pt;width:312.8pt;height:195.85pt;mso-position-horizontal-relative:page;mso-position-vertical-relative:paragraph;z-index:1528;mso-wrap-distance-left:0;mso-wrap-distance-right:0" coordorigin="2095,169" coordsize="6256,3917">
            <v:shape style="position:absolute;left:2095;top:262;width:6240;height:3732" type="#_x0000_t75" stroked="false">
              <v:imagedata r:id="rId149" o:title=""/>
            </v:shape>
            <v:shape style="position:absolute;left:3849;top:1519;width:293;height:235" type="#_x0000_t75" stroked="false">
              <v:imagedata r:id="rId150" o:title=""/>
            </v:shape>
            <v:shape style="position:absolute;left:5386;top:1478;width:156;height:463" coordorigin="5386,1478" coordsize="156,463" path="m5512,1941l5483,1888,5427,1765,5386,1626,5405,1527,5415,1516,5432,1500,5450,1485,5465,1478,5480,1485,5499,1499,5516,1515,5527,1527,5542,1583,5524,1659,5497,1737,5486,1800,5491,1837,5500,1884,5508,1924,5512,1941e" filled="false" stroked="true" strokeweight="1pt" strokecolor="#000000">
              <v:path arrowok="t"/>
            </v:shape>
            <v:shape style="position:absolute;left:5333;top:1560;width:288;height:298" type="#_x0000_t75" stroked="false">
              <v:imagedata r:id="rId151" o:title=""/>
            </v:shape>
            <v:shape style="position:absolute;left:7375;top:632;width:470;height:555" type="#_x0000_t75" stroked="false">
              <v:imagedata r:id="rId152" o:title=""/>
            </v:shape>
            <v:shape style="position:absolute;left:4062;top:392;width:3063;height:1758" type="#_x0000_t75" stroked="false">
              <v:imagedata r:id="rId153" o:title=""/>
            </v:shape>
            <v:shape style="position:absolute;left:5117;top:848;width:1118;height:94" coordorigin="5117,848" coordsize="1118,94" path="m5117,941l5140,927,5193,896,5257,864,5309,848,5343,852,5386,864,5431,877,5468,884,5523,884,5590,878,5657,871,5712,868,5849,873,6023,887,6171,902,6234,909e" filled="false" stroked="true" strokeweight="1pt" strokecolor="#000000">
              <v:path arrowok="t"/>
            </v:shape>
            <v:shape style="position:absolute;left:6489;top:169;width:1861;height:3917" type="#_x0000_t75" stroked="false">
              <v:imagedata r:id="rId154" o:title=""/>
            </v:shape>
            <v:shape style="position:absolute;left:7456;top:1945;width:566;height:208" type="#_x0000_t75" stroked="false">
              <v:imagedata r:id="rId155" o:title=""/>
            </v:shape>
            <v:shape style="position:absolute;left:6668;top:1043;width:450;height:66" coordorigin="6668,1043" coordsize="450,66" path="m6668,1043l6834,1049,6967,1061,7066,1083,7111,1105,7118,1108e" filled="false" stroked="true" strokeweight="1pt" strokecolor="#000000">
              <v:path arrowok="t"/>
            </v:shape>
            <v:shape style="position:absolute;left:6668;top:821;width:437;height:222" coordorigin="6668,821" coordsize="437,222" path="m6668,1043l6832,979,6960,922,7052,868,7098,827,7104,821e" filled="false" stroked="true" strokeweight="1pt" strokecolor="#000000">
              <v:path arrowok="t"/>
            </v:shape>
            <v:shape style="position:absolute;left:6679;top:903;width:415;height:58" type="#_x0000_t75" stroked="false">
              <v:imagedata r:id="rId156" o:title=""/>
            </v:shape>
            <v:shape style="position:absolute;left:7052;top:868;width:34;height:216" coordorigin="7052,868" coordsize="34,216" path="m7065,1083l7069,1070,7076,1039,7084,1004,7086,976,7081,948,7069,912,7057,881,7052,868e" filled="false" stroked="true" strokeweight="1.0pt" strokecolor="#000000">
              <v:path arrowok="t"/>
            </v:shape>
            <v:shape style="position:absolute;left:7063;top:948;width:288;height:53" type="#_x0000_t75" stroked="false">
              <v:imagedata r:id="rId157" o:title=""/>
            </v:shape>
            <v:shape style="position:absolute;left:6653;top:3051;width:503;height:724" type="#_x0000_t75" stroked="false">
              <v:imagedata r:id="rId158" o:title=""/>
            </v:shape>
            <v:shape style="position:absolute;left:4305;top:1536;width:2480;height:2180" type="#_x0000_t75" stroked="false">
              <v:imagedata r:id="rId159" o:title=""/>
            </v:shape>
            <v:shape style="position:absolute;left:5545;top:2071;width:1896;height:566" type="#_x0000_t75" stroked="false">
              <v:imagedata r:id="rId160" o:title=""/>
            </v:shape>
            <v:shape style="position:absolute;left:7115;top:2497;width:264;height:346" type="#_x0000_t75" stroked="false">
              <v:imagedata r:id="rId161" o:title=""/>
            </v:shape>
            <v:shape style="position:absolute;left:7135;top:2590;width:288;height:161" type="#_x0000_t75" stroked="false">
              <v:imagedata r:id="rId162" o:title=""/>
            </v:shape>
            <v:shape style="position:absolute;left:6985;top:2189;width:358;height:448" type="#_x0000_t75" stroked="false">
              <v:imagedata r:id="rId163" o:title=""/>
            </v:shape>
            <v:shape style="position:absolute;left:6876;top:2705;width:371;height:392" type="#_x0000_t75" stroked="false">
              <v:imagedata r:id="rId164" o:title=""/>
            </v:shape>
            <v:shape style="position:absolute;left:6822;top:3051;width:334;height:290" type="#_x0000_t75" stroked="false">
              <v:imagedata r:id="rId165" o:title=""/>
            </v:shape>
            <v:shape style="position:absolute;left:5862;top:2338;width:477;height:342" type="#_x0000_t75" stroked="false">
              <v:imagedata r:id="rId166" o:title=""/>
            </v:shape>
            <v:shape style="position:absolute;left:5959;top:2030;width:446;height:419" type="#_x0000_t75" stroked="false">
              <v:imagedata r:id="rId167" o:title=""/>
            </v:shape>
            <v:shape style="position:absolute;left:5883;top:2605;width:477;height:291" type="#_x0000_t75" stroked="false">
              <v:imagedata r:id="rId168" o:title=""/>
            </v:shape>
            <v:shape style="position:absolute;left:5746;top:2790;width:519;height:411" type="#_x0000_t75" stroked="false">
              <v:imagedata r:id="rId169" o:title=""/>
            </v:shape>
            <v:line style="position:absolute" from="4000,1529" to="7610,1478" stroked="true" strokeweight="1.5pt" strokecolor="#000000"/>
            <v:line style="position:absolute" from="7581,1939" to="5422,2185" stroked="true" strokeweight="1.5pt" strokecolor="#000000"/>
            <v:shape style="position:absolute;left:7461;top:1907;width:340;height:327" type="#_x0000_t75" stroked="false">
              <v:imagedata r:id="rId170" o:title=""/>
            </v:shape>
            <v:shape style="position:absolute;left:7519;top:1967;width:305;height:169" type="#_x0000_t75" stroked="false">
              <v:imagedata r:id="rId171" o:title=""/>
            </v:shape>
            <v:line style="position:absolute" from="7466,2089" to="5400,2128" stroked="true" strokeweight="1.5pt" strokecolor="#000000"/>
            <w10:wrap type="topAndBottom"/>
          </v:group>
        </w:pict>
      </w:r>
    </w:p>
    <w:p>
      <w:pPr>
        <w:spacing w:line="362" w:lineRule="auto" w:before="117"/>
        <w:ind w:left="2846" w:right="3271" w:firstLine="523"/>
        <w:jc w:val="left"/>
        <w:rPr>
          <w:sz w:val="18"/>
        </w:rPr>
      </w:pPr>
      <w:r>
        <w:rPr>
          <w:sz w:val="18"/>
        </w:rPr>
        <w:t>Fig. 12 “Ángulo negativo= mordida abierta” Fuente: </w:t>
      </w:r>
      <w:hyperlink r:id="rId57">
        <w:r>
          <w:rPr>
            <w:sz w:val="18"/>
            <w:u w:val="single"/>
          </w:rPr>
          <w:t>http://www.orthofree.com/cms/assets/pdf/99.pdf</w:t>
        </w:r>
      </w:hyperlink>
    </w:p>
    <w:p>
      <w:pPr>
        <w:spacing w:after="0" w:line="362" w:lineRule="auto"/>
        <w:jc w:val="left"/>
        <w:rPr>
          <w:sz w:val="18"/>
        </w:rPr>
        <w:sectPr>
          <w:pgSz w:w="12240" w:h="15840"/>
          <w:pgMar w:header="596" w:footer="974" w:top="1440" w:bottom="1160" w:left="900" w:right="740"/>
        </w:sectPr>
      </w:pPr>
    </w:p>
    <w:p>
      <w:pPr>
        <w:pStyle w:val="BodyText"/>
        <w:spacing w:before="9"/>
        <w:rPr>
          <w:sz w:val="15"/>
        </w:rPr>
      </w:pPr>
    </w:p>
    <w:p>
      <w:pPr>
        <w:spacing w:before="70"/>
        <w:ind w:left="518" w:right="0" w:firstLine="0"/>
        <w:jc w:val="both"/>
        <w:rPr>
          <w:b/>
          <w:sz w:val="24"/>
        </w:rPr>
      </w:pPr>
      <w:r>
        <w:rPr>
          <w:b/>
          <w:sz w:val="24"/>
        </w:rPr>
        <w:t>Indicador de displasia anteroposterior (APDI)</w:t>
      </w:r>
    </w:p>
    <w:p>
      <w:pPr>
        <w:pStyle w:val="BodyText"/>
        <w:spacing w:before="4"/>
        <w:rPr>
          <w:b/>
          <w:sz w:val="29"/>
        </w:rPr>
      </w:pPr>
    </w:p>
    <w:p>
      <w:pPr>
        <w:pStyle w:val="BodyText"/>
        <w:spacing w:line="360" w:lineRule="auto" w:before="1"/>
        <w:ind w:left="518" w:right="1296"/>
        <w:jc w:val="both"/>
      </w:pPr>
      <w:r>
        <w:rPr/>
        <w:t>Después de haber obtenido el ODI, Kim y Vietas, realizaron un trabajo similar analizando mediciones cefalométricas en sentido horizontal, que es llamado Indicador de la Displasia Anteroposterior (Anteroposterior Dysplasia Indicator APDI), en el cual se puede diferenciar el patrón anteroposterior de la</w:t>
      </w:r>
      <w:r>
        <w:rPr>
          <w:spacing w:val="-19"/>
        </w:rPr>
        <w:t> </w:t>
      </w:r>
      <w:r>
        <w:rPr/>
        <w:t>maloclusión.</w:t>
      </w:r>
    </w:p>
    <w:p>
      <w:pPr>
        <w:pStyle w:val="BodyText"/>
        <w:spacing w:line="360" w:lineRule="auto" w:before="204"/>
        <w:ind w:left="518" w:right="1299"/>
        <w:jc w:val="both"/>
      </w:pPr>
      <w:r>
        <w:rPr/>
        <w:t>El APDI es un análisis del componente horizontal, y se obtiene de la suma aritmética de tres ángulos: el ángulo del Plano Facial con Plano de Frankfort, el ángulo del Plano A-B con Plano Mandibular y el ángulo del Plano Palatino con Plano de Frankfort. (Fig. 13)</w:t>
      </w:r>
    </w:p>
    <w:p>
      <w:pPr>
        <w:pStyle w:val="BodyText"/>
        <w:spacing w:line="360" w:lineRule="auto" w:before="204"/>
        <w:ind w:left="518" w:right="1305"/>
        <w:jc w:val="both"/>
      </w:pPr>
      <w:r>
        <w:rPr/>
        <w:t>El APDI refleja el potencial de tratamiento del paciente, porque este puede cambiar con el crecimiento y tratamiento.</w:t>
      </w:r>
    </w:p>
    <w:p>
      <w:pPr>
        <w:pStyle w:val="BodyText"/>
        <w:spacing w:line="345" w:lineRule="auto" w:before="202"/>
        <w:ind w:left="518" w:right="1297"/>
        <w:jc w:val="both"/>
        <w:rPr>
          <w:sz w:val="16"/>
        </w:rPr>
      </w:pPr>
      <w:r>
        <w:rPr/>
        <w:pict>
          <v:group style="position:absolute;margin-left:147.600006pt;margin-top:83.690842pt;width:339.65pt;height:200.55pt;mso-position-horizontal-relative:page;mso-position-vertical-relative:paragraph;z-index:-103096" coordorigin="2952,1674" coordsize="6793,4011">
            <v:shape style="position:absolute;left:4261;top:1681;width:4051;height:3329" coordorigin="4261,1681" coordsize="4051,3329" path="m4261,2111l8311,2111m4261,2685l8311,2685m7501,1681l7366,5010m6589,2685l8311,2550e" filled="false" stroked="true" strokeweight=".75pt" strokecolor="#000000">
              <v:path arrowok="t"/>
            </v:shape>
            <v:shape style="position:absolute;left:6881;top:2107;width:446;height:439" coordorigin="6881,2107" coordsize="446,439" path="m6931,2505l6946,2415,6987,2360,7048,2304,7125,2248,7216,2195,7172,2107,7080,2160,7003,2216,6942,2272,6901,2327,6881,2376,6886,2417,6931,2505,6961,2533,7013,2546,7082,2544,7165,2528,7259,2497,7282,2541,7327,2412,7192,2365,7214,2409,7128,2438,7050,2455,6982,2459,6929,2450e" filled="false" stroked="true" strokeweight="2.0pt" strokecolor="#000000">
              <v:path arrowok="t"/>
            </v:shape>
            <v:shape style="position:absolute;left:6880;top:2198;width:431;height:389" type="#_x0000_t75" stroked="false">
              <v:imagedata r:id="rId172" o:title=""/>
            </v:shape>
            <v:shape style="position:absolute;left:7280;top:2770;width:495;height:449" coordorigin="7280,2770" coordsize="495,449" path="m7703,2825l7652,2813,7595,2825,7534,2857,7472,2909,7414,2978,7362,3061,7280,3017,7332,2934,7391,2865,7452,2814,7513,2781,7571,2770,7622,2782,7703,2825,7741,2861,7764,2915,7770,2985,7761,3066,7734,3156,7775,3178,7655,3218,7612,3091,7653,3112,7679,3022,7689,2939,7681,2868,7657,2813e" filled="false" stroked="true" strokeweight="2pt" strokecolor="#000000">
              <v:path arrowok="t"/>
            </v:shape>
            <v:shape style="position:absolute;left:7370;top:2753;width:451;height:448" type="#_x0000_t75" stroked="false">
              <v:imagedata r:id="rId173" o:title=""/>
            </v:shape>
            <v:shape style="position:absolute;left:8426;top:2521;width:276;height:394" type="#_x0000_t75" stroked="false">
              <v:imagedata r:id="rId174" o:title=""/>
            </v:shape>
            <v:shape style="position:absolute;left:8467;top:2634;width:288;height:175" type="#_x0000_t75" stroked="false">
              <v:imagedata r:id="rId175" o:title=""/>
            </v:shape>
            <v:shape style="position:absolute;left:7070;top:2053;width:2674;height:692" type="#_x0000_t75" stroked="false">
              <v:imagedata r:id="rId176" o:title=""/>
            </v:shape>
            <v:shape style="position:absolute;left:7232;top:2250;width:1479;height:348" coordorigin="7232,2250" coordsize="1479,348" path="m7300,2461l7289,2462,7232,2471,7252,2598,7277,2594,7270,2546,7287,2544,7299,2542,7307,2540,7313,2538,7318,2536,7322,2533,7326,2530,7330,2526,7331,2525,7267,2525,7261,2488,7283,2485,7289,2484,7334,2484,7331,2477,7325,2471,7319,2466,7312,2463,7305,2462,7300,2461xm7334,2484l7289,2484,7297,2485,7300,2486,7307,2491,7309,2495,7309,2500,7310,2503,7310,2507,7308,2510,7307,2513,7304,2516,7298,2519,7291,2521,7281,2522,7267,2525,7331,2525,7333,2521,7337,2510,7337,2503,7334,2485,7334,2484xm7415,2443l7388,2447,7357,2582,7385,2578,7391,2548,7442,2540,7472,2540,7463,2525,7395,2525,7406,2475,7434,2475,7415,2443xm7472,2540l7442,2540,7457,2567,7485,2563,7472,2540xm7503,2431l7478,2435,7497,2561,7586,2547,7585,2536,7519,2536,7503,2431xm7583,2526l7519,2536,7585,2536,7583,2526xm7434,2475l7406,2475,7430,2520,7395,2525,7463,2525,7434,2475xm7652,2407l7625,2411,7595,2546,7622,2542,7628,2512,7679,2504,7709,2504,7700,2489,7633,2489,7643,2439,7671,2439,7652,2407xm7709,2504l7679,2504,7695,2531,7723,2527,7709,2504xm7772,2415l7746,2415,7762,2521,7788,2517,7772,2415xm7671,2439l7643,2439,7668,2484,7633,2489,7700,2489,7671,2439xm7806,2384l7705,2399,7708,2421,7746,2415,7772,2415,7772,2411,7810,2405,7806,2384xm7890,2371l7862,2375,7832,2510,7859,2506,7865,2476,7916,2468,7946,2468,7937,2453,7870,2453,7880,2403,7908,2403,7890,2371xm7946,2468l7916,2468,7932,2495,7960,2491,7946,2468xm7978,2359l7952,2363,7971,2489,8061,2476,8059,2464,7994,2464,7978,2359xm8058,2454l7994,2464,8059,2464,8058,2454xm7908,2403l7880,2403,7905,2448,7870,2453,7937,2453,7908,2403xm8178,2328l8167,2329,8110,2338,8130,2465,8155,2461,8148,2413,8177,2409,8185,2407,8191,2405,8196,2403,8200,2401,8208,2393,8209,2392,8145,2392,8139,2356,8152,2354,8161,2352,8167,2352,8212,2352,8209,2344,8197,2333,8190,2330,8183,2329,8178,2328xm8212,2352l8167,2352,8175,2352,8178,2353,8185,2358,8187,2362,8187,2367,8188,2370,8188,2374,8186,2377,8185,2380,8182,2383,8179,2384,8176,2386,8169,2388,8159,2390,8145,2392,8209,2392,8211,2388,8213,2383,8215,2377,8215,2370,8212,2352,8212,2352xm8256,2317l8230,2321,8249,2447,8339,2434,8337,2422,8272,2422,8256,2317xm8335,2412l8272,2422,8337,2422,8335,2412xm8404,2293l8377,2298,8347,2432,8374,2428,8380,2398,8431,2390,8461,2390,8452,2375,8385,2375,8395,2325,8423,2325,8404,2293xm8461,2390l8431,2390,8447,2417,8475,2413,8461,2390xm8492,2280l8467,2284,8486,2411,8510,2408,8497,2325,8529,2325,8492,2280xm8529,2325l8497,2325,8561,2400,8587,2396,8581,2357,8557,2357,8529,2325xm8423,2325l8395,2325,8420,2370,8385,2375,8452,2375,8423,2325xm8568,2269l8544,2272,8557,2357,8581,2357,8568,2269xm8689,2250l8595,2265,8614,2392,8711,2377,8709,2367,8636,2367,8631,2332,8695,2322,8693,2311,8628,2311,8623,2282,8692,2272,8689,2250xm8707,2356l8636,2367,8709,2367,8707,2356xm8692,2301l8628,2311,8693,2311,8692,2301xe" filled="true" fillcolor="#000000" stroked="false">
              <v:path arrowok="t"/>
              <v:fill type="solid"/>
            </v:shape>
            <v:shape style="position:absolute;left:2952;top:2183;width:4723;height:300" type="#_x0000_t75" stroked="false">
              <v:imagedata r:id="rId177" o:title=""/>
            </v:shape>
            <v:shape style="position:absolute;left:6450;top:1714;width:1736;height:3216" type="#_x0000_t75" stroked="false">
              <v:imagedata r:id="rId178" o:title=""/>
            </v:shape>
            <v:shape style="position:absolute;left:6572;top:4562;width:150;height:193" type="#_x0000_t75" stroked="false">
              <v:imagedata r:id="rId179" o:title=""/>
            </v:shape>
            <v:shape style="position:absolute;left:6637;top:3829;width:449;height:746" coordorigin="6637,3829" coordsize="449,746" path="m6700,4438l6695,4438,6690,4439,6685,4440,6681,4443,6677,4445,6673,4448,6670,4452,6667,4457,6664,4463,6637,4519,6753,4575,6769,4542,6745,4542,6714,4527,6718,4518,6694,4518,6667,4505,6674,4491,6679,4480,6683,4474,6686,4468,6689,4465,6692,4464,6696,4464,6728,4464,6726,4458,6723,4453,6720,4448,6716,4444,6705,4439,6700,4438xm6786,4483l6747,4483,6750,4483,6753,4485,6757,4487,6760,4490,6762,4493,6763,4496,6763,4500,6762,4504,6762,4506,6759,4512,6745,4542,6769,4542,6772,4535,6779,4520,6783,4511,6785,4506,6787,4500,6788,4496,6788,4493,6787,4488,6786,4483xm6728,4464l6696,4464,6699,4464,6703,4466,6706,4467,6709,4470,6711,4477,6711,4481,6709,4487,6706,4493,6694,4518,6718,4518,6724,4506,6728,4497,6732,4491,6734,4488,6737,4485,6740,4484,6743,4483,6747,4483,6786,4483,6786,4482,6784,4477,6780,4472,6778,4470,6727,4470,6728,4464xm6753,4457l6739,4460,6733,4464,6727,4470,6778,4470,6776,4467,6771,4464,6766,4461,6759,4458,6753,4457xm6776,4279l6768,4281,6760,4282,6753,4286,6748,4292,6745,4296,6740,4305,6731,4323,6715,4357,6831,4413,6842,4389,6798,4368,6803,4359,6779,4359,6746,4343,6751,4331,6756,4323,6758,4317,6760,4315,6763,4311,6766,4309,6770,4308,6774,4307,6815,4307,6813,4302,6809,4297,6806,4292,6801,4288,6793,4285,6784,4280,6776,4279xm6815,4307l6774,4307,6778,4307,6782,4309,6786,4311,6788,4313,6792,4319,6792,4323,6792,4330,6789,4336,6779,4359,6803,4359,6811,4342,6814,4334,6817,4323,6817,4317,6815,4308,6815,4307,6815,4307xm6779,4225l6768,4248,6883,4304,6899,4271,6875,4271,6779,4225xm6903,4213l6875,4271,6899,4271,6923,4222,6903,4213xm6844,4089l6832,4113,6926,4215,6938,4190,6916,4167,6924,4151,6900,4151,6865,4114,6974,4114,6982,4098,6844,4089xm6974,4114l6865,4114,6916,4119,6900,4151,6924,4151,6939,4121,6971,4121,6974,4114xm6971,4121l6939,4121,6970,4124,6971,4121xm6915,3940l6905,3962,6982,3999,6882,4009,6871,4032,6987,4088,6998,4066,6922,4030,7020,4019,7031,3996,6915,3940xm6969,3829l6927,3915,7043,3971,7059,3938,7035,3938,7003,3923,7008,3914,6984,3914,6958,3901,6988,3839,6969,3829xm7066,3874l7035,3938,7059,3938,7086,3883,7066,3874xm7012,3856l6984,3914,7008,3914,7031,3865,7012,3856xe" filled="true" fillcolor="#000000" stroked="false">
              <v:path arrowok="t"/>
              <v:fill type="solid"/>
            </v:shape>
            <v:shape style="position:absolute;left:7576;top:3352;width:276;height:2333" type="#_x0000_t75" stroked="false">
              <v:imagedata r:id="rId180" o:title=""/>
            </v:shape>
            <v:shape style="position:absolute;left:3096;top:2209;width:3008;height:180" type="#_x0000_t202" filled="false" stroked="false">
              <v:textbox inset="0,0,0,0">
                <w:txbxContent>
                  <w:p>
                    <w:pPr>
                      <w:spacing w:line="180" w:lineRule="exact" w:before="0"/>
                      <w:ind w:left="0" w:right="-15" w:firstLine="0"/>
                      <w:jc w:val="left"/>
                      <w:rPr>
                        <w:b/>
                        <w:sz w:val="18"/>
                      </w:rPr>
                    </w:pPr>
                    <w:r>
                      <w:rPr>
                        <w:b/>
                        <w:sz w:val="18"/>
                      </w:rPr>
                      <w:t>FRANKFORT HORIZONTAL</w:t>
                    </w:r>
                    <w:r>
                      <w:rPr>
                        <w:b/>
                        <w:spacing w:val="-7"/>
                        <w:sz w:val="18"/>
                      </w:rPr>
                      <w:t> </w:t>
                    </w:r>
                    <w:r>
                      <w:rPr>
                        <w:b/>
                        <w:sz w:val="18"/>
                      </w:rPr>
                      <w:t>PLANE</w:t>
                    </w:r>
                  </w:p>
                </w:txbxContent>
              </v:textbox>
              <w10:wrap type="none"/>
            </v:shape>
            <w10:wrap type="none"/>
          </v:group>
        </w:pict>
      </w:r>
      <w:r>
        <w:rPr/>
        <w:pict>
          <v:shape style="position:absolute;margin-left:381.46283pt;margin-top:173.85585pt;width:11pt;height:70.4pt;mso-position-horizontal-relative:page;mso-position-vertical-relative:paragraph;z-index:1600" type="#_x0000_t202" filled="false" stroked="false">
            <v:textbox inset="0,0,0,0" style="layout-flow:vertical">
              <w:txbxContent>
                <w:p>
                  <w:pPr>
                    <w:spacing w:line="204" w:lineRule="exact" w:before="0"/>
                    <w:ind w:left="20" w:right="-476" w:firstLine="0"/>
                    <w:jc w:val="left"/>
                    <w:rPr>
                      <w:b/>
                      <w:sz w:val="18"/>
                    </w:rPr>
                  </w:pPr>
                  <w:r>
                    <w:rPr>
                      <w:b/>
                      <w:w w:val="99"/>
                      <w:sz w:val="18"/>
                    </w:rPr>
                    <w:t>F</w:t>
                  </w:r>
                  <w:r>
                    <w:rPr>
                      <w:b/>
                      <w:spacing w:val="-3"/>
                      <w:w w:val="99"/>
                      <w:sz w:val="18"/>
                    </w:rPr>
                    <w:t>A</w:t>
                  </w:r>
                  <w:r>
                    <w:rPr>
                      <w:b/>
                      <w:w w:val="99"/>
                      <w:sz w:val="18"/>
                    </w:rPr>
                    <w:t>C</w:t>
                  </w:r>
                  <w:r>
                    <w:rPr>
                      <w:b/>
                      <w:spacing w:val="2"/>
                      <w:w w:val="99"/>
                      <w:sz w:val="18"/>
                    </w:rPr>
                    <w:t>I</w:t>
                  </w:r>
                  <w:r>
                    <w:rPr>
                      <w:b/>
                      <w:spacing w:val="-3"/>
                      <w:w w:val="99"/>
                      <w:sz w:val="18"/>
                    </w:rPr>
                    <w:t>A</w:t>
                  </w:r>
                  <w:r>
                    <w:rPr>
                      <w:b/>
                      <w:sz w:val="18"/>
                    </w:rPr>
                    <w:t>L  P</w:t>
                  </w:r>
                  <w:r>
                    <w:rPr>
                      <w:b/>
                      <w:spacing w:val="2"/>
                      <w:sz w:val="18"/>
                    </w:rPr>
                    <w:t>L</w:t>
                  </w:r>
                  <w:r>
                    <w:rPr>
                      <w:b/>
                      <w:spacing w:val="-3"/>
                      <w:w w:val="99"/>
                      <w:sz w:val="18"/>
                    </w:rPr>
                    <w:t>A</w:t>
                  </w:r>
                  <w:r>
                    <w:rPr>
                      <w:b/>
                      <w:w w:val="99"/>
                      <w:sz w:val="18"/>
                    </w:rPr>
                    <w:t>NE</w:t>
                  </w:r>
                </w:p>
              </w:txbxContent>
            </v:textbox>
            <w10:wrap type="none"/>
          </v:shape>
        </w:pict>
      </w:r>
      <w:r>
        <w:rPr/>
        <w:t>En una muestra caucásica normal, el promedio de APDI es 81.4° con una desviación estándar de 4°. Cuando el promedio se aproxima a 70°, se tiene una maloclusión Clase II; cuando se aproxima a 80° y 90°, es probable de Clase III.</w:t>
      </w:r>
      <w:r>
        <w:rPr>
          <w:position w:val="11"/>
          <w:sz w:val="16"/>
        </w:rPr>
        <w:t>41</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3"/>
        <w:rPr>
          <w:sz w:val="32"/>
        </w:rPr>
      </w:pPr>
    </w:p>
    <w:p>
      <w:pPr>
        <w:spacing w:before="1"/>
        <w:ind w:left="2828" w:right="3606" w:firstLine="0"/>
        <w:jc w:val="center"/>
        <w:rPr>
          <w:sz w:val="18"/>
        </w:rPr>
      </w:pPr>
      <w:r>
        <w:rPr>
          <w:sz w:val="18"/>
        </w:rPr>
        <w:t>Fig. 13 “Displasia Anteroposterior”</w:t>
      </w:r>
    </w:p>
    <w:p>
      <w:pPr>
        <w:spacing w:before="102"/>
        <w:ind w:left="2828" w:right="3609" w:firstLine="0"/>
        <w:jc w:val="center"/>
        <w:rPr>
          <w:sz w:val="18"/>
        </w:rPr>
      </w:pPr>
      <w:r>
        <w:rPr>
          <w:sz w:val="18"/>
        </w:rPr>
        <w:t>Fuente: </w:t>
      </w:r>
      <w:hyperlink r:id="rId57">
        <w:r>
          <w:rPr>
            <w:sz w:val="18"/>
            <w:u w:val="single"/>
          </w:rPr>
          <w:t>http://www.orthofree.com/cms/assets/pdf/99.pdf</w:t>
        </w:r>
      </w:hyperlink>
    </w:p>
    <w:p>
      <w:pPr>
        <w:spacing w:after="0"/>
        <w:jc w:val="center"/>
        <w:rPr>
          <w:sz w:val="18"/>
        </w:rPr>
        <w:sectPr>
          <w:pgSz w:w="12240" w:h="15840"/>
          <w:pgMar w:header="596" w:footer="974" w:top="1440" w:bottom="1160" w:left="900" w:right="400"/>
        </w:sectPr>
      </w:pPr>
    </w:p>
    <w:p>
      <w:pPr>
        <w:pStyle w:val="BodyText"/>
        <w:spacing w:before="9"/>
        <w:rPr>
          <w:sz w:val="15"/>
        </w:rPr>
      </w:pPr>
    </w:p>
    <w:p>
      <w:pPr>
        <w:pStyle w:val="ListParagraph"/>
        <w:numPr>
          <w:ilvl w:val="1"/>
          <w:numId w:val="16"/>
        </w:numPr>
        <w:tabs>
          <w:tab w:pos="1659" w:val="left" w:leader="none"/>
        </w:tabs>
        <w:spacing w:line="240" w:lineRule="auto" w:before="70" w:after="0"/>
        <w:ind w:left="1658" w:right="0" w:hanging="360"/>
        <w:jc w:val="left"/>
        <w:rPr>
          <w:sz w:val="24"/>
        </w:rPr>
      </w:pPr>
      <w:r>
        <w:rPr>
          <w:sz w:val="24"/>
        </w:rPr>
        <w:t>Plano Horizontal de Frankfort con Plano</w:t>
      </w:r>
      <w:r>
        <w:rPr>
          <w:spacing w:val="-20"/>
          <w:sz w:val="24"/>
        </w:rPr>
        <w:t> </w:t>
      </w:r>
      <w:r>
        <w:rPr>
          <w:sz w:val="24"/>
        </w:rPr>
        <w:t>Facial</w:t>
      </w:r>
    </w:p>
    <w:p>
      <w:pPr>
        <w:pStyle w:val="BodyText"/>
        <w:spacing w:before="4"/>
        <w:rPr>
          <w:sz w:val="29"/>
        </w:rPr>
      </w:pPr>
    </w:p>
    <w:p>
      <w:pPr>
        <w:pStyle w:val="BodyText"/>
        <w:spacing w:line="360" w:lineRule="auto" w:before="1"/>
        <w:ind w:left="938" w:right="963"/>
        <w:jc w:val="both"/>
      </w:pPr>
      <w:r>
        <w:rPr/>
        <w:pict>
          <v:group style="position:absolute;margin-left:104.639999pt;margin-top:54.025879pt;width:306.95pt;height:216.35pt;mso-position-horizontal-relative:page;mso-position-vertical-relative:paragraph;z-index:-103024" coordorigin="2093,1081" coordsize="6139,4327">
            <v:shape style="position:absolute;left:2093;top:1174;width:6122;height:4142" type="#_x0000_t75" stroked="false">
              <v:imagedata r:id="rId181" o:title=""/>
            </v:shape>
            <v:shape style="position:absolute;left:3814;top:2572;width:292;height:258" type="#_x0000_t75" stroked="false">
              <v:imagedata r:id="rId182" o:title=""/>
            </v:shape>
            <v:shape style="position:absolute;left:5323;top:2526;width:153;height:512" coordorigin="5323,2526" coordsize="153,512" path="m5446,3037l5418,2979,5363,2843,5323,2690,5341,2580,5351,2568,5367,2550,5385,2533,5400,2526,5415,2533,5433,2549,5450,2567,5461,2580,5475,2642,5458,2725,5431,2812,5420,2882,5425,2922,5434,2974,5442,3018,5446,3037e" filled="false" stroked="true" strokeweight="1pt" strokecolor="#000000">
              <v:path arrowok="t"/>
            </v:shape>
            <v:shape style="position:absolute;left:5268;top:2609;width:288;height:346" type="#_x0000_t75" stroked="false">
              <v:imagedata r:id="rId183" o:title=""/>
            </v:shape>
            <v:shape style="position:absolute;left:7274;top:1592;width:462;height:611" type="#_x0000_t75" stroked="false">
              <v:imagedata r:id="rId184" o:title=""/>
            </v:shape>
            <v:shape style="position:absolute;left:4023;top:1326;width:3006;height:1940" type="#_x0000_t75" stroked="false">
              <v:imagedata r:id="rId185" o:title=""/>
            </v:shape>
            <v:shape style="position:absolute;left:5058;top:1829;width:1097;height:104" coordorigin="5058,1829" coordsize="1097,104" path="m5058,1932l5080,1917,5133,1882,5196,1847,5247,1829,5280,1834,5323,1847,5367,1861,5402,1869,5456,1869,5522,1863,5588,1855,5642,1851,5777,1856,5947,1872,6093,1889,6155,1896e" filled="false" stroked="true" strokeweight="1.0pt" strokecolor="#000000">
              <v:path arrowok="t"/>
            </v:shape>
            <v:shape style="position:absolute;left:6405;top:1081;width:1827;height:4327" type="#_x0000_t75" stroked="false">
              <v:imagedata r:id="rId186" o:title=""/>
            </v:shape>
            <v:shape style="position:absolute;left:7353;top:3043;width:555;height:227" type="#_x0000_t75" stroked="false">
              <v:imagedata r:id="rId187" o:title=""/>
            </v:shape>
            <v:shape style="position:absolute;left:6580;top:1800;width:442;height:317" coordorigin="6580,1800" coordsize="442,317" path="m6580,2045l6629,2046,6744,2051,6874,2065,6970,2090,6984,2096,7001,2105,7015,2113,7021,2117m6580,2045l6628,2024,6741,1974,6867,1911,6957,1852,6971,1839,6988,1821,7002,1806,7008,1800e" filled="false" stroked="true" strokeweight="1pt" strokecolor="#000000">
              <v:path arrowok="t"/>
            </v:shape>
            <v:shape style="position:absolute;left:6590;top:1882;width:408;height:82" type="#_x0000_t75" stroked="false">
              <v:imagedata r:id="rId188" o:title=""/>
            </v:shape>
            <v:shape style="position:absolute;left:6957;top:1851;width:34;height:239" coordorigin="6957,1851" coordsize="34,239" path="m6970,2090l6974,2075,6981,2041,6988,2001,6990,1970,6985,1939,6974,1900,6962,1866,6957,1851e" filled="false" stroked="true" strokeweight="1.0pt" strokecolor="#000000">
              <v:path arrowok="t"/>
            </v:shape>
            <v:shape style="position:absolute;left:6967;top:1935;width:288;height:72" type="#_x0000_t75" stroked="false">
              <v:imagedata r:id="rId189" o:title=""/>
            </v:shape>
            <v:shape style="position:absolute;left:6565;top:4265;width:494;height:799" type="#_x0000_t75" stroked="false">
              <v:imagedata r:id="rId190" o:title=""/>
            </v:shape>
            <v:shape style="position:absolute;left:4261;top:2590;width:2434;height:2408" type="#_x0000_t75" stroked="false">
              <v:imagedata r:id="rId191" o:title=""/>
            </v:shape>
            <v:shape style="position:absolute;left:5479;top:3182;width:1861;height:623" type="#_x0000_t75" stroked="false">
              <v:imagedata r:id="rId192" o:title=""/>
            </v:shape>
            <v:shape style="position:absolute;left:7019;top:3653;width:260;height:380" type="#_x0000_t75" stroked="false">
              <v:imagedata r:id="rId193" o:title=""/>
            </v:shape>
            <v:shape style="position:absolute;left:7039;top:3744;width:288;height:197" type="#_x0000_t75" stroked="false">
              <v:imagedata r:id="rId138" o:title=""/>
            </v:shape>
            <v:shape style="position:absolute;left:6891;top:3313;width:351;height:493" type="#_x0000_t75" stroked="false">
              <v:imagedata r:id="rId194" o:title=""/>
            </v:shape>
            <v:shape style="position:absolute;left:6784;top:3883;width:365;height:431" type="#_x0000_t75" stroked="false">
              <v:imagedata r:id="rId195" o:title=""/>
            </v:shape>
            <v:shape style="position:absolute;left:6731;top:4265;width:328;height:319" type="#_x0000_t75" stroked="false">
              <v:imagedata r:id="rId196" o:title=""/>
            </v:shape>
            <v:shape style="position:absolute;left:6751;top:4359;width:288;height:132" type="#_x0000_t75" stroked="false">
              <v:imagedata r:id="rId197" o:title=""/>
            </v:shape>
            <v:shape style="position:absolute;left:5790;top:3478;width:469;height:375" type="#_x0000_t75" stroked="false">
              <v:imagedata r:id="rId198" o:title=""/>
            </v:shape>
            <v:shape style="position:absolute;left:5884;top:3137;width:438;height:461" type="#_x0000_t75" stroked="false">
              <v:imagedata r:id="rId199" o:title=""/>
            </v:shape>
            <v:shape style="position:absolute;left:5810;top:3772;width:469;height:320" type="#_x0000_t75" stroked="false">
              <v:imagedata r:id="rId200" o:title=""/>
            </v:shape>
            <v:shape style="position:absolute;left:5675;top:3977;width:510;height:452" type="#_x0000_t75" stroked="false">
              <v:imagedata r:id="rId201" o:title=""/>
            </v:shape>
            <v:line style="position:absolute" from="3962,2582" to="7504,2526" stroked="true" strokeweight="1.5pt" strokecolor="#000000"/>
            <v:shape style="position:absolute;left:6322;top:2619;width:734;height:819" type="#_x0000_t75" stroked="false">
              <v:imagedata r:id="rId202" o:title=""/>
            </v:shape>
            <v:line style="position:absolute" from="6901,5058" to="7284,1602" stroked="true" strokeweight="1.5pt" strokecolor="#000000"/>
            <w10:wrap type="none"/>
          </v:group>
        </w:pict>
      </w:r>
      <w:r>
        <w:rPr/>
        <w:t>Está formado por el plano horizontal de Frankfort y el plano facial, el promedio es de aproximadamente 87° +/-3°; localiza el mentón horizontalmente y determina la clase esquelética por la mandíbula. (Fig. 14)</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32"/>
        </w:rPr>
      </w:pPr>
    </w:p>
    <w:p>
      <w:pPr>
        <w:spacing w:line="362" w:lineRule="auto" w:before="0"/>
        <w:ind w:left="3266" w:right="3288" w:hanging="4"/>
        <w:jc w:val="center"/>
        <w:rPr>
          <w:sz w:val="18"/>
        </w:rPr>
      </w:pPr>
      <w:r>
        <w:rPr>
          <w:sz w:val="18"/>
        </w:rPr>
        <w:t>Fig. 14 “Ángulo horizontal de Frankfort y Plano Facial” Fuente: </w:t>
      </w:r>
      <w:hyperlink r:id="rId57">
        <w:r>
          <w:rPr>
            <w:sz w:val="18"/>
            <w:u w:val="single"/>
          </w:rPr>
          <w:t>http://www.orthofree.com/cms/assets/pdf/99.pdf</w:t>
        </w:r>
      </w:hyperlink>
    </w:p>
    <w:p>
      <w:pPr>
        <w:pStyle w:val="BodyText"/>
        <w:spacing w:line="360" w:lineRule="auto"/>
        <w:ind w:left="938" w:right="966"/>
        <w:jc w:val="both"/>
      </w:pPr>
      <w:r>
        <w:rPr/>
        <w:t>Un ángulo abierto se relaciona con una mandíbula prognática, mientras que un ángulo cerrado se relaciona con una mandíbula retrognática. (Fig. 15)</w:t>
      </w:r>
    </w:p>
    <w:p>
      <w:pPr>
        <w:pStyle w:val="BodyText"/>
        <w:spacing w:before="8"/>
        <w:rPr>
          <w:sz w:val="15"/>
        </w:rPr>
      </w:pPr>
      <w:r>
        <w:rPr/>
        <w:pict>
          <v:group style="position:absolute;margin-left:29.76pt;margin-top:10.973895pt;width:461.95pt;height:182.45pt;mso-position-horizontal-relative:page;mso-position-vertical-relative:paragraph;z-index:1624;mso-wrap-distance-left:0;mso-wrap-distance-right:0" coordorigin="595,219" coordsize="9239,3649">
            <v:shape style="position:absolute;left:595;top:310;width:4874;height:3466" type="#_x0000_t75" stroked="false">
              <v:imagedata r:id="rId203" o:title=""/>
            </v:shape>
            <v:shape style="position:absolute;left:1963;top:1476;width:295;height:220" type="#_x0000_t75" stroked="false">
              <v:imagedata r:id="rId204" o:title=""/>
            </v:shape>
            <v:shape style="position:absolute;left:3167;top:1439;width:122;height:431" coordorigin="3167,1439" coordsize="122,431" path="m3265,1870l3243,1820,3199,1706,3167,1577,3182,1485,3190,1474,3203,1459,3217,1445,3229,1439,3241,1445,3255,1458,3269,1474,3277,1485,3289,1536,3275,1607,3254,1680,3245,1739,3249,1773,3256,1816,3262,1854,3265,1870e" filled="false" stroked="true" strokeweight="1pt" strokecolor="#000000">
              <v:path arrowok="t"/>
            </v:shape>
            <v:shape style="position:absolute;left:3127;top:1522;width:288;height:264" type="#_x0000_t75" stroked="false">
              <v:imagedata r:id="rId205" o:title=""/>
            </v:shape>
            <v:shape style="position:absolute;left:4720;top:650;width:372;height:518" type="#_x0000_t75" stroked="false">
              <v:imagedata r:id="rId206" o:title=""/>
            </v:shape>
            <v:shape style="position:absolute;left:2130;top:427;width:2399;height:1636" type="#_x0000_t75" stroked="false">
              <v:imagedata r:id="rId207" o:title=""/>
            </v:shape>
            <v:shape style="position:absolute;left:2957;top:852;width:874;height:87" coordorigin="2957,852" coordsize="874,87" path="m2957,938l2974,925,3016,897,3066,867,3107,852,3133,856,3167,867,3202,878,3231,886,3274,886,3326,880,3379,874,3422,870,3529,875,3665,888,3781,902,3830,908e" filled="false" stroked="true" strokeweight="1.0pt" strokecolor="#000000">
              <v:path arrowok="t"/>
            </v:shape>
            <v:shape style="position:absolute;left:4027;top:219;width:1460;height:3649" type="#_x0000_t75" stroked="false">
              <v:imagedata r:id="rId208" o:title=""/>
            </v:shape>
            <v:shape style="position:absolute;left:4783;top:1873;width:447;height:195" type="#_x0000_t75" stroked="false">
              <v:imagedata r:id="rId209" o:title=""/>
            </v:shape>
            <v:shape style="position:absolute;left:4169;top:1033;width:352;height:61" coordorigin="4169,1033" coordsize="352,61" path="m4169,1033l4300,1039,4403,1050,4480,1071,4516,1091,4521,1094e" filled="false" stroked="true" strokeweight="1pt" strokecolor="#000000">
              <v:path arrowok="t"/>
            </v:shape>
            <v:shape style="position:absolute;left:4169;top:827;width:342;height:207" coordorigin="4169,827" coordsize="342,207" path="m4169,1033l4297,974,4398,921,4470,870,4505,833,4510,827e" filled="false" stroked="true" strokeweight="1pt" strokecolor="#000000">
              <v:path arrowok="t"/>
            </v:shape>
            <v:shape style="position:absolute;left:4178;top:910;width:322;height:41" type="#_x0000_t75" stroked="false">
              <v:imagedata r:id="rId210" o:title=""/>
            </v:shape>
            <v:shape style="position:absolute;left:4470;top:870;width:27;height:201" coordorigin="4470,870" coordsize="27,201" path="m4480,1071l4483,1059,4489,1030,4495,997,4496,971,4492,945,4483,911,4474,883,4470,870e" filled="false" stroked="true" strokeweight="1pt" strokecolor="#000000">
              <v:path arrowok="t"/>
            </v:shape>
            <v:shape style="position:absolute;left:4481;top:954;width:288;height:36" type="#_x0000_t75" stroked="false">
              <v:imagedata r:id="rId211" o:title=""/>
            </v:shape>
            <v:shape style="position:absolute;left:4155;top:2903;width:398;height:676" type="#_x0000_t75" stroked="false">
              <v:imagedata r:id="rId212" o:title=""/>
            </v:shape>
            <v:shape style="position:absolute;left:2319;top:1492;width:1943;height:2032" type="#_x0000_t75" stroked="false">
              <v:imagedata r:id="rId213" o:title=""/>
            </v:shape>
            <v:shape style="position:absolute;left:3289;top:1990;width:1487;height:528" type="#_x0000_t75" stroked="false">
              <v:imagedata r:id="rId214" o:title=""/>
            </v:shape>
            <v:shape style="position:absolute;left:4517;top:2387;width:307;height:323" type="#_x0000_t75" stroked="false">
              <v:imagedata r:id="rId215" o:title=""/>
            </v:shape>
            <v:shape style="position:absolute;left:4415;top:2100;width:308;height:418" type="#_x0000_t75" stroked="false">
              <v:imagedata r:id="rId216" o:title=""/>
            </v:shape>
            <v:shape style="position:absolute;left:4330;top:2580;width:309;height:367" type="#_x0000_t75" stroked="false">
              <v:imagedata r:id="rId217" o:title=""/>
            </v:shape>
            <v:shape style="position:absolute;left:4287;top:2903;width:309;height:272" type="#_x0000_t75" stroked="false">
              <v:imagedata r:id="rId218" o:title=""/>
            </v:shape>
            <v:shape style="position:absolute;left:3537;top:2239;width:378;height:320" type="#_x0000_t75" stroked="false">
              <v:imagedata r:id="rId219" o:title=""/>
            </v:shape>
            <v:shape style="position:absolute;left:3613;top:1952;width:353;height:392" type="#_x0000_t75" stroked="false">
              <v:imagedata r:id="rId220" o:title=""/>
            </v:shape>
            <v:shape style="position:absolute;left:3554;top:2487;width:378;height:273" type="#_x0000_t75" stroked="false">
              <v:imagedata r:id="rId221" o:title=""/>
            </v:shape>
            <v:shape style="position:absolute;left:3446;top:2660;width:410;height:384" type="#_x0000_t75" stroked="false">
              <v:imagedata r:id="rId222" o:title=""/>
            </v:shape>
            <v:line style="position:absolute" from="2083,1486" to="4906,1439" stroked="true" strokeweight="1.5pt" strokecolor="#000000"/>
            <v:shape style="position:absolute;left:3975;top:1526;width:582;height:655" type="#_x0000_t75" stroked="false">
              <v:imagedata r:id="rId223" o:title=""/>
            </v:shape>
            <v:line style="position:absolute" from="4793,3572" to="4730,660" stroked="true" strokeweight="1.5pt" strokecolor="#000000"/>
            <v:shape style="position:absolute;left:4478;top:3172;width:273;height:154" type="#_x0000_t75" stroked="false">
              <v:imagedata r:id="rId224" o:title=""/>
            </v:shape>
            <v:shape style="position:absolute;left:4809;top:298;width:5025;height:3570" type="#_x0000_t75" stroked="false">
              <v:imagedata r:id="rId225" o:title=""/>
            </v:shape>
            <v:shape style="position:absolute;left:6228;top:1528;width:295;height:216" type="#_x0000_t75" stroked="false">
              <v:imagedata r:id="rId226" o:title=""/>
            </v:shape>
            <v:shape style="position:absolute;left:7459;top:1492;width:125;height:422" coordorigin="7459,1492" coordsize="125,422" path="m7559,1913l7537,1865,7492,1753,7459,1626,7474,1536,7483,1526,7496,1511,7510,1498,7522,1492,7534,1497,7549,1511,7563,1525,7572,1536,7584,1587,7569,1656,7548,1727,7539,1785,7543,1818,7550,1861,7556,1898,7559,1913e" filled="false" stroked="true" strokeweight="1pt" strokecolor="#000000">
              <v:path arrowok="t"/>
            </v:shape>
            <v:shape style="position:absolute;left:7418;top:1573;width:288;height:259" type="#_x0000_t75" stroked="false">
              <v:imagedata r:id="rId205" o:title=""/>
            </v:shape>
            <v:shape style="position:absolute;left:9047;top:720;width:380;height:507" type="#_x0000_t75" stroked="false">
              <v:imagedata r:id="rId227" o:title=""/>
            </v:shape>
            <v:shape style="position:absolute;left:6399;top:502;width:2453;height:1601" type="#_x0000_t75" stroked="false">
              <v:imagedata r:id="rId228" o:title=""/>
            </v:shape>
            <v:shape style="position:absolute;left:7244;top:917;width:894;height:85" coordorigin="7244,917" coordsize="894,85" path="m7244,1002l7262,989,7305,961,7356,932,7398,917,7424,921,7459,932,7495,943,7524,950,7568,950,7622,945,7676,939,7720,936,7829,940,7968,953,8087,966,8137,972e" filled="false" stroked="true" strokeweight="1pt" strokecolor="#000000">
              <v:path arrowok="t"/>
            </v:shape>
            <v:shape style="position:absolute;left:8339;top:298;width:1492;height:3570" type="#_x0000_t75" stroked="false">
              <v:imagedata r:id="rId229" o:title=""/>
            </v:shape>
            <v:shape style="position:absolute;left:9112;top:1916;width:456;height:191" type="#_x0000_t75" stroked="false">
              <v:imagedata r:id="rId230" o:title=""/>
            </v:shape>
            <v:shape style="position:absolute;left:8484;top:1095;width:360;height:60" coordorigin="8484,1095" coordsize="360,60" path="m8484,1095l8617,1100,8723,1111,8802,1132,8838,1151,8843,1154e" filled="false" stroked="true" strokeweight="1pt" strokecolor="#000000">
              <v:path arrowok="t"/>
            </v:shape>
            <v:shape style="position:absolute;left:8484;top:893;width:349;height:202" coordorigin="8484,893" coordsize="349,202" path="m8484,1095l8615,1037,8718,985,8791,936,8828,898,8833,893e" filled="false" stroked="true" strokeweight="1pt" strokecolor="#000000">
              <v:path arrowok="t"/>
            </v:shape>
            <v:shape style="position:absolute;left:8494;top:975;width:329;height:38" type="#_x0000_t75" stroked="false">
              <v:imagedata r:id="rId231" o:title=""/>
            </v:shape>
            <v:shape style="position:absolute;left:8791;top:935;width:27;height:197" coordorigin="8791,935" coordsize="27,197" path="m8801,1132l8804,1120,8811,1092,8816,1059,8818,1034,8814,1008,8805,975,8795,947,8791,935e" filled="false" stroked="true" strokeweight="1pt" strokecolor="#000000">
              <v:path arrowok="t"/>
            </v:shape>
            <v:shape style="position:absolute;left:8801;top:1018;width:288;height:31" type="#_x0000_t75" stroked="false">
              <v:imagedata r:id="rId211" o:title=""/>
            </v:shape>
            <v:shape style="position:absolute;left:8470;top:2923;width:406;height:662" type="#_x0000_t75" stroked="false">
              <v:imagedata r:id="rId232" o:title=""/>
            </v:shape>
            <v:shape style="position:absolute;left:6592;top:1543;width:1987;height:1988" type="#_x0000_t75" stroked="false">
              <v:imagedata r:id="rId233" o:title=""/>
            </v:shape>
            <v:shape style="position:absolute;left:7584;top:2031;width:1520;height:517" type="#_x0000_t75" stroked="false">
              <v:imagedata r:id="rId234" o:title=""/>
            </v:shape>
            <v:shape style="position:absolute;left:8839;top:2419;width:307;height:317" type="#_x0000_t75" stroked="false">
              <v:imagedata r:id="rId235" o:title=""/>
            </v:shape>
            <v:shape style="position:absolute;left:8735;top:2138;width:308;height:410" type="#_x0000_t75" stroked="false">
              <v:imagedata r:id="rId236" o:title=""/>
            </v:shape>
            <v:shape style="position:absolute;left:8648;top:2608;width:309;height:359" type="#_x0000_t75" stroked="false">
              <v:imagedata r:id="rId237" o:title=""/>
            </v:shape>
            <v:shape style="position:absolute;left:8605;top:2923;width:309;height:266" type="#_x0000_t75" stroked="false">
              <v:imagedata r:id="rId238" o:title=""/>
            </v:shape>
            <v:shape style="position:absolute;left:7838;top:2274;width:386;height:313" type="#_x0000_t75" stroked="false">
              <v:imagedata r:id="rId239" o:title=""/>
            </v:shape>
            <v:shape style="position:absolute;left:7915;top:1994;width:361;height:383" type="#_x0000_t75" stroked="false">
              <v:imagedata r:id="rId240" o:title=""/>
            </v:shape>
            <v:shape style="position:absolute;left:7855;top:2517;width:386;height:267" type="#_x0000_t75" stroked="false">
              <v:imagedata r:id="rId241" o:title=""/>
            </v:shape>
            <v:shape style="position:absolute;left:7745;top:2686;width:419;height:376" type="#_x0000_t75" stroked="false">
              <v:imagedata r:id="rId242" o:title=""/>
            </v:shape>
            <v:line style="position:absolute" from="6350,1538" to="9237,1492" stroked="true" strokeweight="1.5pt" strokecolor="#000000"/>
            <v:shape style="position:absolute;left:8445;top:1536;width:416;height:420" type="#_x0000_t75" stroked="false">
              <v:imagedata r:id="rId243" o:title=""/>
            </v:shape>
            <v:shape style="position:absolute;left:8425;top:1607;width:358;height:330" type="#_x0000_t75" stroked="false">
              <v:imagedata r:id="rId244" o:title=""/>
            </v:shape>
            <v:line style="position:absolute" from="8569,3521" to="9057,730" stroked="true" strokeweight="1.5pt" strokecolor="#000000"/>
            <v:shape style="position:absolute;left:8623;top:3236;width:366;height:229" type="#_x0000_t75" stroked="false">
              <v:imagedata r:id="rId245" o:title=""/>
            </v:shape>
            <w10:wrap type="topAndBottom"/>
          </v:group>
        </w:pict>
      </w:r>
    </w:p>
    <w:p>
      <w:pPr>
        <w:pStyle w:val="ListParagraph"/>
        <w:numPr>
          <w:ilvl w:val="0"/>
          <w:numId w:val="17"/>
        </w:numPr>
        <w:tabs>
          <w:tab w:pos="5448" w:val="left" w:leader="none"/>
          <w:tab w:pos="5449" w:val="left" w:leader="none"/>
        </w:tabs>
        <w:spacing w:line="240" w:lineRule="auto" w:before="0" w:after="0"/>
        <w:ind w:left="5449" w:right="0" w:hanging="4511"/>
        <w:jc w:val="both"/>
        <w:rPr>
          <w:sz w:val="24"/>
        </w:rPr>
      </w:pPr>
      <w:r>
        <w:rPr>
          <w:sz w:val="24"/>
        </w:rPr>
        <w:t>b)</w:t>
      </w:r>
    </w:p>
    <w:p>
      <w:pPr>
        <w:pStyle w:val="BodyText"/>
        <w:spacing w:before="5"/>
        <w:rPr>
          <w:sz w:val="29"/>
        </w:rPr>
      </w:pPr>
    </w:p>
    <w:p>
      <w:pPr>
        <w:spacing w:line="360" w:lineRule="auto" w:before="1"/>
        <w:ind w:left="2185" w:right="2212" w:firstLine="0"/>
        <w:jc w:val="center"/>
        <w:rPr>
          <w:sz w:val="18"/>
        </w:rPr>
      </w:pPr>
      <w:r>
        <w:rPr>
          <w:sz w:val="18"/>
        </w:rPr>
        <w:t>Fig. 15 “Posición de mandíbula” a) mandíbula retrognática b)mandíbula prognática Fuente: </w:t>
      </w:r>
      <w:hyperlink r:id="rId57">
        <w:r>
          <w:rPr>
            <w:sz w:val="18"/>
            <w:u w:val="single"/>
          </w:rPr>
          <w:t>http://www.orthofree.com/cms/assets/pdf/99.pdf</w:t>
        </w:r>
      </w:hyperlink>
    </w:p>
    <w:p>
      <w:pPr>
        <w:spacing w:after="0" w:line="360" w:lineRule="auto"/>
        <w:jc w:val="center"/>
        <w:rPr>
          <w:sz w:val="18"/>
        </w:rPr>
        <w:sectPr>
          <w:pgSz w:w="12240" w:h="15840"/>
          <w:pgMar w:header="596" w:footer="974" w:top="1440" w:bottom="1160" w:left="480" w:right="740"/>
        </w:sectPr>
      </w:pPr>
    </w:p>
    <w:p>
      <w:pPr>
        <w:pStyle w:val="BodyText"/>
        <w:spacing w:before="9"/>
        <w:rPr>
          <w:sz w:val="15"/>
        </w:rPr>
      </w:pPr>
    </w:p>
    <w:p>
      <w:pPr>
        <w:pStyle w:val="ListParagraph"/>
        <w:numPr>
          <w:ilvl w:val="0"/>
          <w:numId w:val="17"/>
        </w:numPr>
        <w:tabs>
          <w:tab w:pos="1239" w:val="left" w:leader="none"/>
        </w:tabs>
        <w:spacing w:line="240" w:lineRule="auto" w:before="70" w:after="0"/>
        <w:ind w:left="1238" w:right="0" w:hanging="360"/>
        <w:jc w:val="left"/>
        <w:rPr>
          <w:sz w:val="24"/>
        </w:rPr>
      </w:pPr>
      <w:r>
        <w:rPr>
          <w:sz w:val="24"/>
        </w:rPr>
        <w:t>Plano Facial con Plano</w:t>
      </w:r>
      <w:r>
        <w:rPr>
          <w:spacing w:val="-6"/>
          <w:sz w:val="24"/>
        </w:rPr>
        <w:t> </w:t>
      </w:r>
      <w:r>
        <w:rPr>
          <w:sz w:val="24"/>
        </w:rPr>
        <w:t>A-B</w:t>
      </w:r>
    </w:p>
    <w:p>
      <w:pPr>
        <w:pStyle w:val="BodyText"/>
        <w:spacing w:before="4"/>
        <w:rPr>
          <w:sz w:val="29"/>
        </w:rPr>
      </w:pPr>
    </w:p>
    <w:p>
      <w:pPr>
        <w:pStyle w:val="BodyText"/>
        <w:spacing w:line="328" w:lineRule="auto" w:before="1"/>
        <w:ind w:left="518" w:right="959"/>
        <w:jc w:val="both"/>
        <w:rPr>
          <w:sz w:val="16"/>
        </w:rPr>
      </w:pPr>
      <w:r>
        <w:rPr/>
        <w:t>Este ángulo está formado por el plano facial con el plano A-B, y determina la relación maxilo-mandibular (convexidad). (Fig. 16)</w:t>
      </w:r>
      <w:r>
        <w:rPr>
          <w:position w:val="11"/>
          <w:sz w:val="16"/>
        </w:rPr>
        <w:t>43</w:t>
      </w:r>
    </w:p>
    <w:p>
      <w:pPr>
        <w:pStyle w:val="BodyText"/>
        <w:spacing w:before="9"/>
      </w:pPr>
      <w:r>
        <w:rPr/>
        <w:pict>
          <v:group style="position:absolute;margin-left:97.559998pt;margin-top:16.221529pt;width:256.5pt;height:194.2pt;mso-position-horizontal-relative:page;mso-position-vertical-relative:paragraph;z-index:1672;mso-wrap-distance-left:0;mso-wrap-distance-right:0" coordorigin="1951,324" coordsize="5130,3884">
            <v:shape style="position:absolute;left:1951;top:416;width:5112;height:3701" type="#_x0000_t75" stroked="false">
              <v:imagedata r:id="rId246" o:title=""/>
            </v:shape>
            <v:shape style="position:absolute;left:3387;top:1662;width:295;height:233" type="#_x0000_t75" stroked="false">
              <v:imagedata r:id="rId247" o:title=""/>
            </v:shape>
            <v:shape style="position:absolute;left:4649;top:1622;width:128;height:459" coordorigin="4649,1622" coordsize="128,459" path="m4752,2081l4728,2028,4682,1906,4649,1769,4664,1671,4673,1660,4686,1644,4701,1629,4713,1622,4726,1629,4741,1643,4756,1659,4764,1671,4776,1726,4762,1801,4740,1879,4730,1942,4734,1978,4742,2024,4749,2064,4752,2081e" filled="false" stroked="true" strokeweight="1pt" strokecolor="#000000">
              <v:path arrowok="t"/>
            </v:shape>
            <v:shape style="position:absolute;left:4606;top:1705;width:288;height:295" type="#_x0000_t75" stroked="false">
              <v:imagedata r:id="rId248" o:title=""/>
            </v:shape>
            <v:shape style="position:absolute;left:6277;top:783;width:389;height:551" type="#_x0000_t75" stroked="false">
              <v:imagedata r:id="rId249" o:title=""/>
            </v:shape>
            <v:shape style="position:absolute;left:3561;top:546;width:2515;height:1741" type="#_x0000_t75" stroked="false">
              <v:imagedata r:id="rId250" o:title=""/>
            </v:shape>
            <v:shape style="position:absolute;left:4428;top:997;width:917;height:93" coordorigin="4428,997" coordsize="917,93" path="m4428,1090l4446,1076,4491,1045,4543,1013,4585,997,4613,1001,4649,1013,4685,1026,4715,1033,4760,1033,4816,1027,4871,1021,4916,1017,5029,1022,5171,1036,5292,1051,5344,1057e" filled="false" stroked="true" strokeweight="1.0pt" strokecolor="#000000">
              <v:path arrowok="t"/>
            </v:shape>
            <v:shape style="position:absolute;left:5551;top:324;width:1530;height:3884" type="#_x0000_t75" stroked="false">
              <v:imagedata r:id="rId251" o:title=""/>
            </v:shape>
            <v:shape style="position:absolute;left:6344;top:2085;width:467;height:206" type="#_x0000_t75" stroked="false">
              <v:imagedata r:id="rId252" o:title=""/>
            </v:shape>
            <v:shape style="position:absolute;left:5699;top:1190;width:369;height:65" coordorigin="5699,1190" coordsize="369,65" path="m5699,1190l5836,1196,5945,1208,6026,1231,6063,1252,6068,1255e" filled="false" stroked="true" strokeweight="1.0pt" strokecolor="#000000">
              <v:path arrowok="t"/>
            </v:shape>
            <v:shape style="position:absolute;left:5699;top:971;width:358;height:220" coordorigin="5699,971" coordsize="358,220" path="m5699,1190l5834,1127,5939,1071,6015,1017,6052,977,6057,971e" filled="false" stroked="true" strokeweight="1pt" strokecolor="#000000">
              <v:path arrowok="t"/>
            </v:shape>
            <v:shape style="position:absolute;left:5710;top:1052;width:338;height:55" type="#_x0000_t75" stroked="false">
              <v:imagedata r:id="rId253" o:title=""/>
            </v:shape>
            <v:shape style="position:absolute;left:6015;top:1017;width:28;height:214" coordorigin="6015,1017" coordsize="28,214" path="m6025,1231l6028,1218,6035,1187,6041,1152,6042,1124,6038,1096,6028,1061,6019,1030,6015,1017e" filled="false" stroked="true" strokeweight="1pt" strokecolor="#000000">
              <v:path arrowok="t"/>
            </v:shape>
            <v:shape style="position:absolute;left:6024;top:1098;width:288;height:50" type="#_x0000_t75" stroked="false">
              <v:imagedata r:id="rId254" o:title=""/>
            </v:shape>
            <v:shape style="position:absolute;left:5686;top:3182;width:416;height:718" type="#_x0000_t75" stroked="false">
              <v:imagedata r:id="rId255" o:title=""/>
            </v:shape>
            <v:shape style="position:absolute;left:3760;top:1679;width:2037;height:2162" type="#_x0000_t75" stroked="false">
              <v:imagedata r:id="rId256" o:title=""/>
            </v:shape>
            <v:shape style="position:absolute;left:4777;top:2210;width:1558;height:561" type="#_x0000_t75" stroked="false">
              <v:imagedata r:id="rId257" o:title=""/>
            </v:shape>
            <v:shape style="position:absolute;left:6064;top:2632;width:220;height:343" type="#_x0000_t75" stroked="false">
              <v:imagedata r:id="rId258" o:title=""/>
            </v:shape>
            <v:shape style="position:absolute;left:6084;top:2725;width:288;height:158" type="#_x0000_t75" stroked="false">
              <v:imagedata r:id="rId162" o:title=""/>
            </v:shape>
            <v:shape style="position:absolute;left:5958;top:2327;width:309;height:444" type="#_x0000_t75" stroked="false">
              <v:imagedata r:id="rId259" o:title=""/>
            </v:shape>
            <v:shape style="position:absolute;left:5868;top:2838;width:308;height:389" type="#_x0000_t75" stroked="false">
              <v:imagedata r:id="rId260" o:title=""/>
            </v:shape>
            <v:shape style="position:absolute;left:5824;top:3182;width:308;height:288" type="#_x0000_t75" stroked="false">
              <v:imagedata r:id="rId261" o:title=""/>
            </v:shape>
            <v:shape style="position:absolute;left:5037;top:2475;width:395;height:339" type="#_x0000_t75" stroked="false">
              <v:imagedata r:id="rId262" o:title=""/>
            </v:shape>
            <v:shape style="position:absolute;left:5117;top:2170;width:369;height:416" type="#_x0000_t75" stroked="false">
              <v:imagedata r:id="rId263" o:title=""/>
            </v:shape>
            <v:shape style="position:absolute;left:5054;top:2739;width:395;height:289" type="#_x0000_t75" stroked="false">
              <v:imagedata r:id="rId264" o:title=""/>
            </v:shape>
            <v:shape style="position:absolute;left:4942;top:2923;width:429;height:408" type="#_x0000_t75" stroked="false">
              <v:imagedata r:id="rId265" o:title=""/>
            </v:shape>
            <v:line style="position:absolute" from="3512,1673" to="6472,1622" stroked="true" strokeweight="1.5pt" strokecolor="#000000"/>
            <v:line style="position:absolute" from="6472,1124" to="5829,3831" stroked="true" strokeweight="1.5pt" strokecolor="#000000"/>
            <v:shape style="position:absolute;left:6232;top:968;width:341;height:326" type="#_x0000_t75" stroked="false">
              <v:imagedata r:id="rId266" o:title=""/>
            </v:shape>
            <v:shape style="position:absolute;left:6337;top:956;width:260;height:284" type="#_x0000_t75" stroked="false">
              <v:imagedata r:id="rId267" o:title=""/>
            </v:shape>
            <v:line style="position:absolute" from="6318,793" to="5961,3852" stroked="true" strokeweight="1.5pt" strokecolor="#000000"/>
            <v:shape style="position:absolute;left:5885;top:1748;width:163;height:235" type="#_x0000_t75" stroked="false">
              <v:imagedata r:id="rId268" o:title=""/>
            </v:shape>
            <w10:wrap type="topAndBottom"/>
          </v:group>
        </w:pict>
      </w:r>
    </w:p>
    <w:p>
      <w:pPr>
        <w:spacing w:line="360" w:lineRule="auto" w:before="19"/>
        <w:ind w:left="2846" w:right="3271" w:firstLine="346"/>
        <w:jc w:val="left"/>
        <w:rPr>
          <w:sz w:val="18"/>
        </w:rPr>
      </w:pPr>
      <w:r>
        <w:rPr>
          <w:sz w:val="18"/>
        </w:rPr>
        <w:t>Fig. 16 “Ángulo de Plano Facial con Plano A-B” Fuente: </w:t>
      </w:r>
      <w:hyperlink r:id="rId57">
        <w:r>
          <w:rPr>
            <w:sz w:val="18"/>
            <w:u w:val="single"/>
          </w:rPr>
          <w:t>http://www.orthofree.com/cms/assets/pdf/99.pdf</w:t>
        </w:r>
      </w:hyperlink>
    </w:p>
    <w:p>
      <w:pPr>
        <w:pStyle w:val="BodyText"/>
        <w:spacing w:line="345" w:lineRule="auto" w:before="1"/>
        <w:ind w:left="518" w:right="955"/>
        <w:jc w:val="both"/>
        <w:rPr>
          <w:sz w:val="16"/>
        </w:rPr>
      </w:pPr>
      <w:r>
        <w:rPr/>
        <w:t>Un ángulo es negativo cuando el punto A está anterior a punto B, horizontalmente, indica una maloclusión Clase II. Es positivo, cuando el punto A está por detrás de B, horizontalmente, indica Clase III. (Fig. 17)</w:t>
      </w:r>
      <w:r>
        <w:rPr>
          <w:position w:val="11"/>
          <w:sz w:val="16"/>
        </w:rPr>
        <w:t>43</w:t>
      </w:r>
    </w:p>
    <w:p>
      <w:pPr>
        <w:pStyle w:val="BodyText"/>
        <w:spacing w:before="10"/>
        <w:rPr>
          <w:sz w:val="8"/>
        </w:rPr>
      </w:pPr>
      <w:r>
        <w:rPr/>
        <w:pict>
          <v:group style="position:absolute;margin-left:59.279999pt;margin-top:7.051551pt;width:461.6pt;height:191.35pt;mso-position-horizontal-relative:page;mso-position-vertical-relative:paragraph;z-index:1744;mso-wrap-distance-left:0;mso-wrap-distance-right:0" coordorigin="1186,141" coordsize="9232,3827">
            <v:shape style="position:absolute;left:1186;top:252;width:4745;height:3307" type="#_x0000_t75" stroked="false">
              <v:imagedata r:id="rId269" o:title=""/>
            </v:shape>
            <v:shape style="position:absolute;left:2517;top:1362;width:296;height:211" type="#_x0000_t75" stroked="false">
              <v:imagedata r:id="rId270" o:title=""/>
            </v:shape>
            <v:shape style="position:absolute;left:3690;top:1327;width:119;height:412" coordorigin="3690,1327" coordsize="119,412" path="m3785,1739l3763,1692,3721,1582,3690,1459,3704,1371,3712,1361,3724,1346,3738,1333,3749,1327,3761,1333,3775,1345,3789,1360,3797,1371,3808,1420,3794,1488,3774,1557,3765,1614,3769,1646,3776,1688,3782,1724,3785,1739e" filled="false" stroked="true" strokeweight="1pt" strokecolor="#000000">
              <v:path arrowok="t"/>
            </v:shape>
            <v:shape style="position:absolute;left:3650;top:1409;width:288;height:247" type="#_x0000_t75" stroked="false">
              <v:imagedata r:id="rId271" o:title=""/>
            </v:shape>
            <v:shape style="position:absolute;left:5201;top:572;width:363;height:497" type="#_x0000_t75" stroked="false">
              <v:imagedata r:id="rId272" o:title=""/>
            </v:shape>
            <v:shape style="position:absolute;left:2679;top:359;width:2336;height:1565" type="#_x0000_t75" stroked="false">
              <v:imagedata r:id="rId273" o:title=""/>
            </v:shape>
            <v:shape style="position:absolute;left:3485;top:765;width:851;height:83" coordorigin="3485,765" coordsize="851,83" path="m3485,848l3502,836,3543,808,3591,780,3631,765,3656,769,3690,779,3724,791,3752,798,3793,798,3844,793,3896,786,3937,783,4042,787,4174,800,4287,813,4335,819e" filled="false" stroked="true" strokeweight="1pt" strokecolor="#000000">
              <v:path arrowok="t"/>
            </v:shape>
            <v:shape style="position:absolute;left:4527;top:160;width:1421;height:3491" type="#_x0000_t75" stroked="false">
              <v:imagedata r:id="rId274" o:title=""/>
            </v:shape>
            <v:shape style="position:absolute;left:5262;top:1741;width:435;height:187" type="#_x0000_t75" stroked="false">
              <v:imagedata r:id="rId275" o:title=""/>
            </v:shape>
            <v:shape style="position:absolute;left:4665;top:939;width:343;height:58" coordorigin="4665,939" coordsize="343,58" path="m4665,939l4792,944,4893,955,4968,975,5003,994,5007,997e" filled="false" stroked="true" strokeweight="1pt" strokecolor="#000000">
              <v:path arrowok="t"/>
            </v:shape>
            <v:shape style="position:absolute;left:4665;top:742;width:333;height:198" coordorigin="4665,742" coordsize="333,198" path="m4665,939l4790,882,4888,831,4958,783,4992,747,4997,742e" filled="false" stroked="true" strokeweight="1pt" strokecolor="#000000">
              <v:path arrowok="t"/>
            </v:shape>
            <v:shape style="position:absolute;left:4675;top:824;width:312;height:34" type="#_x0000_t75" stroked="false">
              <v:imagedata r:id="rId276" o:title=""/>
            </v:shape>
            <v:shape style="position:absolute;left:4958;top:783;width:26;height:193" coordorigin="4958,783" coordsize="26,193" path="m4968,975l4970,964,4976,936,4982,904,4983,879,4979,854,4971,822,4962,795,4958,783e" filled="false" stroked="true" strokeweight="1pt" strokecolor="#000000">
              <v:path arrowok="t"/>
            </v:shape>
            <v:shape style="position:absolute;left:4968;top:864;width:288;height:29" type="#_x0000_t75" stroked="false">
              <v:imagedata r:id="rId211" o:title=""/>
            </v:shape>
            <v:shape style="position:absolute;left:4651;top:2726;width:387;height:648" type="#_x0000_t75" stroked="false">
              <v:imagedata r:id="rId277" o:title=""/>
            </v:shape>
            <v:shape style="position:absolute;left:2864;top:1377;width:1892;height:1944" type="#_x0000_t75" stroked="false">
              <v:imagedata r:id="rId278" o:title=""/>
            </v:shape>
            <v:shape style="position:absolute;left:3808;top:1854;width:1448;height:506" type="#_x0000_t75" stroked="false">
              <v:imagedata r:id="rId279" o:title=""/>
            </v:shape>
            <v:shape style="position:absolute;left:5013;top:2243;width:186;height:291" coordorigin="5013,2243" coordsize="186,291" path="m5171,2243l5187,2287,5193,2339,5199,2388,5197,2450,5193,2484,5189,2512,5173,2533,5155,2530,5132,2513,5118,2479,5104,2448,5088,2415,5060,2386,5031,2365,5013,2350,5027,2327,5057,2312,5094,2308,5126,2305,5151,2290,5167,2265,5171,2243e" filled="false" stroked="true" strokeweight="1pt" strokecolor="#000000">
              <v:path arrowok="t"/>
            </v:shape>
            <v:shape style="position:absolute;left:5023;top:2326;width:288;height:125" type="#_x0000_t75" stroked="false">
              <v:imagedata r:id="rId280" o:title=""/>
            </v:shape>
            <v:shape style="position:absolute;left:4904;top:1959;width:309;height:401" type="#_x0000_t75" stroked="false">
              <v:imagedata r:id="rId281" o:title=""/>
            </v:shape>
            <v:shape style="position:absolute;left:4821;top:2418;width:308;height:351" type="#_x0000_t75" stroked="false">
              <v:imagedata r:id="rId282" o:title=""/>
            </v:shape>
            <v:shape style="position:absolute;left:4780;top:2726;width:308;height:261" type="#_x0000_t75" stroked="false">
              <v:imagedata r:id="rId283" o:title=""/>
            </v:shape>
            <v:shape style="position:absolute;left:4050;top:2092;width:368;height:306" type="#_x0000_t75" stroked="false">
              <v:imagedata r:id="rId284" o:title=""/>
            </v:shape>
            <v:shape style="position:absolute;left:4123;top:1818;width:344;height:375" type="#_x0000_t75" stroked="false">
              <v:imagedata r:id="rId285" o:title=""/>
            </v:shape>
            <v:shape style="position:absolute;left:4066;top:2329;width:368;height:261" type="#_x0000_t75" stroked="false">
              <v:imagedata r:id="rId286" o:title=""/>
            </v:shape>
            <v:shape style="position:absolute;left:3961;top:2494;width:400;height:368" type="#_x0000_t75" stroked="false">
              <v:imagedata r:id="rId287" o:title=""/>
            </v:shape>
            <v:line style="position:absolute" from="2634,1372" to="5382,1327" stroked="true" strokeweight="1.5pt" strokecolor="#000000"/>
            <v:line style="position:absolute" from="5382,879" to="4785,3311" stroked="true" strokeweight="1.5pt" strokecolor="#000000"/>
            <v:shape style="position:absolute;left:5161;top:736;width:315;height:301" type="#_x0000_t75" stroked="false">
              <v:imagedata r:id="rId288" o:title=""/>
            </v:shape>
            <v:shape style="position:absolute;left:5265;top:706;width:246;height:272" type="#_x0000_t75" stroked="false">
              <v:imagedata r:id="rId289" o:title=""/>
            </v:shape>
            <v:line style="position:absolute" from="5239,582" to="4908,3329" stroked="true" strokeweight="1.5pt" strokecolor="#000000"/>
            <v:shape style="position:absolute;left:5258;top:2075;width:368;height:190" type="#_x0000_t75" stroked="false">
              <v:imagedata r:id="rId290" o:title=""/>
            </v:shape>
            <v:shape style="position:absolute;left:4873;top:3016;width:358;height:239" type="#_x0000_t75" stroked="false">
              <v:imagedata r:id="rId291" o:title=""/>
            </v:shape>
            <v:shape style="position:absolute;left:5288;top:141;width:5129;height:3827" type="#_x0000_t75" stroked="false">
              <v:imagedata r:id="rId292" o:title=""/>
            </v:shape>
            <v:shape style="position:absolute;left:6737;top:1459;width:295;height:230" type="#_x0000_t75" stroked="false">
              <v:imagedata r:id="rId293" o:title=""/>
            </v:shape>
            <v:shape style="position:absolute;left:7993;top:1420;width:128;height:452" coordorigin="7993,1420" coordsize="128,452" path="m8095,1872l8072,1820,8026,1700,7993,1565,8008,1468,8017,1457,8030,1441,8045,1426,8057,1420,8070,1426,8085,1440,8099,1456,8108,1468,8120,1522,8106,1596,8084,1672,8074,1735,8078,1770,8086,1816,8092,1855,8095,1872e" filled="false" stroked="true" strokeweight="1pt" strokecolor="#000000">
              <v:path arrowok="t"/>
            </v:shape>
            <v:shape style="position:absolute;left:7951;top:1503;width:288;height:288" type="#_x0000_t75" stroked="false">
              <v:imagedata r:id="rId294" o:title=""/>
            </v:shape>
            <v:shape style="position:absolute;left:9614;top:593;width:387;height:543" type="#_x0000_t75" stroked="false">
              <v:imagedata r:id="rId295" o:title=""/>
            </v:shape>
            <v:shape style="position:absolute;left:6911;top:359;width:2503;height:1715" type="#_x0000_t75" stroked="false">
              <v:imagedata r:id="rId296" o:title=""/>
            </v:shape>
            <v:shape style="position:absolute;left:7773;top:804;width:912;height:92" coordorigin="7773,804" coordsize="912,92" path="m7773,895l7792,881,7836,851,7888,820,7930,804,7957,808,7993,819,8030,832,8059,839,8104,839,8159,834,8214,827,8259,824,8371,828,8512,842,8634,856,8685,863e" filled="false" stroked="true" strokeweight="1pt" strokecolor="#000000">
              <v:path arrowok="t"/>
            </v:shape>
            <v:shape style="position:absolute;left:8891;top:141;width:1523;height:3827" type="#_x0000_t75" stroked="false">
              <v:imagedata r:id="rId297" o:title=""/>
            </v:shape>
            <v:shape style="position:absolute;left:9680;top:1875;width:465;height:203" type="#_x0000_t75" stroked="false">
              <v:imagedata r:id="rId298" o:title=""/>
            </v:shape>
            <v:shape style="position:absolute;left:9039;top:994;width:368;height:64" coordorigin="9039,994" coordsize="368,64" path="m9039,994l9175,1000,9283,1012,9364,1034,9401,1055,9406,1058e" filled="false" stroked="true" strokeweight="1.0pt" strokecolor="#000000">
              <v:path arrowok="t"/>
            </v:shape>
            <v:shape style="position:absolute;left:9039;top:778;width:357;height:217" coordorigin="9039,778" coordsize="357,217" path="m9039,994l9173,932,9278,876,9353,824,9390,784,9395,778e" filled="false" stroked="true" strokeweight="1pt" strokecolor="#000000">
              <v:path arrowok="t"/>
            </v:shape>
            <v:shape style="position:absolute;left:9048;top:860;width:336;height:53" type="#_x0000_t75" stroked="false">
              <v:imagedata r:id="rId253" o:title=""/>
            </v:shape>
            <v:shape style="position:absolute;left:9353;top:823;width:28;height:211" coordorigin="9353,823" coordsize="28,211" path="m9363,1034l9366,1021,9373,991,9378,956,9380,929,9376,901,9366,866,9357,836,9353,823e" filled="false" stroked="true" strokeweight="1pt" strokecolor="#000000">
              <v:path arrowok="t"/>
            </v:shape>
            <v:shape style="position:absolute;left:9362;top:905;width:288;height:48" type="#_x0000_t75" stroked="false">
              <v:imagedata r:id="rId299" o:title=""/>
            </v:shape>
            <v:shape style="position:absolute;left:9025;top:2956;width:414;height:708" type="#_x0000_t75" stroked="false">
              <v:imagedata r:id="rId300" o:title=""/>
            </v:shape>
            <v:shape style="position:absolute;left:7109;top:1476;width:2028;height:2130" type="#_x0000_t75" stroked="false">
              <v:imagedata r:id="rId301" o:title=""/>
            </v:shape>
            <v:shape style="position:absolute;left:8121;top:1999;width:1551;height:553" type="#_x0000_t75" stroked="false">
              <v:imagedata r:id="rId302" o:title=""/>
            </v:shape>
            <v:shape style="position:absolute;left:9402;top:2415;width:219;height:338" type="#_x0000_t75" stroked="false">
              <v:imagedata r:id="rId303" o:title=""/>
            </v:shape>
            <v:shape style="position:absolute;left:9422;top:2506;width:288;height:156" type="#_x0000_t75" stroked="false">
              <v:imagedata r:id="rId304" o:title=""/>
            </v:shape>
            <v:shape style="position:absolute;left:9296;top:2114;width:309;height:438" type="#_x0000_t75" stroked="false">
              <v:imagedata r:id="rId305" o:title=""/>
            </v:shape>
            <v:shape style="position:absolute;left:9207;top:2618;width:309;height:384" type="#_x0000_t75" stroked="false">
              <v:imagedata r:id="rId306" o:title=""/>
            </v:shape>
            <v:shape style="position:absolute;left:9163;top:2956;width:308;height:284" type="#_x0000_t75" stroked="false">
              <v:imagedata r:id="rId307" o:title=""/>
            </v:shape>
            <v:shape style="position:absolute;left:8380;top:2260;width:393;height:334" type="#_x0000_t75" stroked="false">
              <v:imagedata r:id="rId308" o:title=""/>
            </v:shape>
            <v:shape style="position:absolute;left:8459;top:1959;width:368;height:410" type="#_x0000_t75" stroked="false">
              <v:imagedata r:id="rId309" o:title=""/>
            </v:shape>
            <v:shape style="position:absolute;left:8397;top:2520;width:393;height:285" type="#_x0000_t75" stroked="false">
              <v:imagedata r:id="rId310" o:title=""/>
            </v:shape>
            <v:shape style="position:absolute;left:8285;top:2701;width:427;height:402" type="#_x0000_t75" stroked="false">
              <v:imagedata r:id="rId311" o:title=""/>
            </v:shape>
            <v:line style="position:absolute" from="6861,1470" to="9808,1420" stroked="true" strokeweight="1.5pt" strokecolor="#000000"/>
            <v:line style="position:absolute" from="9353,824" to="9550,3699" stroked="true" strokeweight="1.5pt" strokecolor="#000000"/>
            <v:shape style="position:absolute;left:9297;top:900;width:410;height:322" type="#_x0000_t75" stroked="false">
              <v:imagedata r:id="rId312" o:title=""/>
            </v:shape>
            <v:shape style="position:absolute;left:9370;top:854;width:240;height:315" type="#_x0000_t75" stroked="false">
              <v:imagedata r:id="rId313" o:title=""/>
            </v:shape>
            <v:line style="position:absolute" from="9654,603" to="9299,3616" stroked="true" strokeweight="1.5pt" strokecolor="#000000"/>
            <v:shape style="position:absolute;left:8913;top:3292;width:391;height:204" type="#_x0000_t75" stroked="false">
              <v:imagedata r:id="rId314" o:title=""/>
            </v:shape>
            <v:shape style="position:absolute;left:9591;top:2046;width:381;height:259" type="#_x0000_t75" stroked="false">
              <v:imagedata r:id="rId315" o:title=""/>
            </v:shape>
            <v:shape style="position:absolute;left:1419;top:3305;width:216;height:240" type="#_x0000_t202" filled="false" stroked="false">
              <v:textbox inset="0,0,0,0">
                <w:txbxContent>
                  <w:p>
                    <w:pPr>
                      <w:spacing w:line="240" w:lineRule="exact" w:before="0"/>
                      <w:ind w:left="0" w:right="-18" w:firstLine="0"/>
                      <w:jc w:val="left"/>
                      <w:rPr>
                        <w:sz w:val="24"/>
                      </w:rPr>
                    </w:pPr>
                    <w:r>
                      <w:rPr>
                        <w:sz w:val="24"/>
                      </w:rPr>
                      <w:t>a)</w:t>
                    </w:r>
                  </w:p>
                </w:txbxContent>
              </v:textbox>
              <w10:wrap type="none"/>
            </v:shape>
            <v:shape style="position:absolute;left:5751;top:3305;width:215;height:240" type="#_x0000_t202" filled="false" stroked="false">
              <v:textbox inset="0,0,0,0">
                <w:txbxContent>
                  <w:p>
                    <w:pPr>
                      <w:spacing w:line="240" w:lineRule="exact" w:before="0"/>
                      <w:ind w:left="0" w:right="-19" w:firstLine="0"/>
                      <w:jc w:val="left"/>
                      <w:rPr>
                        <w:sz w:val="24"/>
                      </w:rPr>
                    </w:pPr>
                    <w:r>
                      <w:rPr>
                        <w:sz w:val="24"/>
                      </w:rPr>
                      <w:t>b)</w:t>
                    </w:r>
                  </w:p>
                </w:txbxContent>
              </v:textbox>
              <w10:wrap type="none"/>
            </v:shape>
            <w10:wrap type="topAndBottom"/>
          </v:group>
        </w:pict>
      </w:r>
    </w:p>
    <w:p>
      <w:pPr>
        <w:pStyle w:val="BodyText"/>
        <w:spacing w:before="10"/>
        <w:rPr>
          <w:sz w:val="10"/>
        </w:rPr>
      </w:pPr>
    </w:p>
    <w:p>
      <w:pPr>
        <w:spacing w:line="362" w:lineRule="auto" w:before="77"/>
        <w:ind w:left="2846" w:right="3271" w:firstLine="120"/>
        <w:jc w:val="left"/>
        <w:rPr>
          <w:sz w:val="18"/>
        </w:rPr>
      </w:pPr>
      <w:r>
        <w:rPr>
          <w:sz w:val="18"/>
        </w:rPr>
        <w:t>Fig. 17 “Clase de maloclusión” a) Clase II b) Clase III Fuente: </w:t>
      </w:r>
      <w:hyperlink r:id="rId57">
        <w:r>
          <w:rPr>
            <w:sz w:val="18"/>
            <w:u w:val="single"/>
          </w:rPr>
          <w:t>http://www.orthofree.com/cms/assets/pdf/99.pdf</w:t>
        </w:r>
      </w:hyperlink>
    </w:p>
    <w:p>
      <w:pPr>
        <w:spacing w:after="0" w:line="362" w:lineRule="auto"/>
        <w:jc w:val="left"/>
        <w:rPr>
          <w:sz w:val="18"/>
        </w:rPr>
        <w:sectPr>
          <w:pgSz w:w="12240" w:h="15840"/>
          <w:pgMar w:header="596" w:footer="974" w:top="1440" w:bottom="1160" w:left="900" w:right="740"/>
        </w:sectPr>
      </w:pPr>
    </w:p>
    <w:p>
      <w:pPr>
        <w:pStyle w:val="BodyText"/>
        <w:spacing w:before="9"/>
        <w:rPr>
          <w:sz w:val="15"/>
        </w:rPr>
      </w:pPr>
    </w:p>
    <w:p>
      <w:pPr>
        <w:pStyle w:val="ListParagraph"/>
        <w:numPr>
          <w:ilvl w:val="0"/>
          <w:numId w:val="17"/>
        </w:numPr>
        <w:tabs>
          <w:tab w:pos="1239" w:val="left" w:leader="none"/>
        </w:tabs>
        <w:spacing w:line="240" w:lineRule="auto" w:before="70" w:after="0"/>
        <w:ind w:left="1238" w:right="0" w:hanging="360"/>
        <w:jc w:val="left"/>
        <w:rPr>
          <w:sz w:val="24"/>
        </w:rPr>
      </w:pPr>
      <w:r>
        <w:rPr>
          <w:sz w:val="24"/>
        </w:rPr>
        <w:t>Ángulo del Plano horizontal con el Plano</w:t>
      </w:r>
      <w:r>
        <w:rPr>
          <w:spacing w:val="-21"/>
          <w:sz w:val="24"/>
        </w:rPr>
        <w:t> </w:t>
      </w:r>
      <w:r>
        <w:rPr>
          <w:sz w:val="24"/>
        </w:rPr>
        <w:t>Palatino</w:t>
      </w:r>
    </w:p>
    <w:p>
      <w:pPr>
        <w:pStyle w:val="BodyText"/>
        <w:spacing w:before="4"/>
        <w:rPr>
          <w:sz w:val="29"/>
        </w:rPr>
      </w:pPr>
    </w:p>
    <w:p>
      <w:pPr>
        <w:pStyle w:val="BodyText"/>
        <w:spacing w:line="360" w:lineRule="auto" w:before="1"/>
        <w:ind w:left="518" w:right="964"/>
      </w:pPr>
      <w:r>
        <w:rPr/>
        <w:pict>
          <v:group style="position:absolute;margin-left:83.040001pt;margin-top:38.625877pt;width:282.8pt;height:192.4pt;mso-position-horizontal-relative:page;mso-position-vertical-relative:paragraph;z-index:-102904" coordorigin="1661,773" coordsize="5656,3848">
            <v:shape style="position:absolute;left:1661;top:864;width:5638;height:3665" type="#_x0000_t75" stroked="false">
              <v:imagedata r:id="rId317" o:title=""/>
            </v:shape>
            <v:shape style="position:absolute;left:3245;top:2098;width:295;height:231" type="#_x0000_t75" stroked="false">
              <v:imagedata r:id="rId318" o:title=""/>
            </v:shape>
            <v:shape style="position:absolute;left:4635;top:2059;width:141;height:455" coordorigin="4635,2059" coordsize="141,455" path="m4749,2513l4723,2461,4672,2340,4635,2204,4652,2107,4662,2096,4676,2080,4693,2065,4706,2059,4720,2065,4737,2079,4753,2095,4763,2107,4776,2161,4760,2235,4736,2312,4725,2375,4730,2411,4738,2457,4745,2496,4749,2513e" filled="false" stroked="true" strokeweight="1pt" strokecolor="#000000">
              <v:path arrowok="t"/>
            </v:shape>
            <v:shape style="position:absolute;left:4586;top:2141;width:288;height:290" type="#_x0000_t75" stroked="false">
              <v:imagedata r:id="rId248" o:title=""/>
            </v:shape>
            <v:shape style="position:absolute;left:6432;top:1227;width:427;height:546" type="#_x0000_t75" stroked="false">
              <v:imagedata r:id="rId319" o:title=""/>
            </v:shape>
            <v:shape style="position:absolute;left:3437;top:991;width:2771;height:1726" type="#_x0000_t75" stroked="false">
              <v:imagedata r:id="rId320" o:title=""/>
            </v:shape>
            <v:shape style="position:absolute;left:4392;top:1439;width:1010;height:92" coordorigin="4392,1439" coordsize="1010,92" path="m4392,1531l4412,1517,4461,1486,4518,1455,4565,1439,4596,1443,4635,1455,4676,1467,4709,1475,4758,1475,4819,1469,4880,1462,4930,1459,5054,1463,5211,1477,5345,1492,5402,1499e" filled="false" stroked="true" strokeweight="1.0pt" strokecolor="#000000">
              <v:path arrowok="t"/>
            </v:shape>
            <v:shape style="position:absolute;left:5631;top:773;width:1685;height:3848" type="#_x0000_t75" stroked="false">
              <v:imagedata r:id="rId321" o:title=""/>
            </v:shape>
            <v:shape style="position:absolute;left:6505;top:2517;width:513;height:204" type="#_x0000_t75" stroked="false">
              <v:imagedata r:id="rId322" o:title=""/>
            </v:shape>
            <v:shape style="position:absolute;left:5793;top:1413;width:407;height:282" coordorigin="5793,1413" coordsize="407,282" path="m5793,1631l5839,1631,5944,1636,6064,1648,6153,1671,6166,1676,6181,1684,6195,1691,6200,1695m5793,1631l5838,1612,5942,1568,6058,1512,6141,1459,6153,1447,6169,1432,6182,1419,6188,1413e" filled="false" stroked="true" strokeweight="1pt" strokecolor="#000000">
              <v:path arrowok="t"/>
            </v:shape>
            <v:shape style="position:absolute;left:5803;top:1495;width:374;height:53" type="#_x0000_t75" stroked="false">
              <v:imagedata r:id="rId323" o:title=""/>
            </v:shape>
            <v:shape style="position:absolute;left:6141;top:1459;width:31;height:212" coordorigin="6141,1459" coordsize="31,212" path="m6153,1671l6156,1658,6163,1627,6170,1592,6172,1565,6167,1537,6156,1502,6146,1471,6141,1459e" filled="false" stroked="true" strokeweight="1pt" strokecolor="#000000">
              <v:path arrowok="t"/>
            </v:shape>
            <v:shape style="position:absolute;left:6151;top:1541;width:288;height:48" type="#_x0000_t75" stroked="false">
              <v:imagedata r:id="rId299" o:title=""/>
            </v:shape>
            <v:shape style="position:absolute;left:5779;top:3603;width:456;height:712" type="#_x0000_t75" stroked="false">
              <v:imagedata r:id="rId324" o:title=""/>
            </v:shape>
            <v:shape style="position:absolute;left:3657;top:2115;width:2244;height:2142" type="#_x0000_t75" stroked="false">
              <v:imagedata r:id="rId325" o:title=""/>
            </v:shape>
            <v:shape style="position:absolute;left:4778;top:2641;width:1716;height:556" type="#_x0000_t75" stroked="false">
              <v:imagedata r:id="rId326" o:title=""/>
            </v:shape>
            <v:shape style="position:absolute;left:6197;top:3059;width:241;height:340" type="#_x0000_t75" stroked="false">
              <v:imagedata r:id="rId327" o:title=""/>
            </v:shape>
            <v:shape style="position:absolute;left:6216;top:3151;width:288;height:156" type="#_x0000_t75" stroked="false">
              <v:imagedata r:id="rId304" o:title=""/>
            </v:shape>
            <v:shape style="position:absolute;left:6079;top:2757;width:325;height:440" type="#_x0000_t75" stroked="false">
              <v:imagedata r:id="rId328" o:title=""/>
            </v:shape>
            <v:shape style="position:absolute;left:5981;top:3263;width:338;height:386" type="#_x0000_t75" stroked="false">
              <v:imagedata r:id="rId329" o:title=""/>
            </v:shape>
            <v:shape style="position:absolute;left:5932;top:3603;width:308;height:286" type="#_x0000_t75" stroked="false">
              <v:imagedata r:id="rId330" o:title=""/>
            </v:shape>
            <v:shape style="position:absolute;left:5065;top:2903;width:433;height:336" type="#_x0000_t75" stroked="false">
              <v:imagedata r:id="rId331" o:title=""/>
            </v:shape>
            <v:shape style="position:absolute;left:5152;top:2601;width:405;height:412" type="#_x0000_t75" stroked="false">
              <v:imagedata r:id="rId332" o:title=""/>
            </v:shape>
            <v:shape style="position:absolute;left:5172;top:2693;width:365;height:228" type="#_x0000_t75" stroked="false">
              <v:imagedata r:id="rId333" o:title=""/>
            </v:shape>
            <v:shape style="position:absolute;left:5084;top:3165;width:433;height:286" type="#_x0000_t75" stroked="false">
              <v:imagedata r:id="rId334" o:title=""/>
            </v:shape>
            <v:shape style="position:absolute;left:4959;top:3347;width:471;height:404" type="#_x0000_t75" stroked="false">
              <v:imagedata r:id="rId335" o:title=""/>
            </v:shape>
            <v:shape style="position:absolute;left:3382;top:2059;width:3264;height:695" coordorigin="3382,2059" coordsize="3264,695" path="m3382,2109l6645,2059m6619,2511l4667,2753e" filled="false" stroked="true" strokeweight="1.5pt" strokecolor="#000000">
              <v:path arrowok="t"/>
            </v:shape>
            <v:shape style="position:absolute;left:6506;top:2478;width:313;height:321" type="#_x0000_t75" stroked="false">
              <v:imagedata r:id="rId336" o:title=""/>
            </v:shape>
            <v:shape style="position:absolute;left:6564;top:2535;width:304;height:167" type="#_x0000_t75" stroked="false">
              <v:imagedata r:id="rId171" o:title=""/>
            </v:shape>
            <v:line style="position:absolute" from="6515,2658" to="4647,2697" stroked="true" strokeweight="1.5pt" strokecolor="#000000"/>
            <w10:wrap type="none"/>
          </v:group>
        </w:pict>
      </w:r>
      <w:r>
        <w:rPr/>
        <w:t>Este ángulo se obtiene con el plano horizontal de Frankfort y el plano palatino, este mide aproximadamente -2° y representa la posición del paladar. (Fig. 18)</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29"/>
        </w:rPr>
      </w:pPr>
    </w:p>
    <w:p>
      <w:pPr>
        <w:spacing w:line="362" w:lineRule="auto" w:before="0"/>
        <w:ind w:left="2846" w:right="2898" w:hanging="255"/>
        <w:jc w:val="left"/>
        <w:rPr>
          <w:sz w:val="18"/>
        </w:rPr>
      </w:pPr>
      <w:r>
        <w:rPr>
          <w:sz w:val="18"/>
        </w:rPr>
        <w:t>Fig. 18 “Ángulo Plano horizontal de Frankfort y Plano palatino” Fuente: </w:t>
      </w:r>
      <w:hyperlink r:id="rId57">
        <w:r>
          <w:rPr>
            <w:sz w:val="18"/>
            <w:u w:val="single"/>
          </w:rPr>
          <w:t>http://www.orthofree.com/cms/assets/pdf/99.pdf</w:t>
        </w:r>
      </w:hyperlink>
    </w:p>
    <w:p>
      <w:pPr>
        <w:pStyle w:val="BodyText"/>
        <w:spacing w:before="9"/>
        <w:rPr>
          <w:sz w:val="29"/>
        </w:rPr>
      </w:pPr>
    </w:p>
    <w:p>
      <w:pPr>
        <w:pStyle w:val="BodyText"/>
        <w:spacing w:line="350" w:lineRule="auto" w:before="69"/>
        <w:ind w:left="518" w:right="958"/>
        <w:jc w:val="both"/>
        <w:rPr>
          <w:sz w:val="16"/>
        </w:rPr>
      </w:pPr>
      <w:r>
        <w:rPr/>
        <w:t>Un ángulo negativo indica que el paladar está inclinado hacia arriba y adelante, horizontalmente esto se relaciona con una maloclusión Clase II. Un ángulo positivo indica que el paladar está inclinado hacia abajo y adelante, horizontalmente se relaciona con maloclusión Clase III.</w:t>
      </w:r>
      <w:r>
        <w:rPr>
          <w:position w:val="11"/>
          <w:sz w:val="16"/>
        </w:rPr>
        <w:t>43</w:t>
      </w:r>
    </w:p>
    <w:p>
      <w:pPr>
        <w:pStyle w:val="BodyText"/>
        <w:spacing w:before="8"/>
        <w:rPr>
          <w:sz w:val="35"/>
        </w:rPr>
      </w:pPr>
    </w:p>
    <w:p>
      <w:pPr>
        <w:spacing w:before="1"/>
        <w:ind w:left="518" w:right="0" w:firstLine="0"/>
        <w:jc w:val="both"/>
        <w:rPr>
          <w:b/>
          <w:sz w:val="24"/>
        </w:rPr>
      </w:pPr>
      <w:r>
        <w:rPr>
          <w:b/>
          <w:sz w:val="24"/>
        </w:rPr>
        <w:t>Factor de combinación</w:t>
      </w:r>
    </w:p>
    <w:p>
      <w:pPr>
        <w:pStyle w:val="BodyText"/>
        <w:spacing w:line="360" w:lineRule="auto" w:before="137"/>
        <w:ind w:left="518" w:right="962"/>
        <w:jc w:val="both"/>
      </w:pPr>
      <w:r>
        <w:rPr/>
        <w:t>Kim utilizó la combinación de ambos índices para comparar pacientes con maloclusiones Clase II división 1, tratados ortodóncicamente con y sin extracciones de dientes permanentes.</w:t>
      </w:r>
    </w:p>
    <w:p>
      <w:pPr>
        <w:pStyle w:val="BodyText"/>
        <w:spacing w:line="360" w:lineRule="auto" w:before="204"/>
        <w:ind w:left="518" w:right="965"/>
        <w:jc w:val="both"/>
      </w:pPr>
      <w:r>
        <w:rPr/>
        <w:t>Este estudio lo llevó al desarrollo del Factor de Combinación (Combination Factor CF), dos medidas cefalométricas como una sola que establece en un solo valor la relación vertical y horizontal del patrón de la maloclusión, proporcionando un mejor entendimiento del balance facial.</w:t>
      </w:r>
    </w:p>
    <w:p>
      <w:pPr>
        <w:spacing w:after="0" w:line="360" w:lineRule="auto"/>
        <w:jc w:val="both"/>
        <w:sectPr>
          <w:footerReference w:type="default" r:id="rId316"/>
          <w:pgSz w:w="12240" w:h="15840"/>
          <w:pgMar w:footer="974" w:header="596" w:top="1440" w:bottom="1160" w:left="900" w:right="740"/>
        </w:sectPr>
      </w:pPr>
    </w:p>
    <w:p>
      <w:pPr>
        <w:pStyle w:val="BodyText"/>
        <w:spacing w:before="9"/>
        <w:rPr>
          <w:sz w:val="15"/>
        </w:rPr>
      </w:pPr>
    </w:p>
    <w:p>
      <w:pPr>
        <w:pStyle w:val="BodyText"/>
        <w:spacing w:line="360" w:lineRule="auto" w:before="70"/>
        <w:ind w:left="518" w:right="958"/>
        <w:jc w:val="both"/>
      </w:pPr>
      <w:r>
        <w:rPr/>
        <w:t>El CF es determinado por la suma del ODI y el APDI. Su valor promedio en sujetos caucásicos es de 155.9° con desviación estándar de 5°. Representa el balance de ambas dimensiones (vertical y horizontal). Su resultado ayuda a definir si el paciente tiene potencial para ser tratado con protocolo de extracción o de no extracción.</w:t>
      </w:r>
    </w:p>
    <w:p>
      <w:pPr>
        <w:pStyle w:val="BodyText"/>
        <w:spacing w:line="350" w:lineRule="auto" w:before="204"/>
        <w:ind w:left="518" w:right="956"/>
        <w:jc w:val="both"/>
        <w:rPr>
          <w:sz w:val="16"/>
        </w:rPr>
      </w:pPr>
      <w:r>
        <w:rPr/>
        <w:t>Se observó que los valores individuales mayores de 155° favorecen el tratamiento sin extracción de dientes permanentes. Cuando el valor individual de CF está por debajo de 150°, lo más probable es que se requiera un tratamiento con extracciones para corregir la maloclusión. </w:t>
      </w:r>
      <w:r>
        <w:rPr>
          <w:position w:val="11"/>
          <w:sz w:val="16"/>
        </w:rPr>
        <w:t>44</w:t>
      </w:r>
    </w:p>
    <w:p>
      <w:pPr>
        <w:spacing w:before="198"/>
        <w:ind w:left="518" w:right="0" w:firstLine="0"/>
        <w:jc w:val="both"/>
        <w:rPr>
          <w:b/>
          <w:sz w:val="24"/>
        </w:rPr>
      </w:pPr>
      <w:r>
        <w:rPr>
          <w:b/>
          <w:sz w:val="24"/>
        </w:rPr>
        <w:t>Índice de extracción</w:t>
      </w:r>
    </w:p>
    <w:p>
      <w:pPr>
        <w:pStyle w:val="BodyText"/>
        <w:spacing w:before="4"/>
        <w:rPr>
          <w:b/>
          <w:sz w:val="29"/>
        </w:rPr>
      </w:pPr>
    </w:p>
    <w:p>
      <w:pPr>
        <w:pStyle w:val="BodyText"/>
        <w:spacing w:line="355" w:lineRule="auto" w:before="1"/>
        <w:ind w:left="518" w:right="961"/>
        <w:jc w:val="both"/>
        <w:rPr>
          <w:sz w:val="16"/>
        </w:rPr>
      </w:pPr>
      <w:r>
        <w:rPr/>
        <w:t>Subsecuentemente el Dr. Kim, relacionó el Factor de Combinación (CF) con dos elementos directamente relacionados con función y estética, usando las medidas del ángulo interincisal (IIA) y la retrusión o protrusión de los labios, esto da un valor cefalométrico muy útil para determinar si se realizan extracciones o no de los dientes permanentes para la corrección de la maloclusión, este fue llamado Índice de Extracción (Extracción Index).</w:t>
      </w:r>
      <w:r>
        <w:rPr>
          <w:position w:val="11"/>
          <w:sz w:val="16"/>
        </w:rPr>
        <w:t>4</w:t>
      </w:r>
    </w:p>
    <w:p>
      <w:pPr>
        <w:pStyle w:val="BodyText"/>
        <w:spacing w:line="350" w:lineRule="auto" w:before="189"/>
        <w:ind w:left="518" w:right="966"/>
        <w:jc w:val="both"/>
        <w:rPr>
          <w:sz w:val="16"/>
        </w:rPr>
      </w:pPr>
      <w:r>
        <w:rPr/>
        <w:pict>
          <v:group style="position:absolute;margin-left:179.639999pt;margin-top:95.815865pt;width:211.95pt;height:160.75pt;mso-position-horizontal-relative:page;mso-position-vertical-relative:paragraph;z-index:1792;mso-wrap-distance-left:0;mso-wrap-distance-right:0" coordorigin="3593,1916" coordsize="4239,3215">
            <v:shape style="position:absolute;left:3593;top:2009;width:4222;height:3031" type="#_x0000_t75" stroked="false">
              <v:imagedata r:id="rId338" o:title=""/>
            </v:shape>
            <v:shape style="position:absolute;left:4776;top:3023;width:298;height:196" type="#_x0000_t75" stroked="false">
              <v:imagedata r:id="rId339" o:title=""/>
            </v:shape>
            <v:shape style="position:absolute;left:5810;top:2981;width:125;height:399" type="#_x0000_t75" stroked="false">
              <v:imagedata r:id="rId340" o:title=""/>
            </v:shape>
            <v:shape style="position:absolute;left:5786;top:3072;width:288;height:216" type="#_x0000_t75" stroked="false">
              <v:imagedata r:id="rId341" o:title=""/>
            </v:shape>
            <v:shape style="position:absolute;left:7164;top:2296;width:325;height:459" type="#_x0000_t75" stroked="false">
              <v:imagedata r:id="rId342" o:title=""/>
            </v:shape>
            <v:shape style="position:absolute;left:4920;top:2099;width:2081;height:1442" type="#_x0000_t75" stroked="false">
              <v:imagedata r:id="rId343" o:title=""/>
            </v:shape>
            <v:shape style="position:absolute;left:5638;top:2474;width:757;height:77" coordorigin="5638,2474" coordsize="757,77" path="m5638,2551l5653,2539,5690,2514,5733,2488,5768,2474,5791,2478,5820,2487,5851,2498,5875,2504,5913,2504,5958,2499,6004,2494,6041,2491,6134,2495,6251,2506,6352,2518,6395,2524e" filled="false" stroked="true" strokeweight="1pt" strokecolor="#000000">
              <v:path arrowok="t"/>
            </v:shape>
            <v:shape style="position:absolute;left:6564;top:1916;width:1267;height:3215" type="#_x0000_t75" stroked="false">
              <v:imagedata r:id="rId344" o:title=""/>
            </v:shape>
            <v:shape style="position:absolute;left:7219;top:3372;width:390;height:174" type="#_x0000_t75" stroked="false">
              <v:imagedata r:id="rId345" o:title=""/>
            </v:shape>
            <v:shape style="position:absolute;left:6688;top:2634;width:305;height:54" coordorigin="6688,2634" coordsize="305,54" path="m6688,2634l6801,2639,6891,2649,6958,2668,6989,2685,6993,2688e" filled="false" stroked="true" strokeweight="1pt" strokecolor="#000000">
              <v:path arrowok="t"/>
            </v:shape>
            <v:shape style="position:absolute;left:6688;top:2453;width:296;height:182" coordorigin="6688,2453" coordsize="296,182" path="m6688,2634l6799,2582,6887,2535,6949,2491,6980,2457,6984,2453e" filled="false" stroked="true" strokeweight="1pt" strokecolor="#000000">
              <v:path arrowok="t"/>
            </v:shape>
            <v:shape style="position:absolute;left:6698;top:2534;width:288;height:17" type="#_x0000_t75" stroked="false">
              <v:imagedata r:id="rId346" o:title=""/>
            </v:shape>
            <v:shape style="position:absolute;left:6949;top:2491;width:23;height:177" coordorigin="6949,2491" coordsize="23,177" path="m6958,2668l6960,2657,6965,2631,6970,2602,6972,2579,6968,2556,6960,2527,6952,2501,6949,2491e" filled="false" stroked="true" strokeweight="1pt" strokecolor="#000000">
              <v:path arrowok="t"/>
            </v:shape>
            <v:shape style="position:absolute;left:6960;top:2573;width:288;height:12" type="#_x0000_t75" stroked="false">
              <v:imagedata r:id="rId347" o:title=""/>
            </v:shape>
            <v:shape style="position:absolute;left:6675;top:4279;width:347;height:598" type="#_x0000_t75" stroked="false">
              <v:imagedata r:id="rId348" o:title=""/>
            </v:shape>
            <v:shape style="position:absolute;left:5084;top:3037;width:1687;height:1791" type="#_x0000_t75" stroked="false">
              <v:imagedata r:id="rId349" o:title=""/>
            </v:shape>
            <v:shape style="position:absolute;left:5925;top:3476;width:1291;height:467" type="#_x0000_t75" stroked="false">
              <v:imagedata r:id="rId350" o:title=""/>
            </v:shape>
            <v:shape style="position:absolute;left:6998;top:3835;width:166;height:267" coordorigin="6998,3835" coordsize="166,267" path="m7139,3835l7153,3875,7158,3923,7164,3968,7162,4025,7158,4057,7155,4082,7141,4102,7125,4099,7104,4084,7091,4052,7079,4023,7065,3993,7040,3967,7014,3947,6998,3933,7010,3912,7037,3898,7070,3895,7098,3892,7121,3878,7135,3855,7139,3835e" filled="false" stroked="true" strokeweight="1pt" strokecolor="#000000">
              <v:path arrowok="t"/>
            </v:shape>
            <v:shape style="position:absolute;left:7008;top:3917;width:288;height:103" type="#_x0000_t75" stroked="false">
              <v:imagedata r:id="rId76" o:title=""/>
            </v:shape>
            <v:shape style="position:absolute;left:6900;top:3572;width:307;height:371" type="#_x0000_t75" stroked="false">
              <v:imagedata r:id="rId351" o:title=""/>
            </v:shape>
            <v:shape style="position:absolute;left:6826;top:3995;width:309;height:325" type="#_x0000_t75" stroked="false">
              <v:imagedata r:id="rId352" o:title=""/>
            </v:shape>
            <v:shape style="position:absolute;left:6789;top:4279;width:307;height:242" type="#_x0000_t75" stroked="false">
              <v:imagedata r:id="rId353" o:title=""/>
            </v:shape>
            <v:shape style="position:absolute;left:6140;top:3695;width:330;height:284" type="#_x0000_t75" stroked="false">
              <v:imagedata r:id="rId354" o:title=""/>
            </v:shape>
            <v:shape style="position:absolute;left:6205;top:3442;width:309;height:347" type="#_x0000_t75" stroked="false">
              <v:imagedata r:id="rId355" o:title=""/>
            </v:shape>
            <v:shape style="position:absolute;left:6154;top:3913;width:330;height:242" type="#_x0000_t75" stroked="false">
              <v:imagedata r:id="rId356" o:title=""/>
            </v:shape>
            <v:shape style="position:absolute;left:6061;top:4065;width:358;height:340" type="#_x0000_t75" stroked="false">
              <v:imagedata r:id="rId357" o:title=""/>
            </v:shape>
            <v:line style="position:absolute" from="7164,4981" to="7737,2306" stroked="true" strokeweight="1.5pt" strokecolor="#000000"/>
            <v:line style="position:absolute" from="6409,2417" to="7327,4438" stroked="true" strokeweight="1.5pt" strokecolor="#000000"/>
            <v:line style="position:absolute" from="7599,2634" to="6667,4981" stroked="true" strokeweight="1.5pt" strokecolor="#000000"/>
            <w10:wrap type="topAndBottom"/>
          </v:group>
        </w:pict>
      </w:r>
      <w:r>
        <w:rPr/>
        <w:t>Es el factor de combinación influenciado por el ángulo interincisivo y el grado de protrusión labial. Se obtiene determinando que tan protruido o no está el labio superior y el labio inferior respecto al plano “E”. Sumando o restando las distancias de LS y LI al plano, respecto de este plano al CF. (Fig.</w:t>
      </w:r>
      <w:r>
        <w:rPr>
          <w:spacing w:val="-17"/>
        </w:rPr>
        <w:t> </w:t>
      </w:r>
      <w:r>
        <w:rPr/>
        <w:t>19)</w:t>
      </w:r>
      <w:r>
        <w:rPr>
          <w:position w:val="11"/>
          <w:sz w:val="16"/>
        </w:rPr>
        <w:t>4</w:t>
      </w:r>
    </w:p>
    <w:p>
      <w:pPr>
        <w:spacing w:line="362" w:lineRule="auto" w:before="0"/>
        <w:ind w:left="2846" w:right="3271" w:firstLine="355"/>
        <w:jc w:val="left"/>
        <w:rPr>
          <w:sz w:val="18"/>
        </w:rPr>
      </w:pPr>
      <w:r>
        <w:rPr>
          <w:sz w:val="18"/>
        </w:rPr>
        <w:t>Fig. 19 “Ángulo interincisal y posición del labio” Fuente: </w:t>
      </w:r>
      <w:hyperlink r:id="rId57">
        <w:r>
          <w:rPr>
            <w:sz w:val="18"/>
            <w:u w:val="single"/>
          </w:rPr>
          <w:t>http://www.orthofree.com/cms/assets/pdf/99.pdf</w:t>
        </w:r>
      </w:hyperlink>
    </w:p>
    <w:p>
      <w:pPr>
        <w:spacing w:after="0" w:line="362" w:lineRule="auto"/>
        <w:jc w:val="left"/>
        <w:rPr>
          <w:sz w:val="18"/>
        </w:rPr>
        <w:sectPr>
          <w:footerReference w:type="default" r:id="rId337"/>
          <w:pgSz w:w="12240" w:h="15840"/>
          <w:pgMar w:footer="974" w:header="596" w:top="1440" w:bottom="1160" w:left="900" w:right="740"/>
          <w:pgNumType w:start="41"/>
        </w:sectPr>
      </w:pPr>
    </w:p>
    <w:p>
      <w:pPr>
        <w:pStyle w:val="BodyText"/>
        <w:spacing w:before="9"/>
        <w:rPr>
          <w:sz w:val="15"/>
        </w:rPr>
      </w:pPr>
    </w:p>
    <w:p>
      <w:pPr>
        <w:pStyle w:val="BodyText"/>
        <w:spacing w:before="70"/>
        <w:ind w:left="518"/>
        <w:jc w:val="both"/>
      </w:pPr>
      <w:r>
        <w:rPr/>
        <w:t>Pasos:</w:t>
      </w:r>
    </w:p>
    <w:p>
      <w:pPr>
        <w:pStyle w:val="BodyText"/>
        <w:spacing w:before="137"/>
        <w:ind w:left="518"/>
        <w:jc w:val="both"/>
      </w:pPr>
      <w:r>
        <w:rPr/>
        <w:t>Se mide la distancia en mm del  LS y LI al plano E.</w:t>
      </w:r>
    </w:p>
    <w:p>
      <w:pPr>
        <w:pStyle w:val="BodyText"/>
        <w:spacing w:before="4"/>
        <w:rPr>
          <w:sz w:val="29"/>
        </w:rPr>
      </w:pPr>
    </w:p>
    <w:p>
      <w:pPr>
        <w:pStyle w:val="BodyText"/>
        <w:spacing w:line="360" w:lineRule="auto" w:before="1"/>
        <w:ind w:left="518" w:right="958"/>
        <w:jc w:val="both"/>
      </w:pPr>
      <w:r>
        <w:rPr/>
        <w:t>Si el labio está por delante del plano, tendrá un valor negativo (-). Si está por detrás será positivo (+).</w:t>
      </w:r>
    </w:p>
    <w:p>
      <w:pPr>
        <w:pStyle w:val="BodyText"/>
        <w:spacing w:line="360" w:lineRule="auto" w:before="202"/>
        <w:ind w:left="518" w:right="964"/>
        <w:jc w:val="both"/>
      </w:pPr>
      <w:r>
        <w:rPr/>
        <w:t>Si el ángulo interincisal (IIA) mide menos de 131, se resta a 131° y la diferencia se divide entre 5 y tendrá un valor negativo (130-IIA / 5=).</w:t>
      </w:r>
    </w:p>
    <w:p>
      <w:pPr>
        <w:pStyle w:val="BodyText"/>
        <w:spacing w:line="360" w:lineRule="auto" w:before="204"/>
        <w:ind w:left="518" w:right="964"/>
        <w:jc w:val="both"/>
      </w:pPr>
      <w:r>
        <w:rPr/>
        <w:t>Si el ángulo interincisal (IIA) mide más de 131, a éste se le resta 131 y la diferencia se divide entre 5, y tendrá un valor positivo (IIA-130 /</w:t>
      </w:r>
      <w:r>
        <w:rPr>
          <w:spacing w:val="-14"/>
        </w:rPr>
        <w:t> </w:t>
      </w:r>
      <w:r>
        <w:rPr/>
        <w:t>5=).</w:t>
      </w:r>
    </w:p>
    <w:p>
      <w:pPr>
        <w:pStyle w:val="BodyText"/>
        <w:spacing w:line="360" w:lineRule="auto" w:before="204"/>
        <w:ind w:left="518" w:right="957"/>
        <w:jc w:val="both"/>
      </w:pPr>
      <w:r>
        <w:rPr/>
        <w:t>Un ángulo interincisal agudo se relaciona con proinclinación dental, indicando una tendencia a extracción. Un ángulo interincisal obtuso se relaciona con retroinclinación dental y tendencia a no extracción.</w:t>
      </w:r>
    </w:p>
    <w:p>
      <w:pPr>
        <w:pStyle w:val="BodyText"/>
        <w:spacing w:line="360" w:lineRule="auto" w:before="204"/>
        <w:ind w:left="518" w:right="966"/>
        <w:jc w:val="both"/>
      </w:pPr>
      <w:r>
        <w:rPr/>
        <w:t>Una posición de labio retrusiva se relaciona con no extracción, mientras que un posición de labios protrusiva se relaciona con extracción.</w:t>
      </w:r>
    </w:p>
    <w:p>
      <w:pPr>
        <w:pStyle w:val="BodyText"/>
        <w:spacing w:line="331" w:lineRule="auto" w:before="204"/>
        <w:ind w:left="518" w:right="966"/>
        <w:jc w:val="both"/>
        <w:rPr>
          <w:sz w:val="16"/>
        </w:rPr>
      </w:pPr>
      <w:r>
        <w:rPr/>
        <w:t>El índice de extracción se obtiene por la suma del Factor de Combinación, el ángulo interincisal y la protrusión o retrusión de los labios.</w:t>
      </w:r>
      <w:r>
        <w:rPr>
          <w:position w:val="11"/>
          <w:sz w:val="16"/>
        </w:rPr>
        <w:t>4</w:t>
      </w:r>
    </w:p>
    <w:p>
      <w:pPr>
        <w:spacing w:before="220"/>
        <w:ind w:left="518" w:right="0" w:firstLine="0"/>
        <w:jc w:val="both"/>
        <w:rPr>
          <w:b/>
          <w:sz w:val="24"/>
        </w:rPr>
      </w:pPr>
      <w:r>
        <w:rPr>
          <w:b/>
          <w:sz w:val="24"/>
        </w:rPr>
        <w:t>Técnica MEAW</w:t>
      </w:r>
    </w:p>
    <w:p>
      <w:pPr>
        <w:pStyle w:val="BodyText"/>
        <w:spacing w:before="4"/>
        <w:rPr>
          <w:b/>
          <w:sz w:val="29"/>
        </w:rPr>
      </w:pPr>
    </w:p>
    <w:p>
      <w:pPr>
        <w:pStyle w:val="BodyText"/>
        <w:spacing w:line="360" w:lineRule="auto" w:before="1"/>
        <w:ind w:left="518" w:right="966"/>
        <w:jc w:val="both"/>
      </w:pPr>
      <w:r>
        <w:rPr/>
        <w:t>Uno de los problemas más complicados en cuanto al diagnóstico y tratamiento de las maloclusiones, está constituido por aquellas anomalías de Clase II y Clase III, en las cuáles se encuentra la característica subdivisión de la relación molar, encontrándose además en muchos casos desviación funcional importante de la línea media.</w:t>
      </w:r>
    </w:p>
    <w:p>
      <w:pPr>
        <w:pStyle w:val="BodyText"/>
        <w:spacing w:line="360" w:lineRule="auto" w:before="202"/>
        <w:ind w:left="518" w:right="964"/>
        <w:jc w:val="both"/>
      </w:pPr>
      <w:r>
        <w:rPr/>
        <w:t>Se ha demostrado en estudios la efectividad y versatilidad del mecanismo MEAW, no solo para corrección de sobremordidas severas sino también en sentido horizontal para la corrección de maloclusiones Clase II y Clase III.</w:t>
      </w:r>
    </w:p>
    <w:p>
      <w:pPr>
        <w:spacing w:after="0" w:line="360" w:lineRule="auto"/>
        <w:jc w:val="both"/>
        <w:sectPr>
          <w:pgSz w:w="12240" w:h="15840"/>
          <w:pgMar w:header="596" w:footer="974" w:top="1440" w:bottom="1160" w:left="900" w:right="740"/>
        </w:sectPr>
      </w:pPr>
    </w:p>
    <w:p>
      <w:pPr>
        <w:pStyle w:val="BodyText"/>
        <w:spacing w:before="9"/>
        <w:rPr>
          <w:sz w:val="15"/>
        </w:rPr>
      </w:pPr>
    </w:p>
    <w:p>
      <w:pPr>
        <w:pStyle w:val="BodyText"/>
        <w:spacing w:line="352" w:lineRule="auto" w:before="70"/>
        <w:ind w:left="518" w:right="956"/>
        <w:jc w:val="both"/>
        <w:rPr>
          <w:sz w:val="16"/>
        </w:rPr>
      </w:pPr>
      <w:r>
        <w:rPr/>
        <w:t>Multiloop Edgewise Archwire, (MEAW), es una filosofía y técnica desarrollada en los años 60´s por Young H. Kim, (Boston, Ma. USA). La técnica MEAW ha tenido un fuerte desarrollo en los países de Asia, especialmente Japón y Corea, y su inserción internacional se ha producido a través de la Meaw Foundation, cuyo presidente y fundador fue el Prof. Young H. Kim (Q. E. P. D-2008). </w:t>
      </w:r>
      <w:r>
        <w:rPr>
          <w:position w:val="11"/>
          <w:sz w:val="16"/>
        </w:rPr>
        <w:t>45</w:t>
      </w:r>
    </w:p>
    <w:p>
      <w:pPr>
        <w:pStyle w:val="BodyText"/>
        <w:spacing w:before="194"/>
        <w:ind w:left="518"/>
        <w:jc w:val="both"/>
      </w:pPr>
      <w:r>
        <w:rPr/>
        <w:t>Diseño y función del MEAW</w:t>
      </w:r>
    </w:p>
    <w:p>
      <w:pPr>
        <w:pStyle w:val="BodyText"/>
        <w:spacing w:before="2"/>
        <w:rPr>
          <w:sz w:val="29"/>
        </w:rPr>
      </w:pPr>
    </w:p>
    <w:p>
      <w:pPr>
        <w:pStyle w:val="BodyText"/>
        <w:spacing w:line="350" w:lineRule="auto"/>
        <w:ind w:left="518" w:right="957"/>
        <w:jc w:val="both"/>
        <w:rPr>
          <w:sz w:val="16"/>
        </w:rPr>
      </w:pPr>
      <w:r>
        <w:rPr/>
        <w:t>Son diseños construidos con alambre de 0.016 x 0.022” (0.041 x 0.056mm) y una longitud de 15 pulgadas (381mm). Para el enderezamiento de premolares y molares inclinados hacia mesial, se incorpora un tip-back de 3° para cada diente, empezando en los primeros premolares y acabando en los segundos molares.</w:t>
      </w:r>
      <w:r>
        <w:rPr>
          <w:position w:val="11"/>
          <w:sz w:val="16"/>
        </w:rPr>
        <w:t>45</w:t>
      </w:r>
    </w:p>
    <w:p>
      <w:pPr>
        <w:pStyle w:val="BodyText"/>
        <w:spacing w:line="360" w:lineRule="auto" w:before="198"/>
        <w:ind w:left="518" w:right="966"/>
        <w:jc w:val="both"/>
      </w:pPr>
      <w:r>
        <w:rPr/>
        <w:t>Está activación creará una curva de Spee para los dientes superiores y una curva de Spee invertida para los inferiores. (Fig. 20)</w:t>
      </w:r>
    </w:p>
    <w:p>
      <w:pPr>
        <w:pStyle w:val="BodyText"/>
        <w:spacing w:before="4"/>
        <w:rPr>
          <w:sz w:val="26"/>
        </w:rPr>
      </w:pPr>
      <w:r>
        <w:rPr/>
        <w:drawing>
          <wp:anchor distT="0" distB="0" distL="0" distR="0" allowOverlap="1" layoutInCell="1" locked="0" behindDoc="0" simplePos="0" relativeHeight="1816">
            <wp:simplePos x="0" y="0"/>
            <wp:positionH relativeFrom="page">
              <wp:posOffset>1881758</wp:posOffset>
            </wp:positionH>
            <wp:positionV relativeFrom="paragraph">
              <wp:posOffset>217219</wp:posOffset>
            </wp:positionV>
            <wp:extent cx="3823007" cy="2651760"/>
            <wp:effectExtent l="0" t="0" r="0" b="0"/>
            <wp:wrapTopAndBottom/>
            <wp:docPr id="13" name="image341.jpeg" descr=""/>
            <wp:cNvGraphicFramePr>
              <a:graphicFrameLocks noChangeAspect="1"/>
            </wp:cNvGraphicFramePr>
            <a:graphic>
              <a:graphicData uri="http://schemas.openxmlformats.org/drawingml/2006/picture">
                <pic:pic>
                  <pic:nvPicPr>
                    <pic:cNvPr id="14" name="image341.jpeg"/>
                    <pic:cNvPicPr/>
                  </pic:nvPicPr>
                  <pic:blipFill>
                    <a:blip r:embed="rId358" cstate="print"/>
                    <a:stretch>
                      <a:fillRect/>
                    </a:stretch>
                  </pic:blipFill>
                  <pic:spPr>
                    <a:xfrm>
                      <a:off x="0" y="0"/>
                      <a:ext cx="3823007" cy="2651760"/>
                    </a:xfrm>
                    <a:prstGeom prst="rect">
                      <a:avLst/>
                    </a:prstGeom>
                  </pic:spPr>
                </pic:pic>
              </a:graphicData>
            </a:graphic>
          </wp:anchor>
        </w:drawing>
      </w:r>
    </w:p>
    <w:p>
      <w:pPr>
        <w:pStyle w:val="BodyText"/>
        <w:spacing w:before="7"/>
        <w:rPr>
          <w:sz w:val="27"/>
        </w:rPr>
      </w:pPr>
    </w:p>
    <w:p>
      <w:pPr>
        <w:spacing w:before="0"/>
        <w:ind w:left="646" w:right="1088" w:firstLine="0"/>
        <w:jc w:val="center"/>
        <w:rPr>
          <w:sz w:val="18"/>
        </w:rPr>
      </w:pPr>
      <w:r>
        <w:rPr>
          <w:sz w:val="18"/>
        </w:rPr>
        <w:t>Fig. 20 “Multiloop superior e inferior edgewise archwire (MEAWs)”</w:t>
      </w:r>
    </w:p>
    <w:p>
      <w:pPr>
        <w:spacing w:before="102"/>
        <w:ind w:left="534" w:right="974" w:firstLine="0"/>
        <w:jc w:val="center"/>
        <w:rPr>
          <w:sz w:val="18"/>
        </w:rPr>
      </w:pPr>
      <w:r>
        <w:rPr>
          <w:sz w:val="18"/>
        </w:rPr>
        <w:t>Fuente: Beltráo Paulo. Treatment of Class II deep overbite with multiloop edgewise arch-wire (MEAW) therapy.</w:t>
      </w:r>
    </w:p>
    <w:p>
      <w:pPr>
        <w:spacing w:before="102"/>
        <w:ind w:left="652" w:right="1088" w:firstLine="0"/>
        <w:jc w:val="center"/>
        <w:rPr>
          <w:sz w:val="18"/>
        </w:rPr>
      </w:pPr>
      <w:r>
        <w:rPr>
          <w:sz w:val="18"/>
        </w:rPr>
        <w:t>En: Naretto Silvani, editor. Principles in contemporary orthodontics. Croacia: Intech; 2011. p. 55-78.</w:t>
      </w:r>
    </w:p>
    <w:p>
      <w:pPr>
        <w:pStyle w:val="BodyText"/>
        <w:spacing w:before="4"/>
        <w:rPr>
          <w:sz w:val="26"/>
        </w:rPr>
      </w:pPr>
    </w:p>
    <w:p>
      <w:pPr>
        <w:pStyle w:val="BodyText"/>
        <w:spacing w:line="360" w:lineRule="auto"/>
        <w:ind w:left="518" w:right="963"/>
        <w:jc w:val="both"/>
      </w:pPr>
      <w:r>
        <w:rPr/>
        <w:t>El grado de activación del tip-back depende de la cantidad de enderezamiento de las piezas posteriores que se requiere.</w:t>
      </w:r>
    </w:p>
    <w:p>
      <w:pPr>
        <w:spacing w:after="0" w:line="360" w:lineRule="auto"/>
        <w:jc w:val="both"/>
        <w:sectPr>
          <w:pgSz w:w="12240" w:h="15840"/>
          <w:pgMar w:header="596" w:footer="974" w:top="1440" w:bottom="1160" w:left="900" w:right="740"/>
        </w:sectPr>
      </w:pPr>
    </w:p>
    <w:p>
      <w:pPr>
        <w:pStyle w:val="BodyText"/>
        <w:spacing w:before="9"/>
        <w:rPr>
          <w:sz w:val="15"/>
        </w:rPr>
      </w:pPr>
    </w:p>
    <w:p>
      <w:pPr>
        <w:pStyle w:val="BodyText"/>
        <w:spacing w:before="70"/>
        <w:ind w:left="518"/>
        <w:jc w:val="both"/>
      </w:pPr>
      <w:r>
        <w:rPr/>
        <w:t>Biomecánica</w:t>
      </w:r>
    </w:p>
    <w:p>
      <w:pPr>
        <w:pStyle w:val="BodyText"/>
        <w:spacing w:before="4"/>
        <w:rPr>
          <w:sz w:val="29"/>
        </w:rPr>
      </w:pPr>
    </w:p>
    <w:p>
      <w:pPr>
        <w:pStyle w:val="BodyText"/>
        <w:spacing w:line="360" w:lineRule="auto" w:before="1"/>
        <w:ind w:left="518" w:right="959"/>
        <w:jc w:val="both"/>
      </w:pPr>
      <w:r>
        <w:rPr/>
        <w:t>La biomecánica de los loops, utilizada en Meaw, tuvo un fuerte desarrollo con la aparición de la técnica de Jarabak, en los años 50´s. En la concepción mecánica de Jarabak y Fizzel, la acción de los loops, realizados en alambre redondo, se realiza especialmente a través de movimientos de inclinación y nivelación.</w:t>
      </w:r>
    </w:p>
    <w:p>
      <w:pPr>
        <w:pStyle w:val="BodyText"/>
        <w:spacing w:line="360" w:lineRule="auto" w:before="204"/>
        <w:ind w:left="518" w:right="957"/>
        <w:jc w:val="both"/>
      </w:pPr>
      <w:r>
        <w:rPr/>
        <w:t>La incorporación del loop que realizó Kim en la filosofía Edgewise, con alambres rectangulares, proporciona la posibilidad de acción por medio de momentos de torque, de tal manera de movilizar el diente en los tres planos del espacio.</w:t>
      </w:r>
    </w:p>
    <w:p>
      <w:pPr>
        <w:pStyle w:val="BodyText"/>
        <w:spacing w:line="350" w:lineRule="auto" w:before="204"/>
        <w:ind w:left="518" w:right="958"/>
        <w:jc w:val="both"/>
        <w:rPr>
          <w:sz w:val="16"/>
        </w:rPr>
      </w:pPr>
      <w:r>
        <w:rPr/>
        <w:t>El tipo de activación de los loops tiene como objetivo final, aparte de los componentes de distalamiento que se logran, el modificar substancialmente los planos oclusales y el eje facial, de especial importancia en las maloclusiones con vectores de crecimiento alterado.</w:t>
      </w:r>
      <w:r>
        <w:rPr>
          <w:spacing w:val="-9"/>
        </w:rPr>
        <w:t> </w:t>
      </w:r>
      <w:r>
        <w:rPr>
          <w:position w:val="11"/>
          <w:sz w:val="16"/>
        </w:rPr>
        <w:t>45</w:t>
      </w:r>
    </w:p>
    <w:p>
      <w:pPr>
        <w:pStyle w:val="BodyText"/>
        <w:spacing w:before="198"/>
        <w:ind w:left="518"/>
        <w:jc w:val="both"/>
      </w:pPr>
      <w:r>
        <w:rPr/>
        <w:t>Las funciones del MEAW son:</w:t>
      </w:r>
    </w:p>
    <w:p>
      <w:pPr>
        <w:pStyle w:val="BodyText"/>
        <w:spacing w:before="4"/>
        <w:rPr>
          <w:sz w:val="29"/>
        </w:rPr>
      </w:pPr>
    </w:p>
    <w:p>
      <w:pPr>
        <w:pStyle w:val="ListParagraph"/>
        <w:numPr>
          <w:ilvl w:val="0"/>
          <w:numId w:val="18"/>
        </w:numPr>
        <w:tabs>
          <w:tab w:pos="1239" w:val="left" w:leader="none"/>
        </w:tabs>
        <w:spacing w:line="360" w:lineRule="auto" w:before="1" w:after="0"/>
        <w:ind w:left="1238" w:right="964" w:hanging="360"/>
        <w:jc w:val="both"/>
        <w:rPr>
          <w:sz w:val="24"/>
        </w:rPr>
      </w:pPr>
      <w:r>
        <w:rPr>
          <w:sz w:val="24"/>
        </w:rPr>
        <w:t>Los loops entre los dientes reducen la cantidad de deflexión de carga del alambre de forma significativa, hasta una cuarta parte o una décima parte del alambre ideal del mismo tamaño 0.016</w:t>
      </w:r>
      <w:r>
        <w:rPr>
          <w:spacing w:val="-14"/>
          <w:sz w:val="24"/>
        </w:rPr>
        <w:t> </w:t>
      </w:r>
      <w:r>
        <w:rPr>
          <w:sz w:val="24"/>
        </w:rPr>
        <w:t>x0.022”.</w:t>
      </w:r>
    </w:p>
    <w:p>
      <w:pPr>
        <w:pStyle w:val="ListParagraph"/>
        <w:numPr>
          <w:ilvl w:val="0"/>
          <w:numId w:val="18"/>
        </w:numPr>
        <w:tabs>
          <w:tab w:pos="1239" w:val="left" w:leader="none"/>
        </w:tabs>
        <w:spacing w:line="360" w:lineRule="auto" w:before="2" w:after="0"/>
        <w:ind w:left="1238" w:right="967" w:hanging="360"/>
        <w:jc w:val="both"/>
        <w:rPr>
          <w:sz w:val="24"/>
        </w:rPr>
      </w:pPr>
      <w:r>
        <w:rPr>
          <w:sz w:val="24"/>
        </w:rPr>
        <w:t>El componente horizontal de los loops permite el control de la relación vertical de cada</w:t>
      </w:r>
      <w:r>
        <w:rPr>
          <w:spacing w:val="-5"/>
          <w:sz w:val="24"/>
        </w:rPr>
        <w:t> </w:t>
      </w:r>
      <w:r>
        <w:rPr>
          <w:sz w:val="24"/>
        </w:rPr>
        <w:t>diente.</w:t>
      </w:r>
    </w:p>
    <w:p>
      <w:pPr>
        <w:pStyle w:val="ListParagraph"/>
        <w:numPr>
          <w:ilvl w:val="0"/>
          <w:numId w:val="18"/>
        </w:numPr>
        <w:tabs>
          <w:tab w:pos="1239" w:val="left" w:leader="none"/>
        </w:tabs>
        <w:spacing w:line="360" w:lineRule="auto" w:before="2" w:after="0"/>
        <w:ind w:left="1238" w:right="954" w:hanging="360"/>
        <w:jc w:val="both"/>
        <w:rPr>
          <w:sz w:val="24"/>
        </w:rPr>
      </w:pPr>
      <w:r>
        <w:rPr>
          <w:sz w:val="24"/>
        </w:rPr>
        <w:t>El alambre rectangular (0.016 x 0.022”) en un bracket con slot de 0.018” proporciona el control de torque de cada diente, y los loops proporcionan el movimiento de torque independiente para cada</w:t>
      </w:r>
      <w:r>
        <w:rPr>
          <w:spacing w:val="-20"/>
          <w:sz w:val="24"/>
        </w:rPr>
        <w:t> </w:t>
      </w:r>
      <w:r>
        <w:rPr>
          <w:sz w:val="24"/>
        </w:rPr>
        <w:t>diente.</w:t>
      </w:r>
    </w:p>
    <w:p>
      <w:pPr>
        <w:pStyle w:val="ListParagraph"/>
        <w:numPr>
          <w:ilvl w:val="0"/>
          <w:numId w:val="18"/>
        </w:numPr>
        <w:tabs>
          <w:tab w:pos="1239" w:val="left" w:leader="none"/>
        </w:tabs>
        <w:spacing w:line="360" w:lineRule="auto" w:before="5" w:after="0"/>
        <w:ind w:left="1238" w:right="962" w:hanging="360"/>
        <w:jc w:val="both"/>
        <w:rPr>
          <w:sz w:val="24"/>
        </w:rPr>
      </w:pPr>
      <w:r>
        <w:rPr>
          <w:sz w:val="24"/>
        </w:rPr>
        <w:t>Las activaciones de tip-back en el segmento posterior del alambre producen el enderezamiento de los dientes posteriores. 15° de enderezamiento molar producen 4.5mm de distalización de los</w:t>
      </w:r>
      <w:r>
        <w:rPr>
          <w:spacing w:val="-11"/>
          <w:sz w:val="24"/>
        </w:rPr>
        <w:t> </w:t>
      </w:r>
      <w:r>
        <w:rPr>
          <w:sz w:val="24"/>
        </w:rPr>
        <w:t>dientes.</w:t>
      </w:r>
    </w:p>
    <w:p>
      <w:pPr>
        <w:pStyle w:val="ListParagraph"/>
        <w:numPr>
          <w:ilvl w:val="0"/>
          <w:numId w:val="18"/>
        </w:numPr>
        <w:tabs>
          <w:tab w:pos="1239" w:val="left" w:leader="none"/>
        </w:tabs>
        <w:spacing w:line="331" w:lineRule="auto" w:before="2" w:after="0"/>
        <w:ind w:left="1238" w:right="961" w:hanging="360"/>
        <w:jc w:val="both"/>
        <w:rPr>
          <w:sz w:val="16"/>
        </w:rPr>
      </w:pPr>
      <w:r>
        <w:rPr>
          <w:sz w:val="24"/>
        </w:rPr>
        <w:t>Además de la activación de tip-back, los elásticos verticales corrigen los planos oclusales, corrigiendo además la mordida</w:t>
      </w:r>
      <w:r>
        <w:rPr>
          <w:spacing w:val="-14"/>
          <w:sz w:val="24"/>
        </w:rPr>
        <w:t> </w:t>
      </w:r>
      <w:r>
        <w:rPr>
          <w:sz w:val="24"/>
        </w:rPr>
        <w:t>abierta.</w:t>
      </w:r>
      <w:r>
        <w:rPr>
          <w:position w:val="11"/>
          <w:sz w:val="16"/>
        </w:rPr>
        <w:t>46</w:t>
      </w:r>
    </w:p>
    <w:p>
      <w:pPr>
        <w:spacing w:after="0" w:line="331" w:lineRule="auto"/>
        <w:jc w:val="both"/>
        <w:rPr>
          <w:sz w:val="16"/>
        </w:rPr>
        <w:sectPr>
          <w:pgSz w:w="12240" w:h="15840"/>
          <w:pgMar w:header="596" w:footer="974" w:top="1440" w:bottom="1160" w:left="900" w:right="740"/>
        </w:sectPr>
      </w:pPr>
    </w:p>
    <w:p>
      <w:pPr>
        <w:pStyle w:val="BodyText"/>
        <w:spacing w:before="9"/>
        <w:rPr>
          <w:sz w:val="15"/>
        </w:rPr>
      </w:pPr>
    </w:p>
    <w:p>
      <w:pPr>
        <w:pStyle w:val="Heading1"/>
        <w:numPr>
          <w:ilvl w:val="1"/>
          <w:numId w:val="15"/>
        </w:numPr>
        <w:tabs>
          <w:tab w:pos="992" w:val="left" w:leader="none"/>
        </w:tabs>
        <w:spacing w:line="240" w:lineRule="auto" w:before="70" w:after="0"/>
        <w:ind w:left="991" w:right="0" w:hanging="405"/>
        <w:jc w:val="both"/>
      </w:pPr>
      <w:bookmarkStart w:name="_TOC_250009" w:id="16"/>
      <w:r>
        <w:rPr/>
        <w:t>Análisis del Dr. Toshio Kubodera</w:t>
      </w:r>
      <w:r>
        <w:rPr>
          <w:spacing w:val="-12"/>
        </w:rPr>
        <w:t> </w:t>
      </w:r>
      <w:bookmarkEnd w:id="16"/>
      <w:r>
        <w:rPr/>
        <w:t>Ito</w:t>
      </w:r>
    </w:p>
    <w:p>
      <w:pPr>
        <w:pStyle w:val="BodyText"/>
        <w:spacing w:before="4"/>
        <w:rPr>
          <w:b/>
          <w:sz w:val="29"/>
        </w:rPr>
      </w:pPr>
    </w:p>
    <w:p>
      <w:pPr>
        <w:pStyle w:val="BodyText"/>
        <w:spacing w:line="360" w:lineRule="auto" w:before="1"/>
        <w:ind w:left="518" w:right="965"/>
        <w:jc w:val="both"/>
      </w:pPr>
      <w:r>
        <w:rPr/>
        <w:t>En 1992, el Dr. Toshio Kubodera Ito, desarrolló un estudio morfológico de las estructuras craneofaciales en adolescentes del centro de México, utilizando un análisis cefalométrico.</w:t>
      </w:r>
    </w:p>
    <w:p>
      <w:pPr>
        <w:pStyle w:val="BodyText"/>
        <w:spacing w:line="360" w:lineRule="auto" w:before="202"/>
        <w:ind w:left="518" w:right="956"/>
        <w:jc w:val="both"/>
      </w:pPr>
      <w:r>
        <w:rPr/>
        <w:t>El propósito de este estudio fue establecer un estándar cefalométrico para adolescentes del centro de México.</w:t>
      </w:r>
    </w:p>
    <w:p>
      <w:pPr>
        <w:pStyle w:val="BodyText"/>
        <w:spacing w:line="360" w:lineRule="auto" w:before="204"/>
        <w:ind w:left="518" w:right="955"/>
        <w:jc w:val="both"/>
      </w:pPr>
      <w:r>
        <w:rPr/>
        <w:t>La muestra consistió en 122 adolescentes del centro de México y sus alrededores, (Toluca, Estado de México), que fueron examinados con una radiografía cefalométrica, de los cuáles fueron 57 hombres y 65 mujeres, quienes contaban con las siguientes características: perfil bueno, oclusión normal con Clase I molar y Clase</w:t>
      </w:r>
    </w:p>
    <w:p>
      <w:pPr>
        <w:pStyle w:val="BodyText"/>
        <w:spacing w:line="328" w:lineRule="auto" w:before="5"/>
        <w:ind w:left="518" w:right="962"/>
        <w:jc w:val="both"/>
        <w:rPr>
          <w:sz w:val="16"/>
        </w:rPr>
      </w:pPr>
      <w:r>
        <w:rPr/>
        <w:t>I canina, overjet y overbite menor de 2.5 mm, sin pérdida de dientes y ningún tratamiento previo de ortodoncia.</w:t>
      </w:r>
      <w:r>
        <w:rPr>
          <w:position w:val="11"/>
          <w:sz w:val="16"/>
        </w:rPr>
        <w:t>6</w:t>
      </w:r>
    </w:p>
    <w:p>
      <w:pPr>
        <w:pStyle w:val="BodyText"/>
        <w:spacing w:line="360" w:lineRule="auto" w:before="225"/>
        <w:ind w:left="518" w:right="956"/>
        <w:jc w:val="both"/>
      </w:pPr>
      <w:r>
        <w:rPr/>
        <w:t>La determinación de las medidas y puntos cefalométricos en este estudio se realizaron de acuerdo al método de Iizuka y Ishikawa, Iizuka originalmente diseñado por Downs y Graber.</w:t>
      </w:r>
    </w:p>
    <w:p>
      <w:pPr>
        <w:pStyle w:val="BodyText"/>
        <w:spacing w:line="360" w:lineRule="auto" w:before="202"/>
        <w:ind w:left="518" w:right="957"/>
        <w:jc w:val="both"/>
      </w:pPr>
      <w:r>
        <w:rPr/>
        <w:t>Las medidas lineales fueron formadas de acuerdo al método de Sakamoto </w:t>
      </w:r>
      <w:r>
        <w:rPr>
          <w:i/>
        </w:rPr>
        <w:t>et al. </w:t>
      </w:r>
      <w:r>
        <w:rPr/>
        <w:t>La línea de McNamara (Nasión Perpendicular) y Wits también fueron empleados.</w:t>
      </w:r>
    </w:p>
    <w:p>
      <w:pPr>
        <w:pStyle w:val="BodyText"/>
        <w:spacing w:line="350" w:lineRule="auto" w:before="204"/>
        <w:ind w:left="518" w:right="955"/>
        <w:jc w:val="both"/>
        <w:rPr>
          <w:sz w:val="16"/>
        </w:rPr>
      </w:pPr>
      <w:r>
        <w:rPr/>
        <w:t>Se establecieron normas cefalométricas para los niños de 6-8 años y de 9-11 años, adolescentes de 12-14 años y de 15-17 años y mayores de 18 años, las cuales fueron comparadas por sexo. Después se hizo una comparación con población caucásica de Norteamérica y con población</w:t>
      </w:r>
      <w:r>
        <w:rPr>
          <w:spacing w:val="-12"/>
        </w:rPr>
        <w:t> </w:t>
      </w:r>
      <w:r>
        <w:rPr/>
        <w:t>Japonesa.</w:t>
      </w:r>
      <w:r>
        <w:rPr>
          <w:position w:val="11"/>
          <w:sz w:val="16"/>
        </w:rPr>
        <w:t>6</w:t>
      </w:r>
    </w:p>
    <w:p>
      <w:pPr>
        <w:spacing w:after="0" w:line="350" w:lineRule="auto"/>
        <w:jc w:val="both"/>
        <w:rPr>
          <w:sz w:val="16"/>
        </w:rPr>
        <w:sectPr>
          <w:pgSz w:w="12240" w:h="15840"/>
          <w:pgMar w:header="596" w:footer="974" w:top="1440" w:bottom="1160" w:left="900" w:right="740"/>
        </w:sectPr>
      </w:pPr>
    </w:p>
    <w:p>
      <w:pPr>
        <w:pStyle w:val="BodyText"/>
        <w:spacing w:before="9"/>
        <w:rPr>
          <w:sz w:val="15"/>
        </w:rPr>
      </w:pPr>
    </w:p>
    <w:p>
      <w:pPr>
        <w:pStyle w:val="Heading1"/>
        <w:numPr>
          <w:ilvl w:val="1"/>
          <w:numId w:val="15"/>
        </w:numPr>
        <w:tabs>
          <w:tab w:pos="923" w:val="left" w:leader="none"/>
        </w:tabs>
        <w:spacing w:line="240" w:lineRule="auto" w:before="70" w:after="0"/>
        <w:ind w:left="922" w:right="0" w:hanging="404"/>
        <w:jc w:val="both"/>
      </w:pPr>
      <w:bookmarkStart w:name="_TOC_250008" w:id="17"/>
      <w:r>
        <w:rPr/>
        <w:t>Otros estándares</w:t>
      </w:r>
      <w:r>
        <w:rPr>
          <w:spacing w:val="-13"/>
        </w:rPr>
        <w:t> </w:t>
      </w:r>
      <w:bookmarkEnd w:id="17"/>
      <w:r>
        <w:rPr/>
        <w:t>cefalométricos</w:t>
      </w:r>
    </w:p>
    <w:p>
      <w:pPr>
        <w:pStyle w:val="BodyText"/>
        <w:spacing w:before="4"/>
        <w:rPr>
          <w:b/>
          <w:sz w:val="29"/>
        </w:rPr>
      </w:pPr>
    </w:p>
    <w:p>
      <w:pPr>
        <w:pStyle w:val="BodyText"/>
        <w:spacing w:line="352" w:lineRule="auto" w:before="1"/>
        <w:ind w:left="518" w:right="955"/>
        <w:jc w:val="both"/>
        <w:rPr>
          <w:sz w:val="16"/>
        </w:rPr>
      </w:pPr>
      <w:r>
        <w:rPr/>
        <w:t>Bishara, en 1985, desarrollo un estándar cefalométrico para adolescentes del norte de México y pacientes que acudían a consulta a la Universidad de Iowa, Estados Unidos. Al comparar las dos poblaciones, encontró diferencias significativas en las niñas que presentaban un ángulo mayor en SNB y SNPog así como una Altura Facial Posterior más</w:t>
      </w:r>
      <w:r>
        <w:rPr>
          <w:spacing w:val="-6"/>
        </w:rPr>
        <w:t> </w:t>
      </w:r>
      <w:r>
        <w:rPr/>
        <w:t>larga.</w:t>
      </w:r>
      <w:r>
        <w:rPr>
          <w:position w:val="11"/>
          <w:sz w:val="16"/>
        </w:rPr>
        <w:t>47</w:t>
      </w:r>
    </w:p>
    <w:p>
      <w:pPr>
        <w:pStyle w:val="BodyText"/>
        <w:spacing w:line="352" w:lineRule="auto" w:before="192"/>
        <w:ind w:left="518" w:right="958"/>
        <w:jc w:val="both"/>
        <w:rPr>
          <w:sz w:val="16"/>
        </w:rPr>
      </w:pPr>
      <w:r>
        <w:rPr/>
        <w:t>Sassouni V. en 1989, realizó un estudio comparando el patrón dentofacial entre adolescentes nativos de Grecia y Caucásicos-Americanos, llegando a la conclusión de que las características morfológicas de nativos de Grecia no son similares a los Caucásicos-Americanos, debido a la diferencia de grupos étnicos y raciales así como a factores climáticos, culturales y geográficos.</w:t>
      </w:r>
      <w:r>
        <w:rPr>
          <w:position w:val="11"/>
          <w:sz w:val="16"/>
        </w:rPr>
        <w:t>48</w:t>
      </w:r>
    </w:p>
    <w:p>
      <w:pPr>
        <w:pStyle w:val="BodyText"/>
        <w:spacing w:line="350" w:lineRule="auto" w:before="194"/>
        <w:ind w:left="518" w:right="956"/>
        <w:jc w:val="both"/>
        <w:rPr>
          <w:sz w:val="16"/>
        </w:rPr>
      </w:pPr>
      <w:r>
        <w:rPr/>
        <w:t>En el año 2006, Moldez Marlo Alvaro, realizó un estudio Lineal y Angular de Normas Cefalométricas en Filipinos de acuerdo a sexo y edad, basándose en 157 sujetos Filipinos (78 hombres y 79 mujeres) quienes fueron divididos en grupos de acuerdo a su edad y sexo. </w:t>
      </w:r>
      <w:r>
        <w:rPr>
          <w:position w:val="11"/>
          <w:sz w:val="16"/>
        </w:rPr>
        <w:t>49</w:t>
      </w:r>
    </w:p>
    <w:p>
      <w:pPr>
        <w:pStyle w:val="BodyText"/>
        <w:spacing w:line="352" w:lineRule="auto" w:before="195"/>
        <w:ind w:left="518" w:right="955"/>
        <w:jc w:val="both"/>
        <w:rPr>
          <w:sz w:val="16"/>
        </w:rPr>
      </w:pPr>
      <w:r>
        <w:rPr/>
        <w:t>En 2011, Mc Namara, determinó normas cefalométricas para población China y Caucásica; comparando estas normas estableció que la población China presenta un perfil más convexo y protrusión labial que los caucásicos, por ello la importancia de considerar las diferencias raciales y étnicas durante el diagnóstico y plan de tratamiento ortodóncico para cada paciente individual.</w:t>
      </w:r>
      <w:r>
        <w:rPr>
          <w:position w:val="11"/>
          <w:sz w:val="16"/>
        </w:rPr>
        <w:t>50</w:t>
      </w:r>
    </w:p>
    <w:p>
      <w:pPr>
        <w:pStyle w:val="BodyText"/>
        <w:spacing w:line="350" w:lineRule="auto" w:before="194"/>
        <w:ind w:left="518" w:right="956"/>
        <w:jc w:val="both"/>
        <w:rPr>
          <w:sz w:val="16"/>
        </w:rPr>
      </w:pPr>
      <w:r>
        <w:rPr/>
        <w:t>En el 2009, Rafael Rivas Gutiérrez, desarrolló un estudio cefalométrico de una población mexicana y su comparación con poblaciones de otras regiones, basándose en 45 jóvenes de 18-25 años, de una población del noroeste de México (Tepic, Nayarit).</w:t>
      </w:r>
      <w:r>
        <w:rPr>
          <w:position w:val="11"/>
          <w:sz w:val="16"/>
        </w:rPr>
        <w:t>51</w:t>
      </w:r>
    </w:p>
    <w:p>
      <w:pPr>
        <w:pStyle w:val="BodyText"/>
        <w:spacing w:line="360" w:lineRule="auto" w:before="195"/>
        <w:ind w:left="518" w:right="960"/>
        <w:jc w:val="both"/>
      </w:pPr>
      <w:r>
        <w:rPr/>
        <w:t>Se ha reportado en estudios, que la población mexicana presenta, como característica morfológica la protrusión labial, esto se explica por una combinación  del tejido blando, la protrusión maxilar y la protrusión</w:t>
      </w:r>
      <w:r>
        <w:rPr>
          <w:spacing w:val="-19"/>
        </w:rPr>
        <w:t> </w:t>
      </w:r>
      <w:r>
        <w:rPr/>
        <w:t>dentoalveolar.</w:t>
      </w:r>
    </w:p>
    <w:p>
      <w:pPr>
        <w:spacing w:after="0" w:line="360" w:lineRule="auto"/>
        <w:jc w:val="both"/>
        <w:sectPr>
          <w:pgSz w:w="12240" w:h="15840"/>
          <w:pgMar w:header="596" w:footer="974" w:top="1440" w:bottom="1160" w:left="900" w:right="740"/>
        </w:sectPr>
      </w:pPr>
    </w:p>
    <w:p>
      <w:pPr>
        <w:pStyle w:val="BodyText"/>
        <w:spacing w:before="9"/>
        <w:rPr>
          <w:sz w:val="15"/>
        </w:rPr>
      </w:pPr>
    </w:p>
    <w:p>
      <w:pPr>
        <w:pStyle w:val="BodyText"/>
        <w:spacing w:line="352" w:lineRule="auto" w:before="70"/>
        <w:ind w:left="518" w:right="956"/>
        <w:jc w:val="both"/>
        <w:rPr>
          <w:sz w:val="16"/>
        </w:rPr>
      </w:pPr>
      <w:r>
        <w:rPr/>
        <w:t>El Dr. Vela, en el año 2011, publica un artículo en donde comparó las características craneofaciales en adolescentes Americanos Mexicanos y Americanos Europeos, encontrando las características ya mencionadas en los adolescentes Americanos Mexicanos, concluyendo que los datos promedio y los objetivos de tratamiento en Americanos Europeos no pueden ser aplicados en  los Americanos Mexicanos.</w:t>
      </w:r>
      <w:r>
        <w:rPr>
          <w:position w:val="11"/>
          <w:sz w:val="16"/>
        </w:rPr>
        <w:t>52</w:t>
      </w:r>
    </w:p>
    <w:p>
      <w:pPr>
        <w:pStyle w:val="BodyText"/>
        <w:spacing w:line="350" w:lineRule="auto" w:before="194"/>
        <w:ind w:left="518" w:right="955"/>
        <w:jc w:val="both"/>
        <w:rPr>
          <w:sz w:val="16"/>
        </w:rPr>
      </w:pPr>
      <w:r>
        <w:rPr/>
        <w:t>Nanda, establece que en cuestión de la morfología facial, las diferencias raciales han sido demostradas por otros autores. Por tanto, la razón para estandarizar las normas de los caracteres faciales deben de ser establecidos para cada edad de acuerdo al origen étnico, para que el criterio diagnóstico sea significativo.</w:t>
      </w:r>
      <w:r>
        <w:rPr>
          <w:position w:val="11"/>
          <w:sz w:val="16"/>
        </w:rPr>
        <w:t>53</w:t>
      </w:r>
    </w:p>
    <w:p>
      <w:pPr>
        <w:pStyle w:val="BodyText"/>
        <w:spacing w:line="328" w:lineRule="auto" w:before="198"/>
        <w:ind w:left="518" w:right="965"/>
        <w:jc w:val="both"/>
        <w:rPr>
          <w:sz w:val="16"/>
        </w:rPr>
      </w:pPr>
      <w:r>
        <w:rPr/>
        <w:t>La cefalometría forma parte de una serie de registros que debemos tomar para realizar un diagnóstico definitivo en ortodoncia.</w:t>
      </w:r>
      <w:r>
        <w:rPr>
          <w:position w:val="11"/>
          <w:sz w:val="16"/>
        </w:rPr>
        <w:t>54</w:t>
      </w:r>
    </w:p>
    <w:p>
      <w:pPr>
        <w:spacing w:after="0" w:line="328" w:lineRule="auto"/>
        <w:jc w:val="both"/>
        <w:rPr>
          <w:sz w:val="16"/>
        </w:rPr>
        <w:sectPr>
          <w:pgSz w:w="12240" w:h="15840"/>
          <w:pgMar w:header="596" w:footer="974" w:top="1440" w:bottom="1160" w:left="900" w:right="740"/>
        </w:sectPr>
      </w:pPr>
    </w:p>
    <w:p>
      <w:pPr>
        <w:pStyle w:val="BodyText"/>
        <w:spacing w:before="9"/>
        <w:rPr>
          <w:sz w:val="15"/>
        </w:rPr>
      </w:pPr>
    </w:p>
    <w:p>
      <w:pPr>
        <w:pStyle w:val="Heading1"/>
        <w:numPr>
          <w:ilvl w:val="0"/>
          <w:numId w:val="19"/>
        </w:numPr>
        <w:tabs>
          <w:tab w:pos="3222" w:val="left" w:leader="none"/>
        </w:tabs>
        <w:spacing w:line="240" w:lineRule="auto" w:before="70" w:after="0"/>
        <w:ind w:left="3221" w:right="0" w:hanging="336"/>
        <w:jc w:val="left"/>
      </w:pPr>
      <w:bookmarkStart w:name="_TOC_250007" w:id="18"/>
      <w:r>
        <w:rPr/>
        <w:t>PLANTEAMIENTO DEL</w:t>
      </w:r>
      <w:r>
        <w:rPr>
          <w:spacing w:val="-6"/>
        </w:rPr>
        <w:t> </w:t>
      </w:r>
      <w:bookmarkEnd w:id="18"/>
      <w:r>
        <w:rPr/>
        <w:t>PROBLEMA</w:t>
      </w:r>
    </w:p>
    <w:p>
      <w:pPr>
        <w:pStyle w:val="BodyText"/>
        <w:spacing w:before="4"/>
        <w:rPr>
          <w:b/>
          <w:sz w:val="29"/>
        </w:rPr>
      </w:pPr>
    </w:p>
    <w:p>
      <w:pPr>
        <w:pStyle w:val="BodyText"/>
        <w:spacing w:line="350" w:lineRule="auto" w:before="1"/>
        <w:ind w:left="518" w:right="956"/>
        <w:jc w:val="both"/>
        <w:rPr>
          <w:sz w:val="16"/>
        </w:rPr>
      </w:pPr>
      <w:r>
        <w:rPr/>
        <w:t>La cefalometría es un método auxiliar de diagnóstico en Ortodoncia que proporciona características craneofaciales del paciente para diagnosticar anomalías y  alteraciones en las diferentes regiones del cráneo; su objetivo es determinar un plan de tratamiento ortodóncico</w:t>
      </w:r>
      <w:r>
        <w:rPr>
          <w:spacing w:val="-10"/>
        </w:rPr>
        <w:t> </w:t>
      </w:r>
      <w:r>
        <w:rPr/>
        <w:t>óptimo.</w:t>
      </w:r>
      <w:r>
        <w:rPr>
          <w:position w:val="11"/>
          <w:sz w:val="16"/>
        </w:rPr>
        <w:t>28</w:t>
      </w:r>
    </w:p>
    <w:p>
      <w:pPr>
        <w:pStyle w:val="BodyText"/>
        <w:spacing w:line="360" w:lineRule="auto" w:before="197"/>
        <w:ind w:left="518" w:right="957"/>
        <w:jc w:val="both"/>
      </w:pPr>
      <w:r>
        <w:rPr/>
        <w:t>Posibilita una mejor interpretación de la morfología craneofacial, de los múltiples cambios involucrados en el proceso de crecimiento y por ende, de las evaluaciones de las respuestas al tratamiento de las alteraciones oclusales de los pacientes en crecimiento.</w:t>
      </w:r>
    </w:p>
    <w:p>
      <w:pPr>
        <w:pStyle w:val="BodyText"/>
        <w:spacing w:line="360" w:lineRule="auto" w:before="204"/>
        <w:ind w:left="518" w:right="957"/>
        <w:jc w:val="both"/>
      </w:pPr>
      <w:r>
        <w:rPr/>
        <w:t>Las variaciones en la dirección de crecimiento facial son analizadas por la cefalometría; los huesos faciales pueden tener diferentes velocidades y direcciones de crecimiento, provocando desequilibrios faciales y oclusales.</w:t>
      </w:r>
    </w:p>
    <w:p>
      <w:pPr>
        <w:pStyle w:val="BodyText"/>
        <w:spacing w:line="350" w:lineRule="auto" w:before="204"/>
        <w:ind w:left="518" w:right="958"/>
        <w:jc w:val="both"/>
        <w:rPr>
          <w:sz w:val="16"/>
        </w:rPr>
      </w:pPr>
      <w:r>
        <w:rPr/>
        <w:t>El crecimiento somático tiene dos periodos de crecimiento: el primer brote comienza en la vida fetal y continúa hasta un año de vida extrauterina; el segundo brote comienza en la adolescencia. El segundo periodo de crecimiento se da en un rango de edad de 9-14 años en mujeres y en hombres de 12-16.</w:t>
      </w:r>
      <w:r>
        <w:rPr>
          <w:position w:val="11"/>
          <w:sz w:val="16"/>
        </w:rPr>
        <w:t>15</w:t>
      </w:r>
    </w:p>
    <w:p>
      <w:pPr>
        <w:pStyle w:val="BodyText"/>
        <w:spacing w:line="360" w:lineRule="auto" w:before="198"/>
        <w:ind w:left="518" w:right="956"/>
        <w:jc w:val="both"/>
      </w:pPr>
      <w:r>
        <w:rPr/>
        <w:t>Existen diversos análisis cefalométricos basados en diferentes medidas cefalométricas, que representan una metodología de los valores obtenidos en el cefalograma, estandarizando dichas medidas.</w:t>
      </w:r>
    </w:p>
    <w:p>
      <w:pPr>
        <w:pStyle w:val="BodyText"/>
        <w:spacing w:line="360" w:lineRule="auto" w:before="204"/>
        <w:ind w:left="518" w:right="961"/>
        <w:jc w:val="both"/>
      </w:pPr>
      <w:r>
        <w:rPr/>
        <w:t>De acuerdo al estándar del análisis de Kim, existe información de las características craneofaciales en diversas poblaciones, sin embargo, en población mexicana se carece de medidas cefalométricas en base a dicho análisis, que proporcionen información útil para el diagnóstico ortodóncico en mexicanos.</w:t>
      </w:r>
    </w:p>
    <w:p>
      <w:pPr>
        <w:pStyle w:val="BodyText"/>
        <w:spacing w:before="204"/>
        <w:ind w:left="518"/>
        <w:jc w:val="both"/>
      </w:pPr>
      <w:r>
        <w:rPr/>
        <w:t>En base a lo anterior surge la siguiente pregunta de investigación:</w:t>
      </w:r>
    </w:p>
    <w:p>
      <w:pPr>
        <w:pStyle w:val="BodyText"/>
        <w:spacing w:before="4"/>
        <w:rPr>
          <w:sz w:val="29"/>
        </w:rPr>
      </w:pPr>
    </w:p>
    <w:p>
      <w:pPr>
        <w:spacing w:line="360" w:lineRule="auto" w:before="1"/>
        <w:ind w:left="518" w:right="955" w:firstLine="0"/>
        <w:jc w:val="both"/>
        <w:rPr>
          <w:b/>
          <w:sz w:val="24"/>
        </w:rPr>
      </w:pPr>
      <w:r>
        <w:rPr>
          <w:b/>
          <w:sz w:val="24"/>
        </w:rPr>
        <w:t>¿Cuáles serán las diferencias cefalométricas de acuerdo al estándar del  análisis de Kim en la población de 9-14 años de Toluca, Estado de México, para grupos de edad y</w:t>
      </w:r>
      <w:r>
        <w:rPr>
          <w:b/>
          <w:spacing w:val="-6"/>
          <w:sz w:val="24"/>
        </w:rPr>
        <w:t> </w:t>
      </w:r>
      <w:r>
        <w:rPr>
          <w:b/>
          <w:sz w:val="24"/>
        </w:rPr>
        <w:t>sexo?</w:t>
      </w:r>
    </w:p>
    <w:p>
      <w:pPr>
        <w:spacing w:after="0" w:line="360" w:lineRule="auto"/>
        <w:jc w:val="both"/>
        <w:rPr>
          <w:sz w:val="24"/>
        </w:rPr>
        <w:sectPr>
          <w:pgSz w:w="12240" w:h="15840"/>
          <w:pgMar w:header="596" w:footer="974" w:top="1440" w:bottom="1160" w:left="900" w:right="740"/>
        </w:sectPr>
      </w:pPr>
    </w:p>
    <w:p>
      <w:pPr>
        <w:pStyle w:val="BodyText"/>
        <w:spacing w:before="9"/>
        <w:rPr>
          <w:b/>
          <w:sz w:val="15"/>
        </w:rPr>
      </w:pPr>
    </w:p>
    <w:p>
      <w:pPr>
        <w:pStyle w:val="Heading1"/>
        <w:numPr>
          <w:ilvl w:val="0"/>
          <w:numId w:val="19"/>
        </w:numPr>
        <w:tabs>
          <w:tab w:pos="4307" w:val="left" w:leader="none"/>
        </w:tabs>
        <w:spacing w:line="240" w:lineRule="auto" w:before="70" w:after="0"/>
        <w:ind w:left="4306" w:right="0" w:hanging="362"/>
        <w:jc w:val="left"/>
        <w:rPr>
          <w:b w:val="0"/>
        </w:rPr>
      </w:pPr>
      <w:bookmarkStart w:name="_TOC_250006" w:id="19"/>
      <w:r>
        <w:rPr/>
        <w:t>JUSTIFICACIÓN</w:t>
      </w:r>
      <w:bookmarkEnd w:id="19"/>
      <w:r>
        <w:rPr>
          <w:b w:val="0"/>
        </w:rPr>
        <w:t>.</w:t>
      </w:r>
    </w:p>
    <w:p>
      <w:pPr>
        <w:pStyle w:val="BodyText"/>
        <w:spacing w:before="4"/>
        <w:rPr>
          <w:sz w:val="29"/>
        </w:rPr>
      </w:pPr>
    </w:p>
    <w:p>
      <w:pPr>
        <w:pStyle w:val="BodyText"/>
        <w:spacing w:line="360" w:lineRule="auto" w:before="1"/>
        <w:ind w:left="518" w:right="956"/>
        <w:jc w:val="both"/>
      </w:pPr>
      <w:r>
        <w:rPr/>
        <w:t>El crecimiento de la cara, particularmente de los maxilres, es de especial interés para el ortodoncista, por tanto, la posibilidad de poder predecir el tipo de crecimiento esquelético ayuda al ortodoncista a planificar el tratamiento ya que el crecimiento facial influye sobre su resultado. El crecimiento craneofacial está controlado por elementos craneofaciales de los cuales depende que el crecimiento sea armónico y equilibrado. Dos de estos elementos anteriores son; el maxilar y la mandíbula en   su</w:t>
      </w:r>
    </w:p>
    <w:p>
      <w:pPr>
        <w:pStyle w:val="BodyText"/>
        <w:spacing w:line="279" w:lineRule="exact"/>
        <w:ind w:left="518"/>
        <w:jc w:val="both"/>
        <w:rPr>
          <w:sz w:val="16"/>
        </w:rPr>
      </w:pPr>
      <w:r>
        <w:rPr/>
        <w:t>crecimiento vertical y horizontal.</w:t>
      </w:r>
      <w:r>
        <w:rPr>
          <w:position w:val="11"/>
          <w:sz w:val="16"/>
        </w:rPr>
        <w:t>3</w:t>
      </w:r>
    </w:p>
    <w:p>
      <w:pPr>
        <w:pStyle w:val="BodyText"/>
        <w:spacing w:before="5"/>
        <w:rPr>
          <w:sz w:val="29"/>
        </w:rPr>
      </w:pPr>
    </w:p>
    <w:p>
      <w:pPr>
        <w:pStyle w:val="BodyText"/>
        <w:spacing w:line="355" w:lineRule="auto"/>
        <w:ind w:left="518" w:right="955"/>
        <w:jc w:val="both"/>
        <w:rPr>
          <w:sz w:val="16"/>
        </w:rPr>
      </w:pPr>
      <w:r>
        <w:rPr/>
        <w:t>La mayoría de los análisis cefalométricos que existen se basan generalmente en muestras de personas caucásicas quienes presentan características morfológicas distintas a la población mexicana; pocos estudios se han realizado en dicha población. En el estudio del Dr. Toshio Kubodera Ito realizado en 1992, se estableció un estándar cefalométrico para adolescentes de 12-17 años del centro de México, dicho estándar es utilizado hasta la fecha en la UAEM.</w:t>
      </w:r>
      <w:r>
        <w:rPr>
          <w:position w:val="11"/>
          <w:sz w:val="16"/>
        </w:rPr>
        <w:t>6</w:t>
      </w:r>
    </w:p>
    <w:p>
      <w:pPr>
        <w:pStyle w:val="BodyText"/>
        <w:spacing w:line="360" w:lineRule="auto" w:before="191"/>
        <w:ind w:left="518" w:right="955"/>
        <w:jc w:val="both"/>
      </w:pPr>
      <w:r>
        <w:rPr/>
        <w:t>Debido a la importancia del crecimiento vertical y horizontal del  complejo craneofacial, como lo establece el Dr. Young Kim, en su estudio  cefalométrico, resulta adecuado analizar medidas cefalométricas que nos indiquen la tendencia de crecimiento en niños y adolescentes del centro de México y establecer un estándar cefalométrico que comprenda promedio y  desviación estándar para ésta población.</w:t>
      </w:r>
    </w:p>
    <w:p>
      <w:pPr>
        <w:pStyle w:val="BodyText"/>
        <w:spacing w:line="360" w:lineRule="auto" w:before="204"/>
        <w:ind w:left="518" w:right="965"/>
        <w:jc w:val="both"/>
      </w:pPr>
      <w:r>
        <w:rPr/>
        <w:t>Por medio del establecimiento de medidas angulares de acuerdo al estándar del análisis de Kim en la población del centro de México, podremos llevar a cabo un mejor diagnóstico de los pacientes que requieren tratamiento ortodóncico en dicha región, y con ello realizar un adecuado plan de tratamiento para el paciente, en base a su patrón de crecimiento craneofacial.</w:t>
      </w:r>
    </w:p>
    <w:p>
      <w:pPr>
        <w:pStyle w:val="BodyText"/>
        <w:spacing w:line="360" w:lineRule="auto" w:before="204"/>
        <w:ind w:left="518" w:right="958"/>
        <w:jc w:val="both"/>
      </w:pPr>
      <w:r>
        <w:rPr/>
        <w:t>Está investigación busca ser una ayuda para los estudiantes de posgrado de Ortodoncia, en la elaboración del diagnóstico cefalométrico, con el fin  de proporcionar una mejor terapéutica para los pacientes que acuden al Departamento de Ortodoncia, del CIEAO, UAEM.</w:t>
      </w:r>
    </w:p>
    <w:p>
      <w:pPr>
        <w:spacing w:after="0" w:line="360" w:lineRule="auto"/>
        <w:jc w:val="both"/>
        <w:sectPr>
          <w:pgSz w:w="12240" w:h="15840"/>
          <w:pgMar w:header="596" w:footer="974" w:top="1440" w:bottom="1160" w:left="900" w:right="740"/>
        </w:sectPr>
      </w:pPr>
    </w:p>
    <w:p>
      <w:pPr>
        <w:pStyle w:val="BodyText"/>
        <w:spacing w:before="9"/>
        <w:rPr>
          <w:sz w:val="15"/>
        </w:rPr>
      </w:pPr>
    </w:p>
    <w:p>
      <w:pPr>
        <w:pStyle w:val="ListParagraph"/>
        <w:numPr>
          <w:ilvl w:val="0"/>
          <w:numId w:val="19"/>
        </w:numPr>
        <w:tabs>
          <w:tab w:pos="4002" w:val="left" w:leader="none"/>
        </w:tabs>
        <w:spacing w:line="240" w:lineRule="auto" w:before="70" w:after="0"/>
        <w:ind w:left="4001" w:right="0" w:hanging="295"/>
        <w:jc w:val="left"/>
        <w:rPr>
          <w:b/>
          <w:sz w:val="24"/>
        </w:rPr>
      </w:pPr>
      <w:r>
        <w:rPr>
          <w:b/>
          <w:sz w:val="24"/>
        </w:rPr>
        <w:t>OBJETIVO</w:t>
      </w:r>
      <w:r>
        <w:rPr>
          <w:b/>
          <w:spacing w:val="-14"/>
          <w:sz w:val="24"/>
        </w:rPr>
        <w:t> </w:t>
      </w:r>
      <w:r>
        <w:rPr>
          <w:b/>
          <w:sz w:val="24"/>
        </w:rPr>
        <w:t>GENERAL</w:t>
      </w:r>
    </w:p>
    <w:p>
      <w:pPr>
        <w:pStyle w:val="BodyText"/>
        <w:spacing w:before="4"/>
        <w:rPr>
          <w:b/>
          <w:sz w:val="29"/>
        </w:rPr>
      </w:pPr>
    </w:p>
    <w:p>
      <w:pPr>
        <w:pStyle w:val="BodyText"/>
        <w:spacing w:line="360" w:lineRule="auto" w:before="1"/>
        <w:ind w:left="518" w:right="964"/>
      </w:pPr>
      <w:r>
        <w:rPr/>
        <w:t>Implementar el estándar del análisis de Kim para niños y adolescentes de 9-14 años como auxiliar de diagnóstico en la Clínica de Ortodoncia del CIEAO.</w:t>
      </w:r>
    </w:p>
    <w:p>
      <w:pPr>
        <w:pStyle w:val="BodyText"/>
      </w:pPr>
    </w:p>
    <w:p>
      <w:pPr>
        <w:pStyle w:val="BodyText"/>
      </w:pPr>
    </w:p>
    <w:p>
      <w:pPr>
        <w:pStyle w:val="BodyText"/>
      </w:pPr>
    </w:p>
    <w:p>
      <w:pPr>
        <w:pStyle w:val="BodyText"/>
        <w:spacing w:before="1"/>
        <w:rPr>
          <w:sz w:val="35"/>
        </w:rPr>
      </w:pPr>
    </w:p>
    <w:p>
      <w:pPr>
        <w:spacing w:before="0"/>
        <w:ind w:left="1104" w:right="823" w:firstLine="0"/>
        <w:jc w:val="center"/>
        <w:rPr>
          <w:sz w:val="24"/>
        </w:rPr>
      </w:pPr>
      <w:r>
        <w:rPr>
          <w:b/>
          <w:sz w:val="24"/>
        </w:rPr>
        <w:t>OBJETIVOS ESPECÍFICOS</w:t>
      </w:r>
      <w:r>
        <w:rPr>
          <w:sz w:val="24"/>
        </w:rPr>
        <w:t>.</w:t>
      </w:r>
    </w:p>
    <w:p>
      <w:pPr>
        <w:pStyle w:val="BodyText"/>
      </w:pPr>
    </w:p>
    <w:p>
      <w:pPr>
        <w:pStyle w:val="BodyText"/>
      </w:pPr>
    </w:p>
    <w:p>
      <w:pPr>
        <w:pStyle w:val="ListParagraph"/>
        <w:numPr>
          <w:ilvl w:val="2"/>
          <w:numId w:val="15"/>
        </w:numPr>
        <w:tabs>
          <w:tab w:pos="1239" w:val="left" w:leader="none"/>
        </w:tabs>
        <w:spacing w:line="360" w:lineRule="auto" w:before="0" w:after="0"/>
        <w:ind w:left="1238" w:right="955" w:hanging="360"/>
        <w:jc w:val="left"/>
        <w:rPr>
          <w:sz w:val="24"/>
        </w:rPr>
      </w:pPr>
      <w:r>
        <w:rPr>
          <w:sz w:val="24"/>
        </w:rPr>
        <w:t>Determinar las medidas angulares de acuerdo al análisis de Kim en el cefalograma.</w:t>
      </w:r>
    </w:p>
    <w:p>
      <w:pPr>
        <w:pStyle w:val="BodyText"/>
      </w:pPr>
    </w:p>
    <w:p>
      <w:pPr>
        <w:pStyle w:val="ListParagraph"/>
        <w:numPr>
          <w:ilvl w:val="2"/>
          <w:numId w:val="15"/>
        </w:numPr>
        <w:tabs>
          <w:tab w:pos="1239" w:val="left" w:leader="none"/>
        </w:tabs>
        <w:spacing w:line="360" w:lineRule="auto" w:before="142" w:after="0"/>
        <w:ind w:left="1238" w:right="956" w:hanging="360"/>
        <w:jc w:val="left"/>
        <w:rPr>
          <w:sz w:val="24"/>
        </w:rPr>
      </w:pPr>
      <w:r>
        <w:rPr>
          <w:sz w:val="24"/>
        </w:rPr>
        <w:t>Obtener promedio y desviación estándar para cada uno de los parámetros a evaluar de acuerdo al análisis de</w:t>
      </w:r>
      <w:r>
        <w:rPr>
          <w:spacing w:val="-15"/>
          <w:sz w:val="24"/>
        </w:rPr>
        <w:t> </w:t>
      </w:r>
      <w:r>
        <w:rPr>
          <w:sz w:val="24"/>
        </w:rPr>
        <w:t>Kim.</w:t>
      </w:r>
    </w:p>
    <w:p>
      <w:pPr>
        <w:pStyle w:val="BodyText"/>
      </w:pPr>
    </w:p>
    <w:p>
      <w:pPr>
        <w:pStyle w:val="ListParagraph"/>
        <w:numPr>
          <w:ilvl w:val="2"/>
          <w:numId w:val="15"/>
        </w:numPr>
        <w:tabs>
          <w:tab w:pos="1239" w:val="left" w:leader="none"/>
        </w:tabs>
        <w:spacing w:line="360" w:lineRule="auto" w:before="142" w:after="0"/>
        <w:ind w:left="1238" w:right="963" w:hanging="360"/>
        <w:jc w:val="left"/>
        <w:rPr>
          <w:sz w:val="24"/>
        </w:rPr>
      </w:pPr>
      <w:r>
        <w:rPr>
          <w:sz w:val="24"/>
        </w:rPr>
        <w:t>Elaborar un polígono con los parámetros establecidos de acuerdo a los grupos analizados.</w:t>
      </w:r>
    </w:p>
    <w:p>
      <w:pPr>
        <w:spacing w:after="0" w:line="360" w:lineRule="auto"/>
        <w:jc w:val="left"/>
        <w:rPr>
          <w:sz w:val="24"/>
        </w:rPr>
        <w:sectPr>
          <w:footerReference w:type="default" r:id="rId359"/>
          <w:pgSz w:w="12240" w:h="15840"/>
          <w:pgMar w:footer="974" w:header="596" w:top="1440" w:bottom="1160" w:left="900" w:right="740"/>
        </w:sectPr>
      </w:pPr>
    </w:p>
    <w:p>
      <w:pPr>
        <w:pStyle w:val="BodyText"/>
        <w:spacing w:before="9"/>
        <w:rPr>
          <w:sz w:val="15"/>
        </w:rPr>
      </w:pPr>
    </w:p>
    <w:p>
      <w:pPr>
        <w:pStyle w:val="ListParagraph"/>
        <w:numPr>
          <w:ilvl w:val="0"/>
          <w:numId w:val="19"/>
        </w:numPr>
        <w:tabs>
          <w:tab w:pos="3575" w:val="left" w:leader="none"/>
        </w:tabs>
        <w:spacing w:line="240" w:lineRule="auto" w:before="70" w:after="0"/>
        <w:ind w:left="3574" w:right="0" w:hanging="362"/>
        <w:jc w:val="left"/>
        <w:rPr>
          <w:b/>
          <w:sz w:val="24"/>
        </w:rPr>
      </w:pPr>
      <w:r>
        <w:rPr>
          <w:b/>
          <w:sz w:val="24"/>
        </w:rPr>
        <w:t>HIPÓTESIS DE TRABAJO</w:t>
      </w:r>
      <w:r>
        <w:rPr>
          <w:b/>
          <w:spacing w:val="-14"/>
          <w:sz w:val="24"/>
        </w:rPr>
        <w:t> </w:t>
      </w:r>
      <w:r>
        <w:rPr>
          <w:b/>
          <w:sz w:val="24"/>
        </w:rPr>
        <w:t>(Hi)</w:t>
      </w:r>
    </w:p>
    <w:p>
      <w:pPr>
        <w:pStyle w:val="BodyText"/>
        <w:spacing w:before="4"/>
        <w:rPr>
          <w:b/>
          <w:sz w:val="29"/>
        </w:rPr>
      </w:pPr>
    </w:p>
    <w:p>
      <w:pPr>
        <w:pStyle w:val="BodyText"/>
        <w:spacing w:line="360" w:lineRule="auto" w:before="1"/>
        <w:ind w:left="518" w:right="958"/>
        <w:jc w:val="both"/>
      </w:pPr>
      <w:r>
        <w:rPr/>
        <w:t>Las características del crecimiento craneofacial de los hombres en un rango de edad de 9-14 años de acuerdo al análisis de Kim, son de mayor tendencia a crecimiento vertical que en las mujeres.</w:t>
      </w:r>
    </w:p>
    <w:p>
      <w:pPr>
        <w:pStyle w:val="BodyText"/>
      </w:pPr>
    </w:p>
    <w:p>
      <w:pPr>
        <w:pStyle w:val="BodyText"/>
      </w:pPr>
    </w:p>
    <w:p>
      <w:pPr>
        <w:pStyle w:val="BodyText"/>
        <w:spacing w:before="11"/>
        <w:rPr>
          <w:sz w:val="22"/>
        </w:rPr>
      </w:pPr>
    </w:p>
    <w:p>
      <w:pPr>
        <w:spacing w:before="0"/>
        <w:ind w:left="646" w:right="1088" w:firstLine="0"/>
        <w:jc w:val="center"/>
        <w:rPr>
          <w:b/>
          <w:sz w:val="24"/>
        </w:rPr>
      </w:pPr>
      <w:r>
        <w:rPr>
          <w:b/>
          <w:sz w:val="24"/>
        </w:rPr>
        <w:t>HIPÓTESIS ALTERNA(Ha)</w:t>
      </w:r>
    </w:p>
    <w:p>
      <w:pPr>
        <w:pStyle w:val="BodyText"/>
        <w:spacing w:before="5"/>
        <w:rPr>
          <w:b/>
          <w:sz w:val="29"/>
        </w:rPr>
      </w:pPr>
    </w:p>
    <w:p>
      <w:pPr>
        <w:pStyle w:val="BodyText"/>
        <w:spacing w:line="360" w:lineRule="auto"/>
        <w:ind w:left="518" w:right="966"/>
        <w:jc w:val="both"/>
      </w:pPr>
      <w:r>
        <w:rPr/>
        <w:t>Las características del crecimiento craneofacial de las mujeres en un rango de edad de 9-14 años de acuerdo al análisis de Kim, son de mayor tendencia a crecimiento vertical que en los hombres.</w:t>
      </w:r>
    </w:p>
    <w:p>
      <w:pPr>
        <w:pStyle w:val="BodyText"/>
      </w:pPr>
    </w:p>
    <w:p>
      <w:pPr>
        <w:pStyle w:val="BodyText"/>
      </w:pPr>
    </w:p>
    <w:p>
      <w:pPr>
        <w:pStyle w:val="BodyText"/>
        <w:spacing w:before="2"/>
        <w:rPr>
          <w:sz w:val="23"/>
        </w:rPr>
      </w:pPr>
    </w:p>
    <w:p>
      <w:pPr>
        <w:spacing w:before="0"/>
        <w:ind w:left="649" w:right="1088" w:firstLine="0"/>
        <w:jc w:val="center"/>
        <w:rPr>
          <w:b/>
          <w:sz w:val="24"/>
        </w:rPr>
      </w:pPr>
      <w:r>
        <w:rPr>
          <w:b/>
          <w:sz w:val="24"/>
        </w:rPr>
        <w:t>HIPÓTESIS NULA (Ho)</w:t>
      </w:r>
    </w:p>
    <w:p>
      <w:pPr>
        <w:pStyle w:val="BodyText"/>
        <w:spacing w:before="2"/>
        <w:rPr>
          <w:b/>
          <w:sz w:val="29"/>
        </w:rPr>
      </w:pPr>
    </w:p>
    <w:p>
      <w:pPr>
        <w:pStyle w:val="BodyText"/>
        <w:spacing w:line="360" w:lineRule="auto"/>
        <w:ind w:left="518" w:right="961"/>
        <w:jc w:val="both"/>
      </w:pPr>
      <w:r>
        <w:rPr/>
        <w:t>Las características del crecimiento craneofacial en las mujeres en un rango de edad de 9-14 años de acuerdo al análisis de Kim, serán de mayor crecimiento vertical que los hombres.</w:t>
      </w:r>
    </w:p>
    <w:p>
      <w:pPr>
        <w:spacing w:after="0" w:line="360" w:lineRule="auto"/>
        <w:jc w:val="both"/>
        <w:sectPr>
          <w:footerReference w:type="default" r:id="rId360"/>
          <w:pgSz w:w="12240" w:h="15840"/>
          <w:pgMar w:footer="974" w:header="596" w:top="1440" w:bottom="1160" w:left="900" w:right="740"/>
          <w:pgNumType w:start="51"/>
        </w:sectPr>
      </w:pPr>
    </w:p>
    <w:p>
      <w:pPr>
        <w:pStyle w:val="BodyText"/>
        <w:spacing w:before="9"/>
        <w:rPr>
          <w:sz w:val="15"/>
        </w:rPr>
      </w:pPr>
    </w:p>
    <w:p>
      <w:pPr>
        <w:pStyle w:val="Heading1"/>
        <w:numPr>
          <w:ilvl w:val="0"/>
          <w:numId w:val="19"/>
        </w:numPr>
        <w:tabs>
          <w:tab w:pos="3762" w:val="left" w:leader="none"/>
        </w:tabs>
        <w:spacing w:line="240" w:lineRule="auto" w:before="70" w:after="0"/>
        <w:ind w:left="3761" w:right="0" w:hanging="429"/>
        <w:jc w:val="left"/>
      </w:pPr>
      <w:bookmarkStart w:name="_TOC_250005" w:id="20"/>
      <w:r>
        <w:rPr/>
        <w:t>MATERIALES Y</w:t>
      </w:r>
      <w:r>
        <w:rPr>
          <w:spacing w:val="-7"/>
        </w:rPr>
        <w:t> </w:t>
      </w:r>
      <w:bookmarkEnd w:id="20"/>
      <w:r>
        <w:rPr/>
        <w:t>MÉTODOS</w:t>
      </w:r>
    </w:p>
    <w:p>
      <w:pPr>
        <w:pStyle w:val="BodyText"/>
        <w:spacing w:before="4"/>
        <w:rPr>
          <w:b/>
          <w:sz w:val="29"/>
        </w:rPr>
      </w:pPr>
    </w:p>
    <w:p>
      <w:pPr>
        <w:pStyle w:val="BodyText"/>
        <w:spacing w:before="1"/>
        <w:ind w:left="518"/>
        <w:jc w:val="both"/>
      </w:pPr>
      <w:r>
        <w:rPr/>
        <w:t>La presente investigación fue de tipo descriptiva, transversal y prospectiva.</w:t>
      </w:r>
    </w:p>
    <w:p>
      <w:pPr>
        <w:pStyle w:val="BodyText"/>
        <w:spacing w:before="2"/>
        <w:rPr>
          <w:sz w:val="29"/>
        </w:rPr>
      </w:pPr>
    </w:p>
    <w:p>
      <w:pPr>
        <w:spacing w:before="0"/>
        <w:ind w:left="518" w:right="0" w:firstLine="0"/>
        <w:jc w:val="both"/>
        <w:rPr>
          <w:b/>
          <w:sz w:val="24"/>
        </w:rPr>
      </w:pPr>
      <w:r>
        <w:rPr>
          <w:b/>
          <w:sz w:val="24"/>
        </w:rPr>
        <w:t>Materiales</w:t>
      </w:r>
    </w:p>
    <w:p>
      <w:pPr>
        <w:pStyle w:val="BodyText"/>
        <w:spacing w:before="4"/>
        <w:rPr>
          <w:b/>
          <w:sz w:val="29"/>
        </w:rPr>
      </w:pPr>
    </w:p>
    <w:p>
      <w:pPr>
        <w:pStyle w:val="ListParagraph"/>
        <w:numPr>
          <w:ilvl w:val="0"/>
          <w:numId w:val="20"/>
        </w:numPr>
        <w:tabs>
          <w:tab w:pos="1239" w:val="left" w:leader="none"/>
        </w:tabs>
        <w:spacing w:line="240" w:lineRule="auto" w:before="1" w:after="0"/>
        <w:ind w:left="1238" w:right="0" w:hanging="360"/>
        <w:jc w:val="left"/>
        <w:rPr>
          <w:sz w:val="24"/>
        </w:rPr>
      </w:pPr>
      <w:r>
        <w:rPr>
          <w:sz w:val="24"/>
        </w:rPr>
        <w:t>Radiografías laterales de</w:t>
      </w:r>
      <w:r>
        <w:rPr>
          <w:spacing w:val="-5"/>
          <w:sz w:val="24"/>
        </w:rPr>
        <w:t> </w:t>
      </w:r>
      <w:r>
        <w:rPr>
          <w:sz w:val="24"/>
        </w:rPr>
        <w:t>cráneo.</w:t>
      </w:r>
    </w:p>
    <w:p>
      <w:pPr>
        <w:pStyle w:val="ListParagraph"/>
        <w:numPr>
          <w:ilvl w:val="0"/>
          <w:numId w:val="20"/>
        </w:numPr>
        <w:tabs>
          <w:tab w:pos="1239" w:val="left" w:leader="none"/>
        </w:tabs>
        <w:spacing w:line="240" w:lineRule="auto" w:before="139" w:after="0"/>
        <w:ind w:left="1238" w:right="0" w:hanging="360"/>
        <w:jc w:val="left"/>
        <w:rPr>
          <w:sz w:val="24"/>
        </w:rPr>
      </w:pPr>
      <w:r>
        <w:rPr>
          <w:sz w:val="24"/>
        </w:rPr>
        <w:t>Hojas de acetato GAC, 0.3 mm de superficie</w:t>
      </w:r>
      <w:r>
        <w:rPr>
          <w:spacing w:val="-15"/>
          <w:sz w:val="24"/>
        </w:rPr>
        <w:t> </w:t>
      </w:r>
      <w:r>
        <w:rPr>
          <w:sz w:val="24"/>
        </w:rPr>
        <w:t>mate.</w:t>
      </w:r>
    </w:p>
    <w:p>
      <w:pPr>
        <w:pStyle w:val="ListParagraph"/>
        <w:numPr>
          <w:ilvl w:val="0"/>
          <w:numId w:val="20"/>
        </w:numPr>
        <w:tabs>
          <w:tab w:pos="1239" w:val="left" w:leader="none"/>
        </w:tabs>
        <w:spacing w:line="240" w:lineRule="auto" w:before="137" w:after="0"/>
        <w:ind w:left="1238" w:right="0" w:hanging="360"/>
        <w:jc w:val="left"/>
        <w:rPr>
          <w:sz w:val="24"/>
        </w:rPr>
      </w:pPr>
      <w:r>
        <w:rPr>
          <w:sz w:val="24"/>
        </w:rPr>
        <w:t>Bicolor.</w:t>
      </w:r>
    </w:p>
    <w:p>
      <w:pPr>
        <w:pStyle w:val="ListParagraph"/>
        <w:numPr>
          <w:ilvl w:val="0"/>
          <w:numId w:val="20"/>
        </w:numPr>
        <w:tabs>
          <w:tab w:pos="1239" w:val="left" w:leader="none"/>
        </w:tabs>
        <w:spacing w:line="240" w:lineRule="auto" w:before="139" w:after="0"/>
        <w:ind w:left="1238" w:right="0" w:hanging="360"/>
        <w:jc w:val="left"/>
        <w:rPr>
          <w:sz w:val="24"/>
        </w:rPr>
      </w:pPr>
      <w:r>
        <w:rPr>
          <w:sz w:val="24"/>
        </w:rPr>
        <w:t>Portaminas de 0.5</w:t>
      </w:r>
      <w:r>
        <w:rPr>
          <w:spacing w:val="-7"/>
          <w:sz w:val="24"/>
        </w:rPr>
        <w:t> </w:t>
      </w:r>
      <w:r>
        <w:rPr>
          <w:sz w:val="24"/>
        </w:rPr>
        <w:t>mm.</w:t>
      </w:r>
    </w:p>
    <w:p>
      <w:pPr>
        <w:pStyle w:val="ListParagraph"/>
        <w:numPr>
          <w:ilvl w:val="0"/>
          <w:numId w:val="20"/>
        </w:numPr>
        <w:tabs>
          <w:tab w:pos="1239" w:val="left" w:leader="none"/>
        </w:tabs>
        <w:spacing w:line="240" w:lineRule="auto" w:before="137" w:after="0"/>
        <w:ind w:left="1238" w:right="0" w:hanging="360"/>
        <w:jc w:val="left"/>
        <w:rPr>
          <w:sz w:val="24"/>
        </w:rPr>
      </w:pPr>
      <w:r>
        <w:rPr>
          <w:sz w:val="24"/>
        </w:rPr>
        <w:t>Protractor</w:t>
      </w:r>
      <w:r>
        <w:rPr>
          <w:spacing w:val="-1"/>
          <w:sz w:val="24"/>
        </w:rPr>
        <w:t> </w:t>
      </w:r>
      <w:r>
        <w:rPr>
          <w:sz w:val="24"/>
        </w:rPr>
        <w:t>Ormco.</w:t>
      </w:r>
    </w:p>
    <w:p>
      <w:pPr>
        <w:pStyle w:val="ListParagraph"/>
        <w:numPr>
          <w:ilvl w:val="0"/>
          <w:numId w:val="20"/>
        </w:numPr>
        <w:tabs>
          <w:tab w:pos="1239" w:val="left" w:leader="none"/>
        </w:tabs>
        <w:spacing w:line="240" w:lineRule="auto" w:before="139" w:after="0"/>
        <w:ind w:left="1238" w:right="0" w:hanging="360"/>
        <w:jc w:val="left"/>
        <w:rPr>
          <w:sz w:val="24"/>
        </w:rPr>
      </w:pPr>
      <w:r>
        <w:rPr>
          <w:sz w:val="24"/>
        </w:rPr>
        <w:t>Negatoscopio.</w:t>
      </w:r>
    </w:p>
    <w:p>
      <w:pPr>
        <w:pStyle w:val="ListParagraph"/>
        <w:numPr>
          <w:ilvl w:val="0"/>
          <w:numId w:val="20"/>
        </w:numPr>
        <w:tabs>
          <w:tab w:pos="1239" w:val="left" w:leader="none"/>
        </w:tabs>
        <w:spacing w:line="240" w:lineRule="auto" w:before="137" w:after="0"/>
        <w:ind w:left="1238" w:right="0" w:hanging="360"/>
        <w:jc w:val="left"/>
        <w:rPr>
          <w:sz w:val="24"/>
        </w:rPr>
      </w:pPr>
      <w:r>
        <w:rPr>
          <w:sz w:val="24"/>
        </w:rPr>
        <w:t>Guantes.</w:t>
      </w:r>
    </w:p>
    <w:p>
      <w:pPr>
        <w:pStyle w:val="BodyText"/>
        <w:spacing w:before="4"/>
        <w:rPr>
          <w:sz w:val="29"/>
        </w:rPr>
      </w:pPr>
    </w:p>
    <w:p>
      <w:pPr>
        <w:spacing w:before="1"/>
        <w:ind w:left="518" w:right="0" w:firstLine="0"/>
        <w:jc w:val="both"/>
        <w:rPr>
          <w:b/>
          <w:sz w:val="24"/>
        </w:rPr>
      </w:pPr>
      <w:r>
        <w:rPr>
          <w:b/>
          <w:sz w:val="24"/>
        </w:rPr>
        <w:t>Universo</w:t>
      </w:r>
    </w:p>
    <w:p>
      <w:pPr>
        <w:pStyle w:val="BodyText"/>
        <w:spacing w:before="4"/>
        <w:rPr>
          <w:b/>
          <w:sz w:val="29"/>
        </w:rPr>
      </w:pPr>
    </w:p>
    <w:p>
      <w:pPr>
        <w:pStyle w:val="BodyText"/>
        <w:spacing w:line="360" w:lineRule="auto" w:before="1"/>
        <w:ind w:left="518" w:right="955"/>
        <w:jc w:val="both"/>
      </w:pPr>
      <w:r>
        <w:rPr/>
        <w:t>El universo estuvo constituido de niños y adolescentes con un rango de edad de 9-14 años, de sexo femenino y masculino, de la escuela primaria “Lic. Gustavo Díaz Ordaz” y “Gral. Lázaro Cárdenas”, ubicadas en Toluca, Estado de México.</w:t>
      </w:r>
    </w:p>
    <w:p>
      <w:pPr>
        <w:spacing w:before="204"/>
        <w:ind w:left="518" w:right="0" w:firstLine="0"/>
        <w:jc w:val="both"/>
        <w:rPr>
          <w:b/>
          <w:sz w:val="24"/>
        </w:rPr>
      </w:pPr>
      <w:r>
        <w:rPr>
          <w:b/>
          <w:sz w:val="24"/>
        </w:rPr>
        <w:t>Muestra</w:t>
      </w:r>
    </w:p>
    <w:p>
      <w:pPr>
        <w:pStyle w:val="BodyText"/>
        <w:spacing w:before="2"/>
        <w:rPr>
          <w:b/>
          <w:sz w:val="29"/>
        </w:rPr>
      </w:pPr>
    </w:p>
    <w:p>
      <w:pPr>
        <w:pStyle w:val="BodyText"/>
        <w:spacing w:line="360" w:lineRule="auto"/>
        <w:ind w:left="518" w:right="964"/>
      </w:pPr>
      <w:r>
        <w:rPr/>
        <w:t>Se tomó una muestra por conveniencia de niños y adolescentes con un rango de edad de 9-14 años, dividiéndolos en dos grupos de acuerdo a edad;</w:t>
      </w:r>
    </w:p>
    <w:p>
      <w:pPr>
        <w:pStyle w:val="BodyText"/>
        <w:spacing w:before="204"/>
        <w:ind w:left="518"/>
        <w:jc w:val="both"/>
      </w:pPr>
      <w:r>
        <w:rPr>
          <w:u w:val="single"/>
        </w:rPr>
        <w:t>Grupo I.</w:t>
      </w:r>
    </w:p>
    <w:p>
      <w:pPr>
        <w:pStyle w:val="BodyText"/>
        <w:spacing w:before="2"/>
        <w:rPr>
          <w:sz w:val="23"/>
        </w:rPr>
      </w:pPr>
    </w:p>
    <w:p>
      <w:pPr>
        <w:pStyle w:val="BodyText"/>
        <w:spacing w:line="535" w:lineRule="auto" w:before="69"/>
        <w:ind w:left="518" w:right="5258"/>
      </w:pPr>
      <w:r>
        <w:rPr/>
        <w:t>Radiografías de niños de 9-11 años de edad. </w:t>
      </w:r>
      <w:r>
        <w:rPr>
          <w:u w:val="single"/>
        </w:rPr>
        <w:t>Grupo II.</w:t>
      </w:r>
    </w:p>
    <w:p>
      <w:pPr>
        <w:pStyle w:val="BodyText"/>
        <w:spacing w:line="535" w:lineRule="auto" w:before="8"/>
        <w:ind w:left="518" w:right="5218"/>
      </w:pPr>
      <w:r>
        <w:rPr/>
        <w:t>Radiografías de adolescentes de 12-14 años. Clasificándolos a su vez por sexo:</w:t>
      </w:r>
    </w:p>
    <w:p>
      <w:pPr>
        <w:pStyle w:val="ListParagraph"/>
        <w:numPr>
          <w:ilvl w:val="0"/>
          <w:numId w:val="21"/>
        </w:numPr>
        <w:tabs>
          <w:tab w:pos="1238" w:val="left" w:leader="none"/>
          <w:tab w:pos="1239" w:val="left" w:leader="none"/>
        </w:tabs>
        <w:spacing w:line="240" w:lineRule="auto" w:before="9" w:after="0"/>
        <w:ind w:left="1238" w:right="0" w:hanging="360"/>
        <w:jc w:val="left"/>
        <w:rPr>
          <w:sz w:val="24"/>
        </w:rPr>
      </w:pPr>
      <w:r>
        <w:rPr>
          <w:sz w:val="24"/>
        </w:rPr>
        <w:t>Femenino</w:t>
      </w:r>
    </w:p>
    <w:p>
      <w:pPr>
        <w:pStyle w:val="ListParagraph"/>
        <w:numPr>
          <w:ilvl w:val="0"/>
          <w:numId w:val="21"/>
        </w:numPr>
        <w:tabs>
          <w:tab w:pos="1238" w:val="left" w:leader="none"/>
          <w:tab w:pos="1239" w:val="left" w:leader="none"/>
        </w:tabs>
        <w:spacing w:line="240" w:lineRule="auto" w:before="135" w:after="0"/>
        <w:ind w:left="1238" w:right="0" w:hanging="360"/>
        <w:jc w:val="left"/>
        <w:rPr>
          <w:sz w:val="24"/>
        </w:rPr>
      </w:pPr>
      <w:r>
        <w:rPr>
          <w:sz w:val="24"/>
        </w:rPr>
        <w:t>Masculino.</w:t>
      </w:r>
    </w:p>
    <w:p>
      <w:pPr>
        <w:spacing w:after="0" w:line="240" w:lineRule="auto"/>
        <w:jc w:val="left"/>
        <w:rPr>
          <w:sz w:val="24"/>
        </w:rPr>
        <w:sectPr>
          <w:pgSz w:w="12240" w:h="15840"/>
          <w:pgMar w:header="596" w:footer="974" w:top="1440" w:bottom="1160" w:left="900" w:right="740"/>
        </w:sectPr>
      </w:pPr>
    </w:p>
    <w:p>
      <w:pPr>
        <w:pStyle w:val="BodyText"/>
        <w:spacing w:before="9"/>
        <w:rPr>
          <w:sz w:val="15"/>
        </w:rPr>
      </w:pPr>
    </w:p>
    <w:p>
      <w:pPr>
        <w:pStyle w:val="BodyText"/>
        <w:spacing w:before="70"/>
        <w:ind w:left="518" w:right="964"/>
      </w:pPr>
      <w:r>
        <w:rPr/>
        <w:t>Criterios de inclusión:</w:t>
      </w:r>
    </w:p>
    <w:p>
      <w:pPr>
        <w:pStyle w:val="BodyText"/>
        <w:spacing w:before="5"/>
        <w:rPr>
          <w:sz w:val="29"/>
        </w:rPr>
      </w:pPr>
    </w:p>
    <w:p>
      <w:pPr>
        <w:pStyle w:val="ListParagraph"/>
        <w:numPr>
          <w:ilvl w:val="0"/>
          <w:numId w:val="21"/>
        </w:numPr>
        <w:tabs>
          <w:tab w:pos="1238" w:val="left" w:leader="none"/>
          <w:tab w:pos="1239" w:val="left" w:leader="none"/>
        </w:tabs>
        <w:spacing w:line="240" w:lineRule="auto" w:before="0" w:after="0"/>
        <w:ind w:left="1238" w:right="0" w:hanging="360"/>
        <w:jc w:val="left"/>
        <w:rPr>
          <w:sz w:val="24"/>
        </w:rPr>
      </w:pPr>
      <w:r>
        <w:rPr>
          <w:sz w:val="24"/>
        </w:rPr>
        <w:t>Perfil</w:t>
      </w:r>
      <w:r>
        <w:rPr>
          <w:spacing w:val="-4"/>
          <w:sz w:val="24"/>
        </w:rPr>
        <w:t> </w:t>
      </w:r>
      <w:r>
        <w:rPr>
          <w:sz w:val="24"/>
        </w:rPr>
        <w:t>recto.</w:t>
      </w:r>
    </w:p>
    <w:p>
      <w:pPr>
        <w:pStyle w:val="ListParagraph"/>
        <w:numPr>
          <w:ilvl w:val="0"/>
          <w:numId w:val="21"/>
        </w:numPr>
        <w:tabs>
          <w:tab w:pos="1238" w:val="left" w:leader="none"/>
          <w:tab w:pos="1239" w:val="left" w:leader="none"/>
        </w:tabs>
        <w:spacing w:line="240" w:lineRule="auto" w:before="135" w:after="0"/>
        <w:ind w:left="1238" w:right="0" w:hanging="360"/>
        <w:jc w:val="left"/>
        <w:rPr>
          <w:sz w:val="24"/>
        </w:rPr>
      </w:pPr>
      <w:r>
        <w:rPr>
          <w:sz w:val="24"/>
        </w:rPr>
        <w:t>Relación molar de Angle Clase I y Clase I</w:t>
      </w:r>
      <w:r>
        <w:rPr>
          <w:spacing w:val="-12"/>
          <w:sz w:val="24"/>
        </w:rPr>
        <w:t> </w:t>
      </w:r>
      <w:r>
        <w:rPr>
          <w:sz w:val="24"/>
        </w:rPr>
        <w:t>canina.</w:t>
      </w:r>
    </w:p>
    <w:p>
      <w:pPr>
        <w:pStyle w:val="ListParagraph"/>
        <w:numPr>
          <w:ilvl w:val="0"/>
          <w:numId w:val="21"/>
        </w:numPr>
        <w:tabs>
          <w:tab w:pos="1238" w:val="left" w:leader="none"/>
          <w:tab w:pos="1239" w:val="left" w:leader="none"/>
        </w:tabs>
        <w:spacing w:line="240" w:lineRule="auto" w:before="135" w:after="0"/>
        <w:ind w:left="1238" w:right="0" w:hanging="360"/>
        <w:jc w:val="left"/>
        <w:rPr>
          <w:sz w:val="24"/>
        </w:rPr>
      </w:pPr>
      <w:r>
        <w:rPr>
          <w:sz w:val="24"/>
        </w:rPr>
        <w:t>Overjet y overbite menor de 2.5</w:t>
      </w:r>
      <w:r>
        <w:rPr>
          <w:spacing w:val="-10"/>
          <w:sz w:val="24"/>
        </w:rPr>
        <w:t> </w:t>
      </w:r>
      <w:r>
        <w:rPr>
          <w:sz w:val="24"/>
        </w:rPr>
        <w:t>mm.</w:t>
      </w:r>
    </w:p>
    <w:p>
      <w:pPr>
        <w:pStyle w:val="ListParagraph"/>
        <w:numPr>
          <w:ilvl w:val="0"/>
          <w:numId w:val="21"/>
        </w:numPr>
        <w:tabs>
          <w:tab w:pos="1238" w:val="left" w:leader="none"/>
          <w:tab w:pos="1239" w:val="left" w:leader="none"/>
        </w:tabs>
        <w:spacing w:line="240" w:lineRule="auto" w:before="135" w:after="0"/>
        <w:ind w:left="1238" w:right="0" w:hanging="360"/>
        <w:jc w:val="left"/>
        <w:rPr>
          <w:sz w:val="24"/>
        </w:rPr>
      </w:pPr>
      <w:r>
        <w:rPr>
          <w:sz w:val="24"/>
        </w:rPr>
        <w:t>Sin apiñamiento</w:t>
      </w:r>
      <w:r>
        <w:rPr>
          <w:spacing w:val="-13"/>
          <w:sz w:val="24"/>
        </w:rPr>
        <w:t> </w:t>
      </w:r>
      <w:r>
        <w:rPr>
          <w:sz w:val="24"/>
        </w:rPr>
        <w:t>dentario.</w:t>
      </w:r>
    </w:p>
    <w:p>
      <w:pPr>
        <w:pStyle w:val="ListParagraph"/>
        <w:numPr>
          <w:ilvl w:val="0"/>
          <w:numId w:val="21"/>
        </w:numPr>
        <w:tabs>
          <w:tab w:pos="1238" w:val="left" w:leader="none"/>
          <w:tab w:pos="1239" w:val="left" w:leader="none"/>
        </w:tabs>
        <w:spacing w:line="240" w:lineRule="auto" w:before="135" w:after="0"/>
        <w:ind w:left="1238" w:right="0" w:hanging="360"/>
        <w:jc w:val="left"/>
        <w:rPr>
          <w:sz w:val="24"/>
        </w:rPr>
      </w:pPr>
      <w:r>
        <w:rPr>
          <w:sz w:val="24"/>
        </w:rPr>
        <w:t>Sin pérdida de órganos</w:t>
      </w:r>
      <w:r>
        <w:rPr>
          <w:spacing w:val="-15"/>
          <w:sz w:val="24"/>
        </w:rPr>
        <w:t> </w:t>
      </w:r>
      <w:r>
        <w:rPr>
          <w:sz w:val="24"/>
        </w:rPr>
        <w:t>dentarios.</w:t>
      </w:r>
    </w:p>
    <w:p>
      <w:pPr>
        <w:pStyle w:val="ListParagraph"/>
        <w:numPr>
          <w:ilvl w:val="0"/>
          <w:numId w:val="21"/>
        </w:numPr>
        <w:tabs>
          <w:tab w:pos="1238" w:val="left" w:leader="none"/>
          <w:tab w:pos="1239" w:val="left" w:leader="none"/>
        </w:tabs>
        <w:spacing w:line="240" w:lineRule="auto" w:before="138" w:after="0"/>
        <w:ind w:left="1238" w:right="0" w:hanging="360"/>
        <w:jc w:val="left"/>
        <w:rPr>
          <w:sz w:val="24"/>
        </w:rPr>
      </w:pPr>
      <w:r>
        <w:rPr>
          <w:sz w:val="24"/>
        </w:rPr>
        <w:t>Ningún tratamiento previo de ortopedia maxilar u</w:t>
      </w:r>
      <w:r>
        <w:rPr>
          <w:spacing w:val="-20"/>
          <w:sz w:val="24"/>
        </w:rPr>
        <w:t> </w:t>
      </w:r>
      <w:r>
        <w:rPr>
          <w:sz w:val="24"/>
        </w:rPr>
        <w:t>ortodoncia.</w:t>
      </w:r>
    </w:p>
    <w:p>
      <w:pPr>
        <w:pStyle w:val="ListParagraph"/>
        <w:numPr>
          <w:ilvl w:val="0"/>
          <w:numId w:val="21"/>
        </w:numPr>
        <w:tabs>
          <w:tab w:pos="1238" w:val="left" w:leader="none"/>
          <w:tab w:pos="1239" w:val="left" w:leader="none"/>
        </w:tabs>
        <w:spacing w:line="240" w:lineRule="auto" w:before="136" w:after="0"/>
        <w:ind w:left="1238" w:right="0" w:hanging="360"/>
        <w:jc w:val="left"/>
        <w:rPr>
          <w:sz w:val="24"/>
        </w:rPr>
      </w:pPr>
      <w:r>
        <w:rPr>
          <w:sz w:val="24"/>
        </w:rPr>
        <w:t>Sin antecedentes quirúrgicos</w:t>
      </w:r>
      <w:r>
        <w:rPr>
          <w:spacing w:val="-17"/>
          <w:sz w:val="24"/>
        </w:rPr>
        <w:t> </w:t>
      </w:r>
      <w:r>
        <w:rPr>
          <w:sz w:val="24"/>
        </w:rPr>
        <w:t>maxilofaciales.</w:t>
      </w:r>
    </w:p>
    <w:p>
      <w:pPr>
        <w:pStyle w:val="BodyText"/>
        <w:rPr>
          <w:sz w:val="29"/>
        </w:rPr>
      </w:pPr>
    </w:p>
    <w:p>
      <w:pPr>
        <w:pStyle w:val="BodyText"/>
        <w:ind w:left="518" w:right="964"/>
      </w:pPr>
      <w:r>
        <w:rPr/>
        <w:t>Criterios de exclusión:</w:t>
      </w:r>
    </w:p>
    <w:p>
      <w:pPr>
        <w:pStyle w:val="BodyText"/>
        <w:spacing w:before="4"/>
        <w:rPr>
          <w:sz w:val="29"/>
        </w:rPr>
      </w:pPr>
    </w:p>
    <w:p>
      <w:pPr>
        <w:pStyle w:val="ListParagraph"/>
        <w:numPr>
          <w:ilvl w:val="0"/>
          <w:numId w:val="22"/>
        </w:numPr>
        <w:tabs>
          <w:tab w:pos="1238" w:val="left" w:leader="none"/>
          <w:tab w:pos="1239" w:val="left" w:leader="none"/>
        </w:tabs>
        <w:spacing w:line="240" w:lineRule="auto" w:before="1" w:after="0"/>
        <w:ind w:left="1238" w:right="0" w:hanging="360"/>
        <w:jc w:val="left"/>
        <w:rPr>
          <w:sz w:val="24"/>
        </w:rPr>
      </w:pPr>
      <w:r>
        <w:rPr>
          <w:sz w:val="24"/>
        </w:rPr>
        <w:t>Relación molar de Angle Clase II o Clase</w:t>
      </w:r>
      <w:r>
        <w:rPr>
          <w:spacing w:val="-13"/>
          <w:sz w:val="24"/>
        </w:rPr>
        <w:t> </w:t>
      </w:r>
      <w:r>
        <w:rPr>
          <w:sz w:val="24"/>
        </w:rPr>
        <w:t>III.</w:t>
      </w:r>
    </w:p>
    <w:p>
      <w:pPr>
        <w:pStyle w:val="ListParagraph"/>
        <w:numPr>
          <w:ilvl w:val="0"/>
          <w:numId w:val="22"/>
        </w:numPr>
        <w:tabs>
          <w:tab w:pos="1238" w:val="left" w:leader="none"/>
          <w:tab w:pos="1239" w:val="left" w:leader="none"/>
        </w:tabs>
        <w:spacing w:line="240" w:lineRule="auto" w:before="139" w:after="0"/>
        <w:ind w:left="1238" w:right="0" w:hanging="360"/>
        <w:jc w:val="left"/>
        <w:rPr>
          <w:sz w:val="24"/>
        </w:rPr>
      </w:pPr>
      <w:r>
        <w:rPr>
          <w:sz w:val="24"/>
        </w:rPr>
        <w:t>Overjet y overbite mayor a 2.5</w:t>
      </w:r>
      <w:r>
        <w:rPr>
          <w:spacing w:val="-12"/>
          <w:sz w:val="24"/>
        </w:rPr>
        <w:t> </w:t>
      </w:r>
      <w:r>
        <w:rPr>
          <w:sz w:val="24"/>
        </w:rPr>
        <w:t>mm.</w:t>
      </w:r>
    </w:p>
    <w:p>
      <w:pPr>
        <w:pStyle w:val="ListParagraph"/>
        <w:numPr>
          <w:ilvl w:val="0"/>
          <w:numId w:val="22"/>
        </w:numPr>
        <w:tabs>
          <w:tab w:pos="1238" w:val="left" w:leader="none"/>
          <w:tab w:pos="1239" w:val="left" w:leader="none"/>
        </w:tabs>
        <w:spacing w:line="240" w:lineRule="auto" w:before="137" w:after="0"/>
        <w:ind w:left="1238" w:right="0" w:hanging="360"/>
        <w:jc w:val="left"/>
        <w:rPr>
          <w:sz w:val="24"/>
        </w:rPr>
      </w:pPr>
      <w:r>
        <w:rPr>
          <w:sz w:val="24"/>
        </w:rPr>
        <w:t>Pérdida de algún órgano</w:t>
      </w:r>
      <w:r>
        <w:rPr>
          <w:spacing w:val="-14"/>
          <w:sz w:val="24"/>
        </w:rPr>
        <w:t> </w:t>
      </w:r>
      <w:r>
        <w:rPr>
          <w:sz w:val="24"/>
        </w:rPr>
        <w:t>dentario.</w:t>
      </w:r>
    </w:p>
    <w:p>
      <w:pPr>
        <w:pStyle w:val="ListParagraph"/>
        <w:numPr>
          <w:ilvl w:val="0"/>
          <w:numId w:val="22"/>
        </w:numPr>
        <w:tabs>
          <w:tab w:pos="1238" w:val="left" w:leader="none"/>
          <w:tab w:pos="1239" w:val="left" w:leader="none"/>
        </w:tabs>
        <w:spacing w:line="240" w:lineRule="auto" w:before="139" w:after="0"/>
        <w:ind w:left="1238" w:right="0" w:hanging="360"/>
        <w:jc w:val="left"/>
        <w:rPr>
          <w:sz w:val="24"/>
        </w:rPr>
      </w:pPr>
      <w:r>
        <w:rPr>
          <w:sz w:val="24"/>
        </w:rPr>
        <w:t>Tratamiento previo de</w:t>
      </w:r>
      <w:r>
        <w:rPr>
          <w:spacing w:val="-7"/>
          <w:sz w:val="24"/>
        </w:rPr>
        <w:t> </w:t>
      </w:r>
      <w:r>
        <w:rPr>
          <w:sz w:val="24"/>
        </w:rPr>
        <w:t>ortodoncia.</w:t>
      </w:r>
    </w:p>
    <w:p>
      <w:pPr>
        <w:pStyle w:val="BodyText"/>
        <w:spacing w:before="4"/>
        <w:rPr>
          <w:sz w:val="29"/>
        </w:rPr>
      </w:pPr>
    </w:p>
    <w:p>
      <w:pPr>
        <w:pStyle w:val="BodyText"/>
        <w:spacing w:before="1"/>
        <w:ind w:left="518" w:right="964"/>
      </w:pPr>
      <w:r>
        <w:rPr/>
        <w:t>Criterios de eliminación:</w:t>
      </w:r>
    </w:p>
    <w:p>
      <w:pPr>
        <w:pStyle w:val="BodyText"/>
        <w:spacing w:before="2"/>
        <w:rPr>
          <w:sz w:val="29"/>
        </w:rPr>
      </w:pPr>
    </w:p>
    <w:p>
      <w:pPr>
        <w:pStyle w:val="ListParagraph"/>
        <w:numPr>
          <w:ilvl w:val="0"/>
          <w:numId w:val="23"/>
        </w:numPr>
        <w:tabs>
          <w:tab w:pos="1239" w:val="left" w:leader="none"/>
        </w:tabs>
        <w:spacing w:line="240" w:lineRule="auto" w:before="1" w:after="0"/>
        <w:ind w:left="1238" w:right="0" w:hanging="360"/>
        <w:jc w:val="left"/>
        <w:rPr>
          <w:sz w:val="24"/>
        </w:rPr>
      </w:pPr>
      <w:r>
        <w:rPr>
          <w:sz w:val="24"/>
        </w:rPr>
        <w:t>Adolescentes que no se presentaron a la toma de</w:t>
      </w:r>
      <w:r>
        <w:rPr>
          <w:spacing w:val="-21"/>
          <w:sz w:val="24"/>
        </w:rPr>
        <w:t> </w:t>
      </w:r>
      <w:r>
        <w:rPr>
          <w:sz w:val="24"/>
        </w:rPr>
        <w:t>radiografía.</w:t>
      </w:r>
    </w:p>
    <w:p>
      <w:pPr>
        <w:pStyle w:val="ListParagraph"/>
        <w:numPr>
          <w:ilvl w:val="0"/>
          <w:numId w:val="23"/>
        </w:numPr>
        <w:tabs>
          <w:tab w:pos="1239" w:val="left" w:leader="none"/>
        </w:tabs>
        <w:spacing w:line="240" w:lineRule="auto" w:before="118" w:after="0"/>
        <w:ind w:left="1238" w:right="0" w:hanging="360"/>
        <w:jc w:val="left"/>
        <w:rPr>
          <w:sz w:val="24"/>
        </w:rPr>
      </w:pPr>
      <w:r>
        <w:rPr>
          <w:sz w:val="24"/>
        </w:rPr>
        <w:t>Presencia de síndromes o alteraciones</w:t>
      </w:r>
      <w:r>
        <w:rPr>
          <w:spacing w:val="-19"/>
          <w:sz w:val="24"/>
        </w:rPr>
        <w:t> </w:t>
      </w:r>
      <w:r>
        <w:rPr>
          <w:sz w:val="24"/>
        </w:rPr>
        <w:t>craneofaciales.</w:t>
      </w:r>
    </w:p>
    <w:p>
      <w:pPr>
        <w:spacing w:after="0" w:line="240" w:lineRule="auto"/>
        <w:jc w:val="left"/>
        <w:rPr>
          <w:sz w:val="24"/>
        </w:rPr>
        <w:sectPr>
          <w:pgSz w:w="12240" w:h="15840"/>
          <w:pgMar w:header="596" w:footer="974" w:top="1440" w:bottom="1160" w:left="900" w:right="740"/>
        </w:sectPr>
      </w:pPr>
    </w:p>
    <w:p>
      <w:pPr>
        <w:pStyle w:val="BodyText"/>
        <w:spacing w:before="9"/>
        <w:rPr>
          <w:sz w:val="15"/>
        </w:rPr>
      </w:pPr>
    </w:p>
    <w:p>
      <w:pPr>
        <w:spacing w:before="70"/>
        <w:ind w:left="518" w:right="0" w:firstLine="0"/>
        <w:jc w:val="both"/>
        <w:rPr>
          <w:b/>
          <w:sz w:val="24"/>
        </w:rPr>
      </w:pPr>
      <w:r>
        <w:rPr>
          <w:b/>
          <w:sz w:val="24"/>
        </w:rPr>
        <w:t>Metodología</w:t>
      </w:r>
    </w:p>
    <w:p>
      <w:pPr>
        <w:pStyle w:val="BodyText"/>
        <w:spacing w:before="4"/>
        <w:rPr>
          <w:b/>
          <w:sz w:val="29"/>
        </w:rPr>
      </w:pPr>
    </w:p>
    <w:p>
      <w:pPr>
        <w:pStyle w:val="BodyText"/>
        <w:spacing w:line="360" w:lineRule="auto" w:before="1"/>
        <w:ind w:left="518" w:right="956"/>
        <w:jc w:val="both"/>
      </w:pPr>
      <w:r>
        <w:rPr/>
        <w:t>La muestra consistió en 136 radiografías lateral de cráneo, de las cuales 68 corresponden a cada grupo de edad. Del grupo I, corresponden 31 radiografías al sexo femenino y 37 al sexo masculino. Del grupo II, corresponden 33 radiografías al sexo femenino y 35 al sexo masculino.</w:t>
      </w:r>
    </w:p>
    <w:p>
      <w:pPr>
        <w:pStyle w:val="BodyText"/>
        <w:spacing w:line="360" w:lineRule="auto" w:before="204"/>
        <w:ind w:left="518" w:right="958"/>
        <w:jc w:val="both"/>
      </w:pPr>
      <w:r>
        <w:rPr/>
        <w:t>De la muestra de niños y adolescentes, se tomó radiografía lateral de cráneo. (Fig. 20)</w:t>
      </w:r>
    </w:p>
    <w:p>
      <w:pPr>
        <w:pStyle w:val="BodyText"/>
        <w:spacing w:before="2"/>
        <w:rPr>
          <w:sz w:val="16"/>
        </w:rPr>
      </w:pPr>
      <w:r>
        <w:rPr/>
        <w:pict>
          <v:group style="position:absolute;margin-left:168.600006pt;margin-top:11.253901pt;width:261pt;height:310.1pt;mso-position-horizontal-relative:page;mso-position-vertical-relative:paragraph;z-index:1840;mso-wrap-distance-left:0;mso-wrap-distance-right:0" coordorigin="3372,225" coordsize="5220,6202">
            <v:shape style="position:absolute;left:3372;top:225;width:5220;height:6202" type="#_x0000_t75" stroked="false">
              <v:imagedata r:id="rId361" o:title=""/>
            </v:shape>
            <v:shape style="position:absolute;left:3473;top:326;width:4931;height:5913" type="#_x0000_t75" stroked="false">
              <v:imagedata r:id="rId362" o:title=""/>
            </v:shape>
            <v:rect style="position:absolute;left:3443;top:296;width:4991;height:5973" filled="false" stroked="true" strokeweight="3pt" strokecolor="#77923b"/>
            <w10:wrap type="topAndBottom"/>
          </v:group>
        </w:pict>
      </w:r>
    </w:p>
    <w:p>
      <w:pPr>
        <w:pStyle w:val="BodyText"/>
        <w:spacing w:before="8"/>
        <w:rPr>
          <w:sz w:val="25"/>
        </w:rPr>
      </w:pPr>
    </w:p>
    <w:p>
      <w:pPr>
        <w:spacing w:line="360" w:lineRule="auto" w:before="0"/>
        <w:ind w:left="3557" w:right="3996" w:firstLine="0"/>
        <w:jc w:val="center"/>
        <w:rPr>
          <w:sz w:val="18"/>
        </w:rPr>
      </w:pPr>
      <w:r>
        <w:rPr>
          <w:sz w:val="18"/>
        </w:rPr>
        <w:t>Fig. 20 “Radiografía lateral de cráneo” Fuente: Directa</w:t>
      </w:r>
    </w:p>
    <w:p>
      <w:pPr>
        <w:pStyle w:val="BodyText"/>
        <w:spacing w:before="7"/>
        <w:rPr>
          <w:sz w:val="17"/>
        </w:rPr>
      </w:pPr>
    </w:p>
    <w:p>
      <w:pPr>
        <w:pStyle w:val="BodyText"/>
        <w:spacing w:line="360" w:lineRule="auto"/>
        <w:ind w:left="518" w:right="964"/>
        <w:jc w:val="both"/>
      </w:pPr>
      <w:r>
        <w:rPr/>
        <w:t>Cabe mencionar que las radiografías empleadas para la presente investigación fueron las utilizadas por el Dr. Toshio Kubodera Ito para su estándar</w:t>
      </w:r>
      <w:r>
        <w:rPr>
          <w:spacing w:val="-29"/>
        </w:rPr>
        <w:t> </w:t>
      </w:r>
      <w:r>
        <w:rPr/>
        <w:t>cefalométrico.</w:t>
      </w:r>
    </w:p>
    <w:p>
      <w:pPr>
        <w:spacing w:after="0" w:line="360" w:lineRule="auto"/>
        <w:jc w:val="both"/>
        <w:sectPr>
          <w:pgSz w:w="12240" w:h="15840"/>
          <w:pgMar w:header="596" w:footer="974" w:top="1440" w:bottom="1160" w:left="900" w:right="740"/>
        </w:sectPr>
      </w:pPr>
    </w:p>
    <w:p>
      <w:pPr>
        <w:pStyle w:val="BodyText"/>
        <w:spacing w:before="9"/>
        <w:rPr>
          <w:sz w:val="15"/>
        </w:rPr>
      </w:pPr>
    </w:p>
    <w:p>
      <w:pPr>
        <w:pStyle w:val="BodyText"/>
        <w:spacing w:line="360" w:lineRule="auto" w:before="70"/>
        <w:ind w:left="518" w:right="966"/>
        <w:jc w:val="both"/>
      </w:pPr>
      <w:r>
        <w:rPr/>
        <w:t>Para realizar el trazado cefalométrico se utilizó una hoja de acetato de superficie mate de la marca GAC (Cephalometric tracing paper 8x10”, GAC International, Inc). (Fig.</w:t>
      </w:r>
      <w:r>
        <w:rPr>
          <w:spacing w:val="-4"/>
        </w:rPr>
        <w:t> </w:t>
      </w:r>
      <w:r>
        <w:rPr/>
        <w:t>21)</w:t>
      </w:r>
    </w:p>
    <w:p>
      <w:pPr>
        <w:pStyle w:val="BodyText"/>
        <w:spacing w:before="5"/>
        <w:rPr>
          <w:sz w:val="14"/>
        </w:rPr>
      </w:pPr>
      <w:r>
        <w:rPr/>
        <w:pict>
          <v:group style="position:absolute;margin-left:157.800003pt;margin-top:10.293933pt;width:282.75pt;height:250pt;mso-position-horizontal-relative:page;mso-position-vertical-relative:paragraph;z-index:1864;mso-wrap-distance-left:0;mso-wrap-distance-right:0" coordorigin="3156,206" coordsize="5655,5000">
            <v:shape style="position:absolute;left:3156;top:206;width:5654;height:4999" type="#_x0000_t75" stroked="false">
              <v:imagedata r:id="rId363" o:title=""/>
            </v:shape>
            <v:shape style="position:absolute;left:3458;top:505;width:5050;height:4398" type="#_x0000_t75" stroked="false">
              <v:imagedata r:id="rId364" o:title=""/>
            </v:shape>
            <w10:wrap type="topAndBottom"/>
          </v:group>
        </w:pict>
      </w:r>
    </w:p>
    <w:p>
      <w:pPr>
        <w:pStyle w:val="BodyText"/>
        <w:spacing w:before="9"/>
        <w:rPr>
          <w:sz w:val="27"/>
        </w:rPr>
      </w:pPr>
    </w:p>
    <w:p>
      <w:pPr>
        <w:spacing w:line="360" w:lineRule="auto" w:before="0"/>
        <w:ind w:left="3872" w:right="4313" w:firstLine="0"/>
        <w:jc w:val="center"/>
        <w:rPr>
          <w:sz w:val="18"/>
        </w:rPr>
      </w:pPr>
      <w:r>
        <w:rPr>
          <w:sz w:val="18"/>
        </w:rPr>
        <w:t>Fig. 21 “Anatomía radiológica” Fuente: Directa</w:t>
      </w:r>
    </w:p>
    <w:p>
      <w:pPr>
        <w:pStyle w:val="BodyText"/>
        <w:spacing w:before="7"/>
        <w:rPr>
          <w:sz w:val="17"/>
        </w:rPr>
      </w:pPr>
    </w:p>
    <w:p>
      <w:pPr>
        <w:pStyle w:val="BodyText"/>
        <w:spacing w:line="360" w:lineRule="auto"/>
        <w:ind w:left="518" w:right="965"/>
        <w:jc w:val="both"/>
      </w:pPr>
      <w:r>
        <w:rPr/>
        <w:t>Una vez que se obtuvo el trazo de la anatomía radiológica, se identificaron los siguientes puntos cefalométricos:</w:t>
      </w:r>
    </w:p>
    <w:p>
      <w:pPr>
        <w:pStyle w:val="ListParagraph"/>
        <w:numPr>
          <w:ilvl w:val="0"/>
          <w:numId w:val="22"/>
        </w:numPr>
        <w:tabs>
          <w:tab w:pos="1239" w:val="left" w:leader="none"/>
        </w:tabs>
        <w:spacing w:line="360" w:lineRule="auto" w:before="204" w:after="0"/>
        <w:ind w:left="1238" w:right="965" w:hanging="360"/>
        <w:jc w:val="both"/>
        <w:rPr>
          <w:sz w:val="24"/>
        </w:rPr>
      </w:pPr>
      <w:r>
        <w:rPr>
          <w:sz w:val="24"/>
        </w:rPr>
        <w:t>Punto A (subespinal); punto tomado desde la curvatura más interior de la espina nasal anterior a la cresta del proceso alveolar maxilar. Representa aproximadamente, la unión del hueso basal o de sostén y el hueso</w:t>
      </w:r>
      <w:r>
        <w:rPr>
          <w:spacing w:val="-33"/>
          <w:sz w:val="24"/>
        </w:rPr>
        <w:t> </w:t>
      </w:r>
      <w:r>
        <w:rPr>
          <w:sz w:val="24"/>
        </w:rPr>
        <w:t>alveolar.</w:t>
      </w:r>
    </w:p>
    <w:p>
      <w:pPr>
        <w:pStyle w:val="ListParagraph"/>
        <w:numPr>
          <w:ilvl w:val="0"/>
          <w:numId w:val="22"/>
        </w:numPr>
        <w:tabs>
          <w:tab w:pos="1239" w:val="left" w:leader="none"/>
        </w:tabs>
        <w:spacing w:line="360" w:lineRule="auto" w:before="5" w:after="0"/>
        <w:ind w:left="1238" w:right="964" w:hanging="360"/>
        <w:jc w:val="both"/>
        <w:rPr>
          <w:sz w:val="24"/>
        </w:rPr>
      </w:pPr>
      <w:r>
        <w:rPr>
          <w:sz w:val="24"/>
        </w:rPr>
        <w:t>Punto B (supramentoniano); punto de la curvatura anterior del perfil que va desde el pogonión a la cresta del proceso</w:t>
      </w:r>
      <w:r>
        <w:rPr>
          <w:spacing w:val="-17"/>
          <w:sz w:val="24"/>
        </w:rPr>
        <w:t> </w:t>
      </w:r>
      <w:r>
        <w:rPr>
          <w:sz w:val="24"/>
        </w:rPr>
        <w:t>alveolar.</w:t>
      </w:r>
    </w:p>
    <w:p>
      <w:pPr>
        <w:pStyle w:val="ListParagraph"/>
        <w:numPr>
          <w:ilvl w:val="0"/>
          <w:numId w:val="22"/>
        </w:numPr>
        <w:tabs>
          <w:tab w:pos="1239" w:val="left" w:leader="none"/>
        </w:tabs>
        <w:spacing w:line="360" w:lineRule="auto" w:before="5" w:after="0"/>
        <w:ind w:left="1238" w:right="966" w:hanging="360"/>
        <w:jc w:val="both"/>
        <w:rPr>
          <w:sz w:val="24"/>
        </w:rPr>
      </w:pPr>
      <w:r>
        <w:rPr>
          <w:sz w:val="24"/>
        </w:rPr>
        <w:t>Espina Nasal Anterior (ENA); en el proceso espinoso del maxilar que forma la proyección más anterior del piso de la cavidad</w:t>
      </w:r>
      <w:r>
        <w:rPr>
          <w:spacing w:val="-17"/>
          <w:sz w:val="24"/>
        </w:rPr>
        <w:t> </w:t>
      </w:r>
      <w:r>
        <w:rPr>
          <w:sz w:val="24"/>
        </w:rPr>
        <w:t>nasal.</w:t>
      </w:r>
    </w:p>
    <w:p>
      <w:pPr>
        <w:pStyle w:val="ListParagraph"/>
        <w:numPr>
          <w:ilvl w:val="0"/>
          <w:numId w:val="22"/>
        </w:numPr>
        <w:tabs>
          <w:tab w:pos="1239" w:val="left" w:leader="none"/>
        </w:tabs>
        <w:spacing w:line="360" w:lineRule="auto" w:before="5" w:after="0"/>
        <w:ind w:left="1238" w:right="962" w:hanging="360"/>
        <w:jc w:val="both"/>
        <w:rPr>
          <w:sz w:val="24"/>
        </w:rPr>
      </w:pPr>
      <w:r>
        <w:rPr>
          <w:sz w:val="24"/>
        </w:rPr>
        <w:t>Espina Nasal posterior (ENP); en el proceso espinoso formado por la proyección más posterior de la unión de los huesos palatinos en la línea media del techo de la cavidad</w:t>
      </w:r>
      <w:r>
        <w:rPr>
          <w:spacing w:val="-9"/>
          <w:sz w:val="24"/>
        </w:rPr>
        <w:t> </w:t>
      </w:r>
      <w:r>
        <w:rPr>
          <w:sz w:val="24"/>
        </w:rPr>
        <w:t>bucal.</w:t>
      </w:r>
    </w:p>
    <w:p>
      <w:pPr>
        <w:spacing w:after="0" w:line="360" w:lineRule="auto"/>
        <w:jc w:val="both"/>
        <w:rPr>
          <w:sz w:val="24"/>
        </w:rPr>
        <w:sectPr>
          <w:pgSz w:w="12240" w:h="15840"/>
          <w:pgMar w:header="596" w:footer="974" w:top="1440" w:bottom="1160" w:left="900" w:right="740"/>
        </w:sectPr>
      </w:pPr>
    </w:p>
    <w:p>
      <w:pPr>
        <w:pStyle w:val="BodyText"/>
        <w:spacing w:before="5"/>
        <w:rPr>
          <w:sz w:val="21"/>
        </w:rPr>
      </w:pPr>
    </w:p>
    <w:p>
      <w:pPr>
        <w:pStyle w:val="ListParagraph"/>
        <w:numPr>
          <w:ilvl w:val="0"/>
          <w:numId w:val="22"/>
        </w:numPr>
        <w:tabs>
          <w:tab w:pos="1238" w:val="left" w:leader="none"/>
          <w:tab w:pos="1239" w:val="left" w:leader="none"/>
        </w:tabs>
        <w:spacing w:line="360" w:lineRule="auto" w:before="69" w:after="0"/>
        <w:ind w:left="1238" w:right="866" w:hanging="360"/>
        <w:jc w:val="left"/>
        <w:rPr>
          <w:sz w:val="24"/>
        </w:rPr>
      </w:pPr>
      <w:r>
        <w:rPr>
          <w:sz w:val="24"/>
        </w:rPr>
        <w:t>Gonion; punto más superior y saliente del ángulo formado por la unión de la rama y el cuerpo de la mandíbula en su aspecto</w:t>
      </w:r>
      <w:r>
        <w:rPr>
          <w:spacing w:val="-20"/>
          <w:sz w:val="24"/>
        </w:rPr>
        <w:t> </w:t>
      </w:r>
      <w:r>
        <w:rPr>
          <w:sz w:val="24"/>
        </w:rPr>
        <w:t>posteroinferior.</w:t>
      </w:r>
    </w:p>
    <w:p>
      <w:pPr>
        <w:pStyle w:val="ListParagraph"/>
        <w:numPr>
          <w:ilvl w:val="0"/>
          <w:numId w:val="22"/>
        </w:numPr>
        <w:tabs>
          <w:tab w:pos="1238" w:val="left" w:leader="none"/>
          <w:tab w:pos="1239" w:val="left" w:leader="none"/>
        </w:tabs>
        <w:spacing w:line="240" w:lineRule="auto" w:before="5" w:after="0"/>
        <w:ind w:left="1238" w:right="0" w:hanging="360"/>
        <w:jc w:val="left"/>
        <w:rPr>
          <w:sz w:val="24"/>
        </w:rPr>
      </w:pPr>
      <w:r>
        <w:rPr>
          <w:sz w:val="24"/>
        </w:rPr>
        <w:t>Menton; punto más inferior de la sínfisis de la</w:t>
      </w:r>
      <w:r>
        <w:rPr>
          <w:spacing w:val="-19"/>
          <w:sz w:val="24"/>
        </w:rPr>
        <w:t> </w:t>
      </w:r>
      <w:r>
        <w:rPr>
          <w:sz w:val="24"/>
        </w:rPr>
        <w:t>mandíbula.</w:t>
      </w:r>
    </w:p>
    <w:p>
      <w:pPr>
        <w:pStyle w:val="ListParagraph"/>
        <w:numPr>
          <w:ilvl w:val="0"/>
          <w:numId w:val="22"/>
        </w:numPr>
        <w:tabs>
          <w:tab w:pos="1238" w:val="left" w:leader="none"/>
          <w:tab w:pos="1239" w:val="left" w:leader="none"/>
        </w:tabs>
        <w:spacing w:line="240" w:lineRule="auto" w:before="137" w:after="0"/>
        <w:ind w:left="1238" w:right="0" w:hanging="360"/>
        <w:jc w:val="left"/>
        <w:rPr>
          <w:sz w:val="24"/>
        </w:rPr>
      </w:pPr>
      <w:r>
        <w:rPr>
          <w:sz w:val="24"/>
        </w:rPr>
        <w:t>Nasion; en la sutura frontonasal o la unión del hueso frontal  con el</w:t>
      </w:r>
      <w:r>
        <w:rPr>
          <w:spacing w:val="-31"/>
          <w:sz w:val="24"/>
        </w:rPr>
        <w:t> </w:t>
      </w:r>
      <w:r>
        <w:rPr>
          <w:sz w:val="24"/>
        </w:rPr>
        <w:t>nasal.</w:t>
      </w:r>
    </w:p>
    <w:p>
      <w:pPr>
        <w:pStyle w:val="ListParagraph"/>
        <w:numPr>
          <w:ilvl w:val="0"/>
          <w:numId w:val="22"/>
        </w:numPr>
        <w:tabs>
          <w:tab w:pos="1238" w:val="left" w:leader="none"/>
          <w:tab w:pos="1239" w:val="left" w:leader="none"/>
        </w:tabs>
        <w:spacing w:line="240" w:lineRule="auto" w:before="139" w:after="0"/>
        <w:ind w:left="1238" w:right="0" w:hanging="360"/>
        <w:jc w:val="left"/>
        <w:rPr>
          <w:sz w:val="24"/>
        </w:rPr>
      </w:pPr>
      <w:r>
        <w:rPr>
          <w:sz w:val="24"/>
        </w:rPr>
        <w:t>Orbital; punto más inferior del borde inferior de la</w:t>
      </w:r>
      <w:r>
        <w:rPr>
          <w:spacing w:val="-19"/>
          <w:sz w:val="24"/>
        </w:rPr>
        <w:t> </w:t>
      </w:r>
      <w:r>
        <w:rPr>
          <w:sz w:val="24"/>
        </w:rPr>
        <w:t>órbita.</w:t>
      </w:r>
    </w:p>
    <w:p>
      <w:pPr>
        <w:pStyle w:val="ListParagraph"/>
        <w:numPr>
          <w:ilvl w:val="0"/>
          <w:numId w:val="22"/>
        </w:numPr>
        <w:tabs>
          <w:tab w:pos="1238" w:val="left" w:leader="none"/>
          <w:tab w:pos="1239" w:val="left" w:leader="none"/>
        </w:tabs>
        <w:spacing w:line="240" w:lineRule="auto" w:before="137" w:after="0"/>
        <w:ind w:left="1238" w:right="0" w:hanging="360"/>
        <w:jc w:val="left"/>
        <w:rPr>
          <w:sz w:val="24"/>
        </w:rPr>
      </w:pPr>
      <w:r>
        <w:rPr>
          <w:sz w:val="24"/>
        </w:rPr>
        <w:t>Pogonion; punto más anterior de la sínfisis de la</w:t>
      </w:r>
      <w:r>
        <w:rPr>
          <w:spacing w:val="-21"/>
          <w:sz w:val="24"/>
        </w:rPr>
        <w:t> </w:t>
      </w:r>
      <w:r>
        <w:rPr>
          <w:sz w:val="24"/>
        </w:rPr>
        <w:t>mandíbula.</w:t>
      </w:r>
    </w:p>
    <w:p>
      <w:pPr>
        <w:pStyle w:val="ListParagraph"/>
        <w:numPr>
          <w:ilvl w:val="0"/>
          <w:numId w:val="22"/>
        </w:numPr>
        <w:tabs>
          <w:tab w:pos="1238" w:val="left" w:leader="none"/>
          <w:tab w:pos="1239" w:val="left" w:leader="none"/>
        </w:tabs>
        <w:spacing w:line="240" w:lineRule="auto" w:before="139" w:after="0"/>
        <w:ind w:left="1238" w:right="0" w:hanging="360"/>
        <w:jc w:val="left"/>
        <w:rPr>
          <w:sz w:val="24"/>
        </w:rPr>
      </w:pPr>
      <w:r>
        <w:rPr>
          <w:sz w:val="24"/>
        </w:rPr>
        <w:t>Porion; punto más alto del meato auditivo externo.</w:t>
      </w:r>
      <w:r>
        <w:rPr>
          <w:spacing w:val="-21"/>
          <w:sz w:val="24"/>
        </w:rPr>
        <w:t> </w:t>
      </w:r>
      <w:r>
        <w:rPr>
          <w:sz w:val="24"/>
        </w:rPr>
        <w:t>(Fig.22)</w:t>
      </w:r>
    </w:p>
    <w:p>
      <w:pPr>
        <w:pStyle w:val="BodyText"/>
        <w:spacing w:before="11"/>
        <w:rPr>
          <w:sz w:val="25"/>
        </w:rPr>
      </w:pPr>
      <w:r>
        <w:rPr/>
        <w:pict>
          <v:group style="position:absolute;margin-left:133.080002pt;margin-top:16.877008pt;width:331.2pt;height:291.5pt;mso-position-horizontal-relative:page;mso-position-vertical-relative:paragraph;z-index:1888;mso-wrap-distance-left:0;mso-wrap-distance-right:0" coordorigin="2662,338" coordsize="6624,5830">
            <v:shape style="position:absolute;left:2662;top:338;width:6624;height:5830" type="#_x0000_t75" stroked="false">
              <v:imagedata r:id="rId365" o:title=""/>
            </v:shape>
            <v:shape style="position:absolute;left:2963;top:639;width:6020;height:5227" type="#_x0000_t75" stroked="false">
              <v:imagedata r:id="rId366" o:title=""/>
            </v:shape>
            <w10:wrap type="topAndBottom"/>
          </v:group>
        </w:pict>
      </w:r>
    </w:p>
    <w:p>
      <w:pPr>
        <w:pStyle w:val="BodyText"/>
        <w:spacing w:before="1"/>
        <w:rPr>
          <w:sz w:val="26"/>
        </w:rPr>
      </w:pPr>
    </w:p>
    <w:p>
      <w:pPr>
        <w:spacing w:line="362" w:lineRule="auto" w:before="0"/>
        <w:ind w:left="3632" w:right="3974" w:firstLine="0"/>
        <w:jc w:val="center"/>
        <w:rPr>
          <w:sz w:val="18"/>
        </w:rPr>
      </w:pPr>
      <w:r>
        <w:rPr>
          <w:sz w:val="18"/>
        </w:rPr>
        <w:t>Fig. 22 “Puntos cefalométricos” Fuente: Directa</w:t>
      </w:r>
    </w:p>
    <w:p>
      <w:pPr>
        <w:spacing w:after="0" w:line="362" w:lineRule="auto"/>
        <w:jc w:val="center"/>
        <w:rPr>
          <w:sz w:val="18"/>
        </w:rPr>
        <w:sectPr>
          <w:pgSz w:w="12240" w:h="15840"/>
          <w:pgMar w:header="596" w:footer="974" w:top="1380" w:bottom="1200" w:left="900" w:right="840"/>
        </w:sectPr>
      </w:pPr>
    </w:p>
    <w:p>
      <w:pPr>
        <w:pStyle w:val="BodyText"/>
        <w:spacing w:before="5"/>
        <w:rPr>
          <w:sz w:val="21"/>
        </w:rPr>
      </w:pPr>
    </w:p>
    <w:p>
      <w:pPr>
        <w:pStyle w:val="BodyText"/>
        <w:spacing w:before="69"/>
        <w:ind w:left="518" w:right="865"/>
      </w:pPr>
      <w:r>
        <w:rPr/>
        <w:t>Se procedió a trazar los siguientes planos cefalométricos:</w:t>
      </w:r>
    </w:p>
    <w:p>
      <w:pPr>
        <w:pStyle w:val="BodyText"/>
        <w:spacing w:before="4"/>
        <w:rPr>
          <w:sz w:val="29"/>
        </w:rPr>
      </w:pPr>
    </w:p>
    <w:p>
      <w:pPr>
        <w:pStyle w:val="ListParagraph"/>
        <w:numPr>
          <w:ilvl w:val="0"/>
          <w:numId w:val="24"/>
        </w:numPr>
        <w:tabs>
          <w:tab w:pos="1239" w:val="left" w:leader="none"/>
        </w:tabs>
        <w:spacing w:line="240" w:lineRule="auto" w:before="1" w:after="0"/>
        <w:ind w:left="1238" w:right="0" w:hanging="360"/>
        <w:jc w:val="left"/>
        <w:rPr>
          <w:sz w:val="24"/>
        </w:rPr>
      </w:pPr>
      <w:r>
        <w:rPr>
          <w:sz w:val="24"/>
        </w:rPr>
        <w:t>Plano Facial con Plano horizontal de</w:t>
      </w:r>
      <w:r>
        <w:rPr>
          <w:spacing w:val="-14"/>
          <w:sz w:val="24"/>
        </w:rPr>
        <w:t> </w:t>
      </w:r>
      <w:r>
        <w:rPr>
          <w:sz w:val="24"/>
        </w:rPr>
        <w:t>Frankfort.</w:t>
      </w:r>
    </w:p>
    <w:p>
      <w:pPr>
        <w:pStyle w:val="ListParagraph"/>
        <w:numPr>
          <w:ilvl w:val="0"/>
          <w:numId w:val="24"/>
        </w:numPr>
        <w:tabs>
          <w:tab w:pos="1239" w:val="left" w:leader="none"/>
        </w:tabs>
        <w:spacing w:line="240" w:lineRule="auto" w:before="137" w:after="0"/>
        <w:ind w:left="1238" w:right="0" w:hanging="360"/>
        <w:jc w:val="left"/>
        <w:rPr>
          <w:sz w:val="24"/>
        </w:rPr>
      </w:pPr>
      <w:r>
        <w:rPr>
          <w:sz w:val="24"/>
        </w:rPr>
        <w:t>Plano A-B con Plano</w:t>
      </w:r>
      <w:r>
        <w:rPr>
          <w:spacing w:val="-8"/>
          <w:sz w:val="24"/>
        </w:rPr>
        <w:t> </w:t>
      </w:r>
      <w:r>
        <w:rPr>
          <w:sz w:val="24"/>
        </w:rPr>
        <w:t>Facial.</w:t>
      </w:r>
    </w:p>
    <w:p>
      <w:pPr>
        <w:pStyle w:val="ListParagraph"/>
        <w:numPr>
          <w:ilvl w:val="0"/>
          <w:numId w:val="24"/>
        </w:numPr>
        <w:tabs>
          <w:tab w:pos="1239" w:val="left" w:leader="none"/>
        </w:tabs>
        <w:spacing w:line="240" w:lineRule="auto" w:before="139" w:after="0"/>
        <w:ind w:left="1238" w:right="0" w:hanging="360"/>
        <w:jc w:val="left"/>
        <w:rPr>
          <w:sz w:val="24"/>
        </w:rPr>
      </w:pPr>
      <w:r>
        <w:rPr>
          <w:sz w:val="24"/>
        </w:rPr>
        <w:t>Plano Palatal con Plano horizontal de</w:t>
      </w:r>
      <w:r>
        <w:rPr>
          <w:spacing w:val="-18"/>
          <w:sz w:val="24"/>
        </w:rPr>
        <w:t> </w:t>
      </w:r>
      <w:r>
        <w:rPr>
          <w:sz w:val="24"/>
        </w:rPr>
        <w:t>Frankfort.</w:t>
      </w:r>
    </w:p>
    <w:p>
      <w:pPr>
        <w:pStyle w:val="ListParagraph"/>
        <w:numPr>
          <w:ilvl w:val="0"/>
          <w:numId w:val="24"/>
        </w:numPr>
        <w:tabs>
          <w:tab w:pos="1239" w:val="left" w:leader="none"/>
        </w:tabs>
        <w:spacing w:line="240" w:lineRule="auto" w:before="137" w:after="0"/>
        <w:ind w:left="1238" w:right="0" w:hanging="360"/>
        <w:jc w:val="left"/>
        <w:rPr>
          <w:sz w:val="24"/>
        </w:rPr>
      </w:pPr>
      <w:r>
        <w:rPr/>
        <w:pict>
          <v:group style="position:absolute;margin-left:173.279999pt;margin-top:14.12584pt;width:237.25pt;height:210.15pt;mso-position-horizontal-relative:page;mso-position-vertical-relative:paragraph;z-index:-102760" coordorigin="3466,283" coordsize="4745,4203">
            <v:shape style="position:absolute;left:3466;top:283;width:4745;height:4202" type="#_x0000_t75" stroked="false">
              <v:imagedata r:id="rId367" o:title=""/>
            </v:shape>
            <v:shape style="position:absolute;left:3767;top:586;width:4141;height:3598" type="#_x0000_t75" stroked="false">
              <v:imagedata r:id="rId368" o:title=""/>
            </v:shape>
            <v:line style="position:absolute" from="5078,2959" to="6837,4107" stroked="true" strokeweight="2pt" strokecolor="#ffff00"/>
            <v:line style="position:absolute" from="5001,1623" to="7105,1887" stroked="true" strokeweight="2.0pt" strokecolor="#ff0000"/>
            <v:line style="position:absolute" from="5873,2270" to="7220,2376" stroked="true" strokeweight="2pt" strokecolor="#66ff33"/>
            <v:line style="position:absolute" from="7337,1118" to="6873,3954" stroked="true" strokeweight="2pt" strokecolor="#ffff00"/>
            <v:line style="position:absolute" from="6873,3801" to="7244,2330" stroked="true" strokeweight="2pt" strokecolor="#00ffff"/>
            <w10:wrap type="none"/>
          </v:group>
        </w:pict>
      </w:r>
      <w:r>
        <w:rPr>
          <w:sz w:val="24"/>
        </w:rPr>
        <w:t>Plano A-B con Plano Mandibular. (Fig.</w:t>
      </w:r>
      <w:r>
        <w:rPr>
          <w:spacing w:val="-14"/>
          <w:sz w:val="24"/>
        </w:rPr>
        <w:t> </w:t>
      </w:r>
      <w:r>
        <w:rPr>
          <w:sz w:val="24"/>
        </w:rPr>
        <w:t>23)</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line="362" w:lineRule="auto" w:before="194"/>
        <w:ind w:left="3632" w:right="3973" w:firstLine="0"/>
        <w:jc w:val="center"/>
        <w:rPr>
          <w:sz w:val="18"/>
        </w:rPr>
      </w:pPr>
      <w:r>
        <w:rPr>
          <w:sz w:val="18"/>
        </w:rPr>
        <w:t>Fig. 23 “Planos cefalométricos” Fuente: Directa</w:t>
      </w:r>
    </w:p>
    <w:p>
      <w:pPr>
        <w:pStyle w:val="BodyText"/>
        <w:spacing w:before="2"/>
        <w:rPr>
          <w:sz w:val="17"/>
        </w:rPr>
      </w:pPr>
    </w:p>
    <w:p>
      <w:pPr>
        <w:pStyle w:val="BodyText"/>
        <w:spacing w:line="360" w:lineRule="auto"/>
        <w:ind w:left="518" w:right="865"/>
      </w:pPr>
      <w:r>
        <w:rPr/>
        <w:t>Se procedió a evaluar los parámetros que se mencionan en el cuadro 1, obteniendo de cada parámetro cefalométrico, promedio y desviación estándar.</w:t>
      </w:r>
    </w:p>
    <w:p>
      <w:pPr>
        <w:pStyle w:val="ListParagraph"/>
        <w:numPr>
          <w:ilvl w:val="0"/>
          <w:numId w:val="25"/>
        </w:numPr>
        <w:tabs>
          <w:tab w:pos="1239" w:val="left" w:leader="none"/>
        </w:tabs>
        <w:spacing w:line="240" w:lineRule="auto" w:before="204" w:after="0"/>
        <w:ind w:left="1238" w:right="0" w:hanging="360"/>
        <w:jc w:val="left"/>
        <w:rPr>
          <w:sz w:val="24"/>
        </w:rPr>
      </w:pPr>
      <w:r>
        <w:rPr/>
        <w:pict>
          <v:group style="position:absolute;margin-left:192.960007pt;margin-top:19.105858pt;width:230.4pt;height:193pt;mso-position-horizontal-relative:page;mso-position-vertical-relative:paragraph;z-index:-102736" coordorigin="3859,382" coordsize="4608,3860">
            <v:shape style="position:absolute;left:3859;top:382;width:4608;height:3859" type="#_x0000_t75" stroked="false">
              <v:imagedata r:id="rId369" o:title=""/>
            </v:shape>
            <v:shape style="position:absolute;left:4162;top:684;width:4004;height:3254" type="#_x0000_t75" stroked="false">
              <v:imagedata r:id="rId368" o:title=""/>
            </v:shape>
            <v:line style="position:absolute" from="7614,1148" to="7165,3730" stroked="true" strokeweight="2pt" strokecolor="#ffff00"/>
            <v:shape style="position:absolute;left:7054;top:1798;width:448;height:358" type="#_x0000_t75" stroked="false">
              <v:imagedata r:id="rId370" o:title=""/>
            </v:shape>
            <v:line style="position:absolute" from="5281,1596" to="7524,1842" stroked="true" strokeweight="2pt" strokecolor="#ff0000"/>
            <w10:wrap type="none"/>
          </v:group>
        </w:pict>
      </w:r>
      <w:r>
        <w:rPr>
          <w:sz w:val="24"/>
        </w:rPr>
        <w:t>Plano facial con Plano horizontal de Frankfort. (Fig.</w:t>
      </w:r>
      <w:r>
        <w:rPr>
          <w:spacing w:val="-15"/>
          <w:sz w:val="24"/>
        </w:rPr>
        <w:t> </w:t>
      </w:r>
      <w:r>
        <w:rPr>
          <w:sz w:val="24"/>
        </w:rPr>
        <w:t>24)</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line="360" w:lineRule="auto" w:before="160"/>
        <w:ind w:left="2800" w:right="3146" w:firstLine="0"/>
        <w:jc w:val="center"/>
        <w:rPr>
          <w:sz w:val="18"/>
        </w:rPr>
      </w:pPr>
      <w:r>
        <w:rPr>
          <w:sz w:val="18"/>
        </w:rPr>
        <w:t>Fig. 24 “Ángulo de Plano Facial con Plano de Frankfort” Fuente: Directa</w:t>
      </w:r>
    </w:p>
    <w:p>
      <w:pPr>
        <w:spacing w:after="0" w:line="360" w:lineRule="auto"/>
        <w:jc w:val="center"/>
        <w:rPr>
          <w:sz w:val="18"/>
        </w:rPr>
        <w:sectPr>
          <w:pgSz w:w="12240" w:h="15840"/>
          <w:pgMar w:header="596" w:footer="974" w:top="1380" w:bottom="1200" w:left="900" w:right="840"/>
        </w:sectPr>
      </w:pPr>
    </w:p>
    <w:p>
      <w:pPr>
        <w:pStyle w:val="BodyText"/>
        <w:spacing w:before="5"/>
        <w:rPr>
          <w:sz w:val="21"/>
        </w:rPr>
      </w:pPr>
    </w:p>
    <w:p>
      <w:pPr>
        <w:pStyle w:val="ListParagraph"/>
        <w:numPr>
          <w:ilvl w:val="0"/>
          <w:numId w:val="25"/>
        </w:numPr>
        <w:tabs>
          <w:tab w:pos="1239" w:val="left" w:leader="none"/>
        </w:tabs>
        <w:spacing w:line="240" w:lineRule="auto" w:before="69" w:after="0"/>
        <w:ind w:left="1238" w:right="0" w:hanging="360"/>
        <w:jc w:val="left"/>
        <w:rPr>
          <w:sz w:val="24"/>
        </w:rPr>
      </w:pPr>
      <w:r>
        <w:rPr/>
        <w:pict>
          <v:group style="position:absolute;margin-left:150pt;margin-top:22.24585pt;width:278.9pt;height:249.15pt;mso-position-horizontal-relative:page;mso-position-vertical-relative:paragraph;z-index:1960;mso-wrap-distance-left:0;mso-wrap-distance-right:0" coordorigin="3000,445" coordsize="5578,4983">
            <v:shape style="position:absolute;left:3000;top:445;width:5578;height:4982" type="#_x0000_t75" stroked="false">
              <v:imagedata r:id="rId371" o:title=""/>
            </v:shape>
            <v:shape style="position:absolute;left:3302;top:747;width:4973;height:4379" type="#_x0000_t75" stroked="false">
              <v:imagedata r:id="rId368" o:title=""/>
            </v:shape>
            <v:line style="position:absolute" from="7589,1371" to="7032,4846" stroked="true" strokeweight="2pt" strokecolor="#ffff00"/>
            <v:line style="position:absolute" from="7032,4660" to="7478,2869" stroked="true" strokeweight="2pt" strokecolor="#00ffff"/>
            <v:shape style="position:absolute;left:7270;top:2702;width:411;height:323" type="#_x0000_t75" stroked="false">
              <v:imagedata r:id="rId372" o:title=""/>
            </v:shape>
            <v:shape style="position:absolute;left:7320;top:2639;width:264;height:327" type="#_x0000_t75" stroked="false">
              <v:imagedata r:id="rId373" o:title=""/>
            </v:shape>
            <w10:wrap type="topAndBottom"/>
          </v:group>
        </w:pict>
      </w:r>
      <w:r>
        <w:rPr>
          <w:sz w:val="24"/>
        </w:rPr>
        <w:t>Plano A-B con Plano Facial. (Fig.</w:t>
      </w:r>
      <w:r>
        <w:rPr>
          <w:spacing w:val="-11"/>
          <w:sz w:val="24"/>
        </w:rPr>
        <w:t> </w:t>
      </w:r>
      <w:r>
        <w:rPr>
          <w:sz w:val="24"/>
        </w:rPr>
        <w:t>25)</w:t>
      </w:r>
    </w:p>
    <w:p>
      <w:pPr>
        <w:spacing w:line="362" w:lineRule="auto" w:before="0"/>
        <w:ind w:left="3171" w:right="3510" w:firstLine="0"/>
        <w:jc w:val="center"/>
        <w:rPr>
          <w:sz w:val="18"/>
        </w:rPr>
      </w:pPr>
      <w:r>
        <w:rPr>
          <w:sz w:val="18"/>
        </w:rPr>
        <w:t>Fig. 25 “Ángulo del Plano A-B con Plano Facial” Fuente: Directa</w:t>
      </w:r>
    </w:p>
    <w:p>
      <w:pPr>
        <w:pStyle w:val="BodyText"/>
        <w:spacing w:before="2"/>
        <w:rPr>
          <w:sz w:val="17"/>
        </w:rPr>
      </w:pPr>
    </w:p>
    <w:p>
      <w:pPr>
        <w:pStyle w:val="ListParagraph"/>
        <w:numPr>
          <w:ilvl w:val="0"/>
          <w:numId w:val="25"/>
        </w:numPr>
        <w:tabs>
          <w:tab w:pos="1239" w:val="left" w:leader="none"/>
        </w:tabs>
        <w:spacing w:line="240" w:lineRule="auto" w:before="0" w:after="0"/>
        <w:ind w:left="1238" w:right="0" w:hanging="360"/>
        <w:jc w:val="left"/>
        <w:rPr>
          <w:sz w:val="24"/>
        </w:rPr>
      </w:pPr>
      <w:r>
        <w:rPr/>
        <w:pict>
          <v:group style="position:absolute;margin-left:138.360001pt;margin-top:13.84585pt;width:288.6pt;height:271.8pt;mso-position-horizontal-relative:page;mso-position-vertical-relative:paragraph;z-index:-102688" coordorigin="2767,277" coordsize="5772,5436">
            <v:shape style="position:absolute;left:2767;top:277;width:5772;height:5436" type="#_x0000_t75" stroked="false">
              <v:imagedata r:id="rId374" o:title=""/>
            </v:shape>
            <v:shape style="position:absolute;left:3070;top:578;width:5167;height:4832" type="#_x0000_t75" stroked="false">
              <v:imagedata r:id="rId368" o:title=""/>
            </v:shape>
            <v:line style="position:absolute" from="4461,1948" to="7156,2302" stroked="true" strokeweight="2pt" strokecolor="#ff0000"/>
            <v:line style="position:absolute" from="5355,2818" to="7678,3001" stroked="true" strokeweight="2pt" strokecolor="#66ff33"/>
            <v:shape style="position:absolute;left:5740;top:2148;width:471;height:481" coordorigin="5740,2148" coordsize="471,481" path="m6007,2148l5942,2197,5914,2254,5891,2328,5874,2417,5863,2518,5859,2629,5740,2629,5744,2518,5755,2417,5772,2328,5795,2254,5823,2197,5888,2148,6007,2148,6071,2195,6098,2249,6122,2321,6139,2409,6151,2510,6211,2510,6096,2629,5973,2510,6032,2510,6020,2407,6002,2317,5977,2243,5948,2188e" filled="false" stroked="true" strokeweight="2pt" strokecolor="#000000">
              <v:path arrowok="t"/>
            </v:shape>
            <v:shape style="position:absolute;left:5830;top:2167;width:290;height:442" type="#_x0000_t75" stroked="false">
              <v:imagedata r:id="rId375" o:title=""/>
            </v:shape>
            <w10:wrap type="none"/>
          </v:group>
        </w:pict>
      </w:r>
      <w:r>
        <w:rPr>
          <w:sz w:val="24"/>
        </w:rPr>
        <w:t>Plano Palatal con Plano horizontal de Frankfort. (Fig.</w:t>
      </w:r>
      <w:r>
        <w:rPr>
          <w:spacing w:val="-24"/>
          <w:sz w:val="24"/>
        </w:rPr>
        <w:t> </w:t>
      </w:r>
      <w:r>
        <w:rPr>
          <w:sz w:val="24"/>
        </w:rPr>
        <w:t>26)</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line="360" w:lineRule="auto" w:before="168"/>
        <w:ind w:left="2801" w:right="3146" w:firstLine="0"/>
        <w:jc w:val="center"/>
        <w:rPr>
          <w:sz w:val="18"/>
        </w:rPr>
      </w:pPr>
      <w:r>
        <w:rPr>
          <w:sz w:val="18"/>
        </w:rPr>
        <w:t>Fig. 26 “Ángulo del Plano Palatal con Plano de Frankfort” Fuente: Directa</w:t>
      </w:r>
    </w:p>
    <w:p>
      <w:pPr>
        <w:spacing w:after="0" w:line="360" w:lineRule="auto"/>
        <w:jc w:val="center"/>
        <w:rPr>
          <w:sz w:val="18"/>
        </w:rPr>
        <w:sectPr>
          <w:pgSz w:w="12240" w:h="15840"/>
          <w:pgMar w:header="596" w:footer="974" w:top="1380" w:bottom="1200" w:left="900" w:right="840"/>
        </w:sectPr>
      </w:pPr>
    </w:p>
    <w:p>
      <w:pPr>
        <w:pStyle w:val="BodyText"/>
        <w:spacing w:before="5"/>
        <w:rPr>
          <w:sz w:val="21"/>
        </w:rPr>
      </w:pPr>
    </w:p>
    <w:p>
      <w:pPr>
        <w:pStyle w:val="BodyText"/>
        <w:spacing w:before="69"/>
        <w:ind w:left="518" w:right="865"/>
      </w:pPr>
      <w:r>
        <w:rPr/>
        <w:t>La suma aritmética de estos tres ángulos nos determina el valor de APDI. (Fig. 27)</w:t>
      </w:r>
    </w:p>
    <w:p>
      <w:pPr>
        <w:pStyle w:val="BodyText"/>
        <w:spacing w:before="8"/>
        <w:rPr>
          <w:sz w:val="23"/>
        </w:rPr>
      </w:pPr>
      <w:r>
        <w:rPr/>
        <w:pict>
          <v:group style="position:absolute;margin-left:147.699997pt;margin-top:15.597021pt;width:264.350pt;height:236.7pt;mso-position-horizontal-relative:page;mso-position-vertical-relative:paragraph;z-index:2032;mso-wrap-distance-left:0;mso-wrap-distance-right:0" coordorigin="2954,312" coordsize="5287,4734">
            <v:shape style="position:absolute;left:2974;top:332;width:5247;height:4694" type="#_x0000_t75" stroked="false">
              <v:imagedata r:id="rId376" o:title=""/>
            </v:shape>
            <v:shape style="position:absolute;left:2995;top:424;width:5206;height:4510" type="#_x0000_t75" stroked="false">
              <v:imagedata r:id="rId377" o:title=""/>
            </v:shape>
            <v:shape style="position:absolute;left:3226;top:4216;width:2522;height:300" type="#_x0000_t75" stroked="false">
              <v:imagedata r:id="rId378" o:title=""/>
            </v:shape>
            <v:shape style="position:absolute;left:2974;top:332;width:5247;height:4694" type="#_x0000_t202" filled="false" stroked="true" strokeweight="2pt" strokecolor="#77923b">
              <v:textbox inset="0,0,0,0">
                <w:txbxContent>
                  <w:p>
                    <w:pPr>
                      <w:numPr>
                        <w:ilvl w:val="0"/>
                        <w:numId w:val="26"/>
                      </w:numPr>
                      <w:tabs>
                        <w:tab w:pos="864" w:val="left" w:leader="none"/>
                      </w:tabs>
                      <w:spacing w:before="69"/>
                      <w:ind w:left="863" w:right="0" w:hanging="360"/>
                      <w:jc w:val="left"/>
                      <w:rPr>
                        <w:rFonts w:ascii="Calibri"/>
                        <w:b/>
                        <w:sz w:val="56"/>
                      </w:rPr>
                    </w:pPr>
                    <w:r>
                      <w:rPr>
                        <w:rFonts w:ascii="Calibri"/>
                        <w:b/>
                        <w:color w:val="FFFFFF"/>
                        <w:sz w:val="56"/>
                      </w:rPr>
                      <w:t>APDI</w:t>
                    </w:r>
                  </w:p>
                  <w:p>
                    <w:pPr>
                      <w:spacing w:line="240" w:lineRule="auto" w:before="0"/>
                      <w:rPr>
                        <w:sz w:val="58"/>
                      </w:rPr>
                    </w:pPr>
                  </w:p>
                  <w:p>
                    <w:pPr>
                      <w:spacing w:line="240" w:lineRule="auto" w:before="0"/>
                      <w:rPr>
                        <w:sz w:val="58"/>
                      </w:rPr>
                    </w:pPr>
                  </w:p>
                  <w:p>
                    <w:pPr>
                      <w:spacing w:line="240" w:lineRule="auto" w:before="0"/>
                      <w:rPr>
                        <w:sz w:val="58"/>
                      </w:rPr>
                    </w:pPr>
                  </w:p>
                  <w:p>
                    <w:pPr>
                      <w:spacing w:line="240" w:lineRule="auto" w:before="0"/>
                      <w:rPr>
                        <w:sz w:val="58"/>
                      </w:rPr>
                    </w:pPr>
                  </w:p>
                  <w:p>
                    <w:pPr>
                      <w:spacing w:before="418"/>
                      <w:ind w:left="1096" w:right="0" w:firstLine="0"/>
                      <w:jc w:val="left"/>
                      <w:rPr>
                        <w:b/>
                        <w:sz w:val="24"/>
                      </w:rPr>
                    </w:pPr>
                    <w:r>
                      <w:rPr>
                        <w:b/>
                        <w:sz w:val="24"/>
                      </w:rPr>
                      <w:t>APDI</w:t>
                    </w:r>
                  </w:p>
                </w:txbxContent>
              </v:textbox>
              <w10:wrap type="none"/>
            </v:shape>
            <w10:wrap type="topAndBottom"/>
          </v:group>
        </w:pict>
      </w:r>
    </w:p>
    <w:p>
      <w:pPr>
        <w:spacing w:line="362" w:lineRule="auto" w:before="10"/>
        <w:ind w:left="3171" w:right="3507" w:firstLine="0"/>
        <w:jc w:val="center"/>
        <w:rPr>
          <w:sz w:val="18"/>
        </w:rPr>
      </w:pPr>
      <w:r>
        <w:rPr>
          <w:sz w:val="18"/>
        </w:rPr>
        <w:t>Fig. 27 “Indicador de Displasia Anteroposterior” Fuente: Directa</w:t>
      </w:r>
    </w:p>
    <w:p>
      <w:pPr>
        <w:pStyle w:val="BodyText"/>
        <w:spacing w:before="2"/>
        <w:rPr>
          <w:sz w:val="17"/>
        </w:rPr>
      </w:pPr>
    </w:p>
    <w:p>
      <w:pPr>
        <w:pStyle w:val="ListParagraph"/>
        <w:numPr>
          <w:ilvl w:val="0"/>
          <w:numId w:val="25"/>
        </w:numPr>
        <w:tabs>
          <w:tab w:pos="1239" w:val="left" w:leader="none"/>
        </w:tabs>
        <w:spacing w:line="240" w:lineRule="auto" w:before="0" w:after="0"/>
        <w:ind w:left="1238" w:right="0" w:hanging="360"/>
        <w:jc w:val="left"/>
        <w:rPr>
          <w:sz w:val="24"/>
        </w:rPr>
      </w:pPr>
      <w:r>
        <w:rPr/>
        <w:pict>
          <v:group style="position:absolute;margin-left:153.119995pt;margin-top:15.645851pt;width:285.75pt;height:252.15pt;mso-position-horizontal-relative:page;mso-position-vertical-relative:paragraph;z-index:2056;mso-wrap-distance-left:0;mso-wrap-distance-right:0" coordorigin="3062,313" coordsize="5715,5043">
            <v:shape style="position:absolute;left:3062;top:313;width:5714;height:5042" type="#_x0000_t75" stroked="false">
              <v:imagedata r:id="rId379" o:title=""/>
            </v:shape>
            <v:shape style="position:absolute;left:3365;top:615;width:5109;height:4438" type="#_x0000_t75" stroked="false">
              <v:imagedata r:id="rId368" o:title=""/>
            </v:shape>
            <v:line style="position:absolute" from="4864,3416" to="7192,4946" stroked="true" strokeweight="2pt" strokecolor="#ffff00"/>
            <v:line style="position:absolute" from="7192,4946" to="7725,2370" stroked="true" strokeweight="2.0pt" strokecolor="#00ffff"/>
            <v:shape style="position:absolute;left:6356;top:3803;width:757;height:528" coordorigin="6356,3803" coordsize="757,528" path="m6848,3829l6729,3842,6672,3874,6619,3921,6570,3982,6528,4054,6494,4136,6470,4227,6356,4204,6380,4113,6414,4031,6456,3959,6505,3898,6558,3851,6616,3819,6675,3803,6734,3806,6848,3829,6948,3883,6987,3931,7018,3991,7041,4062,7054,4141,7056,4227,7113,4239,6985,4331,6885,4192,6942,4204,6940,4119,6928,4041,6906,3971,6875,3911,6836,3862,6789,3827e" filled="false" stroked="true" strokeweight="2pt" strokecolor="#000000">
              <v:path arrowok="t"/>
            </v:shape>
            <v:shape style="position:absolute;left:6449;top:3785;width:647;height:530" type="#_x0000_t75" stroked="false">
              <v:imagedata r:id="rId380" o:title=""/>
            </v:shape>
            <w10:wrap type="topAndBottom"/>
          </v:group>
        </w:pict>
      </w:r>
      <w:r>
        <w:rPr>
          <w:sz w:val="24"/>
        </w:rPr>
        <w:t>Plano A-B con Plano Mandibular. (Fig.</w:t>
      </w:r>
      <w:r>
        <w:rPr>
          <w:spacing w:val="-8"/>
          <w:sz w:val="24"/>
        </w:rPr>
        <w:t> </w:t>
      </w:r>
      <w:r>
        <w:rPr>
          <w:sz w:val="24"/>
        </w:rPr>
        <w:t>28)</w:t>
      </w:r>
    </w:p>
    <w:p>
      <w:pPr>
        <w:spacing w:line="360" w:lineRule="auto" w:before="0"/>
        <w:ind w:left="2801" w:right="3141" w:firstLine="0"/>
        <w:jc w:val="center"/>
        <w:rPr>
          <w:sz w:val="18"/>
        </w:rPr>
      </w:pPr>
      <w:r>
        <w:rPr>
          <w:sz w:val="18"/>
        </w:rPr>
        <w:t>Fig. 28 “Ángulo del Plano A-B con Plano Mandibular” Fuente: Directa</w:t>
      </w:r>
    </w:p>
    <w:p>
      <w:pPr>
        <w:spacing w:after="0" w:line="360" w:lineRule="auto"/>
        <w:jc w:val="center"/>
        <w:rPr>
          <w:sz w:val="18"/>
        </w:rPr>
        <w:sectPr>
          <w:pgSz w:w="12240" w:h="15840"/>
          <w:pgMar w:header="596" w:footer="974" w:top="1380" w:bottom="1200" w:left="900" w:right="840"/>
        </w:sectPr>
      </w:pPr>
    </w:p>
    <w:p>
      <w:pPr>
        <w:pStyle w:val="BodyText"/>
        <w:spacing w:before="5"/>
        <w:rPr>
          <w:sz w:val="21"/>
        </w:rPr>
      </w:pPr>
    </w:p>
    <w:p>
      <w:pPr>
        <w:pStyle w:val="ListParagraph"/>
        <w:numPr>
          <w:ilvl w:val="0"/>
          <w:numId w:val="25"/>
        </w:numPr>
        <w:tabs>
          <w:tab w:pos="1239" w:val="left" w:leader="none"/>
        </w:tabs>
        <w:spacing w:line="240" w:lineRule="auto" w:before="69" w:after="0"/>
        <w:ind w:left="1238" w:right="0" w:hanging="360"/>
        <w:jc w:val="left"/>
        <w:rPr>
          <w:sz w:val="24"/>
        </w:rPr>
      </w:pPr>
      <w:r>
        <w:rPr/>
        <w:pict>
          <v:group style="position:absolute;margin-left:146.279999pt;margin-top:27.76585pt;width:286.7pt;height:253.1pt;mso-position-horizontal-relative:page;mso-position-vertical-relative:paragraph;z-index:-102544" coordorigin="2926,555" coordsize="5734,5062">
            <v:shape style="position:absolute;left:2926;top:555;width:5734;height:5062" type="#_x0000_t75" stroked="false">
              <v:imagedata r:id="rId382" o:title=""/>
            </v:shape>
            <v:shape style="position:absolute;left:3228;top:857;width:5128;height:4458" type="#_x0000_t75" stroked="false">
              <v:imagedata r:id="rId368" o:title=""/>
            </v:shape>
            <v:line style="position:absolute" from="4609,2139" to="7283,2465" stroked="true" strokeweight="2pt" strokecolor="#ff0000"/>
            <v:line style="position:absolute" from="5496,2908" to="7801,3077" stroked="true" strokeweight="2pt" strokecolor="#66ff33"/>
            <v:shape style="position:absolute;left:6073;top:2469;width:467;height:443" coordorigin="6073,2469" coordsize="467,443" path="m6337,2469l6270,2514,6218,2635,6200,2717,6188,2811,6184,2912,6073,2912,6077,2811,6089,2717,6107,2635,6131,2566,6191,2481,6226,2469,6337,2469,6414,2530,6445,2600,6470,2692,6485,2801,6540,2801,6435,2912,6319,2801,6374,2801,6361,2703,6341,2618,6314,2549,6282,2499e" filled="false" stroked="true" strokeweight="2pt" strokecolor="#000000">
              <v:path arrowok="t"/>
            </v:shape>
            <v:shape style="position:absolute;left:6168;top:2487;width:288;height:403" type="#_x0000_t75" stroked="false">
              <v:imagedata r:id="rId383" o:title=""/>
            </v:shape>
            <w10:wrap type="none"/>
          </v:group>
        </w:pict>
      </w:r>
      <w:r>
        <w:rPr>
          <w:sz w:val="24"/>
        </w:rPr>
        <w:t>Plano Palatal con Plano horizontal de Frankfort. (Fig.</w:t>
      </w:r>
      <w:r>
        <w:rPr>
          <w:spacing w:val="-18"/>
          <w:sz w:val="24"/>
        </w:rPr>
        <w:t> </w:t>
      </w:r>
      <w:r>
        <w:rPr>
          <w:sz w:val="24"/>
        </w:rPr>
        <w:t>29)</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rPr>
          <w:sz w:val="21"/>
        </w:rPr>
      </w:pPr>
    </w:p>
    <w:p>
      <w:pPr>
        <w:spacing w:line="592" w:lineRule="auto" w:before="0"/>
        <w:ind w:left="4462" w:right="2766" w:hanging="1301"/>
        <w:jc w:val="left"/>
        <w:rPr>
          <w:sz w:val="18"/>
        </w:rPr>
      </w:pPr>
      <w:r>
        <w:rPr>
          <w:sz w:val="18"/>
        </w:rPr>
        <w:t>Fig. 29 “Ángulo del Plano Palatal con Plano de Frankfort” Fuente: Directa</w:t>
      </w:r>
    </w:p>
    <w:p>
      <w:pPr>
        <w:pStyle w:val="BodyText"/>
        <w:spacing w:before="8"/>
        <w:ind w:left="518" w:right="865"/>
      </w:pPr>
      <w:r>
        <w:rPr/>
        <w:t>La suma aritmética de estos dos ángulos nos determina el valor de ODI. (Fig. 30)</w:t>
      </w:r>
    </w:p>
    <w:p>
      <w:pPr>
        <w:pStyle w:val="BodyText"/>
        <w:spacing w:before="3"/>
        <w:rPr>
          <w:sz w:val="21"/>
        </w:rPr>
      </w:pPr>
      <w:r>
        <w:rPr/>
        <w:pict>
          <v:group style="position:absolute;margin-left:184.949997pt;margin-top:14.177027pt;width:255.45pt;height:231.75pt;mso-position-horizontal-relative:page;mso-position-vertical-relative:paragraph;z-index:2104;mso-wrap-distance-left:0;mso-wrap-distance-right:0" coordorigin="3699,284" coordsize="5109,4635">
            <v:shape style="position:absolute;left:3699;top:284;width:5109;height:4635" type="#_x0000_t75" stroked="false">
              <v:imagedata r:id="rId384" o:title=""/>
            </v:shape>
            <v:shape style="position:absolute;left:4152;top:4001;width:2323;height:295" type="#_x0000_t75" stroked="false">
              <v:imagedata r:id="rId385" o:title=""/>
            </v:shape>
            <v:shape style="position:absolute;left:5017;top:4008;width:427;height:240" type="#_x0000_t202" filled="false" stroked="false">
              <v:textbox inset="0,0,0,0">
                <w:txbxContent>
                  <w:p>
                    <w:pPr>
                      <w:spacing w:line="240" w:lineRule="exact" w:before="0"/>
                      <w:ind w:left="0" w:right="-20" w:firstLine="0"/>
                      <w:jc w:val="left"/>
                      <w:rPr>
                        <w:b/>
                        <w:sz w:val="24"/>
                      </w:rPr>
                    </w:pPr>
                    <w:r>
                      <w:rPr>
                        <w:b/>
                        <w:sz w:val="24"/>
                      </w:rPr>
                      <w:t>ODI</w:t>
                    </w:r>
                  </w:p>
                </w:txbxContent>
              </v:textbox>
              <w10:wrap type="none"/>
            </v:shape>
            <w10:wrap type="topAndBottom"/>
          </v:group>
        </w:pict>
      </w:r>
    </w:p>
    <w:p>
      <w:pPr>
        <w:pStyle w:val="BodyText"/>
        <w:spacing w:before="3"/>
        <w:rPr>
          <w:sz w:val="26"/>
        </w:rPr>
      </w:pPr>
    </w:p>
    <w:p>
      <w:pPr>
        <w:spacing w:line="506" w:lineRule="auto" w:before="1"/>
        <w:ind w:left="3632" w:right="3974" w:firstLine="0"/>
        <w:jc w:val="center"/>
        <w:rPr>
          <w:sz w:val="18"/>
        </w:rPr>
      </w:pPr>
      <w:r>
        <w:rPr>
          <w:sz w:val="18"/>
        </w:rPr>
        <w:t>Fig. 30 “Indicador de Sobremordida” Fuente: Directa</w:t>
      </w:r>
    </w:p>
    <w:p>
      <w:pPr>
        <w:spacing w:after="0" w:line="506" w:lineRule="auto"/>
        <w:jc w:val="center"/>
        <w:rPr>
          <w:sz w:val="18"/>
        </w:rPr>
        <w:sectPr>
          <w:footerReference w:type="default" r:id="rId381"/>
          <w:pgSz w:w="12240" w:h="15840"/>
          <w:pgMar w:footer="1003" w:header="596" w:top="1380" w:bottom="1200" w:left="900" w:right="840"/>
        </w:sectPr>
      </w:pPr>
    </w:p>
    <w:p>
      <w:pPr>
        <w:pStyle w:val="BodyText"/>
        <w:spacing w:before="5"/>
        <w:rPr>
          <w:sz w:val="21"/>
        </w:rPr>
      </w:pPr>
    </w:p>
    <w:p>
      <w:pPr>
        <w:pStyle w:val="BodyText"/>
        <w:spacing w:line="360" w:lineRule="auto" w:before="69"/>
        <w:ind w:left="518" w:right="897"/>
        <w:jc w:val="both"/>
      </w:pPr>
      <w:r>
        <w:rPr/>
        <w:t>Se realizó la medición de cada parámetro cefalométrico, llevando el registro en un formato  establecido.  (Anexo 1)</w:t>
      </w:r>
    </w:p>
    <w:p>
      <w:pPr>
        <w:pStyle w:val="BodyText"/>
        <w:spacing w:line="360" w:lineRule="auto" w:before="204"/>
        <w:ind w:left="518" w:right="896"/>
        <w:jc w:val="both"/>
      </w:pPr>
      <w:r>
        <w:rPr/>
        <w:t>Una vez que se obtuvo el promedio y desviación estándar de cada parámetro cefalométrico, se procedió a la elaboración de un software que permite introducir los datos del paciente así como los valores cefalométricos de dicho paciente, realizando el trazado del polígono (Anexo 2).</w:t>
      </w:r>
    </w:p>
    <w:p>
      <w:pPr>
        <w:pStyle w:val="BodyText"/>
        <w:spacing w:line="360" w:lineRule="auto" w:before="202"/>
        <w:ind w:left="518" w:right="898"/>
        <w:jc w:val="both"/>
      </w:pPr>
      <w:r>
        <w:rPr/>
        <w:t>En el software se introducen los datos y éstos se dibujan en la gráfica para saber si los valores del paciente están dentro o fuera de la norma. Se obtuvieron 2 polígonos: un polígono para el  grupo I (Fig 31) y otro para el grupo II (Fig 32).</w:t>
      </w:r>
    </w:p>
    <w:p>
      <w:pPr>
        <w:pStyle w:val="BodyText"/>
        <w:spacing w:before="1"/>
        <w:rPr>
          <w:sz w:val="16"/>
        </w:rPr>
      </w:pPr>
      <w:r>
        <w:rPr/>
        <w:pict>
          <v:group style="position:absolute;margin-left:71.879997pt;margin-top:11.223908pt;width:494.8pt;height:364.45pt;mso-position-horizontal-relative:page;mso-position-vertical-relative:paragraph;z-index:2152;mso-wrap-distance-left:0;mso-wrap-distance-right:0" coordorigin="1438,224" coordsize="9896,7289">
            <v:shape style="position:absolute;left:1438;top:224;width:9895;height:7289" type="#_x0000_t75" stroked="false">
              <v:imagedata r:id="rId387" o:title=""/>
            </v:shape>
            <v:shape style="position:absolute;left:1538;top:325;width:9608;height:7002" type="#_x0000_t75" stroked="false">
              <v:imagedata r:id="rId388" o:title=""/>
            </v:shape>
            <v:rect style="position:absolute;left:1508;top:295;width:9668;height:7062" filled="false" stroked="true" strokeweight="3pt" strokecolor="#77923b"/>
            <w10:wrap type="topAndBottom"/>
          </v:group>
        </w:pict>
      </w:r>
    </w:p>
    <w:p>
      <w:pPr>
        <w:spacing w:line="360" w:lineRule="auto" w:before="0"/>
        <w:ind w:left="4462" w:right="3325" w:hanging="1450"/>
        <w:jc w:val="left"/>
        <w:rPr>
          <w:sz w:val="18"/>
        </w:rPr>
      </w:pPr>
      <w:r>
        <w:rPr>
          <w:sz w:val="18"/>
        </w:rPr>
        <w:t>Fig. 31 “Ejemplo de polígono cefalométrico. Grupo I” Fuente: Directa</w:t>
      </w:r>
    </w:p>
    <w:p>
      <w:pPr>
        <w:spacing w:after="0" w:line="360" w:lineRule="auto"/>
        <w:jc w:val="left"/>
        <w:rPr>
          <w:sz w:val="18"/>
        </w:rPr>
        <w:sectPr>
          <w:footerReference w:type="default" r:id="rId386"/>
          <w:pgSz w:w="12240" w:h="15840"/>
          <w:pgMar w:footer="1003" w:header="596" w:top="1380" w:bottom="1200" w:left="900" w:right="800"/>
          <w:pgNumType w:start="61"/>
        </w:sectPr>
      </w:pPr>
    </w:p>
    <w:p>
      <w:pPr>
        <w:pStyle w:val="BodyText"/>
        <w:rPr>
          <w:sz w:val="29"/>
        </w:rPr>
      </w:pPr>
    </w:p>
    <w:p>
      <w:pPr>
        <w:pStyle w:val="BodyText"/>
        <w:ind w:left="537"/>
        <w:rPr>
          <w:sz w:val="20"/>
        </w:rPr>
      </w:pPr>
      <w:r>
        <w:rPr>
          <w:sz w:val="20"/>
        </w:rPr>
        <w:pict>
          <v:group style="width:482.65pt;height:355.7pt;mso-position-horizontal-relative:char;mso-position-vertical-relative:line" coordorigin="0,0" coordsize="9653,7114">
            <v:shape style="position:absolute;left:0;top:0;width:9653;height:7114" type="#_x0000_t75" stroked="false">
              <v:imagedata r:id="rId389" o:title=""/>
            </v:shape>
            <v:shape style="position:absolute;left:100;top:103;width:9365;height:6825" type="#_x0000_t75" stroked="false">
              <v:imagedata r:id="rId390" o:title=""/>
            </v:shape>
            <v:rect style="position:absolute;left:70;top:73;width:9425;height:6885" filled="false" stroked="true" strokeweight="3pt" strokecolor="#77923b"/>
          </v:group>
        </w:pict>
      </w:r>
      <w:r>
        <w:rPr>
          <w:sz w:val="20"/>
        </w:rPr>
      </w:r>
    </w:p>
    <w:p>
      <w:pPr>
        <w:pStyle w:val="BodyText"/>
        <w:spacing w:before="2"/>
        <w:rPr>
          <w:sz w:val="18"/>
        </w:rPr>
      </w:pPr>
    </w:p>
    <w:p>
      <w:pPr>
        <w:spacing w:line="362" w:lineRule="auto" w:before="77"/>
        <w:ind w:left="4462" w:right="3286" w:hanging="1501"/>
        <w:jc w:val="left"/>
        <w:rPr>
          <w:sz w:val="18"/>
        </w:rPr>
      </w:pPr>
      <w:r>
        <w:rPr>
          <w:sz w:val="18"/>
        </w:rPr>
        <w:t>Fig. 32 “Ejemplo de polígono cefalométrico. Grupo II” Fuente: Directa</w:t>
      </w:r>
    </w:p>
    <w:p>
      <w:pPr>
        <w:pStyle w:val="BodyText"/>
        <w:spacing w:before="2"/>
        <w:rPr>
          <w:sz w:val="17"/>
        </w:rPr>
      </w:pPr>
    </w:p>
    <w:p>
      <w:pPr>
        <w:spacing w:before="0"/>
        <w:ind w:left="518" w:right="0" w:firstLine="0"/>
        <w:jc w:val="both"/>
        <w:rPr>
          <w:b/>
          <w:sz w:val="24"/>
        </w:rPr>
      </w:pPr>
      <w:r>
        <w:rPr>
          <w:b/>
          <w:sz w:val="24"/>
        </w:rPr>
        <w:t>ANÁLISIS ESTADÍSTICO</w:t>
      </w:r>
    </w:p>
    <w:p>
      <w:pPr>
        <w:pStyle w:val="BodyText"/>
        <w:spacing w:before="4"/>
        <w:rPr>
          <w:b/>
          <w:sz w:val="29"/>
        </w:rPr>
      </w:pPr>
    </w:p>
    <w:p>
      <w:pPr>
        <w:pStyle w:val="BodyText"/>
        <w:spacing w:line="360" w:lineRule="auto" w:before="1"/>
        <w:ind w:left="518" w:right="856"/>
        <w:jc w:val="both"/>
      </w:pPr>
      <w:r>
        <w:rPr/>
        <w:t>Se determinaron las diferencias estadísticas entre los grupos establecidos, con la prueba “t” Student, mediante el uso del paquete estadístico SPSS v.  20 estableciendo un valor de p≤0.05.</w:t>
      </w:r>
    </w:p>
    <w:p>
      <w:pPr>
        <w:spacing w:after="0" w:line="360" w:lineRule="auto"/>
        <w:jc w:val="both"/>
        <w:sectPr>
          <w:pgSz w:w="12240" w:h="15840"/>
          <w:pgMar w:header="596" w:footer="1003" w:top="1380" w:bottom="1200" w:left="900" w:right="840"/>
        </w:sectPr>
      </w:pPr>
    </w:p>
    <w:p>
      <w:pPr>
        <w:pStyle w:val="BodyText"/>
        <w:spacing w:before="5"/>
        <w:rPr>
          <w:sz w:val="21"/>
        </w:rPr>
      </w:pPr>
    </w:p>
    <w:p>
      <w:pPr>
        <w:pStyle w:val="Heading1"/>
        <w:numPr>
          <w:ilvl w:val="0"/>
          <w:numId w:val="19"/>
        </w:numPr>
        <w:tabs>
          <w:tab w:pos="4501" w:val="left" w:leader="none"/>
        </w:tabs>
        <w:spacing w:line="240" w:lineRule="auto" w:before="69" w:after="0"/>
        <w:ind w:left="4501" w:right="0" w:hanging="497"/>
        <w:jc w:val="left"/>
      </w:pPr>
      <w:bookmarkStart w:name="_TOC_250004" w:id="21"/>
      <w:bookmarkEnd w:id="21"/>
      <w:r>
        <w:rPr/>
        <w:t>RESULTADOS</w:t>
      </w:r>
    </w:p>
    <w:p>
      <w:pPr>
        <w:pStyle w:val="BodyText"/>
        <w:spacing w:before="4"/>
        <w:rPr>
          <w:b/>
          <w:sz w:val="23"/>
        </w:rPr>
      </w:pPr>
    </w:p>
    <w:p>
      <w:pPr>
        <w:spacing w:before="70"/>
        <w:ind w:left="518" w:right="0" w:firstLine="0"/>
        <w:jc w:val="both"/>
        <w:rPr>
          <w:b/>
          <w:sz w:val="24"/>
        </w:rPr>
      </w:pPr>
      <w:r>
        <w:rPr>
          <w:b/>
          <w:sz w:val="24"/>
        </w:rPr>
        <w:t>Total de muestra.</w:t>
      </w:r>
    </w:p>
    <w:p>
      <w:pPr>
        <w:pStyle w:val="BodyText"/>
        <w:spacing w:before="2"/>
        <w:rPr>
          <w:b/>
          <w:sz w:val="29"/>
        </w:rPr>
      </w:pPr>
    </w:p>
    <w:p>
      <w:pPr>
        <w:pStyle w:val="BodyText"/>
        <w:spacing w:line="360" w:lineRule="auto"/>
        <w:ind w:left="518" w:right="856"/>
        <w:jc w:val="both"/>
      </w:pPr>
      <w:r>
        <w:rPr/>
        <w:t>A continuación se presentan los valores que se obtuvieron para el total de la  muestra, que comprenden al grupo I: radiografías de niños de 9-11 años de edad y grupo II: radiografías de adolescentes de 12-14 años de</w:t>
      </w:r>
      <w:r>
        <w:rPr>
          <w:spacing w:val="-23"/>
        </w:rPr>
        <w:t> </w:t>
      </w:r>
      <w:r>
        <w:rPr/>
        <w:t>edad.</w:t>
      </w:r>
    </w:p>
    <w:p>
      <w:pPr>
        <w:pStyle w:val="BodyText"/>
        <w:spacing w:line="360" w:lineRule="auto" w:before="204"/>
        <w:ind w:left="518" w:right="854"/>
        <w:jc w:val="both"/>
      </w:pPr>
      <w:r>
        <w:rPr/>
        <w:t>Del total de la muestra se obtuvo en el Plano Facial (PF) con Plano de Frankfort (FH) un promedio de 87.14°; el Plano AB (AB) con Plano Facial (PF) un promedio de - 6.22°; el Plano Palatino (PP) con Plano de Frankfort (FH) de .81°, así como un indicador de displasia anteroposterior (APDI) de 81.54° con una desviación estándar de 6.40°; el plano AB (AB) con plano mandibular (PM) de 72.65° y un indicador de sobremordida (ODI) de 73.39° con una desviación estándar de 5.25°. Estos resultados y su desviación estándar se presentan en el cuadro I.</w:t>
      </w:r>
    </w:p>
    <w:p>
      <w:pPr>
        <w:spacing w:before="204"/>
        <w:ind w:left="2196" w:right="865" w:firstLine="0"/>
        <w:jc w:val="left"/>
        <w:rPr>
          <w:b/>
          <w:sz w:val="24"/>
        </w:rPr>
      </w:pPr>
      <w:r>
        <w:rPr>
          <w:b/>
          <w:sz w:val="24"/>
        </w:rPr>
        <w:t>Cuadro I. Valor promedio para el  total de muestra.</w:t>
      </w:r>
    </w:p>
    <w:p>
      <w:pPr>
        <w:pStyle w:val="BodyText"/>
        <w:spacing w:before="6" w:after="1"/>
        <w:rPr>
          <w:b/>
          <w:sz w:val="29"/>
        </w:rPr>
      </w:pPr>
    </w:p>
    <w:tbl>
      <w:tblPr>
        <w:tblW w:w="0" w:type="auto"/>
        <w:jc w:val="left"/>
        <w:tblInd w:w="4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005"/>
        <w:gridCol w:w="1625"/>
        <w:gridCol w:w="1616"/>
        <w:gridCol w:w="1643"/>
      </w:tblGrid>
      <w:tr>
        <w:trPr>
          <w:trHeight w:val="519" w:hRule="exact"/>
        </w:trPr>
        <w:tc>
          <w:tcPr>
            <w:tcW w:w="4005" w:type="dxa"/>
            <w:tcBorders>
              <w:top w:val="single" w:sz="8" w:space="0" w:color="9BBA58"/>
              <w:bottom w:val="single" w:sz="8" w:space="0" w:color="9BBA58"/>
            </w:tcBorders>
          </w:tcPr>
          <w:p>
            <w:pPr>
              <w:pStyle w:val="TableParagraph"/>
              <w:ind w:left="168"/>
              <w:rPr>
                <w:b/>
                <w:sz w:val="24"/>
              </w:rPr>
            </w:pPr>
            <w:r>
              <w:rPr>
                <w:b/>
                <w:sz w:val="24"/>
              </w:rPr>
              <w:t>Parámetros cefalométricos</w:t>
            </w:r>
          </w:p>
        </w:tc>
        <w:tc>
          <w:tcPr>
            <w:tcW w:w="1625" w:type="dxa"/>
            <w:tcBorders>
              <w:top w:val="single" w:sz="8" w:space="0" w:color="9BBA58"/>
              <w:bottom w:val="single" w:sz="8" w:space="0" w:color="9BBA58"/>
            </w:tcBorders>
          </w:tcPr>
          <w:p>
            <w:pPr>
              <w:pStyle w:val="TableParagraph"/>
              <w:ind w:right="555"/>
              <w:jc w:val="right"/>
              <w:rPr>
                <w:b/>
                <w:sz w:val="24"/>
              </w:rPr>
            </w:pPr>
            <w:r>
              <w:rPr>
                <w:b/>
                <w:w w:val="99"/>
                <w:sz w:val="24"/>
              </w:rPr>
              <w:t>N</w:t>
            </w:r>
          </w:p>
        </w:tc>
        <w:tc>
          <w:tcPr>
            <w:tcW w:w="1616" w:type="dxa"/>
            <w:tcBorders>
              <w:top w:val="single" w:sz="8" w:space="0" w:color="9BBA58"/>
              <w:bottom w:val="single" w:sz="8" w:space="0" w:color="9BBA58"/>
            </w:tcBorders>
          </w:tcPr>
          <w:p>
            <w:pPr>
              <w:pStyle w:val="TableParagraph"/>
              <w:ind w:left="466"/>
              <w:rPr>
                <w:b/>
                <w:sz w:val="24"/>
              </w:rPr>
            </w:pPr>
            <w:r>
              <w:rPr>
                <w:b/>
                <w:sz w:val="24"/>
              </w:rPr>
              <w:t>Media</w:t>
            </w:r>
          </w:p>
        </w:tc>
        <w:tc>
          <w:tcPr>
            <w:tcW w:w="1643" w:type="dxa"/>
            <w:tcBorders>
              <w:top w:val="single" w:sz="8" w:space="0" w:color="9BBA58"/>
              <w:bottom w:val="single" w:sz="8" w:space="0" w:color="9BBA58"/>
            </w:tcBorders>
          </w:tcPr>
          <w:p>
            <w:pPr>
              <w:pStyle w:val="TableParagraph"/>
              <w:ind w:left="336"/>
              <w:rPr>
                <w:b/>
                <w:sz w:val="24"/>
              </w:rPr>
            </w:pPr>
            <w:r>
              <w:rPr>
                <w:b/>
                <w:sz w:val="24"/>
              </w:rPr>
              <w:t>Desv. típ.</w:t>
            </w:r>
          </w:p>
        </w:tc>
      </w:tr>
      <w:tr>
        <w:trPr>
          <w:trHeight w:val="528" w:hRule="exact"/>
        </w:trPr>
        <w:tc>
          <w:tcPr>
            <w:tcW w:w="4005" w:type="dxa"/>
            <w:tcBorders>
              <w:top w:val="single" w:sz="8" w:space="0" w:color="9BBA58"/>
            </w:tcBorders>
            <w:shd w:val="clear" w:color="auto" w:fill="E6EDD4"/>
          </w:tcPr>
          <w:p>
            <w:pPr>
              <w:pStyle w:val="TableParagraph"/>
              <w:ind w:left="168"/>
              <w:rPr>
                <w:b/>
                <w:sz w:val="24"/>
              </w:rPr>
            </w:pPr>
            <w:r>
              <w:rPr>
                <w:b/>
                <w:sz w:val="24"/>
              </w:rPr>
              <w:t>PF/FH</w:t>
            </w:r>
          </w:p>
        </w:tc>
        <w:tc>
          <w:tcPr>
            <w:tcW w:w="1625" w:type="dxa"/>
            <w:tcBorders>
              <w:top w:val="single" w:sz="8" w:space="0" w:color="9BBA58"/>
            </w:tcBorders>
            <w:shd w:val="clear" w:color="auto" w:fill="E6EDD4"/>
          </w:tcPr>
          <w:p>
            <w:pPr>
              <w:pStyle w:val="TableParagraph"/>
              <w:ind w:right="466"/>
              <w:jc w:val="right"/>
              <w:rPr>
                <w:sz w:val="24"/>
              </w:rPr>
            </w:pPr>
            <w:r>
              <w:rPr>
                <w:w w:val="95"/>
                <w:sz w:val="24"/>
              </w:rPr>
              <w:t>136</w:t>
            </w:r>
          </w:p>
        </w:tc>
        <w:tc>
          <w:tcPr>
            <w:tcW w:w="1616" w:type="dxa"/>
            <w:tcBorders>
              <w:top w:val="single" w:sz="8" w:space="0" w:color="9BBA58"/>
            </w:tcBorders>
            <w:shd w:val="clear" w:color="auto" w:fill="E6EDD4"/>
          </w:tcPr>
          <w:p>
            <w:pPr>
              <w:pStyle w:val="TableParagraph"/>
              <w:ind w:right="334"/>
              <w:jc w:val="right"/>
              <w:rPr>
                <w:sz w:val="24"/>
              </w:rPr>
            </w:pPr>
            <w:r>
              <w:rPr>
                <w:sz w:val="24"/>
              </w:rPr>
              <w:t>87.14</w:t>
            </w:r>
          </w:p>
        </w:tc>
        <w:tc>
          <w:tcPr>
            <w:tcW w:w="1643" w:type="dxa"/>
            <w:tcBorders>
              <w:top w:val="single" w:sz="8" w:space="0" w:color="9BBA58"/>
            </w:tcBorders>
            <w:shd w:val="clear" w:color="auto" w:fill="E6EDD4"/>
          </w:tcPr>
          <w:p>
            <w:pPr>
              <w:pStyle w:val="TableParagraph"/>
              <w:ind w:right="165"/>
              <w:jc w:val="right"/>
              <w:rPr>
                <w:sz w:val="24"/>
              </w:rPr>
            </w:pPr>
            <w:r>
              <w:rPr>
                <w:sz w:val="24"/>
              </w:rPr>
              <w:t>3.20</w:t>
            </w:r>
          </w:p>
        </w:tc>
      </w:tr>
      <w:tr>
        <w:trPr>
          <w:trHeight w:val="497" w:hRule="exact"/>
        </w:trPr>
        <w:tc>
          <w:tcPr>
            <w:tcW w:w="4005" w:type="dxa"/>
            <w:tcBorders>
              <w:top w:val="single" w:sz="42" w:space="0" w:color="E6EDD4"/>
            </w:tcBorders>
          </w:tcPr>
          <w:p>
            <w:pPr>
              <w:pStyle w:val="TableParagraph"/>
              <w:spacing w:line="221" w:lineRule="exact"/>
              <w:ind w:left="168"/>
              <w:rPr>
                <w:b/>
                <w:sz w:val="24"/>
              </w:rPr>
            </w:pPr>
            <w:r>
              <w:rPr>
                <w:b/>
                <w:sz w:val="24"/>
              </w:rPr>
              <w:t>AB/PF</w:t>
            </w:r>
          </w:p>
        </w:tc>
        <w:tc>
          <w:tcPr>
            <w:tcW w:w="1625" w:type="dxa"/>
            <w:tcBorders>
              <w:top w:val="single" w:sz="42" w:space="0" w:color="E6EDD4"/>
            </w:tcBorders>
          </w:tcPr>
          <w:p>
            <w:pPr>
              <w:pStyle w:val="TableParagraph"/>
              <w:spacing w:line="221" w:lineRule="exact"/>
              <w:ind w:right="466"/>
              <w:jc w:val="right"/>
              <w:rPr>
                <w:sz w:val="24"/>
              </w:rPr>
            </w:pPr>
            <w:r>
              <w:rPr>
                <w:w w:val="95"/>
                <w:sz w:val="24"/>
              </w:rPr>
              <w:t>136</w:t>
            </w:r>
          </w:p>
        </w:tc>
        <w:tc>
          <w:tcPr>
            <w:tcW w:w="1616" w:type="dxa"/>
            <w:tcBorders>
              <w:top w:val="single" w:sz="42" w:space="0" w:color="E6EDD4"/>
            </w:tcBorders>
          </w:tcPr>
          <w:p>
            <w:pPr>
              <w:pStyle w:val="TableParagraph"/>
              <w:spacing w:line="221" w:lineRule="exact"/>
              <w:ind w:right="334"/>
              <w:jc w:val="right"/>
              <w:rPr>
                <w:sz w:val="24"/>
              </w:rPr>
            </w:pPr>
            <w:r>
              <w:rPr>
                <w:w w:val="95"/>
                <w:sz w:val="24"/>
              </w:rPr>
              <w:t>-6.22</w:t>
            </w:r>
          </w:p>
        </w:tc>
        <w:tc>
          <w:tcPr>
            <w:tcW w:w="1643" w:type="dxa"/>
            <w:tcBorders>
              <w:top w:val="single" w:sz="42" w:space="0" w:color="E6EDD4"/>
            </w:tcBorders>
          </w:tcPr>
          <w:p>
            <w:pPr>
              <w:pStyle w:val="TableParagraph"/>
              <w:spacing w:line="221" w:lineRule="exact"/>
              <w:ind w:right="165"/>
              <w:jc w:val="right"/>
              <w:rPr>
                <w:sz w:val="24"/>
              </w:rPr>
            </w:pPr>
            <w:r>
              <w:rPr>
                <w:sz w:val="24"/>
              </w:rPr>
              <w:t>2.57</w:t>
            </w:r>
          </w:p>
        </w:tc>
      </w:tr>
      <w:tr>
        <w:trPr>
          <w:trHeight w:val="499" w:hRule="exact"/>
        </w:trPr>
        <w:tc>
          <w:tcPr>
            <w:tcW w:w="4005" w:type="dxa"/>
            <w:shd w:val="clear" w:color="auto" w:fill="E6EDD4"/>
          </w:tcPr>
          <w:p>
            <w:pPr>
              <w:pStyle w:val="TableParagraph"/>
              <w:ind w:left="168"/>
              <w:rPr>
                <w:b/>
                <w:sz w:val="24"/>
              </w:rPr>
            </w:pPr>
            <w:r>
              <w:rPr>
                <w:b/>
                <w:sz w:val="24"/>
              </w:rPr>
              <w:t>PP/FH</w:t>
            </w:r>
          </w:p>
        </w:tc>
        <w:tc>
          <w:tcPr>
            <w:tcW w:w="1625" w:type="dxa"/>
            <w:shd w:val="clear" w:color="auto" w:fill="E6EDD4"/>
          </w:tcPr>
          <w:p>
            <w:pPr>
              <w:pStyle w:val="TableParagraph"/>
              <w:ind w:right="466"/>
              <w:jc w:val="right"/>
              <w:rPr>
                <w:sz w:val="24"/>
              </w:rPr>
            </w:pPr>
            <w:r>
              <w:rPr>
                <w:w w:val="95"/>
                <w:sz w:val="24"/>
              </w:rPr>
              <w:t>136</w:t>
            </w:r>
          </w:p>
        </w:tc>
        <w:tc>
          <w:tcPr>
            <w:tcW w:w="1616" w:type="dxa"/>
            <w:shd w:val="clear" w:color="auto" w:fill="E6EDD4"/>
          </w:tcPr>
          <w:p>
            <w:pPr>
              <w:pStyle w:val="TableParagraph"/>
              <w:ind w:right="334"/>
              <w:jc w:val="right"/>
              <w:rPr>
                <w:sz w:val="24"/>
              </w:rPr>
            </w:pPr>
            <w:r>
              <w:rPr>
                <w:sz w:val="24"/>
              </w:rPr>
              <w:t>.81</w:t>
            </w:r>
          </w:p>
        </w:tc>
        <w:tc>
          <w:tcPr>
            <w:tcW w:w="1643" w:type="dxa"/>
            <w:shd w:val="clear" w:color="auto" w:fill="E6EDD4"/>
          </w:tcPr>
          <w:p>
            <w:pPr>
              <w:pStyle w:val="TableParagraph"/>
              <w:ind w:right="165"/>
              <w:jc w:val="right"/>
              <w:rPr>
                <w:sz w:val="24"/>
              </w:rPr>
            </w:pPr>
            <w:r>
              <w:rPr>
                <w:sz w:val="24"/>
              </w:rPr>
              <w:t>3.16</w:t>
            </w:r>
          </w:p>
        </w:tc>
      </w:tr>
      <w:tr>
        <w:trPr>
          <w:trHeight w:val="497" w:hRule="exact"/>
        </w:trPr>
        <w:tc>
          <w:tcPr>
            <w:tcW w:w="4005" w:type="dxa"/>
            <w:tcBorders>
              <w:top w:val="single" w:sz="34" w:space="0" w:color="E6EDD4"/>
            </w:tcBorders>
          </w:tcPr>
          <w:p>
            <w:pPr>
              <w:pStyle w:val="TableParagraph"/>
              <w:spacing w:line="232" w:lineRule="exact"/>
              <w:ind w:left="168"/>
              <w:rPr>
                <w:b/>
                <w:sz w:val="24"/>
              </w:rPr>
            </w:pPr>
            <w:r>
              <w:rPr>
                <w:b/>
                <w:sz w:val="24"/>
              </w:rPr>
              <w:t>APDI</w:t>
            </w:r>
          </w:p>
        </w:tc>
        <w:tc>
          <w:tcPr>
            <w:tcW w:w="1625" w:type="dxa"/>
            <w:tcBorders>
              <w:top w:val="single" w:sz="34" w:space="0" w:color="E6EDD4"/>
            </w:tcBorders>
          </w:tcPr>
          <w:p>
            <w:pPr>
              <w:pStyle w:val="TableParagraph"/>
              <w:spacing w:line="232" w:lineRule="exact"/>
              <w:ind w:right="466"/>
              <w:jc w:val="right"/>
              <w:rPr>
                <w:sz w:val="24"/>
              </w:rPr>
            </w:pPr>
            <w:r>
              <w:rPr>
                <w:w w:val="95"/>
                <w:sz w:val="24"/>
              </w:rPr>
              <w:t>136</w:t>
            </w:r>
          </w:p>
        </w:tc>
        <w:tc>
          <w:tcPr>
            <w:tcW w:w="1616" w:type="dxa"/>
            <w:tcBorders>
              <w:top w:val="single" w:sz="34" w:space="0" w:color="E6EDD4"/>
            </w:tcBorders>
          </w:tcPr>
          <w:p>
            <w:pPr>
              <w:pStyle w:val="TableParagraph"/>
              <w:spacing w:line="232" w:lineRule="exact"/>
              <w:ind w:right="334"/>
              <w:jc w:val="right"/>
              <w:rPr>
                <w:sz w:val="24"/>
              </w:rPr>
            </w:pPr>
            <w:r>
              <w:rPr>
                <w:sz w:val="24"/>
              </w:rPr>
              <w:t>81.54</w:t>
            </w:r>
          </w:p>
        </w:tc>
        <w:tc>
          <w:tcPr>
            <w:tcW w:w="1643" w:type="dxa"/>
            <w:tcBorders>
              <w:top w:val="single" w:sz="34" w:space="0" w:color="E6EDD4"/>
            </w:tcBorders>
          </w:tcPr>
          <w:p>
            <w:pPr>
              <w:pStyle w:val="TableParagraph"/>
              <w:spacing w:line="232" w:lineRule="exact"/>
              <w:ind w:right="165"/>
              <w:jc w:val="right"/>
              <w:rPr>
                <w:sz w:val="24"/>
              </w:rPr>
            </w:pPr>
            <w:r>
              <w:rPr>
                <w:sz w:val="24"/>
              </w:rPr>
              <w:t>6.40</w:t>
            </w:r>
          </w:p>
        </w:tc>
      </w:tr>
      <w:tr>
        <w:trPr>
          <w:trHeight w:val="499" w:hRule="exact"/>
        </w:trPr>
        <w:tc>
          <w:tcPr>
            <w:tcW w:w="4005" w:type="dxa"/>
            <w:shd w:val="clear" w:color="auto" w:fill="E6EDD4"/>
          </w:tcPr>
          <w:p>
            <w:pPr>
              <w:pStyle w:val="TableParagraph"/>
              <w:ind w:left="168"/>
              <w:rPr>
                <w:b/>
                <w:sz w:val="24"/>
              </w:rPr>
            </w:pPr>
            <w:r>
              <w:rPr>
                <w:b/>
                <w:sz w:val="24"/>
              </w:rPr>
              <w:t>AB/PM</w:t>
            </w:r>
          </w:p>
        </w:tc>
        <w:tc>
          <w:tcPr>
            <w:tcW w:w="1625" w:type="dxa"/>
            <w:shd w:val="clear" w:color="auto" w:fill="E6EDD4"/>
          </w:tcPr>
          <w:p>
            <w:pPr>
              <w:pStyle w:val="TableParagraph"/>
              <w:ind w:right="466"/>
              <w:jc w:val="right"/>
              <w:rPr>
                <w:sz w:val="24"/>
              </w:rPr>
            </w:pPr>
            <w:r>
              <w:rPr>
                <w:w w:val="95"/>
                <w:sz w:val="24"/>
              </w:rPr>
              <w:t>136</w:t>
            </w:r>
          </w:p>
        </w:tc>
        <w:tc>
          <w:tcPr>
            <w:tcW w:w="1616" w:type="dxa"/>
            <w:shd w:val="clear" w:color="auto" w:fill="E6EDD4"/>
          </w:tcPr>
          <w:p>
            <w:pPr>
              <w:pStyle w:val="TableParagraph"/>
              <w:ind w:right="334"/>
              <w:jc w:val="right"/>
              <w:rPr>
                <w:sz w:val="24"/>
              </w:rPr>
            </w:pPr>
            <w:r>
              <w:rPr>
                <w:sz w:val="24"/>
              </w:rPr>
              <w:t>72.65</w:t>
            </w:r>
          </w:p>
        </w:tc>
        <w:tc>
          <w:tcPr>
            <w:tcW w:w="1643" w:type="dxa"/>
            <w:shd w:val="clear" w:color="auto" w:fill="E6EDD4"/>
          </w:tcPr>
          <w:p>
            <w:pPr>
              <w:pStyle w:val="TableParagraph"/>
              <w:ind w:right="165"/>
              <w:jc w:val="right"/>
              <w:rPr>
                <w:sz w:val="24"/>
              </w:rPr>
            </w:pPr>
            <w:r>
              <w:rPr>
                <w:sz w:val="24"/>
              </w:rPr>
              <w:t>4.65</w:t>
            </w:r>
          </w:p>
        </w:tc>
      </w:tr>
      <w:tr>
        <w:trPr>
          <w:trHeight w:val="497" w:hRule="exact"/>
        </w:trPr>
        <w:tc>
          <w:tcPr>
            <w:tcW w:w="4005" w:type="dxa"/>
            <w:tcBorders>
              <w:top w:val="single" w:sz="34" w:space="0" w:color="E6EDD4"/>
            </w:tcBorders>
          </w:tcPr>
          <w:p>
            <w:pPr>
              <w:pStyle w:val="TableParagraph"/>
              <w:spacing w:line="232" w:lineRule="exact"/>
              <w:ind w:left="168"/>
              <w:rPr>
                <w:b/>
                <w:sz w:val="24"/>
              </w:rPr>
            </w:pPr>
            <w:r>
              <w:rPr>
                <w:b/>
                <w:sz w:val="24"/>
              </w:rPr>
              <w:t>PP/FH</w:t>
            </w:r>
          </w:p>
        </w:tc>
        <w:tc>
          <w:tcPr>
            <w:tcW w:w="1625" w:type="dxa"/>
            <w:tcBorders>
              <w:top w:val="single" w:sz="34" w:space="0" w:color="E6EDD4"/>
            </w:tcBorders>
          </w:tcPr>
          <w:p>
            <w:pPr>
              <w:pStyle w:val="TableParagraph"/>
              <w:spacing w:line="232" w:lineRule="exact"/>
              <w:ind w:right="466"/>
              <w:jc w:val="right"/>
              <w:rPr>
                <w:sz w:val="24"/>
              </w:rPr>
            </w:pPr>
            <w:r>
              <w:rPr>
                <w:w w:val="95"/>
                <w:sz w:val="24"/>
              </w:rPr>
              <w:t>136</w:t>
            </w:r>
          </w:p>
        </w:tc>
        <w:tc>
          <w:tcPr>
            <w:tcW w:w="1616" w:type="dxa"/>
            <w:tcBorders>
              <w:top w:val="single" w:sz="34" w:space="0" w:color="E6EDD4"/>
            </w:tcBorders>
          </w:tcPr>
          <w:p>
            <w:pPr>
              <w:pStyle w:val="TableParagraph"/>
              <w:spacing w:line="232" w:lineRule="exact"/>
              <w:ind w:right="334"/>
              <w:jc w:val="right"/>
              <w:rPr>
                <w:sz w:val="24"/>
              </w:rPr>
            </w:pPr>
            <w:r>
              <w:rPr>
                <w:sz w:val="24"/>
              </w:rPr>
              <w:t>.81</w:t>
            </w:r>
          </w:p>
        </w:tc>
        <w:tc>
          <w:tcPr>
            <w:tcW w:w="1643" w:type="dxa"/>
            <w:tcBorders>
              <w:top w:val="single" w:sz="34" w:space="0" w:color="E6EDD4"/>
            </w:tcBorders>
          </w:tcPr>
          <w:p>
            <w:pPr>
              <w:pStyle w:val="TableParagraph"/>
              <w:spacing w:line="232" w:lineRule="exact"/>
              <w:ind w:right="165"/>
              <w:jc w:val="right"/>
              <w:rPr>
                <w:sz w:val="24"/>
              </w:rPr>
            </w:pPr>
            <w:r>
              <w:rPr>
                <w:sz w:val="24"/>
              </w:rPr>
              <w:t>3.16</w:t>
            </w:r>
          </w:p>
        </w:tc>
      </w:tr>
      <w:tr>
        <w:trPr>
          <w:trHeight w:val="509" w:hRule="exact"/>
        </w:trPr>
        <w:tc>
          <w:tcPr>
            <w:tcW w:w="4005" w:type="dxa"/>
            <w:tcBorders>
              <w:bottom w:val="single" w:sz="8" w:space="0" w:color="9BBA58"/>
            </w:tcBorders>
            <w:shd w:val="clear" w:color="auto" w:fill="E6EDD4"/>
          </w:tcPr>
          <w:p>
            <w:pPr>
              <w:pStyle w:val="TableParagraph"/>
              <w:spacing w:line="275" w:lineRule="exact"/>
              <w:ind w:left="168"/>
              <w:rPr>
                <w:b/>
                <w:sz w:val="24"/>
              </w:rPr>
            </w:pPr>
            <w:r>
              <w:rPr>
                <w:b/>
                <w:sz w:val="24"/>
              </w:rPr>
              <w:t>ODI</w:t>
            </w:r>
          </w:p>
        </w:tc>
        <w:tc>
          <w:tcPr>
            <w:tcW w:w="1625" w:type="dxa"/>
            <w:tcBorders>
              <w:bottom w:val="single" w:sz="8" w:space="0" w:color="9BBA58"/>
            </w:tcBorders>
            <w:shd w:val="clear" w:color="auto" w:fill="E6EDD4"/>
          </w:tcPr>
          <w:p>
            <w:pPr>
              <w:pStyle w:val="TableParagraph"/>
              <w:spacing w:line="275" w:lineRule="exact"/>
              <w:ind w:right="466"/>
              <w:jc w:val="right"/>
              <w:rPr>
                <w:sz w:val="24"/>
              </w:rPr>
            </w:pPr>
            <w:r>
              <w:rPr>
                <w:w w:val="95"/>
                <w:sz w:val="24"/>
              </w:rPr>
              <w:t>136</w:t>
            </w:r>
          </w:p>
        </w:tc>
        <w:tc>
          <w:tcPr>
            <w:tcW w:w="1616" w:type="dxa"/>
            <w:tcBorders>
              <w:bottom w:val="single" w:sz="8" w:space="0" w:color="9BBA58"/>
            </w:tcBorders>
            <w:shd w:val="clear" w:color="auto" w:fill="E6EDD4"/>
          </w:tcPr>
          <w:p>
            <w:pPr>
              <w:pStyle w:val="TableParagraph"/>
              <w:spacing w:line="275" w:lineRule="exact"/>
              <w:ind w:right="334"/>
              <w:jc w:val="right"/>
              <w:rPr>
                <w:sz w:val="24"/>
              </w:rPr>
            </w:pPr>
            <w:r>
              <w:rPr>
                <w:sz w:val="24"/>
              </w:rPr>
              <w:t>73.39</w:t>
            </w:r>
          </w:p>
        </w:tc>
        <w:tc>
          <w:tcPr>
            <w:tcW w:w="1643" w:type="dxa"/>
            <w:tcBorders>
              <w:bottom w:val="single" w:sz="8" w:space="0" w:color="9BBA58"/>
            </w:tcBorders>
            <w:shd w:val="clear" w:color="auto" w:fill="E6EDD4"/>
          </w:tcPr>
          <w:p>
            <w:pPr>
              <w:pStyle w:val="TableParagraph"/>
              <w:spacing w:line="275" w:lineRule="exact"/>
              <w:ind w:right="165"/>
              <w:jc w:val="right"/>
              <w:rPr>
                <w:sz w:val="24"/>
              </w:rPr>
            </w:pPr>
            <w:r>
              <w:rPr>
                <w:sz w:val="24"/>
              </w:rPr>
              <w:t>5.25</w:t>
            </w:r>
          </w:p>
        </w:tc>
      </w:tr>
    </w:tbl>
    <w:p>
      <w:pPr>
        <w:spacing w:line="206" w:lineRule="exact" w:before="0"/>
        <w:ind w:left="0" w:right="857" w:firstLine="0"/>
        <w:jc w:val="right"/>
        <w:rPr>
          <w:sz w:val="18"/>
        </w:rPr>
      </w:pPr>
      <w:r>
        <w:rPr>
          <w:sz w:val="18"/>
        </w:rPr>
        <w:t>Fuente: directa</w:t>
      </w:r>
    </w:p>
    <w:p>
      <w:pPr>
        <w:pStyle w:val="BodyText"/>
        <w:spacing w:before="3"/>
        <w:rPr>
          <w:sz w:val="20"/>
        </w:rPr>
      </w:pPr>
    </w:p>
    <w:p>
      <w:pPr>
        <w:spacing w:before="70"/>
        <w:ind w:left="518" w:right="0" w:firstLine="0"/>
        <w:jc w:val="both"/>
        <w:rPr>
          <w:b/>
          <w:sz w:val="24"/>
        </w:rPr>
      </w:pPr>
      <w:r>
        <w:rPr>
          <w:b/>
          <w:sz w:val="24"/>
        </w:rPr>
        <w:t>Diferencias entre sexo</w:t>
      </w:r>
    </w:p>
    <w:p>
      <w:pPr>
        <w:pStyle w:val="BodyText"/>
        <w:spacing w:before="4"/>
        <w:rPr>
          <w:b/>
          <w:sz w:val="29"/>
        </w:rPr>
      </w:pPr>
    </w:p>
    <w:p>
      <w:pPr>
        <w:pStyle w:val="BodyText"/>
        <w:spacing w:line="360" w:lineRule="auto" w:before="1"/>
        <w:ind w:left="518" w:right="859"/>
        <w:jc w:val="both"/>
      </w:pPr>
      <w:r>
        <w:rPr/>
        <w:t>Analizando el total de la muestra por sexo, se encontró el indicador de displasia anteroposterior (APDI) con promedio de 80.76° para el sexo femenino y 82.23° para masculino, encontrando una diferencia de 1.47°, siendo mayor en masculino.</w:t>
      </w:r>
    </w:p>
    <w:p>
      <w:pPr>
        <w:spacing w:after="0" w:line="360" w:lineRule="auto"/>
        <w:jc w:val="both"/>
        <w:sectPr>
          <w:pgSz w:w="12240" w:h="15840"/>
          <w:pgMar w:header="596" w:footer="1003" w:top="1380" w:bottom="1200" w:left="900" w:right="840"/>
        </w:sectPr>
      </w:pPr>
    </w:p>
    <w:p>
      <w:pPr>
        <w:pStyle w:val="BodyText"/>
        <w:spacing w:before="5"/>
        <w:rPr>
          <w:sz w:val="21"/>
        </w:rPr>
      </w:pPr>
    </w:p>
    <w:p>
      <w:pPr>
        <w:pStyle w:val="BodyText"/>
        <w:spacing w:line="360" w:lineRule="auto" w:before="69"/>
        <w:ind w:left="518" w:right="857"/>
        <w:jc w:val="both"/>
      </w:pPr>
      <w:r>
        <w:rPr/>
        <w:t>El valor promedio para el indicador de sobremordida (ODI) fue de 73.53° y 73.27° respectivamente, no encontrándose una diferencia amplia de grados  (Cuadro II).</w:t>
      </w:r>
    </w:p>
    <w:p>
      <w:pPr>
        <w:pStyle w:val="BodyText"/>
        <w:spacing w:line="360" w:lineRule="auto" w:before="204"/>
        <w:ind w:left="518" w:right="860"/>
        <w:jc w:val="both"/>
      </w:pPr>
      <w:r>
        <w:rPr/>
        <w:t>En el Plano Facial con Plano de Frankfort (PF/FH) para el sexo femenino la media  fue de 87.15° y para el sexo masculino de</w:t>
      </w:r>
      <w:r>
        <w:rPr>
          <w:spacing w:val="-22"/>
        </w:rPr>
        <w:t> </w:t>
      </w:r>
      <w:r>
        <w:rPr/>
        <w:t>87.13°.</w:t>
      </w:r>
    </w:p>
    <w:p>
      <w:pPr>
        <w:pStyle w:val="BodyText"/>
        <w:spacing w:line="360" w:lineRule="auto" w:before="202"/>
        <w:ind w:left="518" w:right="862"/>
        <w:jc w:val="both"/>
      </w:pPr>
      <w:r>
        <w:rPr/>
        <w:t>En el Plano AB con Plano Facial (AB/PF) la media que se obtuvo para el sexo femenino fue de -6.51° y para el sexo masculino de -5.95°.</w:t>
      </w:r>
    </w:p>
    <w:p>
      <w:pPr>
        <w:pStyle w:val="BodyText"/>
        <w:spacing w:line="360" w:lineRule="auto" w:before="204"/>
        <w:ind w:left="518" w:right="856"/>
        <w:jc w:val="both"/>
      </w:pPr>
      <w:r>
        <w:rPr/>
        <w:t>Para el Plano Palatino con Plano de Frankfort (PP/FH) fue mayor el promedio en el sexo masculino que en el femenino; el plano AB con plano mandibular (AB/PM) fue mayor el promedio en el sexo femenino (Cuadro II).</w:t>
      </w:r>
    </w:p>
    <w:p>
      <w:pPr>
        <w:spacing w:before="202"/>
        <w:ind w:left="1663" w:right="865" w:firstLine="0"/>
        <w:jc w:val="left"/>
        <w:rPr>
          <w:b/>
          <w:sz w:val="24"/>
        </w:rPr>
      </w:pPr>
      <w:r>
        <w:rPr>
          <w:b/>
          <w:sz w:val="24"/>
        </w:rPr>
        <w:t>Cuadro II. Valor promedio por sexo para el total de muestra.</w:t>
      </w:r>
    </w:p>
    <w:p>
      <w:pPr>
        <w:pStyle w:val="BodyText"/>
        <w:spacing w:before="6" w:after="1"/>
        <w:rPr>
          <w:b/>
          <w:sz w:val="29"/>
        </w:rPr>
      </w:pPr>
    </w:p>
    <w:tbl>
      <w:tblPr>
        <w:tblW w:w="0" w:type="auto"/>
        <w:jc w:val="left"/>
        <w:tblInd w:w="4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30"/>
        <w:gridCol w:w="2086"/>
        <w:gridCol w:w="1181"/>
        <w:gridCol w:w="1477"/>
        <w:gridCol w:w="2186"/>
      </w:tblGrid>
      <w:tr>
        <w:trPr>
          <w:trHeight w:val="850" w:hRule="exact"/>
        </w:trPr>
        <w:tc>
          <w:tcPr>
            <w:tcW w:w="1930" w:type="dxa"/>
            <w:tcBorders>
              <w:top w:val="single" w:sz="8" w:space="0" w:color="9BBA58"/>
              <w:bottom w:val="single" w:sz="8" w:space="0" w:color="9BBA58"/>
            </w:tcBorders>
          </w:tcPr>
          <w:p>
            <w:pPr>
              <w:pStyle w:val="TableParagraph"/>
              <w:spacing w:line="360" w:lineRule="auto"/>
              <w:ind w:left="108" w:right="107"/>
              <w:rPr>
                <w:b/>
                <w:sz w:val="24"/>
              </w:rPr>
            </w:pPr>
            <w:r>
              <w:rPr>
                <w:b/>
                <w:sz w:val="24"/>
              </w:rPr>
              <w:t>Parámetros cefalométricos</w:t>
            </w:r>
          </w:p>
        </w:tc>
        <w:tc>
          <w:tcPr>
            <w:tcW w:w="2086" w:type="dxa"/>
            <w:tcBorders>
              <w:top w:val="single" w:sz="8" w:space="0" w:color="9BBA58"/>
              <w:bottom w:val="single" w:sz="8" w:space="0" w:color="9BBA58"/>
            </w:tcBorders>
          </w:tcPr>
          <w:p>
            <w:pPr>
              <w:pStyle w:val="TableParagraph"/>
              <w:spacing w:line="240" w:lineRule="auto"/>
              <w:ind w:left="167"/>
              <w:rPr>
                <w:b/>
                <w:sz w:val="24"/>
              </w:rPr>
            </w:pPr>
            <w:r>
              <w:rPr>
                <w:b/>
                <w:sz w:val="24"/>
              </w:rPr>
              <w:t>Sexo</w:t>
            </w:r>
          </w:p>
        </w:tc>
        <w:tc>
          <w:tcPr>
            <w:tcW w:w="1181" w:type="dxa"/>
            <w:tcBorders>
              <w:top w:val="single" w:sz="8" w:space="0" w:color="9BBA58"/>
              <w:bottom w:val="single" w:sz="8" w:space="0" w:color="9BBA58"/>
            </w:tcBorders>
          </w:tcPr>
          <w:p>
            <w:pPr>
              <w:pStyle w:val="TableParagraph"/>
              <w:spacing w:line="240" w:lineRule="auto"/>
              <w:ind w:left="491"/>
              <w:rPr>
                <w:b/>
                <w:sz w:val="24"/>
              </w:rPr>
            </w:pPr>
            <w:r>
              <w:rPr>
                <w:b/>
                <w:w w:val="99"/>
                <w:sz w:val="24"/>
              </w:rPr>
              <w:t>N</w:t>
            </w:r>
          </w:p>
        </w:tc>
        <w:tc>
          <w:tcPr>
            <w:tcW w:w="1477" w:type="dxa"/>
            <w:tcBorders>
              <w:top w:val="single" w:sz="8" w:space="0" w:color="9BBA58"/>
              <w:bottom w:val="single" w:sz="8" w:space="0" w:color="9BBA58"/>
            </w:tcBorders>
          </w:tcPr>
          <w:p>
            <w:pPr>
              <w:pStyle w:val="TableParagraph"/>
              <w:spacing w:line="240" w:lineRule="auto"/>
              <w:ind w:left="393"/>
              <w:rPr>
                <w:b/>
                <w:sz w:val="24"/>
              </w:rPr>
            </w:pPr>
            <w:r>
              <w:rPr>
                <w:b/>
                <w:sz w:val="24"/>
              </w:rPr>
              <w:t>Media</w:t>
            </w:r>
          </w:p>
        </w:tc>
        <w:tc>
          <w:tcPr>
            <w:tcW w:w="2186" w:type="dxa"/>
            <w:tcBorders>
              <w:top w:val="single" w:sz="8" w:space="0" w:color="9BBA58"/>
              <w:bottom w:val="single" w:sz="8" w:space="0" w:color="9BBA58"/>
            </w:tcBorders>
          </w:tcPr>
          <w:p>
            <w:pPr>
              <w:pStyle w:val="TableParagraph"/>
              <w:spacing w:line="240" w:lineRule="auto"/>
              <w:ind w:right="203"/>
              <w:jc w:val="right"/>
              <w:rPr>
                <w:b/>
                <w:sz w:val="24"/>
              </w:rPr>
            </w:pPr>
            <w:r>
              <w:rPr>
                <w:b/>
                <w:sz w:val="24"/>
              </w:rPr>
              <w:t>Desviación típ.</w:t>
            </w:r>
          </w:p>
        </w:tc>
      </w:tr>
      <w:tr>
        <w:trPr>
          <w:trHeight w:val="474" w:hRule="exact"/>
        </w:trPr>
        <w:tc>
          <w:tcPr>
            <w:tcW w:w="1930" w:type="dxa"/>
            <w:tcBorders>
              <w:top w:val="single" w:sz="8" w:space="0" w:color="9BBA58"/>
            </w:tcBorders>
            <w:shd w:val="clear" w:color="auto" w:fill="E6EDD4"/>
          </w:tcPr>
          <w:p>
            <w:pPr>
              <w:pStyle w:val="TableParagraph"/>
              <w:ind w:left="168" w:right="107"/>
              <w:rPr>
                <w:b/>
                <w:sz w:val="24"/>
              </w:rPr>
            </w:pPr>
            <w:r>
              <w:rPr>
                <w:b/>
                <w:sz w:val="24"/>
              </w:rPr>
              <w:t>PF/FH</w:t>
            </w:r>
          </w:p>
        </w:tc>
        <w:tc>
          <w:tcPr>
            <w:tcW w:w="2086" w:type="dxa"/>
            <w:tcBorders>
              <w:top w:val="single" w:sz="8" w:space="0" w:color="9BBA58"/>
            </w:tcBorders>
            <w:shd w:val="clear" w:color="auto" w:fill="E6EDD4"/>
          </w:tcPr>
          <w:p>
            <w:pPr>
              <w:pStyle w:val="TableParagraph"/>
              <w:ind w:left="167"/>
              <w:rPr>
                <w:sz w:val="24"/>
              </w:rPr>
            </w:pPr>
            <w:r>
              <w:rPr>
                <w:sz w:val="24"/>
              </w:rPr>
              <w:t>FEMENINO</w:t>
            </w:r>
          </w:p>
        </w:tc>
        <w:tc>
          <w:tcPr>
            <w:tcW w:w="1181" w:type="dxa"/>
            <w:tcBorders>
              <w:top w:val="single" w:sz="8" w:space="0" w:color="9BBA58"/>
            </w:tcBorders>
            <w:shd w:val="clear" w:color="auto" w:fill="E6EDD4"/>
          </w:tcPr>
          <w:p>
            <w:pPr>
              <w:pStyle w:val="TableParagraph"/>
              <w:ind w:left="518"/>
              <w:rPr>
                <w:sz w:val="24"/>
              </w:rPr>
            </w:pPr>
            <w:r>
              <w:rPr>
                <w:sz w:val="24"/>
              </w:rPr>
              <w:t>64</w:t>
            </w:r>
          </w:p>
        </w:tc>
        <w:tc>
          <w:tcPr>
            <w:tcW w:w="1477" w:type="dxa"/>
            <w:tcBorders>
              <w:top w:val="single" w:sz="8" w:space="0" w:color="9BBA58"/>
            </w:tcBorders>
            <w:shd w:val="clear" w:color="auto" w:fill="E6EDD4"/>
          </w:tcPr>
          <w:p>
            <w:pPr>
              <w:pStyle w:val="TableParagraph"/>
              <w:ind w:right="285"/>
              <w:jc w:val="right"/>
              <w:rPr>
                <w:sz w:val="24"/>
              </w:rPr>
            </w:pPr>
            <w:r>
              <w:rPr>
                <w:sz w:val="24"/>
              </w:rPr>
              <w:t>87.15</w:t>
            </w:r>
          </w:p>
        </w:tc>
        <w:tc>
          <w:tcPr>
            <w:tcW w:w="2186" w:type="dxa"/>
            <w:tcBorders>
              <w:top w:val="single" w:sz="8" w:space="0" w:color="9BBA58"/>
            </w:tcBorders>
            <w:shd w:val="clear" w:color="auto" w:fill="E6EDD4"/>
          </w:tcPr>
          <w:p>
            <w:pPr>
              <w:pStyle w:val="TableParagraph"/>
              <w:ind w:right="165"/>
              <w:jc w:val="right"/>
              <w:rPr>
                <w:sz w:val="24"/>
              </w:rPr>
            </w:pPr>
            <w:r>
              <w:rPr>
                <w:sz w:val="24"/>
              </w:rPr>
              <w:t>3.24</w:t>
            </w:r>
          </w:p>
        </w:tc>
      </w:tr>
      <w:tr>
        <w:trPr>
          <w:trHeight w:val="465" w:hRule="exact"/>
        </w:trPr>
        <w:tc>
          <w:tcPr>
            <w:tcW w:w="1930" w:type="dxa"/>
            <w:shd w:val="clear" w:color="auto" w:fill="E6EDD4"/>
          </w:tcPr>
          <w:p>
            <w:pPr/>
          </w:p>
        </w:tc>
        <w:tc>
          <w:tcPr>
            <w:tcW w:w="2086" w:type="dxa"/>
            <w:tcBorders>
              <w:top w:val="single" w:sz="41" w:space="0" w:color="E6EDD4"/>
            </w:tcBorders>
          </w:tcPr>
          <w:p>
            <w:pPr>
              <w:pStyle w:val="TableParagraph"/>
              <w:ind w:left="167"/>
              <w:rPr>
                <w:sz w:val="24"/>
              </w:rPr>
            </w:pPr>
            <w:r>
              <w:rPr>
                <w:sz w:val="24"/>
              </w:rPr>
              <w:t>MASCULINO</w:t>
            </w:r>
          </w:p>
        </w:tc>
        <w:tc>
          <w:tcPr>
            <w:tcW w:w="1181" w:type="dxa"/>
            <w:tcBorders>
              <w:top w:val="single" w:sz="41" w:space="0" w:color="E6EDD4"/>
            </w:tcBorders>
          </w:tcPr>
          <w:p>
            <w:pPr>
              <w:pStyle w:val="TableParagraph"/>
              <w:ind w:left="518"/>
              <w:rPr>
                <w:sz w:val="24"/>
              </w:rPr>
            </w:pPr>
            <w:r>
              <w:rPr>
                <w:sz w:val="24"/>
              </w:rPr>
              <w:t>72</w:t>
            </w:r>
          </w:p>
        </w:tc>
        <w:tc>
          <w:tcPr>
            <w:tcW w:w="1477" w:type="dxa"/>
            <w:tcBorders>
              <w:top w:val="single" w:sz="41" w:space="0" w:color="E6EDD4"/>
            </w:tcBorders>
          </w:tcPr>
          <w:p>
            <w:pPr>
              <w:pStyle w:val="TableParagraph"/>
              <w:ind w:right="285"/>
              <w:jc w:val="right"/>
              <w:rPr>
                <w:sz w:val="24"/>
              </w:rPr>
            </w:pPr>
            <w:r>
              <w:rPr>
                <w:sz w:val="24"/>
              </w:rPr>
              <w:t>87.13</w:t>
            </w:r>
          </w:p>
        </w:tc>
        <w:tc>
          <w:tcPr>
            <w:tcW w:w="2186" w:type="dxa"/>
            <w:tcBorders>
              <w:top w:val="single" w:sz="41" w:space="0" w:color="E6EDD4"/>
            </w:tcBorders>
          </w:tcPr>
          <w:p>
            <w:pPr>
              <w:pStyle w:val="TableParagraph"/>
              <w:ind w:right="165"/>
              <w:jc w:val="right"/>
              <w:rPr>
                <w:sz w:val="24"/>
              </w:rPr>
            </w:pPr>
            <w:r>
              <w:rPr>
                <w:sz w:val="24"/>
              </w:rPr>
              <w:t>3.18</w:t>
            </w:r>
          </w:p>
        </w:tc>
      </w:tr>
      <w:tr>
        <w:trPr>
          <w:trHeight w:val="497" w:hRule="exact"/>
        </w:trPr>
        <w:tc>
          <w:tcPr>
            <w:tcW w:w="1930" w:type="dxa"/>
            <w:shd w:val="clear" w:color="auto" w:fill="E6EDD4"/>
          </w:tcPr>
          <w:p>
            <w:pPr>
              <w:pStyle w:val="TableParagraph"/>
              <w:ind w:left="168" w:right="107"/>
              <w:rPr>
                <w:b/>
                <w:sz w:val="24"/>
              </w:rPr>
            </w:pPr>
            <w:r>
              <w:rPr>
                <w:b/>
                <w:sz w:val="24"/>
              </w:rPr>
              <w:t>AB/PF</w:t>
            </w:r>
          </w:p>
        </w:tc>
        <w:tc>
          <w:tcPr>
            <w:tcW w:w="2086" w:type="dxa"/>
            <w:shd w:val="clear" w:color="auto" w:fill="E6EDD4"/>
          </w:tcPr>
          <w:p>
            <w:pPr>
              <w:pStyle w:val="TableParagraph"/>
              <w:ind w:left="167"/>
              <w:rPr>
                <w:sz w:val="24"/>
              </w:rPr>
            </w:pPr>
            <w:r>
              <w:rPr>
                <w:sz w:val="24"/>
              </w:rPr>
              <w:t>FEMENINO</w:t>
            </w:r>
          </w:p>
        </w:tc>
        <w:tc>
          <w:tcPr>
            <w:tcW w:w="1181" w:type="dxa"/>
            <w:shd w:val="clear" w:color="auto" w:fill="E6EDD4"/>
          </w:tcPr>
          <w:p>
            <w:pPr>
              <w:pStyle w:val="TableParagraph"/>
              <w:ind w:left="518"/>
              <w:rPr>
                <w:sz w:val="24"/>
              </w:rPr>
            </w:pPr>
            <w:r>
              <w:rPr>
                <w:sz w:val="24"/>
              </w:rPr>
              <w:t>64</w:t>
            </w:r>
          </w:p>
        </w:tc>
        <w:tc>
          <w:tcPr>
            <w:tcW w:w="1477" w:type="dxa"/>
            <w:shd w:val="clear" w:color="auto" w:fill="E6EDD4"/>
          </w:tcPr>
          <w:p>
            <w:pPr>
              <w:pStyle w:val="TableParagraph"/>
              <w:ind w:right="285"/>
              <w:jc w:val="right"/>
              <w:rPr>
                <w:sz w:val="24"/>
              </w:rPr>
            </w:pPr>
            <w:r>
              <w:rPr>
                <w:w w:val="95"/>
                <w:sz w:val="24"/>
              </w:rPr>
              <w:t>-6.51</w:t>
            </w:r>
          </w:p>
        </w:tc>
        <w:tc>
          <w:tcPr>
            <w:tcW w:w="2186" w:type="dxa"/>
            <w:shd w:val="clear" w:color="auto" w:fill="E6EDD4"/>
          </w:tcPr>
          <w:p>
            <w:pPr>
              <w:pStyle w:val="TableParagraph"/>
              <w:ind w:right="165"/>
              <w:jc w:val="right"/>
              <w:rPr>
                <w:sz w:val="24"/>
              </w:rPr>
            </w:pPr>
            <w:r>
              <w:rPr>
                <w:sz w:val="24"/>
              </w:rPr>
              <w:t>2.85</w:t>
            </w:r>
          </w:p>
        </w:tc>
      </w:tr>
      <w:tr>
        <w:trPr>
          <w:trHeight w:val="415" w:hRule="exact"/>
        </w:trPr>
        <w:tc>
          <w:tcPr>
            <w:tcW w:w="1930" w:type="dxa"/>
            <w:shd w:val="clear" w:color="auto" w:fill="E6EDD4"/>
          </w:tcPr>
          <w:p>
            <w:pPr/>
          </w:p>
        </w:tc>
        <w:tc>
          <w:tcPr>
            <w:tcW w:w="2086" w:type="dxa"/>
            <w:tcBorders>
              <w:top w:val="single" w:sz="33" w:space="0" w:color="E6EDD4"/>
            </w:tcBorders>
          </w:tcPr>
          <w:p>
            <w:pPr>
              <w:pStyle w:val="TableParagraph"/>
              <w:spacing w:line="233" w:lineRule="exact"/>
              <w:ind w:left="167"/>
              <w:rPr>
                <w:sz w:val="24"/>
              </w:rPr>
            </w:pPr>
            <w:r>
              <w:rPr>
                <w:sz w:val="24"/>
              </w:rPr>
              <w:t>MASCULINO</w:t>
            </w:r>
          </w:p>
        </w:tc>
        <w:tc>
          <w:tcPr>
            <w:tcW w:w="1181" w:type="dxa"/>
            <w:tcBorders>
              <w:top w:val="single" w:sz="33" w:space="0" w:color="E6EDD4"/>
            </w:tcBorders>
          </w:tcPr>
          <w:p>
            <w:pPr>
              <w:pStyle w:val="TableParagraph"/>
              <w:spacing w:line="233" w:lineRule="exact"/>
              <w:ind w:left="518"/>
              <w:rPr>
                <w:sz w:val="24"/>
              </w:rPr>
            </w:pPr>
            <w:r>
              <w:rPr>
                <w:sz w:val="24"/>
              </w:rPr>
              <w:t>72</w:t>
            </w:r>
          </w:p>
        </w:tc>
        <w:tc>
          <w:tcPr>
            <w:tcW w:w="1477" w:type="dxa"/>
            <w:tcBorders>
              <w:top w:val="single" w:sz="33" w:space="0" w:color="E6EDD4"/>
            </w:tcBorders>
          </w:tcPr>
          <w:p>
            <w:pPr>
              <w:pStyle w:val="TableParagraph"/>
              <w:spacing w:line="233" w:lineRule="exact"/>
              <w:ind w:right="285"/>
              <w:jc w:val="right"/>
              <w:rPr>
                <w:sz w:val="24"/>
              </w:rPr>
            </w:pPr>
            <w:r>
              <w:rPr>
                <w:w w:val="95"/>
                <w:sz w:val="24"/>
              </w:rPr>
              <w:t>-5.95</w:t>
            </w:r>
          </w:p>
        </w:tc>
        <w:tc>
          <w:tcPr>
            <w:tcW w:w="2186" w:type="dxa"/>
            <w:tcBorders>
              <w:top w:val="single" w:sz="33" w:space="0" w:color="E6EDD4"/>
            </w:tcBorders>
          </w:tcPr>
          <w:p>
            <w:pPr>
              <w:pStyle w:val="TableParagraph"/>
              <w:spacing w:line="233" w:lineRule="exact"/>
              <w:ind w:right="165"/>
              <w:jc w:val="right"/>
              <w:rPr>
                <w:sz w:val="24"/>
              </w:rPr>
            </w:pPr>
            <w:r>
              <w:rPr>
                <w:sz w:val="24"/>
              </w:rPr>
              <w:t>2.29</w:t>
            </w:r>
          </w:p>
        </w:tc>
      </w:tr>
      <w:tr>
        <w:trPr>
          <w:trHeight w:val="497" w:hRule="exact"/>
        </w:trPr>
        <w:tc>
          <w:tcPr>
            <w:tcW w:w="1930" w:type="dxa"/>
            <w:shd w:val="clear" w:color="auto" w:fill="E6EDD4"/>
          </w:tcPr>
          <w:p>
            <w:pPr>
              <w:pStyle w:val="TableParagraph"/>
              <w:ind w:left="168" w:right="107"/>
              <w:rPr>
                <w:b/>
                <w:sz w:val="24"/>
              </w:rPr>
            </w:pPr>
            <w:r>
              <w:rPr>
                <w:b/>
                <w:sz w:val="24"/>
              </w:rPr>
              <w:t>PP/FH</w:t>
            </w:r>
          </w:p>
        </w:tc>
        <w:tc>
          <w:tcPr>
            <w:tcW w:w="2086" w:type="dxa"/>
            <w:shd w:val="clear" w:color="auto" w:fill="E6EDD4"/>
          </w:tcPr>
          <w:p>
            <w:pPr>
              <w:pStyle w:val="TableParagraph"/>
              <w:ind w:left="167"/>
              <w:rPr>
                <w:sz w:val="24"/>
              </w:rPr>
            </w:pPr>
            <w:r>
              <w:rPr>
                <w:sz w:val="24"/>
              </w:rPr>
              <w:t>FEMENINO</w:t>
            </w:r>
          </w:p>
        </w:tc>
        <w:tc>
          <w:tcPr>
            <w:tcW w:w="1181" w:type="dxa"/>
            <w:shd w:val="clear" w:color="auto" w:fill="E6EDD4"/>
          </w:tcPr>
          <w:p>
            <w:pPr>
              <w:pStyle w:val="TableParagraph"/>
              <w:ind w:left="518"/>
              <w:rPr>
                <w:sz w:val="24"/>
              </w:rPr>
            </w:pPr>
            <w:r>
              <w:rPr>
                <w:sz w:val="24"/>
              </w:rPr>
              <w:t>64</w:t>
            </w:r>
          </w:p>
        </w:tc>
        <w:tc>
          <w:tcPr>
            <w:tcW w:w="1477" w:type="dxa"/>
            <w:shd w:val="clear" w:color="auto" w:fill="E6EDD4"/>
          </w:tcPr>
          <w:p>
            <w:pPr>
              <w:pStyle w:val="TableParagraph"/>
              <w:ind w:right="285"/>
              <w:jc w:val="right"/>
              <w:rPr>
                <w:sz w:val="24"/>
              </w:rPr>
            </w:pPr>
            <w:r>
              <w:rPr>
                <w:sz w:val="24"/>
              </w:rPr>
              <w:t>.42</w:t>
            </w:r>
          </w:p>
        </w:tc>
        <w:tc>
          <w:tcPr>
            <w:tcW w:w="2186" w:type="dxa"/>
            <w:shd w:val="clear" w:color="auto" w:fill="E6EDD4"/>
          </w:tcPr>
          <w:p>
            <w:pPr>
              <w:pStyle w:val="TableParagraph"/>
              <w:ind w:right="165"/>
              <w:jc w:val="right"/>
              <w:rPr>
                <w:sz w:val="24"/>
              </w:rPr>
            </w:pPr>
            <w:r>
              <w:rPr>
                <w:sz w:val="24"/>
              </w:rPr>
              <w:t>3.45</w:t>
            </w:r>
          </w:p>
        </w:tc>
      </w:tr>
      <w:tr>
        <w:trPr>
          <w:trHeight w:val="415" w:hRule="exact"/>
        </w:trPr>
        <w:tc>
          <w:tcPr>
            <w:tcW w:w="1930" w:type="dxa"/>
            <w:shd w:val="clear" w:color="auto" w:fill="E6EDD4"/>
          </w:tcPr>
          <w:p>
            <w:pPr/>
          </w:p>
        </w:tc>
        <w:tc>
          <w:tcPr>
            <w:tcW w:w="2086" w:type="dxa"/>
            <w:tcBorders>
              <w:top w:val="single" w:sz="34" w:space="0" w:color="E6EDD4"/>
            </w:tcBorders>
          </w:tcPr>
          <w:p>
            <w:pPr>
              <w:pStyle w:val="TableParagraph"/>
              <w:spacing w:line="232" w:lineRule="exact"/>
              <w:ind w:left="167"/>
              <w:rPr>
                <w:sz w:val="24"/>
              </w:rPr>
            </w:pPr>
            <w:r>
              <w:rPr>
                <w:sz w:val="24"/>
              </w:rPr>
              <w:t>MASCULINO</w:t>
            </w:r>
          </w:p>
        </w:tc>
        <w:tc>
          <w:tcPr>
            <w:tcW w:w="1181" w:type="dxa"/>
            <w:tcBorders>
              <w:top w:val="single" w:sz="34" w:space="0" w:color="E6EDD4"/>
            </w:tcBorders>
          </w:tcPr>
          <w:p>
            <w:pPr>
              <w:pStyle w:val="TableParagraph"/>
              <w:spacing w:line="232" w:lineRule="exact"/>
              <w:ind w:left="518"/>
              <w:rPr>
                <w:sz w:val="24"/>
              </w:rPr>
            </w:pPr>
            <w:r>
              <w:rPr>
                <w:sz w:val="24"/>
              </w:rPr>
              <w:t>72</w:t>
            </w:r>
          </w:p>
        </w:tc>
        <w:tc>
          <w:tcPr>
            <w:tcW w:w="1477" w:type="dxa"/>
            <w:tcBorders>
              <w:top w:val="single" w:sz="34" w:space="0" w:color="E6EDD4"/>
            </w:tcBorders>
          </w:tcPr>
          <w:p>
            <w:pPr>
              <w:pStyle w:val="TableParagraph"/>
              <w:spacing w:line="232" w:lineRule="exact"/>
              <w:ind w:right="285"/>
              <w:jc w:val="right"/>
              <w:rPr>
                <w:sz w:val="24"/>
              </w:rPr>
            </w:pPr>
            <w:r>
              <w:rPr>
                <w:sz w:val="24"/>
              </w:rPr>
              <w:t>1.16</w:t>
            </w:r>
          </w:p>
        </w:tc>
        <w:tc>
          <w:tcPr>
            <w:tcW w:w="2186" w:type="dxa"/>
            <w:tcBorders>
              <w:top w:val="single" w:sz="34" w:space="0" w:color="E6EDD4"/>
            </w:tcBorders>
          </w:tcPr>
          <w:p>
            <w:pPr>
              <w:pStyle w:val="TableParagraph"/>
              <w:spacing w:line="232" w:lineRule="exact"/>
              <w:ind w:right="165"/>
              <w:jc w:val="right"/>
              <w:rPr>
                <w:sz w:val="24"/>
              </w:rPr>
            </w:pPr>
            <w:r>
              <w:rPr>
                <w:sz w:val="24"/>
              </w:rPr>
              <w:t>2.86</w:t>
            </w:r>
          </w:p>
        </w:tc>
      </w:tr>
      <w:tr>
        <w:trPr>
          <w:trHeight w:val="497" w:hRule="exact"/>
        </w:trPr>
        <w:tc>
          <w:tcPr>
            <w:tcW w:w="1930" w:type="dxa"/>
            <w:shd w:val="clear" w:color="auto" w:fill="E6EDD4"/>
          </w:tcPr>
          <w:p>
            <w:pPr>
              <w:pStyle w:val="TableParagraph"/>
              <w:ind w:left="168" w:right="107"/>
              <w:rPr>
                <w:b/>
                <w:sz w:val="24"/>
              </w:rPr>
            </w:pPr>
            <w:r>
              <w:rPr>
                <w:b/>
                <w:sz w:val="24"/>
              </w:rPr>
              <w:t>APDI</w:t>
            </w:r>
          </w:p>
        </w:tc>
        <w:tc>
          <w:tcPr>
            <w:tcW w:w="2086" w:type="dxa"/>
            <w:shd w:val="clear" w:color="auto" w:fill="E6EDD4"/>
          </w:tcPr>
          <w:p>
            <w:pPr>
              <w:pStyle w:val="TableParagraph"/>
              <w:ind w:left="167"/>
              <w:rPr>
                <w:sz w:val="24"/>
              </w:rPr>
            </w:pPr>
            <w:r>
              <w:rPr>
                <w:sz w:val="24"/>
              </w:rPr>
              <w:t>FEMENINO</w:t>
            </w:r>
          </w:p>
        </w:tc>
        <w:tc>
          <w:tcPr>
            <w:tcW w:w="1181" w:type="dxa"/>
            <w:shd w:val="clear" w:color="auto" w:fill="E6EDD4"/>
          </w:tcPr>
          <w:p>
            <w:pPr>
              <w:pStyle w:val="TableParagraph"/>
              <w:ind w:left="518"/>
              <w:rPr>
                <w:sz w:val="24"/>
              </w:rPr>
            </w:pPr>
            <w:r>
              <w:rPr>
                <w:sz w:val="24"/>
              </w:rPr>
              <w:t>64</w:t>
            </w:r>
          </w:p>
        </w:tc>
        <w:tc>
          <w:tcPr>
            <w:tcW w:w="1477" w:type="dxa"/>
            <w:shd w:val="clear" w:color="auto" w:fill="E6EDD4"/>
          </w:tcPr>
          <w:p>
            <w:pPr>
              <w:pStyle w:val="TableParagraph"/>
              <w:ind w:right="285"/>
              <w:jc w:val="right"/>
              <w:rPr>
                <w:sz w:val="24"/>
              </w:rPr>
            </w:pPr>
            <w:r>
              <w:rPr>
                <w:sz w:val="24"/>
              </w:rPr>
              <w:t>80.76</w:t>
            </w:r>
          </w:p>
        </w:tc>
        <w:tc>
          <w:tcPr>
            <w:tcW w:w="2186" w:type="dxa"/>
            <w:shd w:val="clear" w:color="auto" w:fill="E6EDD4"/>
          </w:tcPr>
          <w:p>
            <w:pPr>
              <w:pStyle w:val="TableParagraph"/>
              <w:ind w:right="165"/>
              <w:jc w:val="right"/>
              <w:rPr>
                <w:sz w:val="24"/>
              </w:rPr>
            </w:pPr>
            <w:r>
              <w:rPr>
                <w:sz w:val="24"/>
              </w:rPr>
              <w:t>7.32</w:t>
            </w:r>
          </w:p>
        </w:tc>
      </w:tr>
      <w:tr>
        <w:trPr>
          <w:trHeight w:val="413" w:hRule="exact"/>
        </w:trPr>
        <w:tc>
          <w:tcPr>
            <w:tcW w:w="1930" w:type="dxa"/>
            <w:shd w:val="clear" w:color="auto" w:fill="E6EDD4"/>
          </w:tcPr>
          <w:p>
            <w:pPr/>
          </w:p>
        </w:tc>
        <w:tc>
          <w:tcPr>
            <w:tcW w:w="2086" w:type="dxa"/>
            <w:tcBorders>
              <w:top w:val="single" w:sz="34" w:space="0" w:color="E6EDD4"/>
            </w:tcBorders>
          </w:tcPr>
          <w:p>
            <w:pPr>
              <w:pStyle w:val="TableParagraph"/>
              <w:spacing w:line="232" w:lineRule="exact"/>
              <w:ind w:left="167"/>
              <w:rPr>
                <w:sz w:val="24"/>
              </w:rPr>
            </w:pPr>
            <w:r>
              <w:rPr>
                <w:sz w:val="24"/>
              </w:rPr>
              <w:t>MASCULINO</w:t>
            </w:r>
          </w:p>
        </w:tc>
        <w:tc>
          <w:tcPr>
            <w:tcW w:w="1181" w:type="dxa"/>
            <w:tcBorders>
              <w:top w:val="single" w:sz="34" w:space="0" w:color="E6EDD4"/>
            </w:tcBorders>
          </w:tcPr>
          <w:p>
            <w:pPr>
              <w:pStyle w:val="TableParagraph"/>
              <w:spacing w:line="232" w:lineRule="exact"/>
              <w:ind w:left="518"/>
              <w:rPr>
                <w:sz w:val="24"/>
              </w:rPr>
            </w:pPr>
            <w:r>
              <w:rPr>
                <w:sz w:val="24"/>
              </w:rPr>
              <w:t>72</w:t>
            </w:r>
          </w:p>
        </w:tc>
        <w:tc>
          <w:tcPr>
            <w:tcW w:w="1477" w:type="dxa"/>
            <w:tcBorders>
              <w:top w:val="single" w:sz="34" w:space="0" w:color="E6EDD4"/>
            </w:tcBorders>
          </w:tcPr>
          <w:p>
            <w:pPr>
              <w:pStyle w:val="TableParagraph"/>
              <w:spacing w:line="232" w:lineRule="exact"/>
              <w:ind w:right="285"/>
              <w:jc w:val="right"/>
              <w:rPr>
                <w:sz w:val="24"/>
              </w:rPr>
            </w:pPr>
            <w:r>
              <w:rPr>
                <w:sz w:val="24"/>
              </w:rPr>
              <w:t>82.23</w:t>
            </w:r>
          </w:p>
        </w:tc>
        <w:tc>
          <w:tcPr>
            <w:tcW w:w="2186" w:type="dxa"/>
            <w:tcBorders>
              <w:top w:val="single" w:sz="34" w:space="0" w:color="E6EDD4"/>
            </w:tcBorders>
          </w:tcPr>
          <w:p>
            <w:pPr>
              <w:pStyle w:val="TableParagraph"/>
              <w:spacing w:line="232" w:lineRule="exact"/>
              <w:ind w:right="165"/>
              <w:jc w:val="right"/>
              <w:rPr>
                <w:sz w:val="24"/>
              </w:rPr>
            </w:pPr>
            <w:r>
              <w:rPr>
                <w:sz w:val="24"/>
              </w:rPr>
              <w:t>5.41</w:t>
            </w:r>
          </w:p>
        </w:tc>
      </w:tr>
      <w:tr>
        <w:trPr>
          <w:trHeight w:val="497" w:hRule="exact"/>
        </w:trPr>
        <w:tc>
          <w:tcPr>
            <w:tcW w:w="1930" w:type="dxa"/>
            <w:shd w:val="clear" w:color="auto" w:fill="E6EDD4"/>
          </w:tcPr>
          <w:p>
            <w:pPr>
              <w:pStyle w:val="TableParagraph"/>
              <w:ind w:left="168" w:right="107"/>
              <w:rPr>
                <w:b/>
                <w:sz w:val="24"/>
              </w:rPr>
            </w:pPr>
            <w:r>
              <w:rPr>
                <w:b/>
                <w:sz w:val="24"/>
              </w:rPr>
              <w:t>AB/PM</w:t>
            </w:r>
          </w:p>
        </w:tc>
        <w:tc>
          <w:tcPr>
            <w:tcW w:w="2086" w:type="dxa"/>
            <w:shd w:val="clear" w:color="auto" w:fill="E6EDD4"/>
          </w:tcPr>
          <w:p>
            <w:pPr>
              <w:pStyle w:val="TableParagraph"/>
              <w:ind w:left="167"/>
              <w:rPr>
                <w:sz w:val="24"/>
              </w:rPr>
            </w:pPr>
            <w:r>
              <w:rPr>
                <w:sz w:val="24"/>
              </w:rPr>
              <w:t>FEMENINO</w:t>
            </w:r>
          </w:p>
        </w:tc>
        <w:tc>
          <w:tcPr>
            <w:tcW w:w="1181" w:type="dxa"/>
            <w:shd w:val="clear" w:color="auto" w:fill="E6EDD4"/>
          </w:tcPr>
          <w:p>
            <w:pPr>
              <w:pStyle w:val="TableParagraph"/>
              <w:ind w:left="518"/>
              <w:rPr>
                <w:sz w:val="24"/>
              </w:rPr>
            </w:pPr>
            <w:r>
              <w:rPr>
                <w:sz w:val="24"/>
              </w:rPr>
              <w:t>64</w:t>
            </w:r>
          </w:p>
        </w:tc>
        <w:tc>
          <w:tcPr>
            <w:tcW w:w="1477" w:type="dxa"/>
            <w:shd w:val="clear" w:color="auto" w:fill="E6EDD4"/>
          </w:tcPr>
          <w:p>
            <w:pPr>
              <w:pStyle w:val="TableParagraph"/>
              <w:ind w:right="285"/>
              <w:jc w:val="right"/>
              <w:rPr>
                <w:sz w:val="24"/>
              </w:rPr>
            </w:pPr>
            <w:r>
              <w:rPr>
                <w:sz w:val="24"/>
              </w:rPr>
              <w:t>73.04</w:t>
            </w:r>
          </w:p>
        </w:tc>
        <w:tc>
          <w:tcPr>
            <w:tcW w:w="2186" w:type="dxa"/>
            <w:shd w:val="clear" w:color="auto" w:fill="E6EDD4"/>
          </w:tcPr>
          <w:p>
            <w:pPr>
              <w:pStyle w:val="TableParagraph"/>
              <w:ind w:right="165"/>
              <w:jc w:val="right"/>
              <w:rPr>
                <w:sz w:val="24"/>
              </w:rPr>
            </w:pPr>
            <w:r>
              <w:rPr>
                <w:sz w:val="24"/>
              </w:rPr>
              <w:t>4.58</w:t>
            </w:r>
          </w:p>
        </w:tc>
      </w:tr>
      <w:tr>
        <w:trPr>
          <w:trHeight w:val="415" w:hRule="exact"/>
        </w:trPr>
        <w:tc>
          <w:tcPr>
            <w:tcW w:w="1930" w:type="dxa"/>
            <w:shd w:val="clear" w:color="auto" w:fill="E6EDD4"/>
          </w:tcPr>
          <w:p>
            <w:pPr/>
          </w:p>
        </w:tc>
        <w:tc>
          <w:tcPr>
            <w:tcW w:w="2086" w:type="dxa"/>
            <w:tcBorders>
              <w:top w:val="single" w:sz="33" w:space="0" w:color="E6EDD4"/>
            </w:tcBorders>
          </w:tcPr>
          <w:p>
            <w:pPr>
              <w:pStyle w:val="TableParagraph"/>
              <w:spacing w:line="233" w:lineRule="exact"/>
              <w:ind w:left="167"/>
              <w:rPr>
                <w:sz w:val="24"/>
              </w:rPr>
            </w:pPr>
            <w:r>
              <w:rPr>
                <w:sz w:val="24"/>
              </w:rPr>
              <w:t>MASCULINO</w:t>
            </w:r>
          </w:p>
        </w:tc>
        <w:tc>
          <w:tcPr>
            <w:tcW w:w="1181" w:type="dxa"/>
            <w:tcBorders>
              <w:top w:val="single" w:sz="33" w:space="0" w:color="E6EDD4"/>
            </w:tcBorders>
          </w:tcPr>
          <w:p>
            <w:pPr>
              <w:pStyle w:val="TableParagraph"/>
              <w:spacing w:line="233" w:lineRule="exact"/>
              <w:ind w:left="518"/>
              <w:rPr>
                <w:sz w:val="24"/>
              </w:rPr>
            </w:pPr>
            <w:r>
              <w:rPr>
                <w:sz w:val="24"/>
              </w:rPr>
              <w:t>72</w:t>
            </w:r>
          </w:p>
        </w:tc>
        <w:tc>
          <w:tcPr>
            <w:tcW w:w="1477" w:type="dxa"/>
            <w:tcBorders>
              <w:top w:val="single" w:sz="33" w:space="0" w:color="E6EDD4"/>
            </w:tcBorders>
          </w:tcPr>
          <w:p>
            <w:pPr>
              <w:pStyle w:val="TableParagraph"/>
              <w:spacing w:line="233" w:lineRule="exact"/>
              <w:ind w:right="285"/>
              <w:jc w:val="right"/>
              <w:rPr>
                <w:sz w:val="24"/>
              </w:rPr>
            </w:pPr>
            <w:r>
              <w:rPr>
                <w:sz w:val="24"/>
              </w:rPr>
              <w:t>72.30</w:t>
            </w:r>
          </w:p>
        </w:tc>
        <w:tc>
          <w:tcPr>
            <w:tcW w:w="2186" w:type="dxa"/>
            <w:tcBorders>
              <w:top w:val="single" w:sz="33" w:space="0" w:color="E6EDD4"/>
            </w:tcBorders>
          </w:tcPr>
          <w:p>
            <w:pPr>
              <w:pStyle w:val="TableParagraph"/>
              <w:spacing w:line="233" w:lineRule="exact"/>
              <w:ind w:right="165"/>
              <w:jc w:val="right"/>
              <w:rPr>
                <w:sz w:val="24"/>
              </w:rPr>
            </w:pPr>
            <w:r>
              <w:rPr>
                <w:sz w:val="24"/>
              </w:rPr>
              <w:t>4.72</w:t>
            </w:r>
          </w:p>
        </w:tc>
      </w:tr>
      <w:tr>
        <w:trPr>
          <w:trHeight w:val="497" w:hRule="exact"/>
        </w:trPr>
        <w:tc>
          <w:tcPr>
            <w:tcW w:w="1930" w:type="dxa"/>
            <w:shd w:val="clear" w:color="auto" w:fill="E6EDD4"/>
          </w:tcPr>
          <w:p>
            <w:pPr>
              <w:pStyle w:val="TableParagraph"/>
              <w:ind w:left="168" w:right="107"/>
              <w:rPr>
                <w:b/>
                <w:sz w:val="24"/>
              </w:rPr>
            </w:pPr>
            <w:r>
              <w:rPr>
                <w:b/>
                <w:sz w:val="24"/>
              </w:rPr>
              <w:t>PP/FH</w:t>
            </w:r>
          </w:p>
        </w:tc>
        <w:tc>
          <w:tcPr>
            <w:tcW w:w="2086" w:type="dxa"/>
            <w:shd w:val="clear" w:color="auto" w:fill="E6EDD4"/>
          </w:tcPr>
          <w:p>
            <w:pPr>
              <w:pStyle w:val="TableParagraph"/>
              <w:ind w:left="167"/>
              <w:rPr>
                <w:sz w:val="24"/>
              </w:rPr>
            </w:pPr>
            <w:r>
              <w:rPr>
                <w:sz w:val="24"/>
              </w:rPr>
              <w:t>FEMENINO</w:t>
            </w:r>
          </w:p>
        </w:tc>
        <w:tc>
          <w:tcPr>
            <w:tcW w:w="1181" w:type="dxa"/>
            <w:shd w:val="clear" w:color="auto" w:fill="E6EDD4"/>
          </w:tcPr>
          <w:p>
            <w:pPr>
              <w:pStyle w:val="TableParagraph"/>
              <w:ind w:left="518"/>
              <w:rPr>
                <w:sz w:val="24"/>
              </w:rPr>
            </w:pPr>
            <w:r>
              <w:rPr>
                <w:sz w:val="24"/>
              </w:rPr>
              <w:t>64</w:t>
            </w:r>
          </w:p>
        </w:tc>
        <w:tc>
          <w:tcPr>
            <w:tcW w:w="1477" w:type="dxa"/>
            <w:shd w:val="clear" w:color="auto" w:fill="E6EDD4"/>
          </w:tcPr>
          <w:p>
            <w:pPr>
              <w:pStyle w:val="TableParagraph"/>
              <w:ind w:right="285"/>
              <w:jc w:val="right"/>
              <w:rPr>
                <w:sz w:val="24"/>
              </w:rPr>
            </w:pPr>
            <w:r>
              <w:rPr>
                <w:sz w:val="24"/>
              </w:rPr>
              <w:t>.42</w:t>
            </w:r>
          </w:p>
        </w:tc>
        <w:tc>
          <w:tcPr>
            <w:tcW w:w="2186" w:type="dxa"/>
            <w:shd w:val="clear" w:color="auto" w:fill="E6EDD4"/>
          </w:tcPr>
          <w:p>
            <w:pPr>
              <w:pStyle w:val="TableParagraph"/>
              <w:ind w:right="165"/>
              <w:jc w:val="right"/>
              <w:rPr>
                <w:sz w:val="24"/>
              </w:rPr>
            </w:pPr>
            <w:r>
              <w:rPr>
                <w:sz w:val="24"/>
              </w:rPr>
              <w:t>3.45</w:t>
            </w:r>
          </w:p>
        </w:tc>
      </w:tr>
      <w:tr>
        <w:trPr>
          <w:trHeight w:val="413" w:hRule="exact"/>
        </w:trPr>
        <w:tc>
          <w:tcPr>
            <w:tcW w:w="1930" w:type="dxa"/>
            <w:shd w:val="clear" w:color="auto" w:fill="E6EDD4"/>
          </w:tcPr>
          <w:p>
            <w:pPr/>
          </w:p>
        </w:tc>
        <w:tc>
          <w:tcPr>
            <w:tcW w:w="2086" w:type="dxa"/>
            <w:tcBorders>
              <w:top w:val="single" w:sz="34" w:space="0" w:color="E6EDD4"/>
            </w:tcBorders>
          </w:tcPr>
          <w:p>
            <w:pPr>
              <w:pStyle w:val="TableParagraph"/>
              <w:spacing w:line="232" w:lineRule="exact"/>
              <w:ind w:left="167"/>
              <w:rPr>
                <w:sz w:val="24"/>
              </w:rPr>
            </w:pPr>
            <w:r>
              <w:rPr>
                <w:sz w:val="24"/>
              </w:rPr>
              <w:t>MASCULINO</w:t>
            </w:r>
          </w:p>
        </w:tc>
        <w:tc>
          <w:tcPr>
            <w:tcW w:w="1181" w:type="dxa"/>
            <w:tcBorders>
              <w:top w:val="single" w:sz="34" w:space="0" w:color="E6EDD4"/>
            </w:tcBorders>
          </w:tcPr>
          <w:p>
            <w:pPr>
              <w:pStyle w:val="TableParagraph"/>
              <w:spacing w:line="232" w:lineRule="exact"/>
              <w:ind w:left="518"/>
              <w:rPr>
                <w:sz w:val="24"/>
              </w:rPr>
            </w:pPr>
            <w:r>
              <w:rPr>
                <w:sz w:val="24"/>
              </w:rPr>
              <w:t>72</w:t>
            </w:r>
          </w:p>
        </w:tc>
        <w:tc>
          <w:tcPr>
            <w:tcW w:w="1477" w:type="dxa"/>
            <w:tcBorders>
              <w:top w:val="single" w:sz="34" w:space="0" w:color="E6EDD4"/>
            </w:tcBorders>
          </w:tcPr>
          <w:p>
            <w:pPr>
              <w:pStyle w:val="TableParagraph"/>
              <w:spacing w:line="232" w:lineRule="exact"/>
              <w:ind w:right="285"/>
              <w:jc w:val="right"/>
              <w:rPr>
                <w:sz w:val="24"/>
              </w:rPr>
            </w:pPr>
            <w:r>
              <w:rPr>
                <w:sz w:val="24"/>
              </w:rPr>
              <w:t>1.16</w:t>
            </w:r>
          </w:p>
        </w:tc>
        <w:tc>
          <w:tcPr>
            <w:tcW w:w="2186" w:type="dxa"/>
            <w:tcBorders>
              <w:top w:val="single" w:sz="34" w:space="0" w:color="E6EDD4"/>
            </w:tcBorders>
          </w:tcPr>
          <w:p>
            <w:pPr>
              <w:pStyle w:val="TableParagraph"/>
              <w:spacing w:line="232" w:lineRule="exact"/>
              <w:ind w:right="165"/>
              <w:jc w:val="right"/>
              <w:rPr>
                <w:sz w:val="24"/>
              </w:rPr>
            </w:pPr>
            <w:r>
              <w:rPr>
                <w:sz w:val="24"/>
              </w:rPr>
              <w:t>2.86</w:t>
            </w:r>
          </w:p>
        </w:tc>
      </w:tr>
      <w:tr>
        <w:trPr>
          <w:trHeight w:val="497" w:hRule="exact"/>
        </w:trPr>
        <w:tc>
          <w:tcPr>
            <w:tcW w:w="1930" w:type="dxa"/>
            <w:shd w:val="clear" w:color="auto" w:fill="E6EDD4"/>
          </w:tcPr>
          <w:p>
            <w:pPr>
              <w:pStyle w:val="TableParagraph"/>
              <w:ind w:left="168" w:right="107"/>
              <w:rPr>
                <w:b/>
                <w:sz w:val="24"/>
              </w:rPr>
            </w:pPr>
            <w:r>
              <w:rPr>
                <w:b/>
                <w:sz w:val="24"/>
              </w:rPr>
              <w:t>ODI</w:t>
            </w:r>
          </w:p>
        </w:tc>
        <w:tc>
          <w:tcPr>
            <w:tcW w:w="2086" w:type="dxa"/>
            <w:shd w:val="clear" w:color="auto" w:fill="E6EDD4"/>
          </w:tcPr>
          <w:p>
            <w:pPr>
              <w:pStyle w:val="TableParagraph"/>
              <w:ind w:left="167"/>
              <w:rPr>
                <w:sz w:val="24"/>
              </w:rPr>
            </w:pPr>
            <w:r>
              <w:rPr>
                <w:sz w:val="24"/>
              </w:rPr>
              <w:t>FEMENINO</w:t>
            </w:r>
          </w:p>
        </w:tc>
        <w:tc>
          <w:tcPr>
            <w:tcW w:w="1181" w:type="dxa"/>
            <w:shd w:val="clear" w:color="auto" w:fill="E6EDD4"/>
          </w:tcPr>
          <w:p>
            <w:pPr>
              <w:pStyle w:val="TableParagraph"/>
              <w:ind w:left="518"/>
              <w:rPr>
                <w:sz w:val="24"/>
              </w:rPr>
            </w:pPr>
            <w:r>
              <w:rPr>
                <w:sz w:val="24"/>
              </w:rPr>
              <w:t>64</w:t>
            </w:r>
          </w:p>
        </w:tc>
        <w:tc>
          <w:tcPr>
            <w:tcW w:w="1477" w:type="dxa"/>
            <w:shd w:val="clear" w:color="auto" w:fill="E6EDD4"/>
          </w:tcPr>
          <w:p>
            <w:pPr>
              <w:pStyle w:val="TableParagraph"/>
              <w:ind w:right="285"/>
              <w:jc w:val="right"/>
              <w:rPr>
                <w:sz w:val="24"/>
              </w:rPr>
            </w:pPr>
            <w:r>
              <w:rPr>
                <w:sz w:val="24"/>
              </w:rPr>
              <w:t>73.53</w:t>
            </w:r>
          </w:p>
        </w:tc>
        <w:tc>
          <w:tcPr>
            <w:tcW w:w="2186" w:type="dxa"/>
            <w:shd w:val="clear" w:color="auto" w:fill="E6EDD4"/>
          </w:tcPr>
          <w:p>
            <w:pPr>
              <w:pStyle w:val="TableParagraph"/>
              <w:ind w:right="165"/>
              <w:jc w:val="right"/>
              <w:rPr>
                <w:sz w:val="24"/>
              </w:rPr>
            </w:pPr>
            <w:r>
              <w:rPr>
                <w:sz w:val="24"/>
              </w:rPr>
              <w:t>5.27</w:t>
            </w:r>
          </w:p>
        </w:tc>
      </w:tr>
      <w:tr>
        <w:trPr>
          <w:trHeight w:val="430" w:hRule="exact"/>
        </w:trPr>
        <w:tc>
          <w:tcPr>
            <w:tcW w:w="1930" w:type="dxa"/>
            <w:tcBorders>
              <w:bottom w:val="single" w:sz="8" w:space="0" w:color="9BBA58"/>
            </w:tcBorders>
            <w:shd w:val="clear" w:color="auto" w:fill="E6EDD4"/>
          </w:tcPr>
          <w:p>
            <w:pPr/>
          </w:p>
        </w:tc>
        <w:tc>
          <w:tcPr>
            <w:tcW w:w="2086" w:type="dxa"/>
            <w:tcBorders>
              <w:top w:val="single" w:sz="33" w:space="0" w:color="E6EDD4"/>
              <w:bottom w:val="single" w:sz="8" w:space="0" w:color="9BBA58"/>
            </w:tcBorders>
          </w:tcPr>
          <w:p>
            <w:pPr>
              <w:pStyle w:val="TableParagraph"/>
              <w:spacing w:line="233" w:lineRule="exact"/>
              <w:ind w:left="167"/>
              <w:rPr>
                <w:sz w:val="24"/>
              </w:rPr>
            </w:pPr>
            <w:r>
              <w:rPr>
                <w:sz w:val="24"/>
              </w:rPr>
              <w:t>MASCULINO</w:t>
            </w:r>
          </w:p>
        </w:tc>
        <w:tc>
          <w:tcPr>
            <w:tcW w:w="1181" w:type="dxa"/>
            <w:tcBorders>
              <w:top w:val="single" w:sz="33" w:space="0" w:color="E6EDD4"/>
              <w:bottom w:val="single" w:sz="8" w:space="0" w:color="9BBA58"/>
            </w:tcBorders>
          </w:tcPr>
          <w:p>
            <w:pPr>
              <w:pStyle w:val="TableParagraph"/>
              <w:spacing w:line="233" w:lineRule="exact"/>
              <w:ind w:left="518"/>
              <w:rPr>
                <w:sz w:val="24"/>
              </w:rPr>
            </w:pPr>
            <w:r>
              <w:rPr>
                <w:sz w:val="24"/>
              </w:rPr>
              <w:t>72</w:t>
            </w:r>
          </w:p>
        </w:tc>
        <w:tc>
          <w:tcPr>
            <w:tcW w:w="1477" w:type="dxa"/>
            <w:tcBorders>
              <w:top w:val="single" w:sz="33" w:space="0" w:color="E6EDD4"/>
              <w:bottom w:val="single" w:sz="8" w:space="0" w:color="9BBA58"/>
            </w:tcBorders>
          </w:tcPr>
          <w:p>
            <w:pPr>
              <w:pStyle w:val="TableParagraph"/>
              <w:spacing w:line="233" w:lineRule="exact"/>
              <w:ind w:right="285"/>
              <w:jc w:val="right"/>
              <w:rPr>
                <w:sz w:val="24"/>
              </w:rPr>
            </w:pPr>
            <w:r>
              <w:rPr>
                <w:sz w:val="24"/>
              </w:rPr>
              <w:t>73.27</w:t>
            </w:r>
          </w:p>
        </w:tc>
        <w:tc>
          <w:tcPr>
            <w:tcW w:w="2186" w:type="dxa"/>
            <w:tcBorders>
              <w:top w:val="single" w:sz="33" w:space="0" w:color="E6EDD4"/>
              <w:bottom w:val="single" w:sz="8" w:space="0" w:color="9BBA58"/>
            </w:tcBorders>
          </w:tcPr>
          <w:p>
            <w:pPr>
              <w:pStyle w:val="TableParagraph"/>
              <w:spacing w:line="233" w:lineRule="exact"/>
              <w:ind w:right="165"/>
              <w:jc w:val="right"/>
              <w:rPr>
                <w:sz w:val="24"/>
              </w:rPr>
            </w:pPr>
            <w:r>
              <w:rPr>
                <w:sz w:val="24"/>
              </w:rPr>
              <w:t>5.27</w:t>
            </w:r>
          </w:p>
        </w:tc>
      </w:tr>
    </w:tbl>
    <w:p>
      <w:pPr>
        <w:spacing w:line="201" w:lineRule="exact" w:before="0"/>
        <w:ind w:left="0" w:right="857" w:firstLine="0"/>
        <w:jc w:val="right"/>
        <w:rPr>
          <w:sz w:val="18"/>
        </w:rPr>
      </w:pPr>
      <w:r>
        <w:rPr>
          <w:sz w:val="18"/>
        </w:rPr>
        <w:t>Fuente: directa</w:t>
      </w:r>
    </w:p>
    <w:p>
      <w:pPr>
        <w:spacing w:after="0" w:line="201" w:lineRule="exact"/>
        <w:jc w:val="right"/>
        <w:rPr>
          <w:sz w:val="18"/>
        </w:rPr>
        <w:sectPr>
          <w:pgSz w:w="12240" w:h="15840"/>
          <w:pgMar w:header="596" w:footer="1003" w:top="1380" w:bottom="1200" w:left="900" w:right="840"/>
        </w:sectPr>
      </w:pPr>
    </w:p>
    <w:p>
      <w:pPr>
        <w:pStyle w:val="BodyText"/>
        <w:spacing w:before="5"/>
        <w:rPr>
          <w:sz w:val="21"/>
        </w:rPr>
      </w:pPr>
    </w:p>
    <w:p>
      <w:pPr>
        <w:pStyle w:val="BodyText"/>
        <w:spacing w:line="360" w:lineRule="auto" w:before="69"/>
        <w:ind w:left="518" w:right="856"/>
        <w:jc w:val="both"/>
      </w:pPr>
      <w:r>
        <w:rPr/>
        <w:t>En el cuadro III, se muestran los resultados de la prueba t de Student: se puede observar que existe una diferencia estadísticamente significativa en el Indicador de Displasia Anteroposterior (APDI) para el total de la muestra, analizada por sexo, corroborando lo mencionado anteriormente.</w:t>
      </w:r>
    </w:p>
    <w:p>
      <w:pPr>
        <w:pStyle w:val="BodyText"/>
        <w:spacing w:before="204"/>
        <w:ind w:left="518"/>
        <w:jc w:val="both"/>
      </w:pPr>
      <w:r>
        <w:rPr/>
        <w:t>No se encontraron diferencias significativas en los demás parámetros cefalométricos.</w:t>
      </w:r>
    </w:p>
    <w:p>
      <w:pPr>
        <w:pStyle w:val="BodyText"/>
        <w:spacing w:before="4"/>
        <w:rPr>
          <w:sz w:val="29"/>
        </w:rPr>
      </w:pPr>
    </w:p>
    <w:p>
      <w:pPr>
        <w:spacing w:before="1"/>
        <w:ind w:left="0" w:right="339" w:firstLine="0"/>
        <w:jc w:val="center"/>
        <w:rPr>
          <w:b/>
          <w:sz w:val="24"/>
        </w:rPr>
      </w:pPr>
      <w:r>
        <w:rPr>
          <w:b/>
          <w:sz w:val="24"/>
        </w:rPr>
        <w:t>Cuadro III. Prueba t para el total de muestra.</w:t>
      </w:r>
    </w:p>
    <w:p>
      <w:pPr>
        <w:pStyle w:val="BodyText"/>
        <w:spacing w:before="6" w:after="1"/>
        <w:rPr>
          <w:b/>
          <w:sz w:val="29"/>
        </w:rPr>
      </w:pPr>
    </w:p>
    <w:tbl>
      <w:tblPr>
        <w:tblW w:w="0" w:type="auto"/>
        <w:jc w:val="left"/>
        <w:tblInd w:w="4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068"/>
        <w:gridCol w:w="2202"/>
        <w:gridCol w:w="2626"/>
      </w:tblGrid>
      <w:tr>
        <w:trPr>
          <w:trHeight w:val="434" w:hRule="exact"/>
        </w:trPr>
        <w:tc>
          <w:tcPr>
            <w:tcW w:w="4068" w:type="dxa"/>
            <w:tcBorders>
              <w:top w:val="single" w:sz="8" w:space="0" w:color="9BBA58"/>
              <w:bottom w:val="single" w:sz="8" w:space="0" w:color="9BBA58"/>
            </w:tcBorders>
          </w:tcPr>
          <w:p>
            <w:pPr>
              <w:pStyle w:val="TableParagraph"/>
              <w:spacing w:line="275" w:lineRule="exact"/>
              <w:ind w:left="108"/>
              <w:rPr>
                <w:b/>
                <w:sz w:val="24"/>
              </w:rPr>
            </w:pPr>
            <w:r>
              <w:rPr>
                <w:b/>
                <w:sz w:val="24"/>
              </w:rPr>
              <w:t>ParámetrosCefalométricos</w:t>
            </w:r>
          </w:p>
        </w:tc>
        <w:tc>
          <w:tcPr>
            <w:tcW w:w="2202" w:type="dxa"/>
            <w:tcBorders>
              <w:top w:val="single" w:sz="8" w:space="0" w:color="9BBA58"/>
              <w:bottom w:val="single" w:sz="8" w:space="0" w:color="9BBA58"/>
            </w:tcBorders>
          </w:tcPr>
          <w:p>
            <w:pPr>
              <w:pStyle w:val="TableParagraph"/>
              <w:spacing w:line="275" w:lineRule="exact"/>
              <w:ind w:right="869"/>
              <w:jc w:val="right"/>
              <w:rPr>
                <w:b/>
                <w:sz w:val="24"/>
              </w:rPr>
            </w:pPr>
            <w:r>
              <w:rPr>
                <w:b/>
                <w:sz w:val="24"/>
              </w:rPr>
              <w:t>F</w:t>
            </w:r>
          </w:p>
        </w:tc>
        <w:tc>
          <w:tcPr>
            <w:tcW w:w="2626" w:type="dxa"/>
            <w:tcBorders>
              <w:top w:val="single" w:sz="8" w:space="0" w:color="9BBA58"/>
              <w:bottom w:val="single" w:sz="8" w:space="0" w:color="9BBA58"/>
            </w:tcBorders>
          </w:tcPr>
          <w:p>
            <w:pPr>
              <w:pStyle w:val="TableParagraph"/>
              <w:spacing w:line="275" w:lineRule="exact"/>
              <w:ind w:left="827"/>
              <w:rPr>
                <w:b/>
                <w:sz w:val="24"/>
              </w:rPr>
            </w:pPr>
            <w:r>
              <w:rPr>
                <w:b/>
                <w:sz w:val="24"/>
              </w:rPr>
              <w:t>Sig.</w:t>
            </w:r>
          </w:p>
        </w:tc>
      </w:tr>
      <w:tr>
        <w:trPr>
          <w:trHeight w:val="443" w:hRule="exact"/>
        </w:trPr>
        <w:tc>
          <w:tcPr>
            <w:tcW w:w="4068" w:type="dxa"/>
            <w:tcBorders>
              <w:top w:val="single" w:sz="8" w:space="0" w:color="9BBA58"/>
            </w:tcBorders>
            <w:shd w:val="clear" w:color="auto" w:fill="E6EDD4"/>
          </w:tcPr>
          <w:p>
            <w:pPr>
              <w:pStyle w:val="TableParagraph"/>
              <w:spacing w:line="275" w:lineRule="exact"/>
              <w:ind w:left="175"/>
              <w:rPr>
                <w:b/>
                <w:sz w:val="24"/>
              </w:rPr>
            </w:pPr>
            <w:r>
              <w:rPr>
                <w:b/>
                <w:sz w:val="24"/>
              </w:rPr>
              <w:t>PF/FH</w:t>
            </w:r>
          </w:p>
        </w:tc>
        <w:tc>
          <w:tcPr>
            <w:tcW w:w="2202" w:type="dxa"/>
            <w:tcBorders>
              <w:top w:val="single" w:sz="8" w:space="0" w:color="9BBA58"/>
            </w:tcBorders>
            <w:shd w:val="clear" w:color="auto" w:fill="E6EDD4"/>
          </w:tcPr>
          <w:p>
            <w:pPr/>
          </w:p>
        </w:tc>
        <w:tc>
          <w:tcPr>
            <w:tcW w:w="2626" w:type="dxa"/>
            <w:tcBorders>
              <w:top w:val="single" w:sz="8" w:space="0" w:color="9BBA58"/>
            </w:tcBorders>
            <w:shd w:val="clear" w:color="auto" w:fill="E6EDD4"/>
          </w:tcPr>
          <w:p>
            <w:pPr>
              <w:pStyle w:val="TableParagraph"/>
              <w:spacing w:line="275" w:lineRule="exact"/>
              <w:ind w:left="949"/>
              <w:rPr>
                <w:sz w:val="24"/>
              </w:rPr>
            </w:pPr>
            <w:r>
              <w:rPr>
                <w:sz w:val="24"/>
              </w:rPr>
              <w:t>.81</w:t>
            </w:r>
          </w:p>
        </w:tc>
      </w:tr>
      <w:tr>
        <w:trPr>
          <w:trHeight w:val="619" w:hRule="exact"/>
        </w:trPr>
        <w:tc>
          <w:tcPr>
            <w:tcW w:w="4068" w:type="dxa"/>
          </w:tcPr>
          <w:p>
            <w:pPr>
              <w:pStyle w:val="TableParagraph"/>
              <w:ind w:left="168"/>
              <w:rPr>
                <w:b/>
                <w:sz w:val="24"/>
              </w:rPr>
            </w:pPr>
            <w:r>
              <w:rPr>
                <w:b/>
                <w:sz w:val="24"/>
              </w:rPr>
              <w:t>AB/PF</w:t>
            </w:r>
          </w:p>
        </w:tc>
        <w:tc>
          <w:tcPr>
            <w:tcW w:w="2202" w:type="dxa"/>
          </w:tcPr>
          <w:p>
            <w:pPr>
              <w:pStyle w:val="TableParagraph"/>
              <w:ind w:right="825"/>
              <w:jc w:val="right"/>
              <w:rPr>
                <w:sz w:val="24"/>
              </w:rPr>
            </w:pPr>
            <w:r>
              <w:rPr>
                <w:sz w:val="24"/>
              </w:rPr>
              <w:t>2.53</w:t>
            </w:r>
          </w:p>
        </w:tc>
        <w:tc>
          <w:tcPr>
            <w:tcW w:w="2626" w:type="dxa"/>
          </w:tcPr>
          <w:p>
            <w:pPr>
              <w:pStyle w:val="TableParagraph"/>
              <w:ind w:left="916"/>
              <w:rPr>
                <w:sz w:val="24"/>
              </w:rPr>
            </w:pPr>
            <w:r>
              <w:rPr>
                <w:sz w:val="24"/>
              </w:rPr>
              <w:t>.11</w:t>
            </w:r>
          </w:p>
        </w:tc>
      </w:tr>
      <w:tr>
        <w:trPr>
          <w:trHeight w:val="432" w:hRule="exact"/>
        </w:trPr>
        <w:tc>
          <w:tcPr>
            <w:tcW w:w="4068" w:type="dxa"/>
            <w:shd w:val="clear" w:color="auto" w:fill="E6EDD4"/>
          </w:tcPr>
          <w:p>
            <w:pPr>
              <w:pStyle w:val="TableParagraph"/>
              <w:ind w:left="168"/>
              <w:rPr>
                <w:b/>
                <w:sz w:val="24"/>
              </w:rPr>
            </w:pPr>
            <w:r>
              <w:rPr>
                <w:b/>
                <w:sz w:val="24"/>
              </w:rPr>
              <w:t>PP/FH</w:t>
            </w:r>
          </w:p>
        </w:tc>
        <w:tc>
          <w:tcPr>
            <w:tcW w:w="2202" w:type="dxa"/>
            <w:shd w:val="clear" w:color="auto" w:fill="E6EDD4"/>
          </w:tcPr>
          <w:p>
            <w:pPr>
              <w:pStyle w:val="TableParagraph"/>
              <w:ind w:right="825"/>
              <w:jc w:val="right"/>
              <w:rPr>
                <w:sz w:val="24"/>
              </w:rPr>
            </w:pPr>
            <w:r>
              <w:rPr>
                <w:sz w:val="24"/>
              </w:rPr>
              <w:t>2.86</w:t>
            </w:r>
          </w:p>
        </w:tc>
        <w:tc>
          <w:tcPr>
            <w:tcW w:w="2626" w:type="dxa"/>
            <w:shd w:val="clear" w:color="auto" w:fill="E6EDD4"/>
          </w:tcPr>
          <w:p>
            <w:pPr>
              <w:pStyle w:val="TableParagraph"/>
              <w:ind w:left="916"/>
              <w:rPr>
                <w:sz w:val="24"/>
              </w:rPr>
            </w:pPr>
            <w:r>
              <w:rPr>
                <w:sz w:val="24"/>
              </w:rPr>
              <w:t>.09</w:t>
            </w:r>
          </w:p>
        </w:tc>
      </w:tr>
      <w:tr>
        <w:trPr>
          <w:trHeight w:val="420" w:hRule="exact"/>
        </w:trPr>
        <w:tc>
          <w:tcPr>
            <w:tcW w:w="4068" w:type="dxa"/>
          </w:tcPr>
          <w:p>
            <w:pPr>
              <w:pStyle w:val="TableParagraph"/>
              <w:ind w:left="168"/>
              <w:rPr>
                <w:b/>
                <w:sz w:val="24"/>
              </w:rPr>
            </w:pPr>
            <w:r>
              <w:rPr>
                <w:b/>
                <w:sz w:val="24"/>
              </w:rPr>
              <w:t>APDI</w:t>
            </w:r>
          </w:p>
        </w:tc>
        <w:tc>
          <w:tcPr>
            <w:tcW w:w="2202" w:type="dxa"/>
          </w:tcPr>
          <w:p>
            <w:pPr>
              <w:pStyle w:val="TableParagraph"/>
              <w:ind w:right="825"/>
              <w:jc w:val="right"/>
              <w:rPr>
                <w:sz w:val="24"/>
              </w:rPr>
            </w:pPr>
            <w:r>
              <w:rPr>
                <w:sz w:val="24"/>
              </w:rPr>
              <w:t>6.64</w:t>
            </w:r>
          </w:p>
        </w:tc>
        <w:tc>
          <w:tcPr>
            <w:tcW w:w="2626" w:type="dxa"/>
          </w:tcPr>
          <w:p>
            <w:pPr>
              <w:pStyle w:val="TableParagraph"/>
              <w:ind w:left="901"/>
              <w:rPr>
                <w:sz w:val="24"/>
              </w:rPr>
            </w:pPr>
            <w:r>
              <w:rPr>
                <w:color w:val="FF0000"/>
                <w:sz w:val="24"/>
              </w:rPr>
              <w:t>.01*</w:t>
            </w:r>
          </w:p>
        </w:tc>
      </w:tr>
      <w:tr>
        <w:trPr>
          <w:trHeight w:val="564" w:hRule="exact"/>
        </w:trPr>
        <w:tc>
          <w:tcPr>
            <w:tcW w:w="4068" w:type="dxa"/>
            <w:shd w:val="clear" w:color="auto" w:fill="E6EDD4"/>
          </w:tcPr>
          <w:p>
            <w:pPr>
              <w:pStyle w:val="TableParagraph"/>
              <w:ind w:left="168"/>
              <w:rPr>
                <w:b/>
                <w:sz w:val="24"/>
              </w:rPr>
            </w:pPr>
            <w:r>
              <w:rPr>
                <w:b/>
                <w:sz w:val="24"/>
              </w:rPr>
              <w:t>AB/PM</w:t>
            </w:r>
          </w:p>
        </w:tc>
        <w:tc>
          <w:tcPr>
            <w:tcW w:w="2202" w:type="dxa"/>
            <w:shd w:val="clear" w:color="auto" w:fill="E6EDD4"/>
          </w:tcPr>
          <w:p>
            <w:pPr>
              <w:pStyle w:val="TableParagraph"/>
              <w:ind w:right="825"/>
              <w:jc w:val="right"/>
              <w:rPr>
                <w:sz w:val="24"/>
              </w:rPr>
            </w:pPr>
            <w:r>
              <w:rPr>
                <w:sz w:val="24"/>
              </w:rPr>
              <w:t>.01</w:t>
            </w:r>
          </w:p>
        </w:tc>
        <w:tc>
          <w:tcPr>
            <w:tcW w:w="2626" w:type="dxa"/>
            <w:shd w:val="clear" w:color="auto" w:fill="E6EDD4"/>
          </w:tcPr>
          <w:p>
            <w:pPr>
              <w:pStyle w:val="TableParagraph"/>
              <w:ind w:left="880"/>
              <w:rPr>
                <w:sz w:val="24"/>
              </w:rPr>
            </w:pPr>
            <w:r>
              <w:rPr>
                <w:sz w:val="24"/>
              </w:rPr>
              <w:t>.89</w:t>
            </w:r>
          </w:p>
        </w:tc>
      </w:tr>
      <w:tr>
        <w:trPr>
          <w:trHeight w:val="415" w:hRule="exact"/>
        </w:trPr>
        <w:tc>
          <w:tcPr>
            <w:tcW w:w="4068" w:type="dxa"/>
          </w:tcPr>
          <w:p>
            <w:pPr>
              <w:pStyle w:val="TableParagraph"/>
              <w:ind w:left="168"/>
              <w:rPr>
                <w:b/>
                <w:sz w:val="24"/>
              </w:rPr>
            </w:pPr>
            <w:r>
              <w:rPr>
                <w:b/>
                <w:sz w:val="24"/>
              </w:rPr>
              <w:t>PP/FH</w:t>
            </w:r>
          </w:p>
        </w:tc>
        <w:tc>
          <w:tcPr>
            <w:tcW w:w="2202" w:type="dxa"/>
          </w:tcPr>
          <w:p>
            <w:pPr>
              <w:pStyle w:val="TableParagraph"/>
              <w:ind w:right="825"/>
              <w:jc w:val="right"/>
              <w:rPr>
                <w:sz w:val="24"/>
              </w:rPr>
            </w:pPr>
            <w:r>
              <w:rPr>
                <w:sz w:val="24"/>
              </w:rPr>
              <w:t>2.86</w:t>
            </w:r>
          </w:p>
        </w:tc>
        <w:tc>
          <w:tcPr>
            <w:tcW w:w="2626" w:type="dxa"/>
          </w:tcPr>
          <w:p>
            <w:pPr>
              <w:pStyle w:val="TableParagraph"/>
              <w:ind w:left="880"/>
              <w:rPr>
                <w:sz w:val="24"/>
              </w:rPr>
            </w:pPr>
            <w:r>
              <w:rPr>
                <w:sz w:val="24"/>
              </w:rPr>
              <w:t>.09</w:t>
            </w:r>
          </w:p>
        </w:tc>
      </w:tr>
      <w:tr>
        <w:trPr>
          <w:trHeight w:val="430" w:hRule="exact"/>
        </w:trPr>
        <w:tc>
          <w:tcPr>
            <w:tcW w:w="4068" w:type="dxa"/>
            <w:tcBorders>
              <w:bottom w:val="single" w:sz="8" w:space="0" w:color="9BBA58"/>
            </w:tcBorders>
            <w:shd w:val="clear" w:color="auto" w:fill="E6EDD4"/>
          </w:tcPr>
          <w:p>
            <w:pPr>
              <w:pStyle w:val="TableParagraph"/>
              <w:ind w:left="168"/>
              <w:rPr>
                <w:b/>
                <w:sz w:val="24"/>
              </w:rPr>
            </w:pPr>
            <w:r>
              <w:rPr>
                <w:b/>
                <w:sz w:val="24"/>
              </w:rPr>
              <w:t>ODI</w:t>
            </w:r>
          </w:p>
        </w:tc>
        <w:tc>
          <w:tcPr>
            <w:tcW w:w="2202" w:type="dxa"/>
            <w:tcBorders>
              <w:bottom w:val="single" w:sz="8" w:space="0" w:color="9BBA58"/>
            </w:tcBorders>
            <w:shd w:val="clear" w:color="auto" w:fill="E6EDD4"/>
          </w:tcPr>
          <w:p>
            <w:pPr>
              <w:pStyle w:val="TableParagraph"/>
              <w:ind w:right="825"/>
              <w:jc w:val="right"/>
              <w:rPr>
                <w:sz w:val="24"/>
              </w:rPr>
            </w:pPr>
            <w:r>
              <w:rPr>
                <w:sz w:val="24"/>
              </w:rPr>
              <w:t>.01</w:t>
            </w:r>
          </w:p>
        </w:tc>
        <w:tc>
          <w:tcPr>
            <w:tcW w:w="2626" w:type="dxa"/>
            <w:tcBorders>
              <w:bottom w:val="single" w:sz="8" w:space="0" w:color="9BBA58"/>
            </w:tcBorders>
            <w:shd w:val="clear" w:color="auto" w:fill="E6EDD4"/>
          </w:tcPr>
          <w:p>
            <w:pPr>
              <w:pStyle w:val="TableParagraph"/>
              <w:ind w:left="880"/>
              <w:rPr>
                <w:sz w:val="24"/>
              </w:rPr>
            </w:pPr>
            <w:r>
              <w:rPr>
                <w:sz w:val="24"/>
              </w:rPr>
              <w:t>.91</w:t>
            </w:r>
          </w:p>
        </w:tc>
      </w:tr>
    </w:tbl>
    <w:p>
      <w:pPr>
        <w:tabs>
          <w:tab w:pos="7626" w:val="left" w:leader="none"/>
        </w:tabs>
        <w:spacing w:line="201" w:lineRule="exact" w:before="0"/>
        <w:ind w:left="518" w:right="0" w:firstLine="0"/>
        <w:jc w:val="both"/>
        <w:rPr>
          <w:sz w:val="18"/>
        </w:rPr>
      </w:pPr>
      <w:r>
        <w:rPr>
          <w:b/>
          <w:sz w:val="18"/>
        </w:rPr>
        <w:t>*</w:t>
      </w:r>
      <w:r>
        <w:rPr>
          <w:sz w:val="18"/>
        </w:rPr>
        <w:t>Significancia ≤0.05 al aplicar prueba t de Student para</w:t>
      </w:r>
      <w:r>
        <w:rPr>
          <w:spacing w:val="-22"/>
          <w:sz w:val="18"/>
        </w:rPr>
        <w:t> </w:t>
      </w:r>
      <w:r>
        <w:rPr>
          <w:sz w:val="18"/>
        </w:rPr>
        <w:t>muestras</w:t>
      </w:r>
      <w:r>
        <w:rPr>
          <w:spacing w:val="-4"/>
          <w:sz w:val="18"/>
        </w:rPr>
        <w:t> </w:t>
      </w:r>
      <w:r>
        <w:rPr>
          <w:sz w:val="18"/>
        </w:rPr>
        <w:t>independientes.</w:t>
        <w:tab/>
        <w:t>Fuente:</w:t>
      </w:r>
      <w:r>
        <w:rPr>
          <w:spacing w:val="-6"/>
          <w:sz w:val="18"/>
        </w:rPr>
        <w:t> </w:t>
      </w:r>
      <w:r>
        <w:rPr>
          <w:sz w:val="18"/>
        </w:rPr>
        <w:t>directa</w:t>
      </w:r>
    </w:p>
    <w:p>
      <w:pPr>
        <w:pStyle w:val="BodyText"/>
        <w:spacing w:before="8"/>
        <w:rPr>
          <w:sz w:val="26"/>
        </w:rPr>
      </w:pPr>
    </w:p>
    <w:p>
      <w:pPr>
        <w:spacing w:before="1"/>
        <w:ind w:left="518" w:right="0" w:firstLine="0"/>
        <w:jc w:val="both"/>
        <w:rPr>
          <w:b/>
          <w:sz w:val="24"/>
        </w:rPr>
      </w:pPr>
      <w:r>
        <w:rPr>
          <w:b/>
          <w:sz w:val="24"/>
        </w:rPr>
        <w:t>Diferencias entre grupos de edad</w:t>
      </w:r>
    </w:p>
    <w:p>
      <w:pPr>
        <w:pStyle w:val="BodyText"/>
        <w:spacing w:before="4"/>
        <w:rPr>
          <w:b/>
          <w:sz w:val="29"/>
        </w:rPr>
      </w:pPr>
    </w:p>
    <w:p>
      <w:pPr>
        <w:pStyle w:val="BodyText"/>
        <w:spacing w:line="360" w:lineRule="auto" w:before="1"/>
        <w:ind w:left="518" w:right="857"/>
        <w:jc w:val="both"/>
      </w:pPr>
      <w:r>
        <w:rPr/>
        <w:t>Estudiando el total de la muestra, por grupo de edad (grupo I y grupo II), se encontraron promedios mayores en la mayoría de los parámetros cefalométricos  para el grupo de 12-14 años de edad (grupo II), estableciendo un promedio de PF/FH de 87.98° para el grupo II y en el grupo I de 86.30°, en el plano AB/PF de -6.29° y</w:t>
      </w:r>
      <w:r>
        <w:rPr>
          <w:spacing w:val="63"/>
        </w:rPr>
        <w:t> </w:t>
      </w:r>
      <w:r>
        <w:rPr/>
        <w:t>de</w:t>
      </w:r>
    </w:p>
    <w:p>
      <w:pPr>
        <w:pStyle w:val="BodyText"/>
        <w:spacing w:before="5"/>
        <w:ind w:left="518"/>
        <w:jc w:val="both"/>
      </w:pPr>
      <w:r>
        <w:rPr/>
        <w:t>-6.14°, respectivamente, en PP/FH de .98° para el grupo II y .64° para el grupo I.</w:t>
      </w:r>
    </w:p>
    <w:p>
      <w:pPr>
        <w:pStyle w:val="BodyText"/>
        <w:spacing w:before="5"/>
        <w:rPr>
          <w:sz w:val="29"/>
        </w:rPr>
      </w:pPr>
    </w:p>
    <w:p>
      <w:pPr>
        <w:pStyle w:val="BodyText"/>
        <w:spacing w:line="360" w:lineRule="auto"/>
        <w:ind w:left="518" w:right="855"/>
        <w:jc w:val="both"/>
      </w:pPr>
      <w:r>
        <w:rPr/>
        <w:t>En AB/PM para el grupo I fue mayor el promedio, se obtuvo  un  indicador  de displasia anteroposterior (APDI) de 80.66° con una desviación estándar de 5.41° y un Indicador de Sobremordida (ODI) de 73.32° con una desviación estándar de 5.59° (Cuadro IV).</w:t>
      </w:r>
    </w:p>
    <w:p>
      <w:pPr>
        <w:spacing w:after="0" w:line="360" w:lineRule="auto"/>
        <w:jc w:val="both"/>
        <w:sectPr>
          <w:pgSz w:w="12240" w:h="15840"/>
          <w:pgMar w:header="596" w:footer="1003" w:top="1380" w:bottom="1200" w:left="900" w:right="840"/>
        </w:sectPr>
      </w:pPr>
    </w:p>
    <w:p>
      <w:pPr>
        <w:pStyle w:val="BodyText"/>
        <w:spacing w:before="5"/>
        <w:rPr>
          <w:sz w:val="21"/>
        </w:rPr>
      </w:pPr>
    </w:p>
    <w:p>
      <w:pPr>
        <w:pStyle w:val="BodyText"/>
        <w:spacing w:line="360" w:lineRule="auto" w:before="69"/>
        <w:ind w:left="518" w:right="855"/>
        <w:jc w:val="both"/>
      </w:pPr>
      <w:r>
        <w:rPr/>
        <w:t>En el grupo II se encontró un indicador de displasia anteroposterior (APDI) de 82.42° con una desviación estándar de 7.19° y un Indicador de Sobremordida (ODI) de 73.47° con una desviación estándar de 4.92° (Cuadro IV).</w:t>
      </w:r>
    </w:p>
    <w:p>
      <w:pPr>
        <w:pStyle w:val="BodyText"/>
        <w:spacing w:line="360" w:lineRule="auto" w:before="204"/>
        <w:ind w:left="518" w:right="856"/>
        <w:jc w:val="both"/>
      </w:pPr>
      <w:r>
        <w:rPr/>
        <w:t>No se encontraron diferencias estadísticamente significativas por grupo de edad, en el total de la muestra, lo que se presenta en el Cuadro</w:t>
      </w:r>
      <w:r>
        <w:rPr>
          <w:spacing w:val="-12"/>
        </w:rPr>
        <w:t> </w:t>
      </w:r>
      <w:r>
        <w:rPr/>
        <w:t>V.</w:t>
      </w:r>
    </w:p>
    <w:p>
      <w:pPr>
        <w:spacing w:before="204"/>
        <w:ind w:left="1063" w:right="865" w:firstLine="0"/>
        <w:jc w:val="left"/>
        <w:rPr>
          <w:b/>
          <w:sz w:val="24"/>
        </w:rPr>
      </w:pPr>
      <w:r>
        <w:rPr>
          <w:b/>
          <w:sz w:val="24"/>
        </w:rPr>
        <w:t>Cuadro IV. Valor promedio por grupo de edad para el total de muestra.</w:t>
      </w:r>
    </w:p>
    <w:p>
      <w:pPr>
        <w:pStyle w:val="BodyText"/>
        <w:spacing w:before="6" w:after="1"/>
        <w:rPr>
          <w:b/>
          <w:sz w:val="29"/>
        </w:rPr>
      </w:pPr>
    </w:p>
    <w:tbl>
      <w:tblPr>
        <w:tblW w:w="0" w:type="auto"/>
        <w:jc w:val="left"/>
        <w:tblInd w:w="4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76"/>
        <w:gridCol w:w="2214"/>
        <w:gridCol w:w="1023"/>
        <w:gridCol w:w="1269"/>
        <w:gridCol w:w="2138"/>
      </w:tblGrid>
      <w:tr>
        <w:trPr>
          <w:trHeight w:val="848" w:hRule="exact"/>
        </w:trPr>
        <w:tc>
          <w:tcPr>
            <w:tcW w:w="2376" w:type="dxa"/>
            <w:tcBorders>
              <w:top w:val="single" w:sz="8" w:space="0" w:color="9BBA58"/>
              <w:bottom w:val="single" w:sz="8" w:space="0" w:color="9BBA58"/>
            </w:tcBorders>
          </w:tcPr>
          <w:p>
            <w:pPr>
              <w:pStyle w:val="TableParagraph"/>
              <w:spacing w:line="360" w:lineRule="auto"/>
              <w:ind w:left="108" w:right="553"/>
              <w:rPr>
                <w:b/>
                <w:sz w:val="24"/>
              </w:rPr>
            </w:pPr>
            <w:r>
              <w:rPr>
                <w:b/>
                <w:sz w:val="24"/>
              </w:rPr>
              <w:t>Parámetros cefalométricos</w:t>
            </w:r>
          </w:p>
        </w:tc>
        <w:tc>
          <w:tcPr>
            <w:tcW w:w="2214" w:type="dxa"/>
            <w:tcBorders>
              <w:top w:val="single" w:sz="8" w:space="0" w:color="9BBA58"/>
              <w:bottom w:val="single" w:sz="8" w:space="0" w:color="9BBA58"/>
            </w:tcBorders>
          </w:tcPr>
          <w:p>
            <w:pPr>
              <w:pStyle w:val="TableParagraph"/>
              <w:spacing w:line="275" w:lineRule="exact"/>
              <w:ind w:left="167"/>
              <w:rPr>
                <w:b/>
                <w:sz w:val="24"/>
              </w:rPr>
            </w:pPr>
            <w:r>
              <w:rPr>
                <w:b/>
                <w:sz w:val="24"/>
              </w:rPr>
              <w:t>Edad</w:t>
            </w:r>
          </w:p>
        </w:tc>
        <w:tc>
          <w:tcPr>
            <w:tcW w:w="1023" w:type="dxa"/>
            <w:tcBorders>
              <w:top w:val="single" w:sz="8" w:space="0" w:color="9BBA58"/>
              <w:bottom w:val="single" w:sz="8" w:space="0" w:color="9BBA58"/>
            </w:tcBorders>
          </w:tcPr>
          <w:p>
            <w:pPr>
              <w:pStyle w:val="TableParagraph"/>
              <w:spacing w:line="275" w:lineRule="exact"/>
              <w:ind w:right="284"/>
              <w:jc w:val="right"/>
              <w:rPr>
                <w:b/>
                <w:sz w:val="24"/>
              </w:rPr>
            </w:pPr>
            <w:r>
              <w:rPr>
                <w:b/>
                <w:w w:val="99"/>
                <w:sz w:val="24"/>
              </w:rPr>
              <w:t>N</w:t>
            </w:r>
          </w:p>
        </w:tc>
        <w:tc>
          <w:tcPr>
            <w:tcW w:w="1269" w:type="dxa"/>
            <w:tcBorders>
              <w:top w:val="single" w:sz="8" w:space="0" w:color="9BBA58"/>
              <w:bottom w:val="single" w:sz="8" w:space="0" w:color="9BBA58"/>
            </w:tcBorders>
          </w:tcPr>
          <w:p>
            <w:pPr>
              <w:pStyle w:val="TableParagraph"/>
              <w:spacing w:line="275" w:lineRule="exact"/>
              <w:ind w:left="282"/>
              <w:rPr>
                <w:b/>
                <w:sz w:val="24"/>
              </w:rPr>
            </w:pPr>
            <w:r>
              <w:rPr>
                <w:b/>
                <w:sz w:val="24"/>
              </w:rPr>
              <w:t>Media</w:t>
            </w:r>
          </w:p>
        </w:tc>
        <w:tc>
          <w:tcPr>
            <w:tcW w:w="2138" w:type="dxa"/>
            <w:tcBorders>
              <w:top w:val="single" w:sz="8" w:space="0" w:color="9BBA58"/>
              <w:bottom w:val="single" w:sz="8" w:space="0" w:color="9BBA58"/>
            </w:tcBorders>
          </w:tcPr>
          <w:p>
            <w:pPr>
              <w:pStyle w:val="TableParagraph"/>
              <w:spacing w:line="275" w:lineRule="exact"/>
              <w:ind w:left="138"/>
              <w:rPr>
                <w:b/>
                <w:sz w:val="24"/>
              </w:rPr>
            </w:pPr>
            <w:r>
              <w:rPr>
                <w:b/>
                <w:sz w:val="24"/>
              </w:rPr>
              <w:t>Desviación típ.</w:t>
            </w:r>
          </w:p>
        </w:tc>
      </w:tr>
      <w:tr>
        <w:trPr>
          <w:trHeight w:val="470" w:hRule="exact"/>
        </w:trPr>
        <w:tc>
          <w:tcPr>
            <w:tcW w:w="2376" w:type="dxa"/>
            <w:tcBorders>
              <w:top w:val="single" w:sz="8" w:space="0" w:color="9BBA58"/>
            </w:tcBorders>
            <w:shd w:val="clear" w:color="auto" w:fill="E6EDD4"/>
          </w:tcPr>
          <w:p>
            <w:pPr>
              <w:pStyle w:val="TableParagraph"/>
              <w:ind w:left="168" w:right="553"/>
              <w:rPr>
                <w:b/>
                <w:sz w:val="24"/>
              </w:rPr>
            </w:pPr>
            <w:r>
              <w:rPr>
                <w:b/>
                <w:sz w:val="24"/>
              </w:rPr>
              <w:t>PF/FH</w:t>
            </w:r>
          </w:p>
        </w:tc>
        <w:tc>
          <w:tcPr>
            <w:tcW w:w="2214" w:type="dxa"/>
            <w:tcBorders>
              <w:top w:val="single" w:sz="8" w:space="0" w:color="9BBA58"/>
            </w:tcBorders>
            <w:shd w:val="clear" w:color="auto" w:fill="E6EDD4"/>
          </w:tcPr>
          <w:p>
            <w:pPr>
              <w:pStyle w:val="TableParagraph"/>
              <w:ind w:left="167"/>
              <w:rPr>
                <w:sz w:val="24"/>
              </w:rPr>
            </w:pPr>
            <w:r>
              <w:rPr>
                <w:sz w:val="24"/>
              </w:rPr>
              <w:t>9 A 11 AÑOS</w:t>
            </w:r>
          </w:p>
        </w:tc>
        <w:tc>
          <w:tcPr>
            <w:tcW w:w="1023" w:type="dxa"/>
            <w:tcBorders>
              <w:top w:val="single" w:sz="8" w:space="0" w:color="9BBA58"/>
            </w:tcBorders>
            <w:shd w:val="clear" w:color="auto" w:fill="E6EDD4"/>
          </w:tcPr>
          <w:p>
            <w:pPr>
              <w:pStyle w:val="TableParagraph"/>
              <w:ind w:right="280"/>
              <w:jc w:val="right"/>
              <w:rPr>
                <w:sz w:val="24"/>
              </w:rPr>
            </w:pPr>
            <w:r>
              <w:rPr>
                <w:sz w:val="24"/>
              </w:rPr>
              <w:t>68</w:t>
            </w:r>
          </w:p>
        </w:tc>
        <w:tc>
          <w:tcPr>
            <w:tcW w:w="1269" w:type="dxa"/>
            <w:tcBorders>
              <w:top w:val="single" w:sz="8" w:space="0" w:color="9BBA58"/>
            </w:tcBorders>
            <w:shd w:val="clear" w:color="auto" w:fill="E6EDD4"/>
          </w:tcPr>
          <w:p>
            <w:pPr>
              <w:pStyle w:val="TableParagraph"/>
              <w:ind w:right="136"/>
              <w:jc w:val="right"/>
              <w:rPr>
                <w:sz w:val="24"/>
              </w:rPr>
            </w:pPr>
            <w:r>
              <w:rPr>
                <w:sz w:val="24"/>
              </w:rPr>
              <w:t>86.30</w:t>
            </w:r>
          </w:p>
        </w:tc>
        <w:tc>
          <w:tcPr>
            <w:tcW w:w="2138" w:type="dxa"/>
            <w:tcBorders>
              <w:top w:val="single" w:sz="8" w:space="0" w:color="9BBA58"/>
            </w:tcBorders>
            <w:shd w:val="clear" w:color="auto" w:fill="E6EDD4"/>
          </w:tcPr>
          <w:p>
            <w:pPr>
              <w:pStyle w:val="TableParagraph"/>
              <w:ind w:right="165"/>
              <w:jc w:val="right"/>
              <w:rPr>
                <w:sz w:val="24"/>
              </w:rPr>
            </w:pPr>
            <w:r>
              <w:rPr>
                <w:sz w:val="24"/>
              </w:rPr>
              <w:t>2.90</w:t>
            </w:r>
          </w:p>
        </w:tc>
      </w:tr>
      <w:tr>
        <w:trPr>
          <w:trHeight w:val="461" w:hRule="exact"/>
        </w:trPr>
        <w:tc>
          <w:tcPr>
            <w:tcW w:w="2376" w:type="dxa"/>
            <w:shd w:val="clear" w:color="auto" w:fill="E6EDD4"/>
          </w:tcPr>
          <w:p>
            <w:pPr/>
          </w:p>
        </w:tc>
        <w:tc>
          <w:tcPr>
            <w:tcW w:w="2214" w:type="dxa"/>
            <w:tcBorders>
              <w:top w:val="single" w:sz="36" w:space="0" w:color="E6EDD4"/>
            </w:tcBorders>
          </w:tcPr>
          <w:p>
            <w:pPr>
              <w:pStyle w:val="TableParagraph"/>
              <w:ind w:left="167"/>
              <w:rPr>
                <w:sz w:val="24"/>
              </w:rPr>
            </w:pPr>
            <w:r>
              <w:rPr>
                <w:sz w:val="24"/>
              </w:rPr>
              <w:t>12 A 14 AÑOS</w:t>
            </w:r>
          </w:p>
        </w:tc>
        <w:tc>
          <w:tcPr>
            <w:tcW w:w="1023" w:type="dxa"/>
            <w:tcBorders>
              <w:top w:val="single" w:sz="36" w:space="0" w:color="E6EDD4"/>
            </w:tcBorders>
          </w:tcPr>
          <w:p>
            <w:pPr>
              <w:pStyle w:val="TableParagraph"/>
              <w:ind w:right="280"/>
              <w:jc w:val="right"/>
              <w:rPr>
                <w:sz w:val="24"/>
              </w:rPr>
            </w:pPr>
            <w:r>
              <w:rPr>
                <w:sz w:val="24"/>
              </w:rPr>
              <w:t>68</w:t>
            </w:r>
          </w:p>
        </w:tc>
        <w:tc>
          <w:tcPr>
            <w:tcW w:w="1269" w:type="dxa"/>
            <w:tcBorders>
              <w:top w:val="single" w:sz="36" w:space="0" w:color="E6EDD4"/>
            </w:tcBorders>
          </w:tcPr>
          <w:p>
            <w:pPr>
              <w:pStyle w:val="TableParagraph"/>
              <w:ind w:right="136"/>
              <w:jc w:val="right"/>
              <w:rPr>
                <w:sz w:val="24"/>
              </w:rPr>
            </w:pPr>
            <w:r>
              <w:rPr>
                <w:sz w:val="24"/>
              </w:rPr>
              <w:t>87.98</w:t>
            </w:r>
          </w:p>
        </w:tc>
        <w:tc>
          <w:tcPr>
            <w:tcW w:w="2138" w:type="dxa"/>
            <w:tcBorders>
              <w:top w:val="single" w:sz="36" w:space="0" w:color="E6EDD4"/>
            </w:tcBorders>
          </w:tcPr>
          <w:p>
            <w:pPr>
              <w:pStyle w:val="TableParagraph"/>
              <w:ind w:right="165"/>
              <w:jc w:val="right"/>
              <w:rPr>
                <w:sz w:val="24"/>
              </w:rPr>
            </w:pPr>
            <w:r>
              <w:rPr>
                <w:sz w:val="24"/>
              </w:rPr>
              <w:t>3.28</w:t>
            </w:r>
          </w:p>
        </w:tc>
      </w:tr>
      <w:tr>
        <w:trPr>
          <w:trHeight w:val="487" w:hRule="exact"/>
        </w:trPr>
        <w:tc>
          <w:tcPr>
            <w:tcW w:w="2376" w:type="dxa"/>
            <w:shd w:val="clear" w:color="auto" w:fill="E6EDD4"/>
          </w:tcPr>
          <w:p>
            <w:pPr>
              <w:pStyle w:val="TableParagraph"/>
              <w:ind w:left="168" w:right="553"/>
              <w:rPr>
                <w:b/>
                <w:sz w:val="24"/>
              </w:rPr>
            </w:pPr>
            <w:r>
              <w:rPr>
                <w:b/>
                <w:sz w:val="24"/>
              </w:rPr>
              <w:t>AB/PF</w:t>
            </w:r>
          </w:p>
        </w:tc>
        <w:tc>
          <w:tcPr>
            <w:tcW w:w="2214" w:type="dxa"/>
            <w:shd w:val="clear" w:color="auto" w:fill="E6EDD4"/>
          </w:tcPr>
          <w:p>
            <w:pPr>
              <w:pStyle w:val="TableParagraph"/>
              <w:ind w:left="167"/>
              <w:rPr>
                <w:sz w:val="24"/>
              </w:rPr>
            </w:pPr>
            <w:r>
              <w:rPr>
                <w:sz w:val="24"/>
              </w:rPr>
              <w:t>9 A 11 AÑOS</w:t>
            </w:r>
          </w:p>
        </w:tc>
        <w:tc>
          <w:tcPr>
            <w:tcW w:w="1023" w:type="dxa"/>
            <w:shd w:val="clear" w:color="auto" w:fill="E6EDD4"/>
          </w:tcPr>
          <w:p>
            <w:pPr>
              <w:pStyle w:val="TableParagraph"/>
              <w:ind w:right="280"/>
              <w:jc w:val="right"/>
              <w:rPr>
                <w:sz w:val="24"/>
              </w:rPr>
            </w:pPr>
            <w:r>
              <w:rPr>
                <w:sz w:val="24"/>
              </w:rPr>
              <w:t>68</w:t>
            </w:r>
          </w:p>
        </w:tc>
        <w:tc>
          <w:tcPr>
            <w:tcW w:w="1269" w:type="dxa"/>
            <w:shd w:val="clear" w:color="auto" w:fill="E6EDD4"/>
          </w:tcPr>
          <w:p>
            <w:pPr>
              <w:pStyle w:val="TableParagraph"/>
              <w:ind w:right="136"/>
              <w:jc w:val="right"/>
              <w:rPr>
                <w:sz w:val="24"/>
              </w:rPr>
            </w:pPr>
            <w:r>
              <w:rPr>
                <w:w w:val="95"/>
                <w:sz w:val="24"/>
              </w:rPr>
              <w:t>-6.14</w:t>
            </w:r>
          </w:p>
        </w:tc>
        <w:tc>
          <w:tcPr>
            <w:tcW w:w="2138" w:type="dxa"/>
            <w:shd w:val="clear" w:color="auto" w:fill="E6EDD4"/>
          </w:tcPr>
          <w:p>
            <w:pPr>
              <w:pStyle w:val="TableParagraph"/>
              <w:ind w:right="165"/>
              <w:jc w:val="right"/>
              <w:rPr>
                <w:sz w:val="24"/>
              </w:rPr>
            </w:pPr>
            <w:r>
              <w:rPr>
                <w:sz w:val="24"/>
              </w:rPr>
              <w:t>2.43</w:t>
            </w:r>
          </w:p>
        </w:tc>
      </w:tr>
      <w:tr>
        <w:trPr>
          <w:trHeight w:val="413" w:hRule="exact"/>
        </w:trPr>
        <w:tc>
          <w:tcPr>
            <w:tcW w:w="2376" w:type="dxa"/>
            <w:shd w:val="clear" w:color="auto" w:fill="E6EDD4"/>
          </w:tcPr>
          <w:p>
            <w:pPr/>
          </w:p>
        </w:tc>
        <w:tc>
          <w:tcPr>
            <w:tcW w:w="2214" w:type="dxa"/>
            <w:tcBorders>
              <w:top w:val="single" w:sz="30" w:space="0" w:color="E6EDD4"/>
            </w:tcBorders>
          </w:tcPr>
          <w:p>
            <w:pPr>
              <w:pStyle w:val="TableParagraph"/>
              <w:spacing w:line="237" w:lineRule="exact"/>
              <w:ind w:left="167"/>
              <w:rPr>
                <w:sz w:val="24"/>
              </w:rPr>
            </w:pPr>
            <w:r>
              <w:rPr>
                <w:sz w:val="24"/>
              </w:rPr>
              <w:t>12 A 14 AÑOS</w:t>
            </w:r>
          </w:p>
        </w:tc>
        <w:tc>
          <w:tcPr>
            <w:tcW w:w="1023" w:type="dxa"/>
            <w:tcBorders>
              <w:top w:val="single" w:sz="30" w:space="0" w:color="E6EDD4"/>
            </w:tcBorders>
          </w:tcPr>
          <w:p>
            <w:pPr>
              <w:pStyle w:val="TableParagraph"/>
              <w:spacing w:line="237" w:lineRule="exact"/>
              <w:ind w:right="280"/>
              <w:jc w:val="right"/>
              <w:rPr>
                <w:sz w:val="24"/>
              </w:rPr>
            </w:pPr>
            <w:r>
              <w:rPr>
                <w:sz w:val="24"/>
              </w:rPr>
              <w:t>68</w:t>
            </w:r>
          </w:p>
        </w:tc>
        <w:tc>
          <w:tcPr>
            <w:tcW w:w="1269" w:type="dxa"/>
            <w:tcBorders>
              <w:top w:val="single" w:sz="30" w:space="0" w:color="E6EDD4"/>
            </w:tcBorders>
          </w:tcPr>
          <w:p>
            <w:pPr>
              <w:pStyle w:val="TableParagraph"/>
              <w:spacing w:line="237" w:lineRule="exact"/>
              <w:ind w:right="136"/>
              <w:jc w:val="right"/>
              <w:rPr>
                <w:sz w:val="24"/>
              </w:rPr>
            </w:pPr>
            <w:r>
              <w:rPr>
                <w:w w:val="95"/>
                <w:sz w:val="24"/>
              </w:rPr>
              <w:t>-6.29</w:t>
            </w:r>
          </w:p>
        </w:tc>
        <w:tc>
          <w:tcPr>
            <w:tcW w:w="2138" w:type="dxa"/>
            <w:tcBorders>
              <w:top w:val="single" w:sz="30" w:space="0" w:color="E6EDD4"/>
            </w:tcBorders>
          </w:tcPr>
          <w:p>
            <w:pPr>
              <w:pStyle w:val="TableParagraph"/>
              <w:spacing w:line="237" w:lineRule="exact"/>
              <w:ind w:right="165"/>
              <w:jc w:val="right"/>
              <w:rPr>
                <w:sz w:val="24"/>
              </w:rPr>
            </w:pPr>
            <w:r>
              <w:rPr>
                <w:sz w:val="24"/>
              </w:rPr>
              <w:t>2.73</w:t>
            </w:r>
          </w:p>
        </w:tc>
      </w:tr>
      <w:tr>
        <w:trPr>
          <w:trHeight w:val="487" w:hRule="exact"/>
        </w:trPr>
        <w:tc>
          <w:tcPr>
            <w:tcW w:w="2376" w:type="dxa"/>
            <w:shd w:val="clear" w:color="auto" w:fill="E6EDD4"/>
          </w:tcPr>
          <w:p>
            <w:pPr>
              <w:pStyle w:val="TableParagraph"/>
              <w:ind w:left="168" w:right="553"/>
              <w:rPr>
                <w:b/>
                <w:sz w:val="24"/>
              </w:rPr>
            </w:pPr>
            <w:r>
              <w:rPr>
                <w:b/>
                <w:sz w:val="24"/>
              </w:rPr>
              <w:t>PP/FH</w:t>
            </w:r>
          </w:p>
        </w:tc>
        <w:tc>
          <w:tcPr>
            <w:tcW w:w="2214" w:type="dxa"/>
            <w:shd w:val="clear" w:color="auto" w:fill="E6EDD4"/>
          </w:tcPr>
          <w:p>
            <w:pPr>
              <w:pStyle w:val="TableParagraph"/>
              <w:ind w:left="167"/>
              <w:rPr>
                <w:sz w:val="24"/>
              </w:rPr>
            </w:pPr>
            <w:r>
              <w:rPr>
                <w:sz w:val="24"/>
              </w:rPr>
              <w:t>9 A 11 AÑOS</w:t>
            </w:r>
          </w:p>
        </w:tc>
        <w:tc>
          <w:tcPr>
            <w:tcW w:w="1023" w:type="dxa"/>
            <w:shd w:val="clear" w:color="auto" w:fill="E6EDD4"/>
          </w:tcPr>
          <w:p>
            <w:pPr>
              <w:pStyle w:val="TableParagraph"/>
              <w:ind w:right="280"/>
              <w:jc w:val="right"/>
              <w:rPr>
                <w:sz w:val="24"/>
              </w:rPr>
            </w:pPr>
            <w:r>
              <w:rPr>
                <w:sz w:val="24"/>
              </w:rPr>
              <w:t>68</w:t>
            </w:r>
          </w:p>
        </w:tc>
        <w:tc>
          <w:tcPr>
            <w:tcW w:w="1269" w:type="dxa"/>
            <w:shd w:val="clear" w:color="auto" w:fill="E6EDD4"/>
          </w:tcPr>
          <w:p>
            <w:pPr>
              <w:pStyle w:val="TableParagraph"/>
              <w:ind w:right="136"/>
              <w:jc w:val="right"/>
              <w:rPr>
                <w:sz w:val="24"/>
              </w:rPr>
            </w:pPr>
            <w:r>
              <w:rPr>
                <w:sz w:val="24"/>
              </w:rPr>
              <w:t>.64</w:t>
            </w:r>
          </w:p>
        </w:tc>
        <w:tc>
          <w:tcPr>
            <w:tcW w:w="2138" w:type="dxa"/>
            <w:shd w:val="clear" w:color="auto" w:fill="E6EDD4"/>
          </w:tcPr>
          <w:p>
            <w:pPr>
              <w:pStyle w:val="TableParagraph"/>
              <w:ind w:right="165"/>
              <w:jc w:val="right"/>
              <w:rPr>
                <w:sz w:val="24"/>
              </w:rPr>
            </w:pPr>
            <w:r>
              <w:rPr>
                <w:sz w:val="24"/>
              </w:rPr>
              <w:t>3.22</w:t>
            </w:r>
          </w:p>
        </w:tc>
      </w:tr>
      <w:tr>
        <w:trPr>
          <w:trHeight w:val="413" w:hRule="exact"/>
        </w:trPr>
        <w:tc>
          <w:tcPr>
            <w:tcW w:w="2376" w:type="dxa"/>
            <w:shd w:val="clear" w:color="auto" w:fill="E6EDD4"/>
          </w:tcPr>
          <w:p>
            <w:pPr/>
          </w:p>
        </w:tc>
        <w:tc>
          <w:tcPr>
            <w:tcW w:w="2214" w:type="dxa"/>
            <w:tcBorders>
              <w:top w:val="single" w:sz="29" w:space="0" w:color="E6EDD4"/>
            </w:tcBorders>
          </w:tcPr>
          <w:p>
            <w:pPr>
              <w:pStyle w:val="TableParagraph"/>
              <w:spacing w:line="238" w:lineRule="exact"/>
              <w:ind w:left="167"/>
              <w:rPr>
                <w:sz w:val="24"/>
              </w:rPr>
            </w:pPr>
            <w:r>
              <w:rPr>
                <w:sz w:val="24"/>
              </w:rPr>
              <w:t>12 A 14 AÑOS</w:t>
            </w:r>
          </w:p>
        </w:tc>
        <w:tc>
          <w:tcPr>
            <w:tcW w:w="1023" w:type="dxa"/>
            <w:tcBorders>
              <w:top w:val="single" w:sz="29" w:space="0" w:color="E6EDD4"/>
            </w:tcBorders>
          </w:tcPr>
          <w:p>
            <w:pPr>
              <w:pStyle w:val="TableParagraph"/>
              <w:spacing w:line="238" w:lineRule="exact"/>
              <w:ind w:right="280"/>
              <w:jc w:val="right"/>
              <w:rPr>
                <w:sz w:val="24"/>
              </w:rPr>
            </w:pPr>
            <w:r>
              <w:rPr>
                <w:sz w:val="24"/>
              </w:rPr>
              <w:t>68</w:t>
            </w:r>
          </w:p>
        </w:tc>
        <w:tc>
          <w:tcPr>
            <w:tcW w:w="1269" w:type="dxa"/>
            <w:tcBorders>
              <w:top w:val="single" w:sz="29" w:space="0" w:color="E6EDD4"/>
            </w:tcBorders>
          </w:tcPr>
          <w:p>
            <w:pPr>
              <w:pStyle w:val="TableParagraph"/>
              <w:spacing w:line="238" w:lineRule="exact"/>
              <w:ind w:right="136"/>
              <w:jc w:val="right"/>
              <w:rPr>
                <w:sz w:val="24"/>
              </w:rPr>
            </w:pPr>
            <w:r>
              <w:rPr>
                <w:sz w:val="24"/>
              </w:rPr>
              <w:t>.98</w:t>
            </w:r>
          </w:p>
        </w:tc>
        <w:tc>
          <w:tcPr>
            <w:tcW w:w="2138" w:type="dxa"/>
            <w:tcBorders>
              <w:top w:val="single" w:sz="29" w:space="0" w:color="E6EDD4"/>
            </w:tcBorders>
          </w:tcPr>
          <w:p>
            <w:pPr>
              <w:pStyle w:val="TableParagraph"/>
              <w:spacing w:line="238" w:lineRule="exact"/>
              <w:ind w:right="165"/>
              <w:jc w:val="right"/>
              <w:rPr>
                <w:sz w:val="24"/>
              </w:rPr>
            </w:pPr>
            <w:r>
              <w:rPr>
                <w:sz w:val="24"/>
              </w:rPr>
              <w:t>3.12</w:t>
            </w:r>
          </w:p>
        </w:tc>
      </w:tr>
      <w:tr>
        <w:trPr>
          <w:trHeight w:val="487" w:hRule="exact"/>
        </w:trPr>
        <w:tc>
          <w:tcPr>
            <w:tcW w:w="2376" w:type="dxa"/>
            <w:shd w:val="clear" w:color="auto" w:fill="E6EDD4"/>
          </w:tcPr>
          <w:p>
            <w:pPr>
              <w:pStyle w:val="TableParagraph"/>
              <w:ind w:left="168" w:right="553"/>
              <w:rPr>
                <w:b/>
                <w:sz w:val="24"/>
              </w:rPr>
            </w:pPr>
            <w:r>
              <w:rPr>
                <w:b/>
                <w:sz w:val="24"/>
              </w:rPr>
              <w:t>APDI</w:t>
            </w:r>
          </w:p>
        </w:tc>
        <w:tc>
          <w:tcPr>
            <w:tcW w:w="2214" w:type="dxa"/>
            <w:shd w:val="clear" w:color="auto" w:fill="E6EDD4"/>
          </w:tcPr>
          <w:p>
            <w:pPr>
              <w:pStyle w:val="TableParagraph"/>
              <w:ind w:left="167"/>
              <w:rPr>
                <w:sz w:val="24"/>
              </w:rPr>
            </w:pPr>
            <w:r>
              <w:rPr>
                <w:sz w:val="24"/>
              </w:rPr>
              <w:t>9 A 11 AÑOS</w:t>
            </w:r>
          </w:p>
        </w:tc>
        <w:tc>
          <w:tcPr>
            <w:tcW w:w="1023" w:type="dxa"/>
            <w:shd w:val="clear" w:color="auto" w:fill="E6EDD4"/>
          </w:tcPr>
          <w:p>
            <w:pPr>
              <w:pStyle w:val="TableParagraph"/>
              <w:ind w:right="280"/>
              <w:jc w:val="right"/>
              <w:rPr>
                <w:sz w:val="24"/>
              </w:rPr>
            </w:pPr>
            <w:r>
              <w:rPr>
                <w:sz w:val="24"/>
              </w:rPr>
              <w:t>68</w:t>
            </w:r>
          </w:p>
        </w:tc>
        <w:tc>
          <w:tcPr>
            <w:tcW w:w="1269" w:type="dxa"/>
            <w:shd w:val="clear" w:color="auto" w:fill="E6EDD4"/>
          </w:tcPr>
          <w:p>
            <w:pPr>
              <w:pStyle w:val="TableParagraph"/>
              <w:ind w:right="136"/>
              <w:jc w:val="right"/>
              <w:rPr>
                <w:sz w:val="24"/>
              </w:rPr>
            </w:pPr>
            <w:r>
              <w:rPr>
                <w:sz w:val="24"/>
              </w:rPr>
              <w:t>80.66</w:t>
            </w:r>
          </w:p>
        </w:tc>
        <w:tc>
          <w:tcPr>
            <w:tcW w:w="2138" w:type="dxa"/>
            <w:shd w:val="clear" w:color="auto" w:fill="E6EDD4"/>
          </w:tcPr>
          <w:p>
            <w:pPr>
              <w:pStyle w:val="TableParagraph"/>
              <w:ind w:right="165"/>
              <w:jc w:val="right"/>
              <w:rPr>
                <w:sz w:val="24"/>
              </w:rPr>
            </w:pPr>
            <w:r>
              <w:rPr>
                <w:sz w:val="24"/>
              </w:rPr>
              <w:t>5.41</w:t>
            </w:r>
          </w:p>
        </w:tc>
      </w:tr>
      <w:tr>
        <w:trPr>
          <w:trHeight w:val="415" w:hRule="exact"/>
        </w:trPr>
        <w:tc>
          <w:tcPr>
            <w:tcW w:w="2376" w:type="dxa"/>
            <w:shd w:val="clear" w:color="auto" w:fill="E6EDD4"/>
          </w:tcPr>
          <w:p>
            <w:pPr/>
          </w:p>
        </w:tc>
        <w:tc>
          <w:tcPr>
            <w:tcW w:w="2214" w:type="dxa"/>
            <w:tcBorders>
              <w:top w:val="single" w:sz="29" w:space="0" w:color="E6EDD4"/>
            </w:tcBorders>
          </w:tcPr>
          <w:p>
            <w:pPr>
              <w:pStyle w:val="TableParagraph"/>
              <w:spacing w:line="238" w:lineRule="exact"/>
              <w:ind w:left="167"/>
              <w:rPr>
                <w:sz w:val="24"/>
              </w:rPr>
            </w:pPr>
            <w:r>
              <w:rPr>
                <w:sz w:val="24"/>
              </w:rPr>
              <w:t>12 A 14 AÑOS</w:t>
            </w:r>
          </w:p>
        </w:tc>
        <w:tc>
          <w:tcPr>
            <w:tcW w:w="1023" w:type="dxa"/>
            <w:tcBorders>
              <w:top w:val="single" w:sz="29" w:space="0" w:color="E6EDD4"/>
            </w:tcBorders>
          </w:tcPr>
          <w:p>
            <w:pPr>
              <w:pStyle w:val="TableParagraph"/>
              <w:spacing w:line="238" w:lineRule="exact"/>
              <w:ind w:right="280"/>
              <w:jc w:val="right"/>
              <w:rPr>
                <w:sz w:val="24"/>
              </w:rPr>
            </w:pPr>
            <w:r>
              <w:rPr>
                <w:sz w:val="24"/>
              </w:rPr>
              <w:t>68</w:t>
            </w:r>
          </w:p>
        </w:tc>
        <w:tc>
          <w:tcPr>
            <w:tcW w:w="1269" w:type="dxa"/>
            <w:tcBorders>
              <w:top w:val="single" w:sz="29" w:space="0" w:color="E6EDD4"/>
            </w:tcBorders>
          </w:tcPr>
          <w:p>
            <w:pPr>
              <w:pStyle w:val="TableParagraph"/>
              <w:spacing w:line="238" w:lineRule="exact"/>
              <w:ind w:right="136"/>
              <w:jc w:val="right"/>
              <w:rPr>
                <w:sz w:val="24"/>
              </w:rPr>
            </w:pPr>
            <w:r>
              <w:rPr>
                <w:sz w:val="24"/>
              </w:rPr>
              <w:t>82.42</w:t>
            </w:r>
          </w:p>
        </w:tc>
        <w:tc>
          <w:tcPr>
            <w:tcW w:w="2138" w:type="dxa"/>
            <w:tcBorders>
              <w:top w:val="single" w:sz="29" w:space="0" w:color="E6EDD4"/>
            </w:tcBorders>
          </w:tcPr>
          <w:p>
            <w:pPr>
              <w:pStyle w:val="TableParagraph"/>
              <w:spacing w:line="238" w:lineRule="exact"/>
              <w:ind w:right="165"/>
              <w:jc w:val="right"/>
              <w:rPr>
                <w:sz w:val="24"/>
              </w:rPr>
            </w:pPr>
            <w:r>
              <w:rPr>
                <w:sz w:val="24"/>
              </w:rPr>
              <w:t>7.19</w:t>
            </w:r>
          </w:p>
        </w:tc>
      </w:tr>
      <w:tr>
        <w:trPr>
          <w:trHeight w:val="487" w:hRule="exact"/>
        </w:trPr>
        <w:tc>
          <w:tcPr>
            <w:tcW w:w="2376" w:type="dxa"/>
            <w:shd w:val="clear" w:color="auto" w:fill="E6EDD4"/>
          </w:tcPr>
          <w:p>
            <w:pPr>
              <w:pStyle w:val="TableParagraph"/>
              <w:ind w:left="168" w:right="553"/>
              <w:rPr>
                <w:b/>
                <w:sz w:val="24"/>
              </w:rPr>
            </w:pPr>
            <w:r>
              <w:rPr>
                <w:b/>
                <w:sz w:val="24"/>
              </w:rPr>
              <w:t>AB/PM</w:t>
            </w:r>
          </w:p>
        </w:tc>
        <w:tc>
          <w:tcPr>
            <w:tcW w:w="2214" w:type="dxa"/>
            <w:shd w:val="clear" w:color="auto" w:fill="E6EDD4"/>
          </w:tcPr>
          <w:p>
            <w:pPr>
              <w:pStyle w:val="TableParagraph"/>
              <w:ind w:left="167"/>
              <w:rPr>
                <w:sz w:val="24"/>
              </w:rPr>
            </w:pPr>
            <w:r>
              <w:rPr>
                <w:sz w:val="24"/>
              </w:rPr>
              <w:t>9 A 11 AÑOS</w:t>
            </w:r>
          </w:p>
        </w:tc>
        <w:tc>
          <w:tcPr>
            <w:tcW w:w="1023" w:type="dxa"/>
            <w:shd w:val="clear" w:color="auto" w:fill="E6EDD4"/>
          </w:tcPr>
          <w:p>
            <w:pPr>
              <w:pStyle w:val="TableParagraph"/>
              <w:ind w:right="280"/>
              <w:jc w:val="right"/>
              <w:rPr>
                <w:sz w:val="24"/>
              </w:rPr>
            </w:pPr>
            <w:r>
              <w:rPr>
                <w:sz w:val="24"/>
              </w:rPr>
              <w:t>68</w:t>
            </w:r>
          </w:p>
        </w:tc>
        <w:tc>
          <w:tcPr>
            <w:tcW w:w="1269" w:type="dxa"/>
            <w:shd w:val="clear" w:color="auto" w:fill="E6EDD4"/>
          </w:tcPr>
          <w:p>
            <w:pPr>
              <w:pStyle w:val="TableParagraph"/>
              <w:ind w:right="136"/>
              <w:jc w:val="right"/>
              <w:rPr>
                <w:sz w:val="24"/>
              </w:rPr>
            </w:pPr>
            <w:r>
              <w:rPr>
                <w:sz w:val="24"/>
              </w:rPr>
              <w:t>72.77</w:t>
            </w:r>
          </w:p>
        </w:tc>
        <w:tc>
          <w:tcPr>
            <w:tcW w:w="2138" w:type="dxa"/>
            <w:shd w:val="clear" w:color="auto" w:fill="E6EDD4"/>
          </w:tcPr>
          <w:p>
            <w:pPr>
              <w:pStyle w:val="TableParagraph"/>
              <w:ind w:right="165"/>
              <w:jc w:val="right"/>
              <w:rPr>
                <w:sz w:val="24"/>
              </w:rPr>
            </w:pPr>
            <w:r>
              <w:rPr>
                <w:sz w:val="24"/>
              </w:rPr>
              <w:t>4.77</w:t>
            </w:r>
          </w:p>
        </w:tc>
      </w:tr>
      <w:tr>
        <w:trPr>
          <w:trHeight w:val="413" w:hRule="exact"/>
        </w:trPr>
        <w:tc>
          <w:tcPr>
            <w:tcW w:w="2376" w:type="dxa"/>
            <w:shd w:val="clear" w:color="auto" w:fill="E6EDD4"/>
          </w:tcPr>
          <w:p>
            <w:pPr/>
          </w:p>
        </w:tc>
        <w:tc>
          <w:tcPr>
            <w:tcW w:w="2214" w:type="dxa"/>
            <w:tcBorders>
              <w:top w:val="single" w:sz="30" w:space="0" w:color="E6EDD4"/>
            </w:tcBorders>
          </w:tcPr>
          <w:p>
            <w:pPr>
              <w:pStyle w:val="TableParagraph"/>
              <w:spacing w:line="237" w:lineRule="exact"/>
              <w:ind w:left="167"/>
              <w:rPr>
                <w:sz w:val="24"/>
              </w:rPr>
            </w:pPr>
            <w:r>
              <w:rPr>
                <w:sz w:val="24"/>
              </w:rPr>
              <w:t>12 A 14 AÑOS</w:t>
            </w:r>
          </w:p>
        </w:tc>
        <w:tc>
          <w:tcPr>
            <w:tcW w:w="1023" w:type="dxa"/>
            <w:tcBorders>
              <w:top w:val="single" w:sz="30" w:space="0" w:color="E6EDD4"/>
            </w:tcBorders>
          </w:tcPr>
          <w:p>
            <w:pPr>
              <w:pStyle w:val="TableParagraph"/>
              <w:spacing w:line="237" w:lineRule="exact"/>
              <w:ind w:right="280"/>
              <w:jc w:val="right"/>
              <w:rPr>
                <w:sz w:val="24"/>
              </w:rPr>
            </w:pPr>
            <w:r>
              <w:rPr>
                <w:sz w:val="24"/>
              </w:rPr>
              <w:t>68</w:t>
            </w:r>
          </w:p>
        </w:tc>
        <w:tc>
          <w:tcPr>
            <w:tcW w:w="1269" w:type="dxa"/>
            <w:tcBorders>
              <w:top w:val="single" w:sz="30" w:space="0" w:color="E6EDD4"/>
            </w:tcBorders>
          </w:tcPr>
          <w:p>
            <w:pPr>
              <w:pStyle w:val="TableParagraph"/>
              <w:spacing w:line="237" w:lineRule="exact"/>
              <w:ind w:right="136"/>
              <w:jc w:val="right"/>
              <w:rPr>
                <w:sz w:val="24"/>
              </w:rPr>
            </w:pPr>
            <w:r>
              <w:rPr>
                <w:sz w:val="24"/>
              </w:rPr>
              <w:t>72.52</w:t>
            </w:r>
          </w:p>
        </w:tc>
        <w:tc>
          <w:tcPr>
            <w:tcW w:w="2138" w:type="dxa"/>
            <w:tcBorders>
              <w:top w:val="single" w:sz="30" w:space="0" w:color="E6EDD4"/>
            </w:tcBorders>
          </w:tcPr>
          <w:p>
            <w:pPr>
              <w:pStyle w:val="TableParagraph"/>
              <w:spacing w:line="237" w:lineRule="exact"/>
              <w:ind w:right="165"/>
              <w:jc w:val="right"/>
              <w:rPr>
                <w:sz w:val="24"/>
              </w:rPr>
            </w:pPr>
            <w:r>
              <w:rPr>
                <w:sz w:val="24"/>
              </w:rPr>
              <w:t>4.56</w:t>
            </w:r>
          </w:p>
        </w:tc>
      </w:tr>
      <w:tr>
        <w:trPr>
          <w:trHeight w:val="487" w:hRule="exact"/>
        </w:trPr>
        <w:tc>
          <w:tcPr>
            <w:tcW w:w="2376" w:type="dxa"/>
            <w:shd w:val="clear" w:color="auto" w:fill="E6EDD4"/>
          </w:tcPr>
          <w:p>
            <w:pPr>
              <w:pStyle w:val="TableParagraph"/>
              <w:ind w:left="168" w:right="553"/>
              <w:rPr>
                <w:b/>
                <w:sz w:val="24"/>
              </w:rPr>
            </w:pPr>
            <w:r>
              <w:rPr>
                <w:b/>
                <w:sz w:val="24"/>
              </w:rPr>
              <w:t>PP/FH</w:t>
            </w:r>
          </w:p>
        </w:tc>
        <w:tc>
          <w:tcPr>
            <w:tcW w:w="2214" w:type="dxa"/>
            <w:shd w:val="clear" w:color="auto" w:fill="E6EDD4"/>
          </w:tcPr>
          <w:p>
            <w:pPr>
              <w:pStyle w:val="TableParagraph"/>
              <w:ind w:left="167"/>
              <w:rPr>
                <w:sz w:val="24"/>
              </w:rPr>
            </w:pPr>
            <w:r>
              <w:rPr>
                <w:sz w:val="24"/>
              </w:rPr>
              <w:t>9 A 11 AÑOS</w:t>
            </w:r>
          </w:p>
        </w:tc>
        <w:tc>
          <w:tcPr>
            <w:tcW w:w="1023" w:type="dxa"/>
            <w:shd w:val="clear" w:color="auto" w:fill="E6EDD4"/>
          </w:tcPr>
          <w:p>
            <w:pPr>
              <w:pStyle w:val="TableParagraph"/>
              <w:ind w:right="280"/>
              <w:jc w:val="right"/>
              <w:rPr>
                <w:sz w:val="24"/>
              </w:rPr>
            </w:pPr>
            <w:r>
              <w:rPr>
                <w:sz w:val="24"/>
              </w:rPr>
              <w:t>68</w:t>
            </w:r>
          </w:p>
        </w:tc>
        <w:tc>
          <w:tcPr>
            <w:tcW w:w="1269" w:type="dxa"/>
            <w:shd w:val="clear" w:color="auto" w:fill="E6EDD4"/>
          </w:tcPr>
          <w:p>
            <w:pPr>
              <w:pStyle w:val="TableParagraph"/>
              <w:ind w:right="136"/>
              <w:jc w:val="right"/>
              <w:rPr>
                <w:sz w:val="24"/>
              </w:rPr>
            </w:pPr>
            <w:r>
              <w:rPr>
                <w:sz w:val="24"/>
              </w:rPr>
              <w:t>.64</w:t>
            </w:r>
          </w:p>
        </w:tc>
        <w:tc>
          <w:tcPr>
            <w:tcW w:w="2138" w:type="dxa"/>
            <w:shd w:val="clear" w:color="auto" w:fill="E6EDD4"/>
          </w:tcPr>
          <w:p>
            <w:pPr>
              <w:pStyle w:val="TableParagraph"/>
              <w:ind w:right="165"/>
              <w:jc w:val="right"/>
              <w:rPr>
                <w:sz w:val="24"/>
              </w:rPr>
            </w:pPr>
            <w:r>
              <w:rPr>
                <w:sz w:val="24"/>
              </w:rPr>
              <w:t>3.22</w:t>
            </w:r>
          </w:p>
        </w:tc>
      </w:tr>
      <w:tr>
        <w:trPr>
          <w:trHeight w:val="415" w:hRule="exact"/>
        </w:trPr>
        <w:tc>
          <w:tcPr>
            <w:tcW w:w="2376" w:type="dxa"/>
            <w:shd w:val="clear" w:color="auto" w:fill="E6EDD4"/>
          </w:tcPr>
          <w:p>
            <w:pPr/>
          </w:p>
        </w:tc>
        <w:tc>
          <w:tcPr>
            <w:tcW w:w="2214" w:type="dxa"/>
            <w:tcBorders>
              <w:top w:val="single" w:sz="29" w:space="0" w:color="E6EDD4"/>
            </w:tcBorders>
          </w:tcPr>
          <w:p>
            <w:pPr>
              <w:pStyle w:val="TableParagraph"/>
              <w:spacing w:line="238" w:lineRule="exact"/>
              <w:ind w:left="167"/>
              <w:rPr>
                <w:sz w:val="24"/>
              </w:rPr>
            </w:pPr>
            <w:r>
              <w:rPr>
                <w:sz w:val="24"/>
              </w:rPr>
              <w:t>12 A 14 AÑOS</w:t>
            </w:r>
          </w:p>
        </w:tc>
        <w:tc>
          <w:tcPr>
            <w:tcW w:w="1023" w:type="dxa"/>
            <w:tcBorders>
              <w:top w:val="single" w:sz="29" w:space="0" w:color="E6EDD4"/>
            </w:tcBorders>
          </w:tcPr>
          <w:p>
            <w:pPr>
              <w:pStyle w:val="TableParagraph"/>
              <w:spacing w:line="238" w:lineRule="exact"/>
              <w:ind w:right="280"/>
              <w:jc w:val="right"/>
              <w:rPr>
                <w:sz w:val="24"/>
              </w:rPr>
            </w:pPr>
            <w:r>
              <w:rPr>
                <w:sz w:val="24"/>
              </w:rPr>
              <w:t>68</w:t>
            </w:r>
          </w:p>
        </w:tc>
        <w:tc>
          <w:tcPr>
            <w:tcW w:w="1269" w:type="dxa"/>
            <w:tcBorders>
              <w:top w:val="single" w:sz="29" w:space="0" w:color="E6EDD4"/>
            </w:tcBorders>
          </w:tcPr>
          <w:p>
            <w:pPr>
              <w:pStyle w:val="TableParagraph"/>
              <w:spacing w:line="238" w:lineRule="exact"/>
              <w:ind w:right="136"/>
              <w:jc w:val="right"/>
              <w:rPr>
                <w:sz w:val="24"/>
              </w:rPr>
            </w:pPr>
            <w:r>
              <w:rPr>
                <w:sz w:val="24"/>
              </w:rPr>
              <w:t>.98</w:t>
            </w:r>
          </w:p>
        </w:tc>
        <w:tc>
          <w:tcPr>
            <w:tcW w:w="2138" w:type="dxa"/>
            <w:tcBorders>
              <w:top w:val="single" w:sz="29" w:space="0" w:color="E6EDD4"/>
            </w:tcBorders>
          </w:tcPr>
          <w:p>
            <w:pPr>
              <w:pStyle w:val="TableParagraph"/>
              <w:spacing w:line="238" w:lineRule="exact"/>
              <w:ind w:right="165"/>
              <w:jc w:val="right"/>
              <w:rPr>
                <w:sz w:val="24"/>
              </w:rPr>
            </w:pPr>
            <w:r>
              <w:rPr>
                <w:sz w:val="24"/>
              </w:rPr>
              <w:t>3.12</w:t>
            </w:r>
          </w:p>
        </w:tc>
      </w:tr>
      <w:tr>
        <w:trPr>
          <w:trHeight w:val="487" w:hRule="exact"/>
        </w:trPr>
        <w:tc>
          <w:tcPr>
            <w:tcW w:w="2376" w:type="dxa"/>
            <w:shd w:val="clear" w:color="auto" w:fill="E6EDD4"/>
          </w:tcPr>
          <w:p>
            <w:pPr>
              <w:pStyle w:val="TableParagraph"/>
              <w:ind w:left="168" w:right="553"/>
              <w:rPr>
                <w:b/>
                <w:sz w:val="24"/>
              </w:rPr>
            </w:pPr>
            <w:r>
              <w:rPr>
                <w:b/>
                <w:sz w:val="24"/>
              </w:rPr>
              <w:t>ODI</w:t>
            </w:r>
          </w:p>
        </w:tc>
        <w:tc>
          <w:tcPr>
            <w:tcW w:w="2214" w:type="dxa"/>
            <w:shd w:val="clear" w:color="auto" w:fill="E6EDD4"/>
          </w:tcPr>
          <w:p>
            <w:pPr>
              <w:pStyle w:val="TableParagraph"/>
              <w:ind w:left="167"/>
              <w:rPr>
                <w:sz w:val="24"/>
              </w:rPr>
            </w:pPr>
            <w:r>
              <w:rPr>
                <w:sz w:val="24"/>
              </w:rPr>
              <w:t>9 A 11 AÑOS</w:t>
            </w:r>
          </w:p>
        </w:tc>
        <w:tc>
          <w:tcPr>
            <w:tcW w:w="1023" w:type="dxa"/>
            <w:shd w:val="clear" w:color="auto" w:fill="E6EDD4"/>
          </w:tcPr>
          <w:p>
            <w:pPr>
              <w:pStyle w:val="TableParagraph"/>
              <w:ind w:right="280"/>
              <w:jc w:val="right"/>
              <w:rPr>
                <w:sz w:val="24"/>
              </w:rPr>
            </w:pPr>
            <w:r>
              <w:rPr>
                <w:sz w:val="24"/>
              </w:rPr>
              <w:t>68</w:t>
            </w:r>
          </w:p>
        </w:tc>
        <w:tc>
          <w:tcPr>
            <w:tcW w:w="1269" w:type="dxa"/>
            <w:shd w:val="clear" w:color="auto" w:fill="E6EDD4"/>
          </w:tcPr>
          <w:p>
            <w:pPr>
              <w:pStyle w:val="TableParagraph"/>
              <w:ind w:right="136"/>
              <w:jc w:val="right"/>
              <w:rPr>
                <w:sz w:val="24"/>
              </w:rPr>
            </w:pPr>
            <w:r>
              <w:rPr>
                <w:sz w:val="24"/>
              </w:rPr>
              <w:t>73.32</w:t>
            </w:r>
          </w:p>
        </w:tc>
        <w:tc>
          <w:tcPr>
            <w:tcW w:w="2138" w:type="dxa"/>
            <w:shd w:val="clear" w:color="auto" w:fill="E6EDD4"/>
          </w:tcPr>
          <w:p>
            <w:pPr>
              <w:pStyle w:val="TableParagraph"/>
              <w:ind w:right="163"/>
              <w:jc w:val="right"/>
              <w:rPr>
                <w:sz w:val="24"/>
              </w:rPr>
            </w:pPr>
            <w:r>
              <w:rPr>
                <w:sz w:val="24"/>
              </w:rPr>
              <w:t>5.59</w:t>
            </w:r>
          </w:p>
        </w:tc>
      </w:tr>
      <w:tr>
        <w:trPr>
          <w:trHeight w:val="428" w:hRule="exact"/>
        </w:trPr>
        <w:tc>
          <w:tcPr>
            <w:tcW w:w="2376" w:type="dxa"/>
            <w:tcBorders>
              <w:bottom w:val="single" w:sz="8" w:space="0" w:color="9BBA58"/>
            </w:tcBorders>
            <w:shd w:val="clear" w:color="auto" w:fill="E6EDD4"/>
          </w:tcPr>
          <w:p>
            <w:pPr/>
          </w:p>
        </w:tc>
        <w:tc>
          <w:tcPr>
            <w:tcW w:w="2214" w:type="dxa"/>
            <w:tcBorders>
              <w:top w:val="single" w:sz="30" w:space="0" w:color="E6EDD4"/>
              <w:bottom w:val="single" w:sz="8" w:space="0" w:color="9BBA58"/>
            </w:tcBorders>
          </w:tcPr>
          <w:p>
            <w:pPr>
              <w:pStyle w:val="TableParagraph"/>
              <w:spacing w:line="237" w:lineRule="exact"/>
              <w:ind w:left="167"/>
              <w:rPr>
                <w:sz w:val="24"/>
              </w:rPr>
            </w:pPr>
            <w:r>
              <w:rPr>
                <w:sz w:val="24"/>
              </w:rPr>
              <w:t>12 A 14 AÑOS</w:t>
            </w:r>
          </w:p>
        </w:tc>
        <w:tc>
          <w:tcPr>
            <w:tcW w:w="1023" w:type="dxa"/>
            <w:tcBorders>
              <w:top w:val="single" w:sz="30" w:space="0" w:color="E6EDD4"/>
              <w:bottom w:val="single" w:sz="8" w:space="0" w:color="9BBA58"/>
            </w:tcBorders>
          </w:tcPr>
          <w:p>
            <w:pPr>
              <w:pStyle w:val="TableParagraph"/>
              <w:spacing w:line="237" w:lineRule="exact"/>
              <w:ind w:right="280"/>
              <w:jc w:val="right"/>
              <w:rPr>
                <w:sz w:val="24"/>
              </w:rPr>
            </w:pPr>
            <w:r>
              <w:rPr>
                <w:sz w:val="24"/>
              </w:rPr>
              <w:t>68</w:t>
            </w:r>
          </w:p>
        </w:tc>
        <w:tc>
          <w:tcPr>
            <w:tcW w:w="1269" w:type="dxa"/>
            <w:tcBorders>
              <w:top w:val="single" w:sz="30" w:space="0" w:color="E6EDD4"/>
              <w:bottom w:val="single" w:sz="8" w:space="0" w:color="9BBA58"/>
            </w:tcBorders>
          </w:tcPr>
          <w:p>
            <w:pPr>
              <w:pStyle w:val="TableParagraph"/>
              <w:spacing w:line="237" w:lineRule="exact"/>
              <w:ind w:right="136"/>
              <w:jc w:val="right"/>
              <w:rPr>
                <w:sz w:val="24"/>
              </w:rPr>
            </w:pPr>
            <w:r>
              <w:rPr>
                <w:sz w:val="24"/>
              </w:rPr>
              <w:t>73.47</w:t>
            </w:r>
          </w:p>
        </w:tc>
        <w:tc>
          <w:tcPr>
            <w:tcW w:w="2138" w:type="dxa"/>
            <w:tcBorders>
              <w:top w:val="single" w:sz="30" w:space="0" w:color="E6EDD4"/>
              <w:bottom w:val="single" w:sz="8" w:space="0" w:color="9BBA58"/>
            </w:tcBorders>
          </w:tcPr>
          <w:p>
            <w:pPr>
              <w:pStyle w:val="TableParagraph"/>
              <w:spacing w:line="237" w:lineRule="exact"/>
              <w:ind w:right="165"/>
              <w:jc w:val="right"/>
              <w:rPr>
                <w:sz w:val="24"/>
              </w:rPr>
            </w:pPr>
            <w:r>
              <w:rPr>
                <w:sz w:val="24"/>
              </w:rPr>
              <w:t>4.92</w:t>
            </w:r>
          </w:p>
        </w:tc>
      </w:tr>
    </w:tbl>
    <w:p>
      <w:pPr>
        <w:spacing w:line="201" w:lineRule="exact" w:before="0"/>
        <w:ind w:left="0" w:right="857" w:firstLine="0"/>
        <w:jc w:val="right"/>
        <w:rPr>
          <w:sz w:val="18"/>
        </w:rPr>
      </w:pPr>
      <w:r>
        <w:rPr>
          <w:sz w:val="18"/>
        </w:rPr>
        <w:t>Fuente: directa</w:t>
      </w:r>
    </w:p>
    <w:p>
      <w:pPr>
        <w:spacing w:after="0" w:line="201" w:lineRule="exact"/>
        <w:jc w:val="right"/>
        <w:rPr>
          <w:sz w:val="18"/>
        </w:rPr>
        <w:sectPr>
          <w:pgSz w:w="12240" w:h="15840"/>
          <w:pgMar w:header="596" w:footer="1003" w:top="1380" w:bottom="1200" w:left="900" w:right="840"/>
        </w:sectPr>
      </w:pPr>
    </w:p>
    <w:p>
      <w:pPr>
        <w:pStyle w:val="BodyText"/>
        <w:spacing w:before="5"/>
        <w:rPr>
          <w:sz w:val="21"/>
        </w:rPr>
      </w:pPr>
    </w:p>
    <w:p>
      <w:pPr>
        <w:spacing w:before="69"/>
        <w:ind w:left="823" w:right="865" w:firstLine="0"/>
        <w:jc w:val="left"/>
        <w:rPr>
          <w:b/>
          <w:sz w:val="24"/>
        </w:rPr>
      </w:pPr>
      <w:r>
        <w:rPr>
          <w:b/>
          <w:sz w:val="24"/>
        </w:rPr>
        <w:t>Cuadro V. Resultados prueba t por grupo de edad para el total de muestra.</w:t>
      </w:r>
    </w:p>
    <w:p>
      <w:pPr>
        <w:pStyle w:val="BodyText"/>
        <w:spacing w:before="6" w:after="1"/>
        <w:rPr>
          <w:b/>
          <w:sz w:val="29"/>
        </w:rPr>
      </w:pPr>
    </w:p>
    <w:tbl>
      <w:tblPr>
        <w:tblW w:w="0" w:type="auto"/>
        <w:jc w:val="left"/>
        <w:tblInd w:w="4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290"/>
        <w:gridCol w:w="2771"/>
        <w:gridCol w:w="1945"/>
      </w:tblGrid>
      <w:tr>
        <w:trPr>
          <w:trHeight w:val="433" w:hRule="exact"/>
        </w:trPr>
        <w:tc>
          <w:tcPr>
            <w:tcW w:w="4290" w:type="dxa"/>
            <w:tcBorders>
              <w:top w:val="single" w:sz="8" w:space="0" w:color="9BBA58"/>
              <w:bottom w:val="single" w:sz="8" w:space="0" w:color="9BBA58"/>
            </w:tcBorders>
          </w:tcPr>
          <w:p>
            <w:pPr>
              <w:pStyle w:val="TableParagraph"/>
              <w:ind w:left="108"/>
              <w:rPr>
                <w:b/>
                <w:sz w:val="24"/>
              </w:rPr>
            </w:pPr>
            <w:r>
              <w:rPr>
                <w:b/>
                <w:sz w:val="24"/>
              </w:rPr>
              <w:t>Parámetros cefalométricos</w:t>
            </w:r>
          </w:p>
        </w:tc>
        <w:tc>
          <w:tcPr>
            <w:tcW w:w="2771" w:type="dxa"/>
            <w:tcBorders>
              <w:top w:val="single" w:sz="8" w:space="0" w:color="9BBA58"/>
              <w:bottom w:val="single" w:sz="8" w:space="0" w:color="9BBA58"/>
            </w:tcBorders>
          </w:tcPr>
          <w:p>
            <w:pPr>
              <w:pStyle w:val="TableParagraph"/>
              <w:ind w:right="1211"/>
              <w:jc w:val="right"/>
              <w:rPr>
                <w:b/>
                <w:sz w:val="24"/>
              </w:rPr>
            </w:pPr>
            <w:r>
              <w:rPr>
                <w:b/>
                <w:sz w:val="24"/>
              </w:rPr>
              <w:t>F</w:t>
            </w:r>
          </w:p>
        </w:tc>
        <w:tc>
          <w:tcPr>
            <w:tcW w:w="1945" w:type="dxa"/>
            <w:tcBorders>
              <w:top w:val="single" w:sz="8" w:space="0" w:color="9BBA58"/>
              <w:bottom w:val="single" w:sz="8" w:space="0" w:color="9BBA58"/>
            </w:tcBorders>
          </w:tcPr>
          <w:p>
            <w:pPr>
              <w:pStyle w:val="TableParagraph"/>
              <w:ind w:left="1200"/>
              <w:rPr>
                <w:b/>
                <w:sz w:val="24"/>
              </w:rPr>
            </w:pPr>
            <w:r>
              <w:rPr>
                <w:b/>
                <w:sz w:val="24"/>
              </w:rPr>
              <w:t>Sig.</w:t>
            </w:r>
          </w:p>
        </w:tc>
      </w:tr>
      <w:tr>
        <w:trPr>
          <w:trHeight w:val="568" w:hRule="exact"/>
        </w:trPr>
        <w:tc>
          <w:tcPr>
            <w:tcW w:w="4290" w:type="dxa"/>
            <w:tcBorders>
              <w:top w:val="single" w:sz="8" w:space="0" w:color="9BBA58"/>
            </w:tcBorders>
            <w:shd w:val="clear" w:color="auto" w:fill="E6EDD4"/>
          </w:tcPr>
          <w:p>
            <w:pPr>
              <w:pStyle w:val="TableParagraph"/>
              <w:spacing w:line="275" w:lineRule="exact"/>
              <w:ind w:left="175"/>
              <w:rPr>
                <w:b/>
                <w:sz w:val="24"/>
              </w:rPr>
            </w:pPr>
            <w:r>
              <w:rPr>
                <w:b/>
                <w:sz w:val="24"/>
              </w:rPr>
              <w:t>PF/FH</w:t>
            </w:r>
          </w:p>
        </w:tc>
        <w:tc>
          <w:tcPr>
            <w:tcW w:w="2771" w:type="dxa"/>
            <w:tcBorders>
              <w:top w:val="single" w:sz="8" w:space="0" w:color="9BBA58"/>
            </w:tcBorders>
            <w:shd w:val="clear" w:color="auto" w:fill="E6EDD4"/>
          </w:tcPr>
          <w:p>
            <w:pPr/>
          </w:p>
        </w:tc>
        <w:tc>
          <w:tcPr>
            <w:tcW w:w="1945" w:type="dxa"/>
            <w:tcBorders>
              <w:top w:val="single" w:sz="8" w:space="0" w:color="9BBA58"/>
            </w:tcBorders>
            <w:shd w:val="clear" w:color="auto" w:fill="E6EDD4"/>
          </w:tcPr>
          <w:p>
            <w:pPr>
              <w:pStyle w:val="TableParagraph"/>
              <w:spacing w:line="275" w:lineRule="exact"/>
              <w:ind w:right="167"/>
              <w:jc w:val="right"/>
              <w:rPr>
                <w:sz w:val="24"/>
              </w:rPr>
            </w:pPr>
            <w:r>
              <w:rPr>
                <w:sz w:val="24"/>
              </w:rPr>
              <w:t>.43</w:t>
            </w:r>
          </w:p>
        </w:tc>
      </w:tr>
      <w:tr>
        <w:trPr>
          <w:trHeight w:val="598" w:hRule="exact"/>
        </w:trPr>
        <w:tc>
          <w:tcPr>
            <w:tcW w:w="4290" w:type="dxa"/>
          </w:tcPr>
          <w:p>
            <w:pPr>
              <w:pStyle w:val="TableParagraph"/>
              <w:ind w:left="168"/>
              <w:rPr>
                <w:b/>
                <w:sz w:val="24"/>
              </w:rPr>
            </w:pPr>
            <w:r>
              <w:rPr>
                <w:b/>
                <w:sz w:val="24"/>
              </w:rPr>
              <w:t>AB/PF</w:t>
            </w:r>
          </w:p>
        </w:tc>
        <w:tc>
          <w:tcPr>
            <w:tcW w:w="2771" w:type="dxa"/>
          </w:tcPr>
          <w:p>
            <w:pPr>
              <w:pStyle w:val="TableParagraph"/>
              <w:ind w:right="1199"/>
              <w:jc w:val="right"/>
              <w:rPr>
                <w:sz w:val="24"/>
              </w:rPr>
            </w:pPr>
            <w:r>
              <w:rPr>
                <w:sz w:val="24"/>
              </w:rPr>
              <w:t>1.21</w:t>
            </w:r>
          </w:p>
        </w:tc>
        <w:tc>
          <w:tcPr>
            <w:tcW w:w="1945" w:type="dxa"/>
          </w:tcPr>
          <w:p>
            <w:pPr>
              <w:pStyle w:val="TableParagraph"/>
              <w:ind w:right="167"/>
              <w:jc w:val="right"/>
              <w:rPr>
                <w:sz w:val="24"/>
              </w:rPr>
            </w:pPr>
            <w:r>
              <w:rPr>
                <w:sz w:val="24"/>
              </w:rPr>
              <w:t>.27</w:t>
            </w:r>
          </w:p>
        </w:tc>
      </w:tr>
      <w:tr>
        <w:trPr>
          <w:trHeight w:val="564" w:hRule="exact"/>
        </w:trPr>
        <w:tc>
          <w:tcPr>
            <w:tcW w:w="4290" w:type="dxa"/>
            <w:shd w:val="clear" w:color="auto" w:fill="E6EDD4"/>
          </w:tcPr>
          <w:p>
            <w:pPr>
              <w:pStyle w:val="TableParagraph"/>
              <w:ind w:left="168"/>
              <w:rPr>
                <w:b/>
                <w:sz w:val="24"/>
              </w:rPr>
            </w:pPr>
            <w:r>
              <w:rPr>
                <w:b/>
                <w:sz w:val="24"/>
              </w:rPr>
              <w:t>PP/FH</w:t>
            </w:r>
          </w:p>
        </w:tc>
        <w:tc>
          <w:tcPr>
            <w:tcW w:w="2771" w:type="dxa"/>
            <w:shd w:val="clear" w:color="auto" w:fill="E6EDD4"/>
          </w:tcPr>
          <w:p>
            <w:pPr>
              <w:pStyle w:val="TableParagraph"/>
              <w:ind w:right="1198"/>
              <w:jc w:val="right"/>
              <w:rPr>
                <w:sz w:val="24"/>
              </w:rPr>
            </w:pPr>
            <w:r>
              <w:rPr>
                <w:sz w:val="24"/>
              </w:rPr>
              <w:t>.20</w:t>
            </w:r>
          </w:p>
        </w:tc>
        <w:tc>
          <w:tcPr>
            <w:tcW w:w="1945" w:type="dxa"/>
            <w:shd w:val="clear" w:color="auto" w:fill="E6EDD4"/>
          </w:tcPr>
          <w:p>
            <w:pPr>
              <w:pStyle w:val="TableParagraph"/>
              <w:ind w:right="167"/>
              <w:jc w:val="right"/>
              <w:rPr>
                <w:sz w:val="24"/>
              </w:rPr>
            </w:pPr>
            <w:r>
              <w:rPr>
                <w:sz w:val="24"/>
              </w:rPr>
              <w:t>.64</w:t>
            </w:r>
          </w:p>
        </w:tc>
      </w:tr>
      <w:tr>
        <w:trPr>
          <w:trHeight w:val="516" w:hRule="exact"/>
        </w:trPr>
        <w:tc>
          <w:tcPr>
            <w:tcW w:w="4290" w:type="dxa"/>
          </w:tcPr>
          <w:p>
            <w:pPr>
              <w:pStyle w:val="TableParagraph"/>
              <w:ind w:left="168"/>
              <w:rPr>
                <w:b/>
                <w:sz w:val="24"/>
              </w:rPr>
            </w:pPr>
            <w:r>
              <w:rPr>
                <w:b/>
                <w:sz w:val="24"/>
              </w:rPr>
              <w:t>APDI</w:t>
            </w:r>
          </w:p>
        </w:tc>
        <w:tc>
          <w:tcPr>
            <w:tcW w:w="2771" w:type="dxa"/>
          </w:tcPr>
          <w:p>
            <w:pPr>
              <w:pStyle w:val="TableParagraph"/>
              <w:ind w:right="1199"/>
              <w:jc w:val="right"/>
              <w:rPr>
                <w:sz w:val="24"/>
              </w:rPr>
            </w:pPr>
            <w:r>
              <w:rPr>
                <w:sz w:val="24"/>
              </w:rPr>
              <w:t>3.54</w:t>
            </w:r>
          </w:p>
        </w:tc>
        <w:tc>
          <w:tcPr>
            <w:tcW w:w="1945" w:type="dxa"/>
          </w:tcPr>
          <w:p>
            <w:pPr>
              <w:pStyle w:val="TableParagraph"/>
              <w:ind w:right="167"/>
              <w:jc w:val="right"/>
              <w:rPr>
                <w:sz w:val="24"/>
              </w:rPr>
            </w:pPr>
            <w:r>
              <w:rPr>
                <w:sz w:val="24"/>
              </w:rPr>
              <w:t>.06</w:t>
            </w:r>
          </w:p>
        </w:tc>
      </w:tr>
      <w:tr>
        <w:trPr>
          <w:trHeight w:val="579" w:hRule="exact"/>
        </w:trPr>
        <w:tc>
          <w:tcPr>
            <w:tcW w:w="4290" w:type="dxa"/>
            <w:shd w:val="clear" w:color="auto" w:fill="E6EDD4"/>
          </w:tcPr>
          <w:p>
            <w:pPr>
              <w:pStyle w:val="TableParagraph"/>
              <w:spacing w:line="275" w:lineRule="exact"/>
              <w:ind w:left="168"/>
              <w:rPr>
                <w:b/>
                <w:sz w:val="24"/>
              </w:rPr>
            </w:pPr>
            <w:r>
              <w:rPr>
                <w:b/>
                <w:sz w:val="24"/>
              </w:rPr>
              <w:t>AB/PM</w:t>
            </w:r>
          </w:p>
        </w:tc>
        <w:tc>
          <w:tcPr>
            <w:tcW w:w="2771" w:type="dxa"/>
            <w:shd w:val="clear" w:color="auto" w:fill="E6EDD4"/>
          </w:tcPr>
          <w:p>
            <w:pPr>
              <w:pStyle w:val="TableParagraph"/>
              <w:spacing w:line="275" w:lineRule="exact"/>
              <w:ind w:right="1198"/>
              <w:jc w:val="right"/>
              <w:rPr>
                <w:sz w:val="24"/>
              </w:rPr>
            </w:pPr>
            <w:r>
              <w:rPr>
                <w:sz w:val="24"/>
              </w:rPr>
              <w:t>.08</w:t>
            </w:r>
          </w:p>
        </w:tc>
        <w:tc>
          <w:tcPr>
            <w:tcW w:w="1945" w:type="dxa"/>
            <w:shd w:val="clear" w:color="auto" w:fill="E6EDD4"/>
          </w:tcPr>
          <w:p>
            <w:pPr>
              <w:pStyle w:val="TableParagraph"/>
              <w:spacing w:line="275" w:lineRule="exact"/>
              <w:ind w:right="167"/>
              <w:jc w:val="right"/>
              <w:rPr>
                <w:sz w:val="24"/>
              </w:rPr>
            </w:pPr>
            <w:r>
              <w:rPr>
                <w:sz w:val="24"/>
              </w:rPr>
              <w:t>.77</w:t>
            </w:r>
          </w:p>
        </w:tc>
      </w:tr>
      <w:tr>
        <w:trPr>
          <w:trHeight w:val="533" w:hRule="exact"/>
        </w:trPr>
        <w:tc>
          <w:tcPr>
            <w:tcW w:w="4290" w:type="dxa"/>
          </w:tcPr>
          <w:p>
            <w:pPr>
              <w:pStyle w:val="TableParagraph"/>
              <w:ind w:left="168"/>
              <w:rPr>
                <w:b/>
                <w:sz w:val="24"/>
              </w:rPr>
            </w:pPr>
            <w:r>
              <w:rPr>
                <w:b/>
                <w:sz w:val="24"/>
              </w:rPr>
              <w:t>PP/FH</w:t>
            </w:r>
          </w:p>
        </w:tc>
        <w:tc>
          <w:tcPr>
            <w:tcW w:w="2771" w:type="dxa"/>
          </w:tcPr>
          <w:p>
            <w:pPr>
              <w:pStyle w:val="TableParagraph"/>
              <w:ind w:right="1198"/>
              <w:jc w:val="right"/>
              <w:rPr>
                <w:sz w:val="24"/>
              </w:rPr>
            </w:pPr>
            <w:r>
              <w:rPr>
                <w:sz w:val="24"/>
              </w:rPr>
              <w:t>.20</w:t>
            </w:r>
          </w:p>
        </w:tc>
        <w:tc>
          <w:tcPr>
            <w:tcW w:w="1945" w:type="dxa"/>
          </w:tcPr>
          <w:p>
            <w:pPr>
              <w:pStyle w:val="TableParagraph"/>
              <w:ind w:right="167"/>
              <w:jc w:val="right"/>
              <w:rPr>
                <w:sz w:val="24"/>
              </w:rPr>
            </w:pPr>
            <w:r>
              <w:rPr>
                <w:sz w:val="24"/>
              </w:rPr>
              <w:t>.64</w:t>
            </w:r>
          </w:p>
        </w:tc>
      </w:tr>
      <w:tr>
        <w:trPr>
          <w:trHeight w:val="504" w:hRule="exact"/>
        </w:trPr>
        <w:tc>
          <w:tcPr>
            <w:tcW w:w="4290" w:type="dxa"/>
            <w:tcBorders>
              <w:bottom w:val="single" w:sz="8" w:space="0" w:color="9BBA58"/>
            </w:tcBorders>
            <w:shd w:val="clear" w:color="auto" w:fill="E6EDD4"/>
          </w:tcPr>
          <w:p>
            <w:pPr>
              <w:pStyle w:val="TableParagraph"/>
              <w:ind w:left="108"/>
              <w:rPr>
                <w:b/>
                <w:sz w:val="24"/>
              </w:rPr>
            </w:pPr>
            <w:r>
              <w:rPr>
                <w:b/>
                <w:sz w:val="24"/>
              </w:rPr>
              <w:t>ODI</w:t>
            </w:r>
          </w:p>
        </w:tc>
        <w:tc>
          <w:tcPr>
            <w:tcW w:w="2771" w:type="dxa"/>
            <w:tcBorders>
              <w:bottom w:val="single" w:sz="8" w:space="0" w:color="9BBA58"/>
            </w:tcBorders>
            <w:shd w:val="clear" w:color="auto" w:fill="E6EDD4"/>
          </w:tcPr>
          <w:p>
            <w:pPr>
              <w:pStyle w:val="TableParagraph"/>
              <w:ind w:right="1198"/>
              <w:jc w:val="right"/>
              <w:rPr>
                <w:sz w:val="24"/>
              </w:rPr>
            </w:pPr>
            <w:r>
              <w:rPr>
                <w:sz w:val="24"/>
              </w:rPr>
              <w:t>.39</w:t>
            </w:r>
          </w:p>
        </w:tc>
        <w:tc>
          <w:tcPr>
            <w:tcW w:w="1945" w:type="dxa"/>
            <w:tcBorders>
              <w:bottom w:val="single" w:sz="8" w:space="0" w:color="9BBA58"/>
            </w:tcBorders>
            <w:shd w:val="clear" w:color="auto" w:fill="E6EDD4"/>
          </w:tcPr>
          <w:p>
            <w:pPr>
              <w:pStyle w:val="TableParagraph"/>
              <w:ind w:right="167"/>
              <w:jc w:val="right"/>
              <w:rPr>
                <w:sz w:val="24"/>
              </w:rPr>
            </w:pPr>
            <w:r>
              <w:rPr>
                <w:sz w:val="24"/>
              </w:rPr>
              <w:t>.52</w:t>
            </w:r>
          </w:p>
        </w:tc>
      </w:tr>
    </w:tbl>
    <w:p>
      <w:pPr>
        <w:spacing w:line="206" w:lineRule="exact" w:before="0"/>
        <w:ind w:left="0" w:right="857" w:firstLine="0"/>
        <w:jc w:val="right"/>
        <w:rPr>
          <w:sz w:val="18"/>
        </w:rPr>
      </w:pPr>
      <w:r>
        <w:rPr>
          <w:sz w:val="18"/>
        </w:rPr>
        <w:t>Fuente: directa</w:t>
      </w:r>
    </w:p>
    <w:p>
      <w:pPr>
        <w:pStyle w:val="BodyText"/>
        <w:spacing w:before="3"/>
        <w:rPr>
          <w:sz w:val="20"/>
        </w:rPr>
      </w:pPr>
    </w:p>
    <w:p>
      <w:pPr>
        <w:spacing w:line="535" w:lineRule="auto" w:before="70"/>
        <w:ind w:left="518" w:right="5774" w:firstLine="0"/>
        <w:jc w:val="left"/>
        <w:rPr>
          <w:b/>
          <w:sz w:val="24"/>
        </w:rPr>
      </w:pPr>
      <w:r>
        <w:rPr>
          <w:b/>
          <w:sz w:val="24"/>
        </w:rPr>
        <w:t>Diferencia de sexo de ambos grupos Grupo I (9-11 años).</w:t>
      </w:r>
    </w:p>
    <w:p>
      <w:pPr>
        <w:pStyle w:val="BodyText"/>
        <w:spacing w:line="360" w:lineRule="auto" w:before="9"/>
        <w:ind w:left="518" w:right="855"/>
        <w:jc w:val="both"/>
      </w:pPr>
      <w:r>
        <w:rPr/>
        <w:t>El cuadro VI muestra los parámetros cefalométricos encontrados para este grupo, obteniéndose para PF/FH en el sexo femenino un valor de 86.61°, para el sexo masculino de 86.05°.</w:t>
      </w:r>
    </w:p>
    <w:p>
      <w:pPr>
        <w:pStyle w:val="BodyText"/>
        <w:spacing w:before="204"/>
        <w:ind w:left="518"/>
        <w:jc w:val="both"/>
      </w:pPr>
      <w:r>
        <w:rPr/>
        <w:t>En AB/PF para sexo femenino de -6.58°, en el sexo masculino de -5.78°.</w:t>
      </w:r>
    </w:p>
    <w:p>
      <w:pPr>
        <w:pStyle w:val="BodyText"/>
        <w:spacing w:before="2"/>
        <w:rPr>
          <w:sz w:val="29"/>
        </w:rPr>
      </w:pPr>
    </w:p>
    <w:p>
      <w:pPr>
        <w:pStyle w:val="BodyText"/>
        <w:spacing w:line="360" w:lineRule="auto"/>
        <w:ind w:left="518" w:right="866"/>
        <w:jc w:val="both"/>
      </w:pPr>
      <w:r>
        <w:rPr/>
        <w:t>En este grupo, la diferencia entre sexo femenino y masculino se encontró en PP/FH con 1.17° de diferencia, indicando que existe mayor inclinación posterior del plano palatino en el sexo masculino.</w:t>
      </w:r>
    </w:p>
    <w:p>
      <w:pPr>
        <w:pStyle w:val="BodyText"/>
        <w:spacing w:line="360" w:lineRule="auto" w:before="205"/>
        <w:ind w:left="518" w:right="860"/>
        <w:jc w:val="both"/>
      </w:pPr>
      <w:r>
        <w:rPr/>
        <w:t>Se obtuvo un APDI para el sexo femenino de 79.74° con una desviación estándar de 6.10°, para el sexo masculino de 81.43° con desviación estándar de 4.70°.</w:t>
      </w:r>
    </w:p>
    <w:p>
      <w:pPr>
        <w:pStyle w:val="BodyText"/>
        <w:spacing w:before="204"/>
        <w:ind w:left="518"/>
        <w:jc w:val="both"/>
      </w:pPr>
      <w:r>
        <w:rPr/>
        <w:t>La media para el plano AB/PM es de 73.32° tanto para mujeres como para hombres.</w:t>
      </w:r>
    </w:p>
    <w:p>
      <w:pPr>
        <w:pStyle w:val="BodyText"/>
        <w:spacing w:before="2"/>
        <w:rPr>
          <w:sz w:val="29"/>
        </w:rPr>
      </w:pPr>
    </w:p>
    <w:p>
      <w:pPr>
        <w:pStyle w:val="BodyText"/>
        <w:spacing w:line="360" w:lineRule="auto"/>
        <w:ind w:left="518" w:right="855"/>
        <w:jc w:val="both"/>
      </w:pPr>
      <w:r>
        <w:rPr/>
        <w:t>El parámetro para el ODI es de 73.29° con desviación estándar de 5.72° y de 73.35° con desviación de 5.56°, respectivamente.</w:t>
      </w:r>
    </w:p>
    <w:p>
      <w:pPr>
        <w:spacing w:after="0" w:line="360" w:lineRule="auto"/>
        <w:jc w:val="both"/>
        <w:sectPr>
          <w:pgSz w:w="12240" w:h="15840"/>
          <w:pgMar w:header="596" w:footer="1003" w:top="1380" w:bottom="1200" w:left="900" w:right="840"/>
        </w:sectPr>
      </w:pPr>
    </w:p>
    <w:p>
      <w:pPr>
        <w:pStyle w:val="BodyText"/>
        <w:spacing w:before="5"/>
        <w:rPr>
          <w:sz w:val="21"/>
        </w:rPr>
      </w:pPr>
    </w:p>
    <w:p>
      <w:pPr>
        <w:spacing w:before="69"/>
        <w:ind w:left="2429" w:right="865" w:firstLine="0"/>
        <w:jc w:val="left"/>
        <w:rPr>
          <w:b/>
          <w:sz w:val="24"/>
        </w:rPr>
      </w:pPr>
      <w:r>
        <w:rPr>
          <w:b/>
          <w:sz w:val="24"/>
        </w:rPr>
        <w:t>Cuadro VI. Parámetros cefalométricos grupo I.</w:t>
      </w:r>
    </w:p>
    <w:p>
      <w:pPr>
        <w:pStyle w:val="BodyText"/>
        <w:spacing w:before="6" w:after="1"/>
        <w:rPr>
          <w:b/>
          <w:sz w:val="29"/>
        </w:rPr>
      </w:pPr>
    </w:p>
    <w:tbl>
      <w:tblPr>
        <w:tblW w:w="0" w:type="auto"/>
        <w:jc w:val="left"/>
        <w:tblInd w:w="4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51"/>
        <w:gridCol w:w="2110"/>
        <w:gridCol w:w="1255"/>
        <w:gridCol w:w="1492"/>
        <w:gridCol w:w="2220"/>
      </w:tblGrid>
      <w:tr>
        <w:trPr>
          <w:trHeight w:val="847" w:hRule="exact"/>
        </w:trPr>
        <w:tc>
          <w:tcPr>
            <w:tcW w:w="1951" w:type="dxa"/>
            <w:tcBorders>
              <w:top w:val="single" w:sz="8" w:space="0" w:color="9BBA58"/>
              <w:bottom w:val="single" w:sz="8" w:space="0" w:color="9BBA58"/>
            </w:tcBorders>
          </w:tcPr>
          <w:p>
            <w:pPr>
              <w:pStyle w:val="TableParagraph"/>
              <w:spacing w:line="360" w:lineRule="auto"/>
              <w:ind w:left="108" w:right="129"/>
              <w:rPr>
                <w:b/>
                <w:sz w:val="24"/>
              </w:rPr>
            </w:pPr>
            <w:r>
              <w:rPr>
                <w:b/>
                <w:sz w:val="24"/>
              </w:rPr>
              <w:t>Parámetros cefalométricos</w:t>
            </w:r>
          </w:p>
        </w:tc>
        <w:tc>
          <w:tcPr>
            <w:tcW w:w="2110" w:type="dxa"/>
            <w:tcBorders>
              <w:top w:val="single" w:sz="8" w:space="0" w:color="9BBA58"/>
              <w:bottom w:val="single" w:sz="8" w:space="0" w:color="9BBA58"/>
            </w:tcBorders>
          </w:tcPr>
          <w:p>
            <w:pPr>
              <w:pStyle w:val="TableParagraph"/>
              <w:ind w:left="167"/>
              <w:rPr>
                <w:b/>
                <w:sz w:val="24"/>
              </w:rPr>
            </w:pPr>
            <w:r>
              <w:rPr>
                <w:b/>
                <w:sz w:val="24"/>
              </w:rPr>
              <w:t>Sexo</w:t>
            </w:r>
          </w:p>
        </w:tc>
        <w:tc>
          <w:tcPr>
            <w:tcW w:w="1255" w:type="dxa"/>
            <w:tcBorders>
              <w:top w:val="single" w:sz="8" w:space="0" w:color="9BBA58"/>
              <w:bottom w:val="single" w:sz="8" w:space="0" w:color="9BBA58"/>
            </w:tcBorders>
          </w:tcPr>
          <w:p>
            <w:pPr>
              <w:pStyle w:val="TableParagraph"/>
              <w:ind w:left="515"/>
              <w:rPr>
                <w:b/>
                <w:sz w:val="24"/>
              </w:rPr>
            </w:pPr>
            <w:r>
              <w:rPr>
                <w:b/>
                <w:w w:val="99"/>
                <w:sz w:val="24"/>
              </w:rPr>
              <w:t>N</w:t>
            </w:r>
          </w:p>
        </w:tc>
        <w:tc>
          <w:tcPr>
            <w:tcW w:w="1492" w:type="dxa"/>
            <w:tcBorders>
              <w:top w:val="single" w:sz="8" w:space="0" w:color="9BBA58"/>
              <w:bottom w:val="single" w:sz="8" w:space="0" w:color="9BBA58"/>
            </w:tcBorders>
          </w:tcPr>
          <w:p>
            <w:pPr>
              <w:pStyle w:val="TableParagraph"/>
              <w:ind w:left="417"/>
              <w:rPr>
                <w:b/>
                <w:sz w:val="24"/>
              </w:rPr>
            </w:pPr>
            <w:r>
              <w:rPr>
                <w:b/>
                <w:sz w:val="24"/>
              </w:rPr>
              <w:t>Media</w:t>
            </w:r>
          </w:p>
        </w:tc>
        <w:tc>
          <w:tcPr>
            <w:tcW w:w="2220" w:type="dxa"/>
            <w:tcBorders>
              <w:top w:val="single" w:sz="8" w:space="0" w:color="9BBA58"/>
              <w:bottom w:val="single" w:sz="8" w:space="0" w:color="9BBA58"/>
            </w:tcBorders>
          </w:tcPr>
          <w:p>
            <w:pPr>
              <w:pStyle w:val="TableParagraph"/>
              <w:ind w:left="298"/>
              <w:rPr>
                <w:b/>
                <w:sz w:val="24"/>
              </w:rPr>
            </w:pPr>
            <w:r>
              <w:rPr>
                <w:b/>
                <w:sz w:val="24"/>
              </w:rPr>
              <w:t>Desviación típ.</w:t>
            </w:r>
          </w:p>
        </w:tc>
      </w:tr>
      <w:tr>
        <w:trPr>
          <w:trHeight w:val="491" w:hRule="exact"/>
        </w:trPr>
        <w:tc>
          <w:tcPr>
            <w:tcW w:w="1951" w:type="dxa"/>
            <w:tcBorders>
              <w:top w:val="single" w:sz="8" w:space="0" w:color="9BBA58"/>
            </w:tcBorders>
            <w:shd w:val="clear" w:color="auto" w:fill="E6EDD4"/>
          </w:tcPr>
          <w:p>
            <w:pPr>
              <w:pStyle w:val="TableParagraph"/>
              <w:ind w:left="168" w:right="129"/>
              <w:rPr>
                <w:b/>
                <w:sz w:val="24"/>
              </w:rPr>
            </w:pPr>
            <w:r>
              <w:rPr>
                <w:b/>
                <w:sz w:val="24"/>
              </w:rPr>
              <w:t>PF/FH</w:t>
            </w:r>
          </w:p>
        </w:tc>
        <w:tc>
          <w:tcPr>
            <w:tcW w:w="2110" w:type="dxa"/>
            <w:tcBorders>
              <w:top w:val="single" w:sz="8" w:space="0" w:color="9BBA58"/>
            </w:tcBorders>
            <w:shd w:val="clear" w:color="auto" w:fill="E6EDD4"/>
          </w:tcPr>
          <w:p>
            <w:pPr>
              <w:pStyle w:val="TableParagraph"/>
              <w:ind w:left="167"/>
              <w:rPr>
                <w:sz w:val="24"/>
              </w:rPr>
            </w:pPr>
            <w:r>
              <w:rPr>
                <w:sz w:val="24"/>
              </w:rPr>
              <w:t>FEMENINO</w:t>
            </w:r>
          </w:p>
        </w:tc>
        <w:tc>
          <w:tcPr>
            <w:tcW w:w="1255" w:type="dxa"/>
            <w:tcBorders>
              <w:top w:val="single" w:sz="8" w:space="0" w:color="9BBA58"/>
            </w:tcBorders>
            <w:shd w:val="clear" w:color="auto" w:fill="E6EDD4"/>
          </w:tcPr>
          <w:p>
            <w:pPr>
              <w:pStyle w:val="TableParagraph"/>
              <w:ind w:left="568"/>
              <w:rPr>
                <w:sz w:val="24"/>
              </w:rPr>
            </w:pPr>
            <w:r>
              <w:rPr>
                <w:sz w:val="24"/>
              </w:rPr>
              <w:t>31</w:t>
            </w:r>
          </w:p>
        </w:tc>
        <w:tc>
          <w:tcPr>
            <w:tcW w:w="1492" w:type="dxa"/>
            <w:tcBorders>
              <w:top w:val="single" w:sz="8" w:space="0" w:color="9BBA58"/>
            </w:tcBorders>
            <w:shd w:val="clear" w:color="auto" w:fill="E6EDD4"/>
          </w:tcPr>
          <w:p>
            <w:pPr>
              <w:pStyle w:val="TableParagraph"/>
              <w:ind w:right="296"/>
              <w:jc w:val="right"/>
              <w:rPr>
                <w:sz w:val="24"/>
              </w:rPr>
            </w:pPr>
            <w:r>
              <w:rPr>
                <w:sz w:val="24"/>
              </w:rPr>
              <w:t>86.61</w:t>
            </w:r>
          </w:p>
        </w:tc>
        <w:tc>
          <w:tcPr>
            <w:tcW w:w="2220" w:type="dxa"/>
            <w:tcBorders>
              <w:top w:val="single" w:sz="8" w:space="0" w:color="9BBA58"/>
            </w:tcBorders>
            <w:shd w:val="clear" w:color="auto" w:fill="E6EDD4"/>
          </w:tcPr>
          <w:p>
            <w:pPr>
              <w:pStyle w:val="TableParagraph"/>
              <w:ind w:right="166"/>
              <w:jc w:val="right"/>
              <w:rPr>
                <w:sz w:val="24"/>
              </w:rPr>
            </w:pPr>
            <w:r>
              <w:rPr>
                <w:sz w:val="24"/>
              </w:rPr>
              <w:t>2.84</w:t>
            </w:r>
          </w:p>
        </w:tc>
      </w:tr>
      <w:tr>
        <w:trPr>
          <w:trHeight w:val="479" w:hRule="exact"/>
        </w:trPr>
        <w:tc>
          <w:tcPr>
            <w:tcW w:w="1951" w:type="dxa"/>
            <w:shd w:val="clear" w:color="auto" w:fill="E6EDD4"/>
          </w:tcPr>
          <w:p>
            <w:pPr/>
          </w:p>
        </w:tc>
        <w:tc>
          <w:tcPr>
            <w:tcW w:w="2110" w:type="dxa"/>
            <w:tcBorders>
              <w:top w:val="single" w:sz="53" w:space="0" w:color="E6EDD4"/>
            </w:tcBorders>
          </w:tcPr>
          <w:p>
            <w:pPr>
              <w:pStyle w:val="TableParagraph"/>
              <w:ind w:left="167"/>
              <w:rPr>
                <w:sz w:val="24"/>
              </w:rPr>
            </w:pPr>
            <w:r>
              <w:rPr>
                <w:sz w:val="24"/>
              </w:rPr>
              <w:t>MASCULINO</w:t>
            </w:r>
          </w:p>
        </w:tc>
        <w:tc>
          <w:tcPr>
            <w:tcW w:w="1255" w:type="dxa"/>
            <w:tcBorders>
              <w:top w:val="single" w:sz="53" w:space="0" w:color="E6EDD4"/>
            </w:tcBorders>
          </w:tcPr>
          <w:p>
            <w:pPr>
              <w:pStyle w:val="TableParagraph"/>
              <w:ind w:left="568"/>
              <w:rPr>
                <w:sz w:val="24"/>
              </w:rPr>
            </w:pPr>
            <w:r>
              <w:rPr>
                <w:sz w:val="24"/>
              </w:rPr>
              <w:t>37</w:t>
            </w:r>
          </w:p>
        </w:tc>
        <w:tc>
          <w:tcPr>
            <w:tcW w:w="1492" w:type="dxa"/>
            <w:tcBorders>
              <w:top w:val="single" w:sz="53" w:space="0" w:color="E6EDD4"/>
            </w:tcBorders>
          </w:tcPr>
          <w:p>
            <w:pPr>
              <w:pStyle w:val="TableParagraph"/>
              <w:ind w:right="296"/>
              <w:jc w:val="right"/>
              <w:rPr>
                <w:sz w:val="24"/>
              </w:rPr>
            </w:pPr>
            <w:r>
              <w:rPr>
                <w:sz w:val="24"/>
              </w:rPr>
              <w:t>86.05</w:t>
            </w:r>
          </w:p>
        </w:tc>
        <w:tc>
          <w:tcPr>
            <w:tcW w:w="2220" w:type="dxa"/>
            <w:tcBorders>
              <w:top w:val="single" w:sz="53" w:space="0" w:color="E6EDD4"/>
            </w:tcBorders>
          </w:tcPr>
          <w:p>
            <w:pPr>
              <w:pStyle w:val="TableParagraph"/>
              <w:ind w:right="166"/>
              <w:jc w:val="right"/>
              <w:rPr>
                <w:sz w:val="24"/>
              </w:rPr>
            </w:pPr>
            <w:r>
              <w:rPr>
                <w:sz w:val="24"/>
              </w:rPr>
              <w:t>2.97</w:t>
            </w:r>
          </w:p>
        </w:tc>
      </w:tr>
      <w:tr>
        <w:trPr>
          <w:trHeight w:val="526" w:hRule="exact"/>
        </w:trPr>
        <w:tc>
          <w:tcPr>
            <w:tcW w:w="1951" w:type="dxa"/>
            <w:shd w:val="clear" w:color="auto" w:fill="E6EDD4"/>
          </w:tcPr>
          <w:p>
            <w:pPr>
              <w:pStyle w:val="TableParagraph"/>
              <w:ind w:left="168" w:right="129"/>
              <w:rPr>
                <w:b/>
                <w:sz w:val="24"/>
              </w:rPr>
            </w:pPr>
            <w:r>
              <w:rPr>
                <w:b/>
                <w:sz w:val="24"/>
              </w:rPr>
              <w:t>AB/PF</w:t>
            </w:r>
          </w:p>
        </w:tc>
        <w:tc>
          <w:tcPr>
            <w:tcW w:w="2110" w:type="dxa"/>
            <w:shd w:val="clear" w:color="auto" w:fill="E6EDD4"/>
          </w:tcPr>
          <w:p>
            <w:pPr>
              <w:pStyle w:val="TableParagraph"/>
              <w:ind w:left="167"/>
              <w:rPr>
                <w:sz w:val="24"/>
              </w:rPr>
            </w:pPr>
            <w:r>
              <w:rPr>
                <w:sz w:val="24"/>
              </w:rPr>
              <w:t>FEMENINO</w:t>
            </w:r>
          </w:p>
        </w:tc>
        <w:tc>
          <w:tcPr>
            <w:tcW w:w="1255" w:type="dxa"/>
            <w:shd w:val="clear" w:color="auto" w:fill="E6EDD4"/>
          </w:tcPr>
          <w:p>
            <w:pPr>
              <w:pStyle w:val="TableParagraph"/>
              <w:ind w:left="568"/>
              <w:rPr>
                <w:sz w:val="24"/>
              </w:rPr>
            </w:pPr>
            <w:r>
              <w:rPr>
                <w:sz w:val="24"/>
              </w:rPr>
              <w:t>31</w:t>
            </w:r>
          </w:p>
        </w:tc>
        <w:tc>
          <w:tcPr>
            <w:tcW w:w="1492" w:type="dxa"/>
            <w:shd w:val="clear" w:color="auto" w:fill="E6EDD4"/>
          </w:tcPr>
          <w:p>
            <w:pPr>
              <w:pStyle w:val="TableParagraph"/>
              <w:ind w:right="296"/>
              <w:jc w:val="right"/>
              <w:rPr>
                <w:sz w:val="24"/>
              </w:rPr>
            </w:pPr>
            <w:r>
              <w:rPr>
                <w:w w:val="95"/>
                <w:sz w:val="24"/>
              </w:rPr>
              <w:t>-6.58</w:t>
            </w:r>
          </w:p>
        </w:tc>
        <w:tc>
          <w:tcPr>
            <w:tcW w:w="2220" w:type="dxa"/>
            <w:shd w:val="clear" w:color="auto" w:fill="E6EDD4"/>
          </w:tcPr>
          <w:p>
            <w:pPr>
              <w:pStyle w:val="TableParagraph"/>
              <w:ind w:right="166"/>
              <w:jc w:val="right"/>
              <w:rPr>
                <w:sz w:val="24"/>
              </w:rPr>
            </w:pPr>
            <w:r>
              <w:rPr>
                <w:sz w:val="24"/>
              </w:rPr>
              <w:t>2.80</w:t>
            </w:r>
          </w:p>
        </w:tc>
      </w:tr>
      <w:tr>
        <w:trPr>
          <w:trHeight w:val="416" w:hRule="exact"/>
        </w:trPr>
        <w:tc>
          <w:tcPr>
            <w:tcW w:w="1951" w:type="dxa"/>
            <w:shd w:val="clear" w:color="auto" w:fill="E6EDD4"/>
          </w:tcPr>
          <w:p>
            <w:pPr/>
          </w:p>
        </w:tc>
        <w:tc>
          <w:tcPr>
            <w:tcW w:w="2110" w:type="dxa"/>
            <w:tcBorders>
              <w:top w:val="single" w:sz="44" w:space="0" w:color="E6EDD4"/>
            </w:tcBorders>
          </w:tcPr>
          <w:p>
            <w:pPr>
              <w:pStyle w:val="TableParagraph"/>
              <w:spacing w:line="219" w:lineRule="exact"/>
              <w:ind w:left="167"/>
              <w:rPr>
                <w:sz w:val="24"/>
              </w:rPr>
            </w:pPr>
            <w:r>
              <w:rPr>
                <w:sz w:val="24"/>
              </w:rPr>
              <w:t>MASCULINO</w:t>
            </w:r>
          </w:p>
        </w:tc>
        <w:tc>
          <w:tcPr>
            <w:tcW w:w="1255" w:type="dxa"/>
            <w:tcBorders>
              <w:top w:val="single" w:sz="44" w:space="0" w:color="E6EDD4"/>
            </w:tcBorders>
          </w:tcPr>
          <w:p>
            <w:pPr>
              <w:pStyle w:val="TableParagraph"/>
              <w:spacing w:line="219" w:lineRule="exact"/>
              <w:ind w:left="568"/>
              <w:rPr>
                <w:sz w:val="24"/>
              </w:rPr>
            </w:pPr>
            <w:r>
              <w:rPr>
                <w:sz w:val="24"/>
              </w:rPr>
              <w:t>37</w:t>
            </w:r>
          </w:p>
        </w:tc>
        <w:tc>
          <w:tcPr>
            <w:tcW w:w="1492" w:type="dxa"/>
            <w:tcBorders>
              <w:top w:val="single" w:sz="44" w:space="0" w:color="E6EDD4"/>
            </w:tcBorders>
          </w:tcPr>
          <w:p>
            <w:pPr>
              <w:pStyle w:val="TableParagraph"/>
              <w:spacing w:line="219" w:lineRule="exact"/>
              <w:ind w:right="296"/>
              <w:jc w:val="right"/>
              <w:rPr>
                <w:sz w:val="24"/>
              </w:rPr>
            </w:pPr>
            <w:r>
              <w:rPr>
                <w:w w:val="95"/>
                <w:sz w:val="24"/>
              </w:rPr>
              <w:t>-5.78</w:t>
            </w:r>
          </w:p>
        </w:tc>
        <w:tc>
          <w:tcPr>
            <w:tcW w:w="2220" w:type="dxa"/>
            <w:tcBorders>
              <w:top w:val="single" w:sz="44" w:space="0" w:color="E6EDD4"/>
            </w:tcBorders>
          </w:tcPr>
          <w:p>
            <w:pPr>
              <w:pStyle w:val="TableParagraph"/>
              <w:spacing w:line="219" w:lineRule="exact"/>
              <w:ind w:right="166"/>
              <w:jc w:val="right"/>
              <w:rPr>
                <w:sz w:val="24"/>
              </w:rPr>
            </w:pPr>
            <w:r>
              <w:rPr>
                <w:sz w:val="24"/>
              </w:rPr>
              <w:t>2.04</w:t>
            </w:r>
          </w:p>
        </w:tc>
      </w:tr>
      <w:tr>
        <w:trPr>
          <w:trHeight w:val="526" w:hRule="exact"/>
        </w:trPr>
        <w:tc>
          <w:tcPr>
            <w:tcW w:w="1951" w:type="dxa"/>
            <w:shd w:val="clear" w:color="auto" w:fill="E6EDD4"/>
          </w:tcPr>
          <w:p>
            <w:pPr>
              <w:pStyle w:val="TableParagraph"/>
              <w:ind w:left="168" w:right="129"/>
              <w:rPr>
                <w:b/>
                <w:sz w:val="24"/>
              </w:rPr>
            </w:pPr>
            <w:r>
              <w:rPr>
                <w:b/>
                <w:sz w:val="24"/>
              </w:rPr>
              <w:t>PP/FH</w:t>
            </w:r>
          </w:p>
        </w:tc>
        <w:tc>
          <w:tcPr>
            <w:tcW w:w="2110" w:type="dxa"/>
            <w:shd w:val="clear" w:color="auto" w:fill="E6EDD4"/>
          </w:tcPr>
          <w:p>
            <w:pPr>
              <w:pStyle w:val="TableParagraph"/>
              <w:ind w:left="167"/>
              <w:rPr>
                <w:sz w:val="24"/>
              </w:rPr>
            </w:pPr>
            <w:r>
              <w:rPr>
                <w:sz w:val="24"/>
              </w:rPr>
              <w:t>FEMENINO</w:t>
            </w:r>
          </w:p>
        </w:tc>
        <w:tc>
          <w:tcPr>
            <w:tcW w:w="1255" w:type="dxa"/>
            <w:shd w:val="clear" w:color="auto" w:fill="E6EDD4"/>
          </w:tcPr>
          <w:p>
            <w:pPr>
              <w:pStyle w:val="TableParagraph"/>
              <w:ind w:left="568"/>
              <w:rPr>
                <w:sz w:val="24"/>
              </w:rPr>
            </w:pPr>
            <w:r>
              <w:rPr>
                <w:sz w:val="24"/>
              </w:rPr>
              <w:t>31</w:t>
            </w:r>
          </w:p>
        </w:tc>
        <w:tc>
          <w:tcPr>
            <w:tcW w:w="1492" w:type="dxa"/>
            <w:shd w:val="clear" w:color="auto" w:fill="E6EDD4"/>
          </w:tcPr>
          <w:p>
            <w:pPr>
              <w:pStyle w:val="TableParagraph"/>
              <w:ind w:right="296"/>
              <w:jc w:val="right"/>
              <w:rPr>
                <w:sz w:val="24"/>
              </w:rPr>
            </w:pPr>
            <w:r>
              <w:rPr>
                <w:w w:val="95"/>
                <w:sz w:val="24"/>
              </w:rPr>
              <w:t>-.13</w:t>
            </w:r>
          </w:p>
        </w:tc>
        <w:tc>
          <w:tcPr>
            <w:tcW w:w="2220" w:type="dxa"/>
            <w:shd w:val="clear" w:color="auto" w:fill="E6EDD4"/>
          </w:tcPr>
          <w:p>
            <w:pPr>
              <w:pStyle w:val="TableParagraph"/>
              <w:ind w:right="166"/>
              <w:jc w:val="right"/>
              <w:rPr>
                <w:sz w:val="24"/>
              </w:rPr>
            </w:pPr>
            <w:r>
              <w:rPr>
                <w:sz w:val="24"/>
              </w:rPr>
              <w:t>3.27</w:t>
            </w:r>
          </w:p>
        </w:tc>
      </w:tr>
      <w:tr>
        <w:trPr>
          <w:trHeight w:val="413" w:hRule="exact"/>
        </w:trPr>
        <w:tc>
          <w:tcPr>
            <w:tcW w:w="1951" w:type="dxa"/>
            <w:shd w:val="clear" w:color="auto" w:fill="E6EDD4"/>
          </w:tcPr>
          <w:p>
            <w:pPr/>
          </w:p>
        </w:tc>
        <w:tc>
          <w:tcPr>
            <w:tcW w:w="2110" w:type="dxa"/>
            <w:tcBorders>
              <w:top w:val="single" w:sz="45" w:space="0" w:color="E6EDD4"/>
            </w:tcBorders>
          </w:tcPr>
          <w:p>
            <w:pPr>
              <w:pStyle w:val="TableParagraph"/>
              <w:spacing w:line="218" w:lineRule="exact"/>
              <w:ind w:left="167"/>
              <w:rPr>
                <w:sz w:val="24"/>
              </w:rPr>
            </w:pPr>
            <w:r>
              <w:rPr>
                <w:sz w:val="24"/>
              </w:rPr>
              <w:t>MASCULINO</w:t>
            </w:r>
          </w:p>
        </w:tc>
        <w:tc>
          <w:tcPr>
            <w:tcW w:w="1255" w:type="dxa"/>
            <w:tcBorders>
              <w:top w:val="single" w:sz="45" w:space="0" w:color="E6EDD4"/>
            </w:tcBorders>
          </w:tcPr>
          <w:p>
            <w:pPr>
              <w:pStyle w:val="TableParagraph"/>
              <w:spacing w:line="218" w:lineRule="exact"/>
              <w:ind w:left="568"/>
              <w:rPr>
                <w:sz w:val="24"/>
              </w:rPr>
            </w:pPr>
            <w:r>
              <w:rPr>
                <w:sz w:val="24"/>
              </w:rPr>
              <w:t>37</w:t>
            </w:r>
          </w:p>
        </w:tc>
        <w:tc>
          <w:tcPr>
            <w:tcW w:w="1492" w:type="dxa"/>
            <w:tcBorders>
              <w:top w:val="single" w:sz="45" w:space="0" w:color="E6EDD4"/>
            </w:tcBorders>
          </w:tcPr>
          <w:p>
            <w:pPr>
              <w:pStyle w:val="TableParagraph"/>
              <w:spacing w:line="218" w:lineRule="exact"/>
              <w:ind w:right="296"/>
              <w:jc w:val="right"/>
              <w:rPr>
                <w:sz w:val="24"/>
              </w:rPr>
            </w:pPr>
            <w:r>
              <w:rPr>
                <w:sz w:val="24"/>
              </w:rPr>
              <w:t>1.30</w:t>
            </w:r>
          </w:p>
        </w:tc>
        <w:tc>
          <w:tcPr>
            <w:tcW w:w="2220" w:type="dxa"/>
            <w:tcBorders>
              <w:top w:val="single" w:sz="45" w:space="0" w:color="E6EDD4"/>
            </w:tcBorders>
          </w:tcPr>
          <w:p>
            <w:pPr>
              <w:pStyle w:val="TableParagraph"/>
              <w:spacing w:line="218" w:lineRule="exact"/>
              <w:ind w:right="166"/>
              <w:jc w:val="right"/>
              <w:rPr>
                <w:sz w:val="24"/>
              </w:rPr>
            </w:pPr>
            <w:r>
              <w:rPr>
                <w:sz w:val="24"/>
              </w:rPr>
              <w:t>3.08</w:t>
            </w:r>
          </w:p>
        </w:tc>
      </w:tr>
      <w:tr>
        <w:trPr>
          <w:trHeight w:val="528" w:hRule="exact"/>
        </w:trPr>
        <w:tc>
          <w:tcPr>
            <w:tcW w:w="1951" w:type="dxa"/>
            <w:shd w:val="clear" w:color="auto" w:fill="E6EDD4"/>
          </w:tcPr>
          <w:p>
            <w:pPr>
              <w:pStyle w:val="TableParagraph"/>
              <w:ind w:left="168" w:right="129"/>
              <w:rPr>
                <w:b/>
                <w:sz w:val="24"/>
              </w:rPr>
            </w:pPr>
            <w:r>
              <w:rPr>
                <w:b/>
                <w:sz w:val="24"/>
              </w:rPr>
              <w:t>APDI</w:t>
            </w:r>
          </w:p>
        </w:tc>
        <w:tc>
          <w:tcPr>
            <w:tcW w:w="2110" w:type="dxa"/>
            <w:shd w:val="clear" w:color="auto" w:fill="E6EDD4"/>
          </w:tcPr>
          <w:p>
            <w:pPr>
              <w:pStyle w:val="TableParagraph"/>
              <w:ind w:left="167"/>
              <w:rPr>
                <w:sz w:val="24"/>
              </w:rPr>
            </w:pPr>
            <w:r>
              <w:rPr>
                <w:sz w:val="24"/>
              </w:rPr>
              <w:t>FEMENINO</w:t>
            </w:r>
          </w:p>
        </w:tc>
        <w:tc>
          <w:tcPr>
            <w:tcW w:w="1255" w:type="dxa"/>
            <w:shd w:val="clear" w:color="auto" w:fill="E6EDD4"/>
          </w:tcPr>
          <w:p>
            <w:pPr>
              <w:pStyle w:val="TableParagraph"/>
              <w:ind w:left="568"/>
              <w:rPr>
                <w:sz w:val="24"/>
              </w:rPr>
            </w:pPr>
            <w:r>
              <w:rPr>
                <w:sz w:val="24"/>
              </w:rPr>
              <w:t>31</w:t>
            </w:r>
          </w:p>
        </w:tc>
        <w:tc>
          <w:tcPr>
            <w:tcW w:w="1492" w:type="dxa"/>
            <w:shd w:val="clear" w:color="auto" w:fill="E6EDD4"/>
          </w:tcPr>
          <w:p>
            <w:pPr>
              <w:pStyle w:val="TableParagraph"/>
              <w:ind w:right="296"/>
              <w:jc w:val="right"/>
              <w:rPr>
                <w:sz w:val="24"/>
              </w:rPr>
            </w:pPr>
            <w:r>
              <w:rPr>
                <w:sz w:val="24"/>
              </w:rPr>
              <w:t>79.74</w:t>
            </w:r>
          </w:p>
        </w:tc>
        <w:tc>
          <w:tcPr>
            <w:tcW w:w="2220" w:type="dxa"/>
            <w:shd w:val="clear" w:color="auto" w:fill="E6EDD4"/>
          </w:tcPr>
          <w:p>
            <w:pPr>
              <w:pStyle w:val="TableParagraph"/>
              <w:ind w:right="166"/>
              <w:jc w:val="right"/>
              <w:rPr>
                <w:sz w:val="24"/>
              </w:rPr>
            </w:pPr>
            <w:r>
              <w:rPr>
                <w:sz w:val="24"/>
              </w:rPr>
              <w:t>6.10</w:t>
            </w:r>
          </w:p>
        </w:tc>
      </w:tr>
      <w:tr>
        <w:trPr>
          <w:trHeight w:val="413" w:hRule="exact"/>
        </w:trPr>
        <w:tc>
          <w:tcPr>
            <w:tcW w:w="1951" w:type="dxa"/>
            <w:shd w:val="clear" w:color="auto" w:fill="E6EDD4"/>
          </w:tcPr>
          <w:p>
            <w:pPr/>
          </w:p>
        </w:tc>
        <w:tc>
          <w:tcPr>
            <w:tcW w:w="2110" w:type="dxa"/>
            <w:tcBorders>
              <w:top w:val="single" w:sz="45" w:space="0" w:color="E6EDD4"/>
            </w:tcBorders>
          </w:tcPr>
          <w:p>
            <w:pPr>
              <w:pStyle w:val="TableParagraph"/>
              <w:spacing w:line="218" w:lineRule="exact"/>
              <w:ind w:left="167"/>
              <w:rPr>
                <w:sz w:val="24"/>
              </w:rPr>
            </w:pPr>
            <w:r>
              <w:rPr>
                <w:sz w:val="24"/>
              </w:rPr>
              <w:t>MASCULINO</w:t>
            </w:r>
          </w:p>
        </w:tc>
        <w:tc>
          <w:tcPr>
            <w:tcW w:w="1255" w:type="dxa"/>
            <w:tcBorders>
              <w:top w:val="single" w:sz="45" w:space="0" w:color="E6EDD4"/>
            </w:tcBorders>
          </w:tcPr>
          <w:p>
            <w:pPr>
              <w:pStyle w:val="TableParagraph"/>
              <w:spacing w:line="218" w:lineRule="exact"/>
              <w:ind w:left="568"/>
              <w:rPr>
                <w:sz w:val="24"/>
              </w:rPr>
            </w:pPr>
            <w:r>
              <w:rPr>
                <w:sz w:val="24"/>
              </w:rPr>
              <w:t>37</w:t>
            </w:r>
          </w:p>
        </w:tc>
        <w:tc>
          <w:tcPr>
            <w:tcW w:w="1492" w:type="dxa"/>
            <w:tcBorders>
              <w:top w:val="single" w:sz="45" w:space="0" w:color="E6EDD4"/>
            </w:tcBorders>
          </w:tcPr>
          <w:p>
            <w:pPr>
              <w:pStyle w:val="TableParagraph"/>
              <w:spacing w:line="218" w:lineRule="exact"/>
              <w:ind w:right="296"/>
              <w:jc w:val="right"/>
              <w:rPr>
                <w:sz w:val="24"/>
              </w:rPr>
            </w:pPr>
            <w:r>
              <w:rPr>
                <w:sz w:val="24"/>
              </w:rPr>
              <w:t>81.43</w:t>
            </w:r>
          </w:p>
        </w:tc>
        <w:tc>
          <w:tcPr>
            <w:tcW w:w="2220" w:type="dxa"/>
            <w:tcBorders>
              <w:top w:val="single" w:sz="45" w:space="0" w:color="E6EDD4"/>
            </w:tcBorders>
          </w:tcPr>
          <w:p>
            <w:pPr>
              <w:pStyle w:val="TableParagraph"/>
              <w:spacing w:line="218" w:lineRule="exact"/>
              <w:ind w:right="166"/>
              <w:jc w:val="right"/>
              <w:rPr>
                <w:sz w:val="24"/>
              </w:rPr>
            </w:pPr>
            <w:r>
              <w:rPr>
                <w:sz w:val="24"/>
              </w:rPr>
              <w:t>4.70</w:t>
            </w:r>
          </w:p>
        </w:tc>
      </w:tr>
      <w:tr>
        <w:trPr>
          <w:trHeight w:val="526" w:hRule="exact"/>
        </w:trPr>
        <w:tc>
          <w:tcPr>
            <w:tcW w:w="1951" w:type="dxa"/>
            <w:shd w:val="clear" w:color="auto" w:fill="E6EDD4"/>
          </w:tcPr>
          <w:p>
            <w:pPr>
              <w:pStyle w:val="TableParagraph"/>
              <w:ind w:left="168" w:right="129"/>
              <w:rPr>
                <w:b/>
                <w:sz w:val="24"/>
              </w:rPr>
            </w:pPr>
            <w:r>
              <w:rPr>
                <w:b/>
                <w:sz w:val="24"/>
              </w:rPr>
              <w:t>AB/PM</w:t>
            </w:r>
          </w:p>
        </w:tc>
        <w:tc>
          <w:tcPr>
            <w:tcW w:w="2110" w:type="dxa"/>
            <w:shd w:val="clear" w:color="auto" w:fill="E6EDD4"/>
          </w:tcPr>
          <w:p>
            <w:pPr>
              <w:pStyle w:val="TableParagraph"/>
              <w:ind w:left="167"/>
              <w:rPr>
                <w:sz w:val="24"/>
              </w:rPr>
            </w:pPr>
            <w:r>
              <w:rPr>
                <w:sz w:val="24"/>
              </w:rPr>
              <w:t>FEMENINO</w:t>
            </w:r>
          </w:p>
        </w:tc>
        <w:tc>
          <w:tcPr>
            <w:tcW w:w="1255" w:type="dxa"/>
            <w:shd w:val="clear" w:color="auto" w:fill="E6EDD4"/>
          </w:tcPr>
          <w:p>
            <w:pPr>
              <w:pStyle w:val="TableParagraph"/>
              <w:ind w:left="568"/>
              <w:rPr>
                <w:sz w:val="24"/>
              </w:rPr>
            </w:pPr>
            <w:r>
              <w:rPr>
                <w:sz w:val="24"/>
              </w:rPr>
              <w:t>31</w:t>
            </w:r>
          </w:p>
        </w:tc>
        <w:tc>
          <w:tcPr>
            <w:tcW w:w="1492" w:type="dxa"/>
            <w:shd w:val="clear" w:color="auto" w:fill="E6EDD4"/>
          </w:tcPr>
          <w:p>
            <w:pPr>
              <w:pStyle w:val="TableParagraph"/>
              <w:ind w:right="296"/>
              <w:jc w:val="right"/>
              <w:rPr>
                <w:sz w:val="24"/>
              </w:rPr>
            </w:pPr>
            <w:r>
              <w:rPr>
                <w:sz w:val="24"/>
              </w:rPr>
              <w:t>73.32</w:t>
            </w:r>
          </w:p>
        </w:tc>
        <w:tc>
          <w:tcPr>
            <w:tcW w:w="2220" w:type="dxa"/>
            <w:shd w:val="clear" w:color="auto" w:fill="E6EDD4"/>
          </w:tcPr>
          <w:p>
            <w:pPr>
              <w:pStyle w:val="TableParagraph"/>
              <w:ind w:right="166"/>
              <w:jc w:val="right"/>
              <w:rPr>
                <w:sz w:val="24"/>
              </w:rPr>
            </w:pPr>
            <w:r>
              <w:rPr>
                <w:sz w:val="24"/>
              </w:rPr>
              <w:t>4.55</w:t>
            </w:r>
          </w:p>
        </w:tc>
      </w:tr>
      <w:tr>
        <w:trPr>
          <w:trHeight w:val="415" w:hRule="exact"/>
        </w:trPr>
        <w:tc>
          <w:tcPr>
            <w:tcW w:w="1951" w:type="dxa"/>
            <w:shd w:val="clear" w:color="auto" w:fill="E6EDD4"/>
          </w:tcPr>
          <w:p>
            <w:pPr/>
          </w:p>
        </w:tc>
        <w:tc>
          <w:tcPr>
            <w:tcW w:w="2110" w:type="dxa"/>
            <w:tcBorders>
              <w:top w:val="single" w:sz="44" w:space="0" w:color="E6EDD4"/>
            </w:tcBorders>
          </w:tcPr>
          <w:p>
            <w:pPr>
              <w:pStyle w:val="TableParagraph"/>
              <w:spacing w:line="219" w:lineRule="exact"/>
              <w:ind w:left="167"/>
              <w:rPr>
                <w:sz w:val="24"/>
              </w:rPr>
            </w:pPr>
            <w:r>
              <w:rPr>
                <w:sz w:val="24"/>
              </w:rPr>
              <w:t>MASCULINO</w:t>
            </w:r>
          </w:p>
        </w:tc>
        <w:tc>
          <w:tcPr>
            <w:tcW w:w="1255" w:type="dxa"/>
            <w:tcBorders>
              <w:top w:val="single" w:sz="44" w:space="0" w:color="E6EDD4"/>
            </w:tcBorders>
          </w:tcPr>
          <w:p>
            <w:pPr>
              <w:pStyle w:val="TableParagraph"/>
              <w:spacing w:line="219" w:lineRule="exact"/>
              <w:ind w:left="568"/>
              <w:rPr>
                <w:sz w:val="24"/>
              </w:rPr>
            </w:pPr>
            <w:r>
              <w:rPr>
                <w:sz w:val="24"/>
              </w:rPr>
              <w:t>37</w:t>
            </w:r>
          </w:p>
        </w:tc>
        <w:tc>
          <w:tcPr>
            <w:tcW w:w="1492" w:type="dxa"/>
            <w:tcBorders>
              <w:top w:val="single" w:sz="44" w:space="0" w:color="E6EDD4"/>
            </w:tcBorders>
          </w:tcPr>
          <w:p>
            <w:pPr>
              <w:pStyle w:val="TableParagraph"/>
              <w:spacing w:line="219" w:lineRule="exact"/>
              <w:ind w:right="296"/>
              <w:jc w:val="right"/>
              <w:rPr>
                <w:sz w:val="24"/>
              </w:rPr>
            </w:pPr>
            <w:r>
              <w:rPr>
                <w:sz w:val="24"/>
              </w:rPr>
              <w:t>72.32</w:t>
            </w:r>
          </w:p>
        </w:tc>
        <w:tc>
          <w:tcPr>
            <w:tcW w:w="2220" w:type="dxa"/>
            <w:tcBorders>
              <w:top w:val="single" w:sz="44" w:space="0" w:color="E6EDD4"/>
            </w:tcBorders>
          </w:tcPr>
          <w:p>
            <w:pPr>
              <w:pStyle w:val="TableParagraph"/>
              <w:spacing w:line="219" w:lineRule="exact"/>
              <w:ind w:right="166"/>
              <w:jc w:val="right"/>
              <w:rPr>
                <w:sz w:val="24"/>
              </w:rPr>
            </w:pPr>
            <w:r>
              <w:rPr>
                <w:sz w:val="24"/>
              </w:rPr>
              <w:t>4.97</w:t>
            </w:r>
          </w:p>
        </w:tc>
      </w:tr>
      <w:tr>
        <w:trPr>
          <w:trHeight w:val="526" w:hRule="exact"/>
        </w:trPr>
        <w:tc>
          <w:tcPr>
            <w:tcW w:w="1951" w:type="dxa"/>
            <w:shd w:val="clear" w:color="auto" w:fill="E6EDD4"/>
          </w:tcPr>
          <w:p>
            <w:pPr>
              <w:pStyle w:val="TableParagraph"/>
              <w:ind w:left="168" w:right="129"/>
              <w:rPr>
                <w:b/>
                <w:sz w:val="24"/>
              </w:rPr>
            </w:pPr>
            <w:r>
              <w:rPr>
                <w:b/>
                <w:sz w:val="24"/>
              </w:rPr>
              <w:t>PP/FH</w:t>
            </w:r>
          </w:p>
        </w:tc>
        <w:tc>
          <w:tcPr>
            <w:tcW w:w="2110" w:type="dxa"/>
            <w:shd w:val="clear" w:color="auto" w:fill="E6EDD4"/>
          </w:tcPr>
          <w:p>
            <w:pPr>
              <w:pStyle w:val="TableParagraph"/>
              <w:ind w:left="167"/>
              <w:rPr>
                <w:sz w:val="24"/>
              </w:rPr>
            </w:pPr>
            <w:r>
              <w:rPr>
                <w:sz w:val="24"/>
              </w:rPr>
              <w:t>FEMENINO</w:t>
            </w:r>
          </w:p>
        </w:tc>
        <w:tc>
          <w:tcPr>
            <w:tcW w:w="1255" w:type="dxa"/>
            <w:shd w:val="clear" w:color="auto" w:fill="E6EDD4"/>
          </w:tcPr>
          <w:p>
            <w:pPr>
              <w:pStyle w:val="TableParagraph"/>
              <w:ind w:left="568"/>
              <w:rPr>
                <w:sz w:val="24"/>
              </w:rPr>
            </w:pPr>
            <w:r>
              <w:rPr>
                <w:sz w:val="24"/>
              </w:rPr>
              <w:t>31</w:t>
            </w:r>
          </w:p>
        </w:tc>
        <w:tc>
          <w:tcPr>
            <w:tcW w:w="1492" w:type="dxa"/>
            <w:shd w:val="clear" w:color="auto" w:fill="E6EDD4"/>
          </w:tcPr>
          <w:p>
            <w:pPr>
              <w:pStyle w:val="TableParagraph"/>
              <w:ind w:right="296"/>
              <w:jc w:val="right"/>
              <w:rPr>
                <w:sz w:val="24"/>
              </w:rPr>
            </w:pPr>
            <w:r>
              <w:rPr>
                <w:w w:val="95"/>
                <w:sz w:val="24"/>
              </w:rPr>
              <w:t>-.13</w:t>
            </w:r>
          </w:p>
        </w:tc>
        <w:tc>
          <w:tcPr>
            <w:tcW w:w="2220" w:type="dxa"/>
            <w:shd w:val="clear" w:color="auto" w:fill="E6EDD4"/>
          </w:tcPr>
          <w:p>
            <w:pPr>
              <w:pStyle w:val="TableParagraph"/>
              <w:ind w:right="166"/>
              <w:jc w:val="right"/>
              <w:rPr>
                <w:sz w:val="24"/>
              </w:rPr>
            </w:pPr>
            <w:r>
              <w:rPr>
                <w:sz w:val="24"/>
              </w:rPr>
              <w:t>3.27</w:t>
            </w:r>
          </w:p>
        </w:tc>
      </w:tr>
      <w:tr>
        <w:trPr>
          <w:trHeight w:val="413" w:hRule="exact"/>
        </w:trPr>
        <w:tc>
          <w:tcPr>
            <w:tcW w:w="1951" w:type="dxa"/>
            <w:shd w:val="clear" w:color="auto" w:fill="E6EDD4"/>
          </w:tcPr>
          <w:p>
            <w:pPr/>
          </w:p>
        </w:tc>
        <w:tc>
          <w:tcPr>
            <w:tcW w:w="2110" w:type="dxa"/>
            <w:tcBorders>
              <w:top w:val="single" w:sz="45" w:space="0" w:color="E6EDD4"/>
            </w:tcBorders>
          </w:tcPr>
          <w:p>
            <w:pPr>
              <w:pStyle w:val="TableParagraph"/>
              <w:spacing w:line="217" w:lineRule="exact"/>
              <w:ind w:left="167"/>
              <w:rPr>
                <w:sz w:val="24"/>
              </w:rPr>
            </w:pPr>
            <w:r>
              <w:rPr>
                <w:sz w:val="24"/>
              </w:rPr>
              <w:t>MASCULINO</w:t>
            </w:r>
          </w:p>
        </w:tc>
        <w:tc>
          <w:tcPr>
            <w:tcW w:w="1255" w:type="dxa"/>
            <w:tcBorders>
              <w:top w:val="single" w:sz="45" w:space="0" w:color="E6EDD4"/>
            </w:tcBorders>
          </w:tcPr>
          <w:p>
            <w:pPr>
              <w:pStyle w:val="TableParagraph"/>
              <w:spacing w:line="217" w:lineRule="exact"/>
              <w:ind w:left="568"/>
              <w:rPr>
                <w:sz w:val="24"/>
              </w:rPr>
            </w:pPr>
            <w:r>
              <w:rPr>
                <w:sz w:val="24"/>
              </w:rPr>
              <w:t>37</w:t>
            </w:r>
          </w:p>
        </w:tc>
        <w:tc>
          <w:tcPr>
            <w:tcW w:w="1492" w:type="dxa"/>
            <w:tcBorders>
              <w:top w:val="single" w:sz="45" w:space="0" w:color="E6EDD4"/>
            </w:tcBorders>
          </w:tcPr>
          <w:p>
            <w:pPr>
              <w:pStyle w:val="TableParagraph"/>
              <w:spacing w:line="217" w:lineRule="exact"/>
              <w:ind w:right="296"/>
              <w:jc w:val="right"/>
              <w:rPr>
                <w:sz w:val="24"/>
              </w:rPr>
            </w:pPr>
            <w:r>
              <w:rPr>
                <w:sz w:val="24"/>
              </w:rPr>
              <w:t>1.30</w:t>
            </w:r>
          </w:p>
        </w:tc>
        <w:tc>
          <w:tcPr>
            <w:tcW w:w="2220" w:type="dxa"/>
            <w:tcBorders>
              <w:top w:val="single" w:sz="45" w:space="0" w:color="E6EDD4"/>
            </w:tcBorders>
          </w:tcPr>
          <w:p>
            <w:pPr>
              <w:pStyle w:val="TableParagraph"/>
              <w:spacing w:line="217" w:lineRule="exact"/>
              <w:ind w:right="166"/>
              <w:jc w:val="right"/>
              <w:rPr>
                <w:sz w:val="24"/>
              </w:rPr>
            </w:pPr>
            <w:r>
              <w:rPr>
                <w:sz w:val="24"/>
              </w:rPr>
              <w:t>3.08</w:t>
            </w:r>
          </w:p>
        </w:tc>
      </w:tr>
      <w:tr>
        <w:trPr>
          <w:trHeight w:val="528" w:hRule="exact"/>
        </w:trPr>
        <w:tc>
          <w:tcPr>
            <w:tcW w:w="1951" w:type="dxa"/>
            <w:shd w:val="clear" w:color="auto" w:fill="E6EDD4"/>
          </w:tcPr>
          <w:p>
            <w:pPr>
              <w:pStyle w:val="TableParagraph"/>
              <w:ind w:left="168" w:right="129"/>
              <w:rPr>
                <w:b/>
                <w:sz w:val="24"/>
              </w:rPr>
            </w:pPr>
            <w:r>
              <w:rPr>
                <w:b/>
                <w:sz w:val="24"/>
              </w:rPr>
              <w:t>ODI</w:t>
            </w:r>
          </w:p>
        </w:tc>
        <w:tc>
          <w:tcPr>
            <w:tcW w:w="2110" w:type="dxa"/>
            <w:shd w:val="clear" w:color="auto" w:fill="E6EDD4"/>
          </w:tcPr>
          <w:p>
            <w:pPr>
              <w:pStyle w:val="TableParagraph"/>
              <w:ind w:left="167"/>
              <w:rPr>
                <w:sz w:val="24"/>
              </w:rPr>
            </w:pPr>
            <w:r>
              <w:rPr>
                <w:sz w:val="24"/>
              </w:rPr>
              <w:t>FEMENINO</w:t>
            </w:r>
          </w:p>
        </w:tc>
        <w:tc>
          <w:tcPr>
            <w:tcW w:w="1255" w:type="dxa"/>
            <w:shd w:val="clear" w:color="auto" w:fill="E6EDD4"/>
          </w:tcPr>
          <w:p>
            <w:pPr>
              <w:pStyle w:val="TableParagraph"/>
              <w:ind w:left="568"/>
              <w:rPr>
                <w:sz w:val="24"/>
              </w:rPr>
            </w:pPr>
            <w:r>
              <w:rPr>
                <w:sz w:val="24"/>
              </w:rPr>
              <w:t>31</w:t>
            </w:r>
          </w:p>
        </w:tc>
        <w:tc>
          <w:tcPr>
            <w:tcW w:w="1492" w:type="dxa"/>
            <w:shd w:val="clear" w:color="auto" w:fill="E6EDD4"/>
          </w:tcPr>
          <w:p>
            <w:pPr>
              <w:pStyle w:val="TableParagraph"/>
              <w:ind w:right="296"/>
              <w:jc w:val="right"/>
              <w:rPr>
                <w:sz w:val="24"/>
              </w:rPr>
            </w:pPr>
            <w:r>
              <w:rPr>
                <w:sz w:val="24"/>
              </w:rPr>
              <w:t>73.29</w:t>
            </w:r>
          </w:p>
        </w:tc>
        <w:tc>
          <w:tcPr>
            <w:tcW w:w="2220" w:type="dxa"/>
            <w:shd w:val="clear" w:color="auto" w:fill="E6EDD4"/>
          </w:tcPr>
          <w:p>
            <w:pPr>
              <w:pStyle w:val="TableParagraph"/>
              <w:ind w:right="166"/>
              <w:jc w:val="right"/>
              <w:rPr>
                <w:sz w:val="24"/>
              </w:rPr>
            </w:pPr>
            <w:r>
              <w:rPr>
                <w:sz w:val="24"/>
              </w:rPr>
              <w:t>5.72</w:t>
            </w:r>
          </w:p>
        </w:tc>
      </w:tr>
      <w:tr>
        <w:trPr>
          <w:trHeight w:val="427" w:hRule="exact"/>
        </w:trPr>
        <w:tc>
          <w:tcPr>
            <w:tcW w:w="1951" w:type="dxa"/>
            <w:tcBorders>
              <w:bottom w:val="single" w:sz="8" w:space="0" w:color="9BBA58"/>
            </w:tcBorders>
            <w:shd w:val="clear" w:color="auto" w:fill="E6EDD4"/>
          </w:tcPr>
          <w:p>
            <w:pPr/>
          </w:p>
        </w:tc>
        <w:tc>
          <w:tcPr>
            <w:tcW w:w="2110" w:type="dxa"/>
            <w:tcBorders>
              <w:top w:val="single" w:sz="45" w:space="0" w:color="E6EDD4"/>
              <w:bottom w:val="single" w:sz="8" w:space="0" w:color="9BBA58"/>
            </w:tcBorders>
          </w:tcPr>
          <w:p>
            <w:pPr>
              <w:pStyle w:val="TableParagraph"/>
              <w:spacing w:line="218" w:lineRule="exact"/>
              <w:ind w:left="167"/>
              <w:rPr>
                <w:sz w:val="24"/>
              </w:rPr>
            </w:pPr>
            <w:r>
              <w:rPr>
                <w:sz w:val="24"/>
              </w:rPr>
              <w:t>MASCULINO</w:t>
            </w:r>
          </w:p>
        </w:tc>
        <w:tc>
          <w:tcPr>
            <w:tcW w:w="1255" w:type="dxa"/>
            <w:tcBorders>
              <w:top w:val="single" w:sz="45" w:space="0" w:color="E6EDD4"/>
              <w:bottom w:val="single" w:sz="8" w:space="0" w:color="9BBA58"/>
            </w:tcBorders>
          </w:tcPr>
          <w:p>
            <w:pPr>
              <w:pStyle w:val="TableParagraph"/>
              <w:spacing w:line="218" w:lineRule="exact"/>
              <w:ind w:left="568"/>
              <w:rPr>
                <w:sz w:val="24"/>
              </w:rPr>
            </w:pPr>
            <w:r>
              <w:rPr>
                <w:sz w:val="24"/>
              </w:rPr>
              <w:t>37</w:t>
            </w:r>
          </w:p>
        </w:tc>
        <w:tc>
          <w:tcPr>
            <w:tcW w:w="1492" w:type="dxa"/>
            <w:tcBorders>
              <w:top w:val="single" w:sz="45" w:space="0" w:color="E6EDD4"/>
              <w:bottom w:val="single" w:sz="8" w:space="0" w:color="9BBA58"/>
            </w:tcBorders>
          </w:tcPr>
          <w:p>
            <w:pPr>
              <w:pStyle w:val="TableParagraph"/>
              <w:spacing w:line="218" w:lineRule="exact"/>
              <w:ind w:right="296"/>
              <w:jc w:val="right"/>
              <w:rPr>
                <w:sz w:val="24"/>
              </w:rPr>
            </w:pPr>
            <w:r>
              <w:rPr>
                <w:sz w:val="24"/>
              </w:rPr>
              <w:t>73.35</w:t>
            </w:r>
          </w:p>
        </w:tc>
        <w:tc>
          <w:tcPr>
            <w:tcW w:w="2220" w:type="dxa"/>
            <w:tcBorders>
              <w:top w:val="single" w:sz="45" w:space="0" w:color="E6EDD4"/>
              <w:bottom w:val="single" w:sz="8" w:space="0" w:color="9BBA58"/>
            </w:tcBorders>
          </w:tcPr>
          <w:p>
            <w:pPr>
              <w:pStyle w:val="TableParagraph"/>
              <w:spacing w:line="218" w:lineRule="exact"/>
              <w:ind w:right="166"/>
              <w:jc w:val="right"/>
              <w:rPr>
                <w:sz w:val="24"/>
              </w:rPr>
            </w:pPr>
            <w:r>
              <w:rPr>
                <w:sz w:val="24"/>
              </w:rPr>
              <w:t>5.56</w:t>
            </w:r>
          </w:p>
        </w:tc>
      </w:tr>
    </w:tbl>
    <w:p>
      <w:pPr>
        <w:spacing w:line="201" w:lineRule="exact" w:before="0"/>
        <w:ind w:left="0" w:right="857" w:firstLine="0"/>
        <w:jc w:val="right"/>
        <w:rPr>
          <w:sz w:val="18"/>
        </w:rPr>
      </w:pPr>
      <w:r>
        <w:rPr>
          <w:sz w:val="18"/>
        </w:rPr>
        <w:t>Fuente: directa</w:t>
      </w:r>
    </w:p>
    <w:p>
      <w:pPr>
        <w:pStyle w:val="BodyText"/>
        <w:spacing w:before="4"/>
        <w:rPr>
          <w:sz w:val="26"/>
        </w:rPr>
      </w:pPr>
    </w:p>
    <w:p>
      <w:pPr>
        <w:pStyle w:val="BodyText"/>
        <w:spacing w:line="360" w:lineRule="auto"/>
        <w:ind w:left="518" w:right="1264"/>
      </w:pPr>
      <w:r>
        <w:rPr/>
        <w:t>No existe diferencia significativa para los parámetros cefalométricos en el grupo I. (Cuadro VII).</w:t>
      </w:r>
    </w:p>
    <w:p>
      <w:pPr>
        <w:spacing w:after="0" w:line="360" w:lineRule="auto"/>
        <w:sectPr>
          <w:pgSz w:w="12240" w:h="15840"/>
          <w:pgMar w:header="596" w:footer="1003" w:top="1380" w:bottom="1200" w:left="900" w:right="840"/>
        </w:sectPr>
      </w:pPr>
    </w:p>
    <w:p>
      <w:pPr>
        <w:pStyle w:val="BodyText"/>
        <w:spacing w:before="5"/>
        <w:rPr>
          <w:sz w:val="21"/>
        </w:rPr>
      </w:pPr>
    </w:p>
    <w:p>
      <w:pPr>
        <w:spacing w:before="69"/>
        <w:ind w:left="3137" w:right="865" w:firstLine="0"/>
        <w:jc w:val="left"/>
        <w:rPr>
          <w:b/>
          <w:sz w:val="24"/>
        </w:rPr>
      </w:pPr>
      <w:r>
        <w:rPr>
          <w:b/>
          <w:sz w:val="24"/>
        </w:rPr>
        <w:t>Cuadro VII. Prueba t  para grupo I.</w:t>
      </w:r>
    </w:p>
    <w:p>
      <w:pPr>
        <w:pStyle w:val="BodyText"/>
        <w:spacing w:before="6" w:after="1"/>
        <w:rPr>
          <w:b/>
          <w:sz w:val="29"/>
        </w:rPr>
      </w:pPr>
    </w:p>
    <w:tbl>
      <w:tblPr>
        <w:tblW w:w="0" w:type="auto"/>
        <w:jc w:val="left"/>
        <w:tblInd w:w="4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723"/>
        <w:gridCol w:w="2811"/>
        <w:gridCol w:w="1498"/>
      </w:tblGrid>
      <w:tr>
        <w:trPr>
          <w:trHeight w:val="433" w:hRule="exact"/>
        </w:trPr>
        <w:tc>
          <w:tcPr>
            <w:tcW w:w="4723" w:type="dxa"/>
            <w:tcBorders>
              <w:top w:val="single" w:sz="8" w:space="0" w:color="9BBA58"/>
              <w:bottom w:val="single" w:sz="8" w:space="0" w:color="9BBA58"/>
            </w:tcBorders>
          </w:tcPr>
          <w:p>
            <w:pPr>
              <w:pStyle w:val="TableParagraph"/>
              <w:ind w:left="108"/>
              <w:rPr>
                <w:b/>
                <w:sz w:val="24"/>
              </w:rPr>
            </w:pPr>
            <w:r>
              <w:rPr>
                <w:b/>
                <w:sz w:val="24"/>
              </w:rPr>
              <w:t>Parámetros cefalométricos</w:t>
            </w:r>
          </w:p>
        </w:tc>
        <w:tc>
          <w:tcPr>
            <w:tcW w:w="2811" w:type="dxa"/>
            <w:tcBorders>
              <w:top w:val="single" w:sz="8" w:space="0" w:color="9BBA58"/>
              <w:bottom w:val="single" w:sz="8" w:space="0" w:color="9BBA58"/>
            </w:tcBorders>
          </w:tcPr>
          <w:p>
            <w:pPr>
              <w:pStyle w:val="TableParagraph"/>
              <w:ind w:right="902"/>
              <w:jc w:val="right"/>
              <w:rPr>
                <w:b/>
                <w:sz w:val="24"/>
              </w:rPr>
            </w:pPr>
            <w:r>
              <w:rPr>
                <w:b/>
                <w:sz w:val="24"/>
              </w:rPr>
              <w:t>F</w:t>
            </w:r>
          </w:p>
        </w:tc>
        <w:tc>
          <w:tcPr>
            <w:tcW w:w="1498" w:type="dxa"/>
            <w:tcBorders>
              <w:top w:val="single" w:sz="8" w:space="0" w:color="9BBA58"/>
              <w:bottom w:val="single" w:sz="8" w:space="0" w:color="9BBA58"/>
            </w:tcBorders>
          </w:tcPr>
          <w:p>
            <w:pPr>
              <w:pStyle w:val="TableParagraph"/>
              <w:ind w:right="246"/>
              <w:jc w:val="right"/>
              <w:rPr>
                <w:b/>
                <w:sz w:val="24"/>
              </w:rPr>
            </w:pPr>
            <w:r>
              <w:rPr>
                <w:b/>
                <w:sz w:val="24"/>
              </w:rPr>
              <w:t>Sig.</w:t>
            </w:r>
          </w:p>
        </w:tc>
      </w:tr>
      <w:tr>
        <w:trPr>
          <w:trHeight w:val="587" w:hRule="exact"/>
        </w:trPr>
        <w:tc>
          <w:tcPr>
            <w:tcW w:w="4723" w:type="dxa"/>
            <w:tcBorders>
              <w:top w:val="single" w:sz="8" w:space="0" w:color="9BBA58"/>
            </w:tcBorders>
            <w:shd w:val="clear" w:color="auto" w:fill="E6EDD4"/>
          </w:tcPr>
          <w:p>
            <w:pPr/>
          </w:p>
        </w:tc>
        <w:tc>
          <w:tcPr>
            <w:tcW w:w="2811" w:type="dxa"/>
            <w:tcBorders>
              <w:top w:val="single" w:sz="8" w:space="0" w:color="9BBA58"/>
            </w:tcBorders>
            <w:shd w:val="clear" w:color="auto" w:fill="E6EDD4"/>
          </w:tcPr>
          <w:p>
            <w:pPr/>
          </w:p>
        </w:tc>
        <w:tc>
          <w:tcPr>
            <w:tcW w:w="1498" w:type="dxa"/>
            <w:tcBorders>
              <w:top w:val="single" w:sz="8" w:space="0" w:color="9BBA58"/>
            </w:tcBorders>
            <w:shd w:val="clear" w:color="auto" w:fill="E6EDD4"/>
          </w:tcPr>
          <w:p>
            <w:pPr>
              <w:pStyle w:val="TableParagraph"/>
              <w:spacing w:line="275" w:lineRule="exact"/>
              <w:ind w:right="162"/>
              <w:jc w:val="right"/>
              <w:rPr>
                <w:sz w:val="24"/>
              </w:rPr>
            </w:pPr>
            <w:r>
              <w:rPr>
                <w:sz w:val="24"/>
              </w:rPr>
              <w:t>.70</w:t>
            </w:r>
          </w:p>
        </w:tc>
      </w:tr>
      <w:tr>
        <w:trPr>
          <w:trHeight w:val="569" w:hRule="exact"/>
        </w:trPr>
        <w:tc>
          <w:tcPr>
            <w:tcW w:w="4723" w:type="dxa"/>
          </w:tcPr>
          <w:p>
            <w:pPr>
              <w:pStyle w:val="TableParagraph"/>
              <w:ind w:left="168"/>
              <w:rPr>
                <w:b/>
                <w:sz w:val="24"/>
              </w:rPr>
            </w:pPr>
            <w:r>
              <w:rPr>
                <w:b/>
                <w:sz w:val="24"/>
              </w:rPr>
              <w:t>AB/PF</w:t>
            </w:r>
          </w:p>
        </w:tc>
        <w:tc>
          <w:tcPr>
            <w:tcW w:w="2811" w:type="dxa"/>
          </w:tcPr>
          <w:p>
            <w:pPr>
              <w:pStyle w:val="TableParagraph"/>
              <w:ind w:right="807"/>
              <w:jc w:val="right"/>
              <w:rPr>
                <w:sz w:val="24"/>
              </w:rPr>
            </w:pPr>
            <w:r>
              <w:rPr>
                <w:sz w:val="24"/>
              </w:rPr>
              <w:t>2.20</w:t>
            </w:r>
          </w:p>
        </w:tc>
        <w:tc>
          <w:tcPr>
            <w:tcW w:w="1498" w:type="dxa"/>
          </w:tcPr>
          <w:p>
            <w:pPr>
              <w:pStyle w:val="TableParagraph"/>
              <w:ind w:right="162"/>
              <w:jc w:val="right"/>
              <w:rPr>
                <w:sz w:val="24"/>
              </w:rPr>
            </w:pPr>
            <w:r>
              <w:rPr>
                <w:sz w:val="24"/>
              </w:rPr>
              <w:t>.14</w:t>
            </w:r>
          </w:p>
        </w:tc>
      </w:tr>
      <w:tr>
        <w:trPr>
          <w:trHeight w:val="578" w:hRule="exact"/>
        </w:trPr>
        <w:tc>
          <w:tcPr>
            <w:tcW w:w="4723" w:type="dxa"/>
            <w:shd w:val="clear" w:color="auto" w:fill="E6EDD4"/>
          </w:tcPr>
          <w:p>
            <w:pPr>
              <w:pStyle w:val="TableParagraph"/>
              <w:ind w:left="168"/>
              <w:rPr>
                <w:b/>
                <w:sz w:val="24"/>
              </w:rPr>
            </w:pPr>
            <w:r>
              <w:rPr>
                <w:b/>
                <w:sz w:val="24"/>
              </w:rPr>
              <w:t>PP/FH</w:t>
            </w:r>
          </w:p>
        </w:tc>
        <w:tc>
          <w:tcPr>
            <w:tcW w:w="2811" w:type="dxa"/>
            <w:shd w:val="clear" w:color="auto" w:fill="E6EDD4"/>
          </w:tcPr>
          <w:p>
            <w:pPr>
              <w:pStyle w:val="TableParagraph"/>
              <w:ind w:right="807"/>
              <w:jc w:val="right"/>
              <w:rPr>
                <w:sz w:val="24"/>
              </w:rPr>
            </w:pPr>
            <w:r>
              <w:rPr>
                <w:sz w:val="24"/>
              </w:rPr>
              <w:t>.10</w:t>
            </w:r>
          </w:p>
        </w:tc>
        <w:tc>
          <w:tcPr>
            <w:tcW w:w="1498" w:type="dxa"/>
            <w:shd w:val="clear" w:color="auto" w:fill="E6EDD4"/>
          </w:tcPr>
          <w:p>
            <w:pPr>
              <w:pStyle w:val="TableParagraph"/>
              <w:ind w:right="162"/>
              <w:jc w:val="right"/>
              <w:rPr>
                <w:sz w:val="24"/>
              </w:rPr>
            </w:pPr>
            <w:r>
              <w:rPr>
                <w:sz w:val="24"/>
              </w:rPr>
              <w:t>.74</w:t>
            </w:r>
          </w:p>
        </w:tc>
      </w:tr>
      <w:tr>
        <w:trPr>
          <w:trHeight w:val="565" w:hRule="exact"/>
        </w:trPr>
        <w:tc>
          <w:tcPr>
            <w:tcW w:w="4723" w:type="dxa"/>
          </w:tcPr>
          <w:p>
            <w:pPr>
              <w:pStyle w:val="TableParagraph"/>
              <w:ind w:left="168"/>
              <w:rPr>
                <w:b/>
                <w:sz w:val="24"/>
              </w:rPr>
            </w:pPr>
            <w:r>
              <w:rPr>
                <w:b/>
                <w:sz w:val="24"/>
              </w:rPr>
              <w:t>APDI</w:t>
            </w:r>
          </w:p>
        </w:tc>
        <w:tc>
          <w:tcPr>
            <w:tcW w:w="2811" w:type="dxa"/>
          </w:tcPr>
          <w:p>
            <w:pPr>
              <w:pStyle w:val="TableParagraph"/>
              <w:ind w:right="807"/>
              <w:jc w:val="right"/>
              <w:rPr>
                <w:sz w:val="24"/>
              </w:rPr>
            </w:pPr>
            <w:r>
              <w:rPr>
                <w:sz w:val="24"/>
              </w:rPr>
              <w:t>2.23</w:t>
            </w:r>
          </w:p>
        </w:tc>
        <w:tc>
          <w:tcPr>
            <w:tcW w:w="1498" w:type="dxa"/>
          </w:tcPr>
          <w:p>
            <w:pPr>
              <w:pStyle w:val="TableParagraph"/>
              <w:ind w:right="162"/>
              <w:jc w:val="right"/>
              <w:rPr>
                <w:sz w:val="24"/>
              </w:rPr>
            </w:pPr>
            <w:r>
              <w:rPr>
                <w:sz w:val="24"/>
              </w:rPr>
              <w:t>.14</w:t>
            </w:r>
          </w:p>
        </w:tc>
      </w:tr>
      <w:tr>
        <w:trPr>
          <w:trHeight w:val="554" w:hRule="exact"/>
        </w:trPr>
        <w:tc>
          <w:tcPr>
            <w:tcW w:w="4723" w:type="dxa"/>
            <w:shd w:val="clear" w:color="auto" w:fill="E6EDD4"/>
          </w:tcPr>
          <w:p>
            <w:pPr>
              <w:pStyle w:val="TableParagraph"/>
              <w:ind w:left="168"/>
              <w:rPr>
                <w:b/>
                <w:sz w:val="24"/>
              </w:rPr>
            </w:pPr>
            <w:r>
              <w:rPr>
                <w:b/>
                <w:sz w:val="24"/>
              </w:rPr>
              <w:t>AB/PM</w:t>
            </w:r>
          </w:p>
        </w:tc>
        <w:tc>
          <w:tcPr>
            <w:tcW w:w="2811" w:type="dxa"/>
            <w:shd w:val="clear" w:color="auto" w:fill="E6EDD4"/>
          </w:tcPr>
          <w:p>
            <w:pPr>
              <w:pStyle w:val="TableParagraph"/>
              <w:ind w:right="807"/>
              <w:jc w:val="right"/>
              <w:rPr>
                <w:sz w:val="24"/>
              </w:rPr>
            </w:pPr>
            <w:r>
              <w:rPr>
                <w:sz w:val="24"/>
              </w:rPr>
              <w:t>.00</w:t>
            </w:r>
          </w:p>
        </w:tc>
        <w:tc>
          <w:tcPr>
            <w:tcW w:w="1498" w:type="dxa"/>
            <w:shd w:val="clear" w:color="auto" w:fill="E6EDD4"/>
          </w:tcPr>
          <w:p>
            <w:pPr>
              <w:pStyle w:val="TableParagraph"/>
              <w:ind w:right="162"/>
              <w:jc w:val="right"/>
              <w:rPr>
                <w:sz w:val="24"/>
              </w:rPr>
            </w:pPr>
            <w:r>
              <w:rPr>
                <w:sz w:val="24"/>
              </w:rPr>
              <w:t>.95</w:t>
            </w:r>
          </w:p>
        </w:tc>
      </w:tr>
      <w:tr>
        <w:trPr>
          <w:trHeight w:val="564" w:hRule="exact"/>
        </w:trPr>
        <w:tc>
          <w:tcPr>
            <w:tcW w:w="4723" w:type="dxa"/>
          </w:tcPr>
          <w:p>
            <w:pPr>
              <w:pStyle w:val="TableParagraph"/>
              <w:ind w:left="168"/>
              <w:rPr>
                <w:b/>
                <w:sz w:val="24"/>
              </w:rPr>
            </w:pPr>
            <w:r>
              <w:rPr>
                <w:b/>
                <w:sz w:val="24"/>
              </w:rPr>
              <w:t>PP/FH</w:t>
            </w:r>
          </w:p>
        </w:tc>
        <w:tc>
          <w:tcPr>
            <w:tcW w:w="2811" w:type="dxa"/>
          </w:tcPr>
          <w:p>
            <w:pPr>
              <w:pStyle w:val="TableParagraph"/>
              <w:ind w:right="807"/>
              <w:jc w:val="right"/>
              <w:rPr>
                <w:sz w:val="24"/>
              </w:rPr>
            </w:pPr>
            <w:r>
              <w:rPr>
                <w:sz w:val="24"/>
              </w:rPr>
              <w:t>.10</w:t>
            </w:r>
          </w:p>
        </w:tc>
        <w:tc>
          <w:tcPr>
            <w:tcW w:w="1498" w:type="dxa"/>
          </w:tcPr>
          <w:p>
            <w:pPr>
              <w:pStyle w:val="TableParagraph"/>
              <w:ind w:right="162"/>
              <w:jc w:val="right"/>
              <w:rPr>
                <w:sz w:val="24"/>
              </w:rPr>
            </w:pPr>
            <w:r>
              <w:rPr>
                <w:sz w:val="24"/>
              </w:rPr>
              <w:t>.74</w:t>
            </w:r>
          </w:p>
        </w:tc>
      </w:tr>
      <w:tr>
        <w:trPr>
          <w:trHeight w:val="583" w:hRule="exact"/>
        </w:trPr>
        <w:tc>
          <w:tcPr>
            <w:tcW w:w="4723" w:type="dxa"/>
            <w:tcBorders>
              <w:bottom w:val="single" w:sz="8" w:space="0" w:color="9BBA58"/>
            </w:tcBorders>
            <w:shd w:val="clear" w:color="auto" w:fill="E6EDD4"/>
          </w:tcPr>
          <w:p>
            <w:pPr>
              <w:pStyle w:val="TableParagraph"/>
              <w:ind w:left="168"/>
              <w:rPr>
                <w:b/>
                <w:sz w:val="24"/>
              </w:rPr>
            </w:pPr>
            <w:r>
              <w:rPr>
                <w:b/>
                <w:sz w:val="24"/>
              </w:rPr>
              <w:t>ODI</w:t>
            </w:r>
          </w:p>
        </w:tc>
        <w:tc>
          <w:tcPr>
            <w:tcW w:w="2811" w:type="dxa"/>
            <w:tcBorders>
              <w:bottom w:val="single" w:sz="8" w:space="0" w:color="9BBA58"/>
            </w:tcBorders>
            <w:shd w:val="clear" w:color="auto" w:fill="E6EDD4"/>
          </w:tcPr>
          <w:p>
            <w:pPr>
              <w:pStyle w:val="TableParagraph"/>
              <w:ind w:right="807"/>
              <w:jc w:val="right"/>
              <w:rPr>
                <w:sz w:val="24"/>
              </w:rPr>
            </w:pPr>
            <w:r>
              <w:rPr>
                <w:sz w:val="24"/>
              </w:rPr>
              <w:t>.03</w:t>
            </w:r>
          </w:p>
        </w:tc>
        <w:tc>
          <w:tcPr>
            <w:tcW w:w="1498" w:type="dxa"/>
            <w:tcBorders>
              <w:bottom w:val="single" w:sz="8" w:space="0" w:color="9BBA58"/>
            </w:tcBorders>
            <w:shd w:val="clear" w:color="auto" w:fill="E6EDD4"/>
          </w:tcPr>
          <w:p>
            <w:pPr>
              <w:pStyle w:val="TableParagraph"/>
              <w:ind w:right="162"/>
              <w:jc w:val="right"/>
              <w:rPr>
                <w:sz w:val="24"/>
              </w:rPr>
            </w:pPr>
            <w:r>
              <w:rPr>
                <w:sz w:val="24"/>
              </w:rPr>
              <w:t>.85</w:t>
            </w:r>
          </w:p>
        </w:tc>
      </w:tr>
    </w:tbl>
    <w:p>
      <w:pPr>
        <w:spacing w:line="206" w:lineRule="exact" w:before="0"/>
        <w:ind w:left="0" w:right="857" w:firstLine="0"/>
        <w:jc w:val="right"/>
        <w:rPr>
          <w:sz w:val="18"/>
        </w:rPr>
      </w:pPr>
      <w:r>
        <w:rPr>
          <w:sz w:val="18"/>
        </w:rPr>
        <w:t>Fuente: directa</w:t>
      </w:r>
    </w:p>
    <w:p>
      <w:pPr>
        <w:pStyle w:val="BodyText"/>
        <w:spacing w:before="3"/>
        <w:rPr>
          <w:sz w:val="20"/>
        </w:rPr>
      </w:pPr>
    </w:p>
    <w:p>
      <w:pPr>
        <w:spacing w:before="70"/>
        <w:ind w:left="518" w:right="0" w:firstLine="0"/>
        <w:jc w:val="both"/>
        <w:rPr>
          <w:b/>
          <w:sz w:val="24"/>
        </w:rPr>
      </w:pPr>
      <w:r>
        <w:rPr>
          <w:b/>
          <w:sz w:val="24"/>
        </w:rPr>
        <w:t>Grupo II (12-14 años).</w:t>
      </w:r>
    </w:p>
    <w:p>
      <w:pPr>
        <w:pStyle w:val="BodyText"/>
        <w:spacing w:before="4"/>
        <w:rPr>
          <w:b/>
          <w:sz w:val="29"/>
        </w:rPr>
      </w:pPr>
    </w:p>
    <w:p>
      <w:pPr>
        <w:pStyle w:val="BodyText"/>
        <w:spacing w:line="360" w:lineRule="auto" w:before="1"/>
        <w:ind w:left="518" w:right="856"/>
        <w:jc w:val="both"/>
      </w:pPr>
      <w:r>
        <w:rPr/>
        <w:t>En el grupo II se obtuvo un PF/FH para el sexo femenino de 87.67°, para el sexo masculino de 88.29°. En AB/PF se obtuvo -6.45° para el femenino y -6.14° para el masculino, así como un valor promedio en PP/FH para el sexo femenino de .94° y de 1.03° para el sexo masculino.</w:t>
      </w:r>
    </w:p>
    <w:p>
      <w:pPr>
        <w:pStyle w:val="BodyText"/>
        <w:spacing w:line="360" w:lineRule="auto" w:before="204"/>
        <w:ind w:left="518" w:right="855"/>
        <w:jc w:val="both"/>
      </w:pPr>
      <w:r>
        <w:rPr/>
        <w:t>Se encontró una diferencia de 1.36° entre el sexo femenino y masculino en APDI, obteniéndose así un parámetro de 81.73° con desviación estándar de 8.29° para el sexo femenino y 83.09° para el sexo masculino, con desviación de 6.03°.</w:t>
      </w:r>
    </w:p>
    <w:p>
      <w:pPr>
        <w:pStyle w:val="BodyText"/>
        <w:spacing w:line="360" w:lineRule="auto" w:before="204"/>
        <w:ind w:left="518" w:right="863"/>
        <w:jc w:val="both"/>
      </w:pPr>
      <w:r>
        <w:rPr/>
        <w:t>En AB/PM la media fue de 72.79° para el sexo femenino y de 72.29° para el sexo masculino.</w:t>
      </w:r>
    </w:p>
    <w:p>
      <w:pPr>
        <w:pStyle w:val="BodyText"/>
        <w:spacing w:line="360" w:lineRule="auto" w:before="204"/>
        <w:ind w:left="518" w:right="855"/>
        <w:jc w:val="both"/>
      </w:pPr>
      <w:r>
        <w:rPr/>
        <w:t>El parámetro para el ODI fue de 73.76° con desviación estándar de 4.88° y de 73.20° con desviación estándar de 5.02°, respectivamente. Estos resultados se muestran en el Cuadro VIII.</w:t>
      </w:r>
    </w:p>
    <w:p>
      <w:pPr>
        <w:pStyle w:val="BodyText"/>
        <w:spacing w:line="360" w:lineRule="auto" w:before="204"/>
        <w:ind w:left="518" w:right="856"/>
        <w:jc w:val="both"/>
      </w:pPr>
      <w:r>
        <w:rPr/>
        <w:t>No se encontraron diferencias significativas en los parámetros cefalométricos para este grupo (Cuadro IX).</w:t>
      </w:r>
    </w:p>
    <w:p>
      <w:pPr>
        <w:spacing w:after="0" w:line="360" w:lineRule="auto"/>
        <w:jc w:val="both"/>
        <w:sectPr>
          <w:pgSz w:w="12240" w:h="15840"/>
          <w:pgMar w:header="596" w:footer="1003" w:top="1380" w:bottom="1200" w:left="900" w:right="840"/>
        </w:sectPr>
      </w:pPr>
    </w:p>
    <w:p>
      <w:pPr>
        <w:pStyle w:val="BodyText"/>
        <w:spacing w:before="5"/>
        <w:rPr>
          <w:sz w:val="21"/>
        </w:rPr>
      </w:pPr>
    </w:p>
    <w:p>
      <w:pPr>
        <w:spacing w:before="69"/>
        <w:ind w:left="2330" w:right="865" w:firstLine="0"/>
        <w:jc w:val="left"/>
        <w:rPr>
          <w:b/>
          <w:sz w:val="24"/>
        </w:rPr>
      </w:pPr>
      <w:r>
        <w:rPr>
          <w:b/>
          <w:sz w:val="24"/>
        </w:rPr>
        <w:t>Cuadro VIII. Parámetros cefalométricos grupo II.</w:t>
      </w:r>
    </w:p>
    <w:p>
      <w:pPr>
        <w:pStyle w:val="BodyText"/>
        <w:spacing w:before="6" w:after="1"/>
        <w:rPr>
          <w:b/>
          <w:sz w:val="29"/>
        </w:rPr>
      </w:pPr>
    </w:p>
    <w:tbl>
      <w:tblPr>
        <w:tblW w:w="0" w:type="auto"/>
        <w:jc w:val="left"/>
        <w:tblInd w:w="4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51"/>
        <w:gridCol w:w="2077"/>
        <w:gridCol w:w="1056"/>
        <w:gridCol w:w="1500"/>
        <w:gridCol w:w="2228"/>
      </w:tblGrid>
      <w:tr>
        <w:trPr>
          <w:trHeight w:val="847" w:hRule="exact"/>
        </w:trPr>
        <w:tc>
          <w:tcPr>
            <w:tcW w:w="1951" w:type="dxa"/>
            <w:tcBorders>
              <w:top w:val="single" w:sz="8" w:space="0" w:color="9BBA58"/>
              <w:bottom w:val="single" w:sz="8" w:space="0" w:color="9BBA58"/>
            </w:tcBorders>
          </w:tcPr>
          <w:p>
            <w:pPr>
              <w:pStyle w:val="TableParagraph"/>
              <w:spacing w:line="360" w:lineRule="auto"/>
              <w:ind w:left="108" w:right="129"/>
              <w:rPr>
                <w:b/>
                <w:sz w:val="24"/>
              </w:rPr>
            </w:pPr>
            <w:r>
              <w:rPr>
                <w:b/>
                <w:sz w:val="24"/>
              </w:rPr>
              <w:t>Parámetros cefalométricos</w:t>
            </w:r>
          </w:p>
        </w:tc>
        <w:tc>
          <w:tcPr>
            <w:tcW w:w="2077" w:type="dxa"/>
            <w:tcBorders>
              <w:top w:val="single" w:sz="8" w:space="0" w:color="9BBA58"/>
              <w:bottom w:val="single" w:sz="8" w:space="0" w:color="9BBA58"/>
            </w:tcBorders>
          </w:tcPr>
          <w:p>
            <w:pPr>
              <w:pStyle w:val="TableParagraph"/>
              <w:ind w:left="167"/>
              <w:rPr>
                <w:b/>
                <w:sz w:val="24"/>
              </w:rPr>
            </w:pPr>
            <w:r>
              <w:rPr>
                <w:b/>
                <w:sz w:val="24"/>
              </w:rPr>
              <w:t>SEXO</w:t>
            </w:r>
          </w:p>
        </w:tc>
        <w:tc>
          <w:tcPr>
            <w:tcW w:w="1056" w:type="dxa"/>
            <w:tcBorders>
              <w:top w:val="single" w:sz="8" w:space="0" w:color="9BBA58"/>
              <w:bottom w:val="single" w:sz="8" w:space="0" w:color="9BBA58"/>
            </w:tcBorders>
          </w:tcPr>
          <w:p>
            <w:pPr>
              <w:pStyle w:val="TableParagraph"/>
              <w:ind w:left="522"/>
              <w:rPr>
                <w:b/>
                <w:sz w:val="24"/>
              </w:rPr>
            </w:pPr>
            <w:r>
              <w:rPr>
                <w:b/>
                <w:w w:val="99"/>
                <w:sz w:val="24"/>
              </w:rPr>
              <w:t>N</w:t>
            </w:r>
          </w:p>
        </w:tc>
        <w:tc>
          <w:tcPr>
            <w:tcW w:w="1500" w:type="dxa"/>
            <w:tcBorders>
              <w:top w:val="single" w:sz="8" w:space="0" w:color="9BBA58"/>
              <w:bottom w:val="single" w:sz="8" w:space="0" w:color="9BBA58"/>
            </w:tcBorders>
          </w:tcPr>
          <w:p>
            <w:pPr>
              <w:pStyle w:val="TableParagraph"/>
              <w:ind w:left="304"/>
              <w:rPr>
                <w:b/>
                <w:sz w:val="24"/>
              </w:rPr>
            </w:pPr>
            <w:r>
              <w:rPr>
                <w:b/>
                <w:sz w:val="24"/>
              </w:rPr>
              <w:t>Media</w:t>
            </w:r>
          </w:p>
        </w:tc>
        <w:tc>
          <w:tcPr>
            <w:tcW w:w="2228" w:type="dxa"/>
            <w:tcBorders>
              <w:top w:val="single" w:sz="8" w:space="0" w:color="9BBA58"/>
              <w:bottom w:val="single" w:sz="8" w:space="0" w:color="9BBA58"/>
            </w:tcBorders>
          </w:tcPr>
          <w:p>
            <w:pPr>
              <w:pStyle w:val="TableParagraph"/>
              <w:ind w:left="233"/>
              <w:rPr>
                <w:b/>
                <w:sz w:val="24"/>
              </w:rPr>
            </w:pPr>
            <w:r>
              <w:rPr>
                <w:b/>
                <w:sz w:val="24"/>
              </w:rPr>
              <w:t>Desviación típ.</w:t>
            </w:r>
          </w:p>
        </w:tc>
      </w:tr>
      <w:tr>
        <w:trPr>
          <w:trHeight w:val="466" w:hRule="exact"/>
        </w:trPr>
        <w:tc>
          <w:tcPr>
            <w:tcW w:w="1951" w:type="dxa"/>
            <w:tcBorders>
              <w:top w:val="single" w:sz="8" w:space="0" w:color="9BBA58"/>
            </w:tcBorders>
            <w:shd w:val="clear" w:color="auto" w:fill="E6EDD4"/>
          </w:tcPr>
          <w:p>
            <w:pPr>
              <w:pStyle w:val="TableParagraph"/>
              <w:ind w:left="168" w:right="129"/>
              <w:rPr>
                <w:b/>
                <w:sz w:val="24"/>
              </w:rPr>
            </w:pPr>
            <w:r>
              <w:rPr>
                <w:b/>
                <w:sz w:val="24"/>
              </w:rPr>
              <w:t>PF/FH</w:t>
            </w:r>
          </w:p>
        </w:tc>
        <w:tc>
          <w:tcPr>
            <w:tcW w:w="2077" w:type="dxa"/>
            <w:tcBorders>
              <w:top w:val="single" w:sz="8" w:space="0" w:color="9BBA58"/>
            </w:tcBorders>
            <w:shd w:val="clear" w:color="auto" w:fill="E6EDD4"/>
          </w:tcPr>
          <w:p>
            <w:pPr>
              <w:pStyle w:val="TableParagraph"/>
              <w:ind w:left="167"/>
              <w:rPr>
                <w:sz w:val="24"/>
              </w:rPr>
            </w:pPr>
            <w:r>
              <w:rPr>
                <w:sz w:val="24"/>
              </w:rPr>
              <w:t>FEMENINO</w:t>
            </w:r>
          </w:p>
        </w:tc>
        <w:tc>
          <w:tcPr>
            <w:tcW w:w="1056" w:type="dxa"/>
            <w:tcBorders>
              <w:top w:val="single" w:sz="8" w:space="0" w:color="9BBA58"/>
            </w:tcBorders>
            <w:shd w:val="clear" w:color="auto" w:fill="E6EDD4"/>
          </w:tcPr>
          <w:p>
            <w:pPr>
              <w:pStyle w:val="TableParagraph"/>
              <w:ind w:left="482"/>
              <w:rPr>
                <w:sz w:val="24"/>
              </w:rPr>
            </w:pPr>
            <w:r>
              <w:rPr>
                <w:sz w:val="24"/>
              </w:rPr>
              <w:t>33</w:t>
            </w:r>
          </w:p>
        </w:tc>
        <w:tc>
          <w:tcPr>
            <w:tcW w:w="1500" w:type="dxa"/>
            <w:tcBorders>
              <w:top w:val="single" w:sz="8" w:space="0" w:color="9BBA58"/>
            </w:tcBorders>
            <w:shd w:val="clear" w:color="auto" w:fill="E6EDD4"/>
          </w:tcPr>
          <w:p>
            <w:pPr>
              <w:pStyle w:val="TableParagraph"/>
              <w:ind w:right="231"/>
              <w:jc w:val="right"/>
              <w:rPr>
                <w:sz w:val="24"/>
              </w:rPr>
            </w:pPr>
            <w:r>
              <w:rPr>
                <w:sz w:val="24"/>
              </w:rPr>
              <w:t>87.67</w:t>
            </w:r>
          </w:p>
        </w:tc>
        <w:tc>
          <w:tcPr>
            <w:tcW w:w="2228" w:type="dxa"/>
            <w:tcBorders>
              <w:top w:val="single" w:sz="8" w:space="0" w:color="9BBA58"/>
            </w:tcBorders>
            <w:shd w:val="clear" w:color="auto" w:fill="E6EDD4"/>
          </w:tcPr>
          <w:p>
            <w:pPr>
              <w:pStyle w:val="TableParagraph"/>
              <w:ind w:right="165"/>
              <w:jc w:val="right"/>
              <w:rPr>
                <w:sz w:val="24"/>
              </w:rPr>
            </w:pPr>
            <w:r>
              <w:rPr>
                <w:sz w:val="24"/>
              </w:rPr>
              <w:t>3.55</w:t>
            </w:r>
          </w:p>
        </w:tc>
      </w:tr>
      <w:tr>
        <w:trPr>
          <w:trHeight w:val="456" w:hRule="exact"/>
        </w:trPr>
        <w:tc>
          <w:tcPr>
            <w:tcW w:w="1951" w:type="dxa"/>
            <w:shd w:val="clear" w:color="auto" w:fill="E6EDD4"/>
          </w:tcPr>
          <w:p>
            <w:pPr/>
          </w:p>
        </w:tc>
        <w:tc>
          <w:tcPr>
            <w:tcW w:w="2077" w:type="dxa"/>
            <w:tcBorders>
              <w:top w:val="single" w:sz="33" w:space="0" w:color="E6EDD4"/>
            </w:tcBorders>
          </w:tcPr>
          <w:p>
            <w:pPr>
              <w:pStyle w:val="TableParagraph"/>
              <w:ind w:left="167"/>
              <w:rPr>
                <w:sz w:val="24"/>
              </w:rPr>
            </w:pPr>
            <w:r>
              <w:rPr>
                <w:sz w:val="24"/>
              </w:rPr>
              <w:t>MASCULINO</w:t>
            </w:r>
          </w:p>
        </w:tc>
        <w:tc>
          <w:tcPr>
            <w:tcW w:w="1056" w:type="dxa"/>
            <w:tcBorders>
              <w:top w:val="single" w:sz="33" w:space="0" w:color="E6EDD4"/>
            </w:tcBorders>
          </w:tcPr>
          <w:p>
            <w:pPr>
              <w:pStyle w:val="TableParagraph"/>
              <w:ind w:left="482"/>
              <w:rPr>
                <w:sz w:val="24"/>
              </w:rPr>
            </w:pPr>
            <w:r>
              <w:rPr>
                <w:sz w:val="24"/>
              </w:rPr>
              <w:t>35</w:t>
            </w:r>
          </w:p>
        </w:tc>
        <w:tc>
          <w:tcPr>
            <w:tcW w:w="1500" w:type="dxa"/>
            <w:tcBorders>
              <w:top w:val="single" w:sz="33" w:space="0" w:color="E6EDD4"/>
            </w:tcBorders>
          </w:tcPr>
          <w:p>
            <w:pPr>
              <w:pStyle w:val="TableParagraph"/>
              <w:ind w:right="231"/>
              <w:jc w:val="right"/>
              <w:rPr>
                <w:sz w:val="24"/>
              </w:rPr>
            </w:pPr>
            <w:r>
              <w:rPr>
                <w:sz w:val="24"/>
              </w:rPr>
              <w:t>88.29</w:t>
            </w:r>
          </w:p>
        </w:tc>
        <w:tc>
          <w:tcPr>
            <w:tcW w:w="2228" w:type="dxa"/>
            <w:tcBorders>
              <w:top w:val="single" w:sz="33" w:space="0" w:color="E6EDD4"/>
            </w:tcBorders>
          </w:tcPr>
          <w:p>
            <w:pPr>
              <w:pStyle w:val="TableParagraph"/>
              <w:ind w:right="165"/>
              <w:jc w:val="right"/>
              <w:rPr>
                <w:sz w:val="24"/>
              </w:rPr>
            </w:pPr>
            <w:r>
              <w:rPr>
                <w:sz w:val="24"/>
              </w:rPr>
              <w:t>3.03</w:t>
            </w:r>
          </w:p>
        </w:tc>
      </w:tr>
      <w:tr>
        <w:trPr>
          <w:trHeight w:val="497" w:hRule="exact"/>
        </w:trPr>
        <w:tc>
          <w:tcPr>
            <w:tcW w:w="1951" w:type="dxa"/>
            <w:shd w:val="clear" w:color="auto" w:fill="E6EDD4"/>
          </w:tcPr>
          <w:p>
            <w:pPr>
              <w:pStyle w:val="TableParagraph"/>
              <w:ind w:left="168" w:right="129"/>
              <w:rPr>
                <w:b/>
                <w:sz w:val="24"/>
              </w:rPr>
            </w:pPr>
            <w:r>
              <w:rPr>
                <w:b/>
                <w:sz w:val="24"/>
              </w:rPr>
              <w:t>AB/PF</w:t>
            </w:r>
          </w:p>
        </w:tc>
        <w:tc>
          <w:tcPr>
            <w:tcW w:w="2077" w:type="dxa"/>
            <w:shd w:val="clear" w:color="auto" w:fill="E6EDD4"/>
          </w:tcPr>
          <w:p>
            <w:pPr>
              <w:pStyle w:val="TableParagraph"/>
              <w:ind w:left="167"/>
              <w:rPr>
                <w:sz w:val="24"/>
              </w:rPr>
            </w:pPr>
            <w:r>
              <w:rPr>
                <w:sz w:val="24"/>
              </w:rPr>
              <w:t>FEMENINO</w:t>
            </w:r>
          </w:p>
        </w:tc>
        <w:tc>
          <w:tcPr>
            <w:tcW w:w="1056" w:type="dxa"/>
            <w:shd w:val="clear" w:color="auto" w:fill="E6EDD4"/>
          </w:tcPr>
          <w:p>
            <w:pPr>
              <w:pStyle w:val="TableParagraph"/>
              <w:ind w:left="482"/>
              <w:rPr>
                <w:sz w:val="24"/>
              </w:rPr>
            </w:pPr>
            <w:r>
              <w:rPr>
                <w:sz w:val="24"/>
              </w:rPr>
              <w:t>33</w:t>
            </w:r>
          </w:p>
        </w:tc>
        <w:tc>
          <w:tcPr>
            <w:tcW w:w="1500" w:type="dxa"/>
            <w:shd w:val="clear" w:color="auto" w:fill="E6EDD4"/>
          </w:tcPr>
          <w:p>
            <w:pPr>
              <w:pStyle w:val="TableParagraph"/>
              <w:ind w:right="231"/>
              <w:jc w:val="right"/>
              <w:rPr>
                <w:sz w:val="24"/>
              </w:rPr>
            </w:pPr>
            <w:r>
              <w:rPr>
                <w:w w:val="95"/>
                <w:sz w:val="24"/>
              </w:rPr>
              <w:t>-6.45</w:t>
            </w:r>
          </w:p>
        </w:tc>
        <w:tc>
          <w:tcPr>
            <w:tcW w:w="2228" w:type="dxa"/>
            <w:shd w:val="clear" w:color="auto" w:fill="E6EDD4"/>
          </w:tcPr>
          <w:p>
            <w:pPr>
              <w:pStyle w:val="TableParagraph"/>
              <w:ind w:right="165"/>
              <w:jc w:val="right"/>
              <w:rPr>
                <w:sz w:val="24"/>
              </w:rPr>
            </w:pPr>
            <w:r>
              <w:rPr>
                <w:sz w:val="24"/>
              </w:rPr>
              <w:t>2.94</w:t>
            </w:r>
          </w:p>
        </w:tc>
      </w:tr>
      <w:tr>
        <w:trPr>
          <w:trHeight w:val="413" w:hRule="exact"/>
        </w:trPr>
        <w:tc>
          <w:tcPr>
            <w:tcW w:w="1951" w:type="dxa"/>
            <w:shd w:val="clear" w:color="auto" w:fill="E6EDD4"/>
          </w:tcPr>
          <w:p>
            <w:pPr/>
          </w:p>
        </w:tc>
        <w:tc>
          <w:tcPr>
            <w:tcW w:w="2077" w:type="dxa"/>
            <w:tcBorders>
              <w:top w:val="single" w:sz="34" w:space="0" w:color="E6EDD4"/>
            </w:tcBorders>
          </w:tcPr>
          <w:p>
            <w:pPr>
              <w:pStyle w:val="TableParagraph"/>
              <w:spacing w:line="232" w:lineRule="exact"/>
              <w:ind w:left="167"/>
              <w:rPr>
                <w:sz w:val="24"/>
              </w:rPr>
            </w:pPr>
            <w:r>
              <w:rPr>
                <w:sz w:val="24"/>
              </w:rPr>
              <w:t>MASCULINO</w:t>
            </w:r>
          </w:p>
        </w:tc>
        <w:tc>
          <w:tcPr>
            <w:tcW w:w="1056" w:type="dxa"/>
            <w:tcBorders>
              <w:top w:val="single" w:sz="34" w:space="0" w:color="E6EDD4"/>
            </w:tcBorders>
          </w:tcPr>
          <w:p>
            <w:pPr>
              <w:pStyle w:val="TableParagraph"/>
              <w:spacing w:line="232" w:lineRule="exact"/>
              <w:ind w:left="482"/>
              <w:rPr>
                <w:sz w:val="24"/>
              </w:rPr>
            </w:pPr>
            <w:r>
              <w:rPr>
                <w:sz w:val="24"/>
              </w:rPr>
              <w:t>35</w:t>
            </w:r>
          </w:p>
        </w:tc>
        <w:tc>
          <w:tcPr>
            <w:tcW w:w="1500" w:type="dxa"/>
            <w:tcBorders>
              <w:top w:val="single" w:sz="34" w:space="0" w:color="E6EDD4"/>
            </w:tcBorders>
          </w:tcPr>
          <w:p>
            <w:pPr>
              <w:pStyle w:val="TableParagraph"/>
              <w:spacing w:line="232" w:lineRule="exact"/>
              <w:ind w:right="231"/>
              <w:jc w:val="right"/>
              <w:rPr>
                <w:sz w:val="24"/>
              </w:rPr>
            </w:pPr>
            <w:r>
              <w:rPr>
                <w:w w:val="95"/>
                <w:sz w:val="24"/>
              </w:rPr>
              <w:t>-6.14</w:t>
            </w:r>
          </w:p>
        </w:tc>
        <w:tc>
          <w:tcPr>
            <w:tcW w:w="2228" w:type="dxa"/>
            <w:tcBorders>
              <w:top w:val="single" w:sz="34" w:space="0" w:color="E6EDD4"/>
            </w:tcBorders>
          </w:tcPr>
          <w:p>
            <w:pPr>
              <w:pStyle w:val="TableParagraph"/>
              <w:spacing w:line="232" w:lineRule="exact"/>
              <w:ind w:right="165"/>
              <w:jc w:val="right"/>
              <w:rPr>
                <w:sz w:val="24"/>
              </w:rPr>
            </w:pPr>
            <w:r>
              <w:rPr>
                <w:sz w:val="24"/>
              </w:rPr>
              <w:t>2.54</w:t>
            </w:r>
          </w:p>
        </w:tc>
      </w:tr>
      <w:tr>
        <w:trPr>
          <w:trHeight w:val="497" w:hRule="exact"/>
        </w:trPr>
        <w:tc>
          <w:tcPr>
            <w:tcW w:w="1951" w:type="dxa"/>
            <w:shd w:val="clear" w:color="auto" w:fill="E6EDD4"/>
          </w:tcPr>
          <w:p>
            <w:pPr>
              <w:pStyle w:val="TableParagraph"/>
              <w:spacing w:line="275" w:lineRule="exact"/>
              <w:ind w:left="168" w:right="129"/>
              <w:rPr>
                <w:b/>
                <w:sz w:val="24"/>
              </w:rPr>
            </w:pPr>
            <w:r>
              <w:rPr>
                <w:b/>
                <w:sz w:val="24"/>
              </w:rPr>
              <w:t>PP/FH</w:t>
            </w:r>
          </w:p>
        </w:tc>
        <w:tc>
          <w:tcPr>
            <w:tcW w:w="2077" w:type="dxa"/>
            <w:shd w:val="clear" w:color="auto" w:fill="E6EDD4"/>
          </w:tcPr>
          <w:p>
            <w:pPr>
              <w:pStyle w:val="TableParagraph"/>
              <w:spacing w:line="275" w:lineRule="exact"/>
              <w:ind w:left="167"/>
              <w:rPr>
                <w:sz w:val="24"/>
              </w:rPr>
            </w:pPr>
            <w:r>
              <w:rPr>
                <w:sz w:val="24"/>
              </w:rPr>
              <w:t>FEMENINO</w:t>
            </w:r>
          </w:p>
        </w:tc>
        <w:tc>
          <w:tcPr>
            <w:tcW w:w="1056" w:type="dxa"/>
            <w:shd w:val="clear" w:color="auto" w:fill="E6EDD4"/>
          </w:tcPr>
          <w:p>
            <w:pPr>
              <w:pStyle w:val="TableParagraph"/>
              <w:spacing w:line="275" w:lineRule="exact"/>
              <w:ind w:left="482"/>
              <w:rPr>
                <w:sz w:val="24"/>
              </w:rPr>
            </w:pPr>
            <w:r>
              <w:rPr>
                <w:sz w:val="24"/>
              </w:rPr>
              <w:t>33</w:t>
            </w:r>
          </w:p>
        </w:tc>
        <w:tc>
          <w:tcPr>
            <w:tcW w:w="1500" w:type="dxa"/>
            <w:shd w:val="clear" w:color="auto" w:fill="E6EDD4"/>
          </w:tcPr>
          <w:p>
            <w:pPr>
              <w:pStyle w:val="TableParagraph"/>
              <w:spacing w:line="275" w:lineRule="exact"/>
              <w:ind w:right="231"/>
              <w:jc w:val="right"/>
              <w:rPr>
                <w:sz w:val="24"/>
              </w:rPr>
            </w:pPr>
            <w:r>
              <w:rPr>
                <w:sz w:val="24"/>
              </w:rPr>
              <w:t>.94</w:t>
            </w:r>
          </w:p>
        </w:tc>
        <w:tc>
          <w:tcPr>
            <w:tcW w:w="2228" w:type="dxa"/>
            <w:shd w:val="clear" w:color="auto" w:fill="E6EDD4"/>
          </w:tcPr>
          <w:p>
            <w:pPr>
              <w:pStyle w:val="TableParagraph"/>
              <w:spacing w:line="275" w:lineRule="exact"/>
              <w:ind w:right="165"/>
              <w:jc w:val="right"/>
              <w:rPr>
                <w:sz w:val="24"/>
              </w:rPr>
            </w:pPr>
            <w:r>
              <w:rPr>
                <w:sz w:val="24"/>
              </w:rPr>
              <w:t>3.58</w:t>
            </w:r>
          </w:p>
        </w:tc>
      </w:tr>
      <w:tr>
        <w:trPr>
          <w:trHeight w:val="415" w:hRule="exact"/>
        </w:trPr>
        <w:tc>
          <w:tcPr>
            <w:tcW w:w="1951" w:type="dxa"/>
            <w:shd w:val="clear" w:color="auto" w:fill="E6EDD4"/>
          </w:tcPr>
          <w:p>
            <w:pPr/>
          </w:p>
        </w:tc>
        <w:tc>
          <w:tcPr>
            <w:tcW w:w="2077" w:type="dxa"/>
            <w:tcBorders>
              <w:top w:val="single" w:sz="33" w:space="0" w:color="E6EDD4"/>
            </w:tcBorders>
          </w:tcPr>
          <w:p>
            <w:pPr>
              <w:pStyle w:val="TableParagraph"/>
              <w:spacing w:line="233" w:lineRule="exact"/>
              <w:ind w:left="167"/>
              <w:rPr>
                <w:sz w:val="24"/>
              </w:rPr>
            </w:pPr>
            <w:r>
              <w:rPr>
                <w:sz w:val="24"/>
              </w:rPr>
              <w:t>MASCULINO</w:t>
            </w:r>
          </w:p>
        </w:tc>
        <w:tc>
          <w:tcPr>
            <w:tcW w:w="1056" w:type="dxa"/>
            <w:tcBorders>
              <w:top w:val="single" w:sz="33" w:space="0" w:color="E6EDD4"/>
            </w:tcBorders>
          </w:tcPr>
          <w:p>
            <w:pPr>
              <w:pStyle w:val="TableParagraph"/>
              <w:spacing w:line="233" w:lineRule="exact"/>
              <w:ind w:left="482"/>
              <w:rPr>
                <w:sz w:val="24"/>
              </w:rPr>
            </w:pPr>
            <w:r>
              <w:rPr>
                <w:sz w:val="24"/>
              </w:rPr>
              <w:t>35</w:t>
            </w:r>
          </w:p>
        </w:tc>
        <w:tc>
          <w:tcPr>
            <w:tcW w:w="1500" w:type="dxa"/>
            <w:tcBorders>
              <w:top w:val="single" w:sz="33" w:space="0" w:color="E6EDD4"/>
            </w:tcBorders>
          </w:tcPr>
          <w:p>
            <w:pPr>
              <w:pStyle w:val="TableParagraph"/>
              <w:spacing w:line="233" w:lineRule="exact"/>
              <w:ind w:right="231"/>
              <w:jc w:val="right"/>
              <w:rPr>
                <w:sz w:val="24"/>
              </w:rPr>
            </w:pPr>
            <w:r>
              <w:rPr>
                <w:sz w:val="24"/>
              </w:rPr>
              <w:t>1.03</w:t>
            </w:r>
          </w:p>
        </w:tc>
        <w:tc>
          <w:tcPr>
            <w:tcW w:w="2228" w:type="dxa"/>
            <w:tcBorders>
              <w:top w:val="single" w:sz="33" w:space="0" w:color="E6EDD4"/>
            </w:tcBorders>
          </w:tcPr>
          <w:p>
            <w:pPr>
              <w:pStyle w:val="TableParagraph"/>
              <w:spacing w:line="233" w:lineRule="exact"/>
              <w:ind w:right="165"/>
              <w:jc w:val="right"/>
              <w:rPr>
                <w:sz w:val="24"/>
              </w:rPr>
            </w:pPr>
            <w:r>
              <w:rPr>
                <w:sz w:val="24"/>
              </w:rPr>
              <w:t>2.66</w:t>
            </w:r>
          </w:p>
        </w:tc>
      </w:tr>
      <w:tr>
        <w:trPr>
          <w:trHeight w:val="497" w:hRule="exact"/>
        </w:trPr>
        <w:tc>
          <w:tcPr>
            <w:tcW w:w="1951" w:type="dxa"/>
            <w:shd w:val="clear" w:color="auto" w:fill="E6EDD4"/>
          </w:tcPr>
          <w:p>
            <w:pPr>
              <w:pStyle w:val="TableParagraph"/>
              <w:ind w:left="168" w:right="129"/>
              <w:rPr>
                <w:b/>
                <w:sz w:val="24"/>
              </w:rPr>
            </w:pPr>
            <w:r>
              <w:rPr>
                <w:b/>
                <w:sz w:val="24"/>
              </w:rPr>
              <w:t>APDI</w:t>
            </w:r>
          </w:p>
        </w:tc>
        <w:tc>
          <w:tcPr>
            <w:tcW w:w="2077" w:type="dxa"/>
            <w:shd w:val="clear" w:color="auto" w:fill="E6EDD4"/>
          </w:tcPr>
          <w:p>
            <w:pPr>
              <w:pStyle w:val="TableParagraph"/>
              <w:ind w:left="167"/>
              <w:rPr>
                <w:sz w:val="24"/>
              </w:rPr>
            </w:pPr>
            <w:r>
              <w:rPr>
                <w:sz w:val="24"/>
              </w:rPr>
              <w:t>FEMENINO</w:t>
            </w:r>
          </w:p>
        </w:tc>
        <w:tc>
          <w:tcPr>
            <w:tcW w:w="1056" w:type="dxa"/>
            <w:shd w:val="clear" w:color="auto" w:fill="E6EDD4"/>
          </w:tcPr>
          <w:p>
            <w:pPr>
              <w:pStyle w:val="TableParagraph"/>
              <w:ind w:left="482"/>
              <w:rPr>
                <w:sz w:val="24"/>
              </w:rPr>
            </w:pPr>
            <w:r>
              <w:rPr>
                <w:sz w:val="24"/>
              </w:rPr>
              <w:t>33</w:t>
            </w:r>
          </w:p>
        </w:tc>
        <w:tc>
          <w:tcPr>
            <w:tcW w:w="1500" w:type="dxa"/>
            <w:shd w:val="clear" w:color="auto" w:fill="E6EDD4"/>
          </w:tcPr>
          <w:p>
            <w:pPr>
              <w:pStyle w:val="TableParagraph"/>
              <w:ind w:right="231"/>
              <w:jc w:val="right"/>
              <w:rPr>
                <w:sz w:val="24"/>
              </w:rPr>
            </w:pPr>
            <w:r>
              <w:rPr>
                <w:sz w:val="24"/>
              </w:rPr>
              <w:t>81.73</w:t>
            </w:r>
          </w:p>
        </w:tc>
        <w:tc>
          <w:tcPr>
            <w:tcW w:w="2228" w:type="dxa"/>
            <w:shd w:val="clear" w:color="auto" w:fill="E6EDD4"/>
          </w:tcPr>
          <w:p>
            <w:pPr>
              <w:pStyle w:val="TableParagraph"/>
              <w:ind w:right="165"/>
              <w:jc w:val="right"/>
              <w:rPr>
                <w:sz w:val="24"/>
              </w:rPr>
            </w:pPr>
            <w:r>
              <w:rPr>
                <w:sz w:val="24"/>
              </w:rPr>
              <w:t>8.29</w:t>
            </w:r>
          </w:p>
        </w:tc>
      </w:tr>
      <w:tr>
        <w:trPr>
          <w:trHeight w:val="413" w:hRule="exact"/>
        </w:trPr>
        <w:tc>
          <w:tcPr>
            <w:tcW w:w="1951" w:type="dxa"/>
            <w:shd w:val="clear" w:color="auto" w:fill="E6EDD4"/>
          </w:tcPr>
          <w:p>
            <w:pPr/>
          </w:p>
        </w:tc>
        <w:tc>
          <w:tcPr>
            <w:tcW w:w="2077" w:type="dxa"/>
            <w:tcBorders>
              <w:top w:val="single" w:sz="34" w:space="0" w:color="E6EDD4"/>
            </w:tcBorders>
          </w:tcPr>
          <w:p>
            <w:pPr>
              <w:pStyle w:val="TableParagraph"/>
              <w:spacing w:line="232" w:lineRule="exact"/>
              <w:ind w:left="167"/>
              <w:rPr>
                <w:sz w:val="24"/>
              </w:rPr>
            </w:pPr>
            <w:r>
              <w:rPr>
                <w:sz w:val="24"/>
              </w:rPr>
              <w:t>MASCULINO</w:t>
            </w:r>
          </w:p>
        </w:tc>
        <w:tc>
          <w:tcPr>
            <w:tcW w:w="1056" w:type="dxa"/>
            <w:tcBorders>
              <w:top w:val="single" w:sz="34" w:space="0" w:color="E6EDD4"/>
            </w:tcBorders>
          </w:tcPr>
          <w:p>
            <w:pPr>
              <w:pStyle w:val="TableParagraph"/>
              <w:spacing w:line="232" w:lineRule="exact"/>
              <w:ind w:left="482"/>
              <w:rPr>
                <w:sz w:val="24"/>
              </w:rPr>
            </w:pPr>
            <w:r>
              <w:rPr>
                <w:sz w:val="24"/>
              </w:rPr>
              <w:t>35</w:t>
            </w:r>
          </w:p>
        </w:tc>
        <w:tc>
          <w:tcPr>
            <w:tcW w:w="1500" w:type="dxa"/>
            <w:tcBorders>
              <w:top w:val="single" w:sz="34" w:space="0" w:color="E6EDD4"/>
            </w:tcBorders>
          </w:tcPr>
          <w:p>
            <w:pPr>
              <w:pStyle w:val="TableParagraph"/>
              <w:spacing w:line="232" w:lineRule="exact"/>
              <w:ind w:right="231"/>
              <w:jc w:val="right"/>
              <w:rPr>
                <w:sz w:val="24"/>
              </w:rPr>
            </w:pPr>
            <w:r>
              <w:rPr>
                <w:sz w:val="24"/>
              </w:rPr>
              <w:t>83.09</w:t>
            </w:r>
          </w:p>
        </w:tc>
        <w:tc>
          <w:tcPr>
            <w:tcW w:w="2228" w:type="dxa"/>
            <w:tcBorders>
              <w:top w:val="single" w:sz="34" w:space="0" w:color="E6EDD4"/>
            </w:tcBorders>
          </w:tcPr>
          <w:p>
            <w:pPr>
              <w:pStyle w:val="TableParagraph"/>
              <w:spacing w:line="232" w:lineRule="exact"/>
              <w:ind w:right="165"/>
              <w:jc w:val="right"/>
              <w:rPr>
                <w:sz w:val="24"/>
              </w:rPr>
            </w:pPr>
            <w:r>
              <w:rPr>
                <w:sz w:val="24"/>
              </w:rPr>
              <w:t>6.03</w:t>
            </w:r>
          </w:p>
        </w:tc>
      </w:tr>
      <w:tr>
        <w:trPr>
          <w:trHeight w:val="499" w:hRule="exact"/>
        </w:trPr>
        <w:tc>
          <w:tcPr>
            <w:tcW w:w="1951" w:type="dxa"/>
            <w:shd w:val="clear" w:color="auto" w:fill="E6EDD4"/>
          </w:tcPr>
          <w:p>
            <w:pPr>
              <w:pStyle w:val="TableParagraph"/>
              <w:ind w:left="168" w:right="129"/>
              <w:rPr>
                <w:b/>
                <w:sz w:val="24"/>
              </w:rPr>
            </w:pPr>
            <w:r>
              <w:rPr>
                <w:b/>
                <w:sz w:val="24"/>
              </w:rPr>
              <w:t>AB/PM</w:t>
            </w:r>
          </w:p>
        </w:tc>
        <w:tc>
          <w:tcPr>
            <w:tcW w:w="2077" w:type="dxa"/>
            <w:shd w:val="clear" w:color="auto" w:fill="E6EDD4"/>
          </w:tcPr>
          <w:p>
            <w:pPr>
              <w:pStyle w:val="TableParagraph"/>
              <w:ind w:left="167"/>
              <w:rPr>
                <w:sz w:val="24"/>
              </w:rPr>
            </w:pPr>
            <w:r>
              <w:rPr>
                <w:sz w:val="24"/>
              </w:rPr>
              <w:t>FEMENINO</w:t>
            </w:r>
          </w:p>
        </w:tc>
        <w:tc>
          <w:tcPr>
            <w:tcW w:w="1056" w:type="dxa"/>
            <w:shd w:val="clear" w:color="auto" w:fill="E6EDD4"/>
          </w:tcPr>
          <w:p>
            <w:pPr>
              <w:pStyle w:val="TableParagraph"/>
              <w:ind w:left="482"/>
              <w:rPr>
                <w:sz w:val="24"/>
              </w:rPr>
            </w:pPr>
            <w:r>
              <w:rPr>
                <w:sz w:val="24"/>
              </w:rPr>
              <w:t>33</w:t>
            </w:r>
          </w:p>
        </w:tc>
        <w:tc>
          <w:tcPr>
            <w:tcW w:w="1500" w:type="dxa"/>
            <w:shd w:val="clear" w:color="auto" w:fill="E6EDD4"/>
          </w:tcPr>
          <w:p>
            <w:pPr>
              <w:pStyle w:val="TableParagraph"/>
              <w:ind w:right="231"/>
              <w:jc w:val="right"/>
              <w:rPr>
                <w:sz w:val="24"/>
              </w:rPr>
            </w:pPr>
            <w:r>
              <w:rPr>
                <w:sz w:val="24"/>
              </w:rPr>
              <w:t>72.79</w:t>
            </w:r>
          </w:p>
        </w:tc>
        <w:tc>
          <w:tcPr>
            <w:tcW w:w="2228" w:type="dxa"/>
            <w:shd w:val="clear" w:color="auto" w:fill="E6EDD4"/>
          </w:tcPr>
          <w:p>
            <w:pPr>
              <w:pStyle w:val="TableParagraph"/>
              <w:ind w:right="165"/>
              <w:jc w:val="right"/>
              <w:rPr>
                <w:sz w:val="24"/>
              </w:rPr>
            </w:pPr>
            <w:r>
              <w:rPr>
                <w:sz w:val="24"/>
              </w:rPr>
              <w:t>4.66</w:t>
            </w:r>
          </w:p>
        </w:tc>
      </w:tr>
      <w:tr>
        <w:trPr>
          <w:trHeight w:val="413" w:hRule="exact"/>
        </w:trPr>
        <w:tc>
          <w:tcPr>
            <w:tcW w:w="1951" w:type="dxa"/>
            <w:shd w:val="clear" w:color="auto" w:fill="E6EDD4"/>
          </w:tcPr>
          <w:p>
            <w:pPr/>
          </w:p>
        </w:tc>
        <w:tc>
          <w:tcPr>
            <w:tcW w:w="2077" w:type="dxa"/>
            <w:tcBorders>
              <w:top w:val="single" w:sz="34" w:space="0" w:color="E6EDD4"/>
            </w:tcBorders>
          </w:tcPr>
          <w:p>
            <w:pPr>
              <w:pStyle w:val="TableParagraph"/>
              <w:spacing w:line="232" w:lineRule="exact"/>
              <w:ind w:left="167"/>
              <w:rPr>
                <w:sz w:val="24"/>
              </w:rPr>
            </w:pPr>
            <w:r>
              <w:rPr>
                <w:sz w:val="24"/>
              </w:rPr>
              <w:t>MASCULINO</w:t>
            </w:r>
          </w:p>
        </w:tc>
        <w:tc>
          <w:tcPr>
            <w:tcW w:w="1056" w:type="dxa"/>
            <w:tcBorders>
              <w:top w:val="single" w:sz="34" w:space="0" w:color="E6EDD4"/>
            </w:tcBorders>
          </w:tcPr>
          <w:p>
            <w:pPr>
              <w:pStyle w:val="TableParagraph"/>
              <w:spacing w:line="232" w:lineRule="exact"/>
              <w:ind w:left="482"/>
              <w:rPr>
                <w:sz w:val="24"/>
              </w:rPr>
            </w:pPr>
            <w:r>
              <w:rPr>
                <w:sz w:val="24"/>
              </w:rPr>
              <w:t>35</w:t>
            </w:r>
          </w:p>
        </w:tc>
        <w:tc>
          <w:tcPr>
            <w:tcW w:w="1500" w:type="dxa"/>
            <w:tcBorders>
              <w:top w:val="single" w:sz="34" w:space="0" w:color="E6EDD4"/>
            </w:tcBorders>
          </w:tcPr>
          <w:p>
            <w:pPr>
              <w:pStyle w:val="TableParagraph"/>
              <w:spacing w:line="232" w:lineRule="exact"/>
              <w:ind w:right="231"/>
              <w:jc w:val="right"/>
              <w:rPr>
                <w:sz w:val="24"/>
              </w:rPr>
            </w:pPr>
            <w:r>
              <w:rPr>
                <w:sz w:val="24"/>
              </w:rPr>
              <w:t>72.29</w:t>
            </w:r>
          </w:p>
        </w:tc>
        <w:tc>
          <w:tcPr>
            <w:tcW w:w="2228" w:type="dxa"/>
            <w:tcBorders>
              <w:top w:val="single" w:sz="34" w:space="0" w:color="E6EDD4"/>
            </w:tcBorders>
          </w:tcPr>
          <w:p>
            <w:pPr>
              <w:pStyle w:val="TableParagraph"/>
              <w:spacing w:line="232" w:lineRule="exact"/>
              <w:ind w:right="165"/>
              <w:jc w:val="right"/>
              <w:rPr>
                <w:sz w:val="24"/>
              </w:rPr>
            </w:pPr>
            <w:r>
              <w:rPr>
                <w:sz w:val="24"/>
              </w:rPr>
              <w:t>4.52</w:t>
            </w:r>
          </w:p>
        </w:tc>
      </w:tr>
      <w:tr>
        <w:trPr>
          <w:trHeight w:val="415" w:hRule="exact"/>
        </w:trPr>
        <w:tc>
          <w:tcPr>
            <w:tcW w:w="1951" w:type="dxa"/>
            <w:shd w:val="clear" w:color="auto" w:fill="E6EDD4"/>
          </w:tcPr>
          <w:p>
            <w:pPr>
              <w:pStyle w:val="TableParagraph"/>
              <w:ind w:left="168" w:right="129"/>
              <w:rPr>
                <w:b/>
                <w:sz w:val="24"/>
              </w:rPr>
            </w:pPr>
            <w:r>
              <w:rPr>
                <w:b/>
                <w:sz w:val="24"/>
              </w:rPr>
              <w:t>PP/FH</w:t>
            </w:r>
          </w:p>
        </w:tc>
        <w:tc>
          <w:tcPr>
            <w:tcW w:w="2077" w:type="dxa"/>
            <w:shd w:val="clear" w:color="auto" w:fill="E6EDD4"/>
          </w:tcPr>
          <w:p>
            <w:pPr>
              <w:pStyle w:val="TableParagraph"/>
              <w:ind w:left="167"/>
              <w:rPr>
                <w:sz w:val="24"/>
              </w:rPr>
            </w:pPr>
            <w:r>
              <w:rPr>
                <w:sz w:val="24"/>
              </w:rPr>
              <w:t>FEMENINO</w:t>
            </w:r>
          </w:p>
        </w:tc>
        <w:tc>
          <w:tcPr>
            <w:tcW w:w="1056" w:type="dxa"/>
            <w:shd w:val="clear" w:color="auto" w:fill="E6EDD4"/>
          </w:tcPr>
          <w:p>
            <w:pPr>
              <w:pStyle w:val="TableParagraph"/>
              <w:ind w:left="482"/>
              <w:rPr>
                <w:sz w:val="24"/>
              </w:rPr>
            </w:pPr>
            <w:r>
              <w:rPr>
                <w:sz w:val="24"/>
              </w:rPr>
              <w:t>33</w:t>
            </w:r>
          </w:p>
        </w:tc>
        <w:tc>
          <w:tcPr>
            <w:tcW w:w="1500" w:type="dxa"/>
            <w:shd w:val="clear" w:color="auto" w:fill="E6EDD4"/>
          </w:tcPr>
          <w:p>
            <w:pPr>
              <w:pStyle w:val="TableParagraph"/>
              <w:ind w:right="231"/>
              <w:jc w:val="right"/>
              <w:rPr>
                <w:sz w:val="24"/>
              </w:rPr>
            </w:pPr>
            <w:r>
              <w:rPr>
                <w:sz w:val="24"/>
              </w:rPr>
              <w:t>.94</w:t>
            </w:r>
          </w:p>
        </w:tc>
        <w:tc>
          <w:tcPr>
            <w:tcW w:w="2228" w:type="dxa"/>
            <w:shd w:val="clear" w:color="auto" w:fill="E6EDD4"/>
          </w:tcPr>
          <w:p>
            <w:pPr>
              <w:pStyle w:val="TableParagraph"/>
              <w:ind w:right="165"/>
              <w:jc w:val="right"/>
              <w:rPr>
                <w:sz w:val="24"/>
              </w:rPr>
            </w:pPr>
            <w:r>
              <w:rPr>
                <w:sz w:val="24"/>
              </w:rPr>
              <w:t>3.58</w:t>
            </w:r>
          </w:p>
        </w:tc>
      </w:tr>
      <w:tr>
        <w:trPr>
          <w:trHeight w:val="413" w:hRule="exact"/>
        </w:trPr>
        <w:tc>
          <w:tcPr>
            <w:tcW w:w="1951" w:type="dxa"/>
            <w:shd w:val="clear" w:color="auto" w:fill="E6EDD4"/>
          </w:tcPr>
          <w:p>
            <w:pPr/>
          </w:p>
        </w:tc>
        <w:tc>
          <w:tcPr>
            <w:tcW w:w="2077" w:type="dxa"/>
          </w:tcPr>
          <w:p>
            <w:pPr>
              <w:pStyle w:val="TableParagraph"/>
              <w:ind w:left="167"/>
              <w:rPr>
                <w:sz w:val="24"/>
              </w:rPr>
            </w:pPr>
            <w:r>
              <w:rPr>
                <w:sz w:val="24"/>
              </w:rPr>
              <w:t>MASCULINO</w:t>
            </w:r>
          </w:p>
        </w:tc>
        <w:tc>
          <w:tcPr>
            <w:tcW w:w="1056" w:type="dxa"/>
          </w:tcPr>
          <w:p>
            <w:pPr>
              <w:pStyle w:val="TableParagraph"/>
              <w:ind w:left="482"/>
              <w:rPr>
                <w:sz w:val="24"/>
              </w:rPr>
            </w:pPr>
            <w:r>
              <w:rPr>
                <w:sz w:val="24"/>
              </w:rPr>
              <w:t>35</w:t>
            </w:r>
          </w:p>
        </w:tc>
        <w:tc>
          <w:tcPr>
            <w:tcW w:w="1500" w:type="dxa"/>
          </w:tcPr>
          <w:p>
            <w:pPr>
              <w:pStyle w:val="TableParagraph"/>
              <w:ind w:right="231"/>
              <w:jc w:val="right"/>
              <w:rPr>
                <w:sz w:val="24"/>
              </w:rPr>
            </w:pPr>
            <w:r>
              <w:rPr>
                <w:sz w:val="24"/>
              </w:rPr>
              <w:t>1.03</w:t>
            </w:r>
          </w:p>
        </w:tc>
        <w:tc>
          <w:tcPr>
            <w:tcW w:w="2228" w:type="dxa"/>
          </w:tcPr>
          <w:p>
            <w:pPr>
              <w:pStyle w:val="TableParagraph"/>
              <w:ind w:right="165"/>
              <w:jc w:val="right"/>
              <w:rPr>
                <w:sz w:val="24"/>
              </w:rPr>
            </w:pPr>
            <w:r>
              <w:rPr>
                <w:sz w:val="24"/>
              </w:rPr>
              <w:t>2.66</w:t>
            </w:r>
          </w:p>
        </w:tc>
      </w:tr>
      <w:tr>
        <w:trPr>
          <w:trHeight w:val="415" w:hRule="exact"/>
        </w:trPr>
        <w:tc>
          <w:tcPr>
            <w:tcW w:w="1951" w:type="dxa"/>
            <w:shd w:val="clear" w:color="auto" w:fill="E6EDD4"/>
          </w:tcPr>
          <w:p>
            <w:pPr>
              <w:pStyle w:val="TableParagraph"/>
              <w:ind w:left="168" w:right="129"/>
              <w:rPr>
                <w:b/>
                <w:sz w:val="24"/>
              </w:rPr>
            </w:pPr>
            <w:r>
              <w:rPr>
                <w:b/>
                <w:sz w:val="24"/>
              </w:rPr>
              <w:t>ODI</w:t>
            </w:r>
          </w:p>
        </w:tc>
        <w:tc>
          <w:tcPr>
            <w:tcW w:w="2077" w:type="dxa"/>
            <w:shd w:val="clear" w:color="auto" w:fill="E6EDD4"/>
          </w:tcPr>
          <w:p>
            <w:pPr>
              <w:pStyle w:val="TableParagraph"/>
              <w:ind w:left="167"/>
              <w:rPr>
                <w:sz w:val="24"/>
              </w:rPr>
            </w:pPr>
            <w:r>
              <w:rPr>
                <w:sz w:val="24"/>
              </w:rPr>
              <w:t>FEMENINO</w:t>
            </w:r>
          </w:p>
        </w:tc>
        <w:tc>
          <w:tcPr>
            <w:tcW w:w="1056" w:type="dxa"/>
            <w:shd w:val="clear" w:color="auto" w:fill="E6EDD4"/>
          </w:tcPr>
          <w:p>
            <w:pPr>
              <w:pStyle w:val="TableParagraph"/>
              <w:ind w:left="482"/>
              <w:rPr>
                <w:sz w:val="24"/>
              </w:rPr>
            </w:pPr>
            <w:r>
              <w:rPr>
                <w:sz w:val="24"/>
              </w:rPr>
              <w:t>33</w:t>
            </w:r>
          </w:p>
        </w:tc>
        <w:tc>
          <w:tcPr>
            <w:tcW w:w="1500" w:type="dxa"/>
            <w:shd w:val="clear" w:color="auto" w:fill="E6EDD4"/>
          </w:tcPr>
          <w:p>
            <w:pPr>
              <w:pStyle w:val="TableParagraph"/>
              <w:ind w:right="231"/>
              <w:jc w:val="right"/>
              <w:rPr>
                <w:sz w:val="24"/>
              </w:rPr>
            </w:pPr>
            <w:r>
              <w:rPr>
                <w:sz w:val="24"/>
              </w:rPr>
              <w:t>73.76</w:t>
            </w:r>
          </w:p>
        </w:tc>
        <w:tc>
          <w:tcPr>
            <w:tcW w:w="2228" w:type="dxa"/>
            <w:shd w:val="clear" w:color="auto" w:fill="E6EDD4"/>
          </w:tcPr>
          <w:p>
            <w:pPr>
              <w:pStyle w:val="TableParagraph"/>
              <w:ind w:right="165"/>
              <w:jc w:val="right"/>
              <w:rPr>
                <w:sz w:val="24"/>
              </w:rPr>
            </w:pPr>
            <w:r>
              <w:rPr>
                <w:sz w:val="24"/>
              </w:rPr>
              <w:t>4.88</w:t>
            </w:r>
          </w:p>
        </w:tc>
      </w:tr>
      <w:tr>
        <w:trPr>
          <w:trHeight w:val="427" w:hRule="exact"/>
        </w:trPr>
        <w:tc>
          <w:tcPr>
            <w:tcW w:w="1951" w:type="dxa"/>
            <w:tcBorders>
              <w:bottom w:val="single" w:sz="8" w:space="0" w:color="9BBA58"/>
            </w:tcBorders>
            <w:shd w:val="clear" w:color="auto" w:fill="E6EDD4"/>
          </w:tcPr>
          <w:p>
            <w:pPr/>
          </w:p>
        </w:tc>
        <w:tc>
          <w:tcPr>
            <w:tcW w:w="2077" w:type="dxa"/>
            <w:tcBorders>
              <w:bottom w:val="single" w:sz="8" w:space="0" w:color="9BBA58"/>
            </w:tcBorders>
          </w:tcPr>
          <w:p>
            <w:pPr>
              <w:pStyle w:val="TableParagraph"/>
              <w:ind w:left="167"/>
              <w:rPr>
                <w:sz w:val="24"/>
              </w:rPr>
            </w:pPr>
            <w:r>
              <w:rPr>
                <w:sz w:val="24"/>
              </w:rPr>
              <w:t>MASCULINO</w:t>
            </w:r>
          </w:p>
        </w:tc>
        <w:tc>
          <w:tcPr>
            <w:tcW w:w="1056" w:type="dxa"/>
            <w:tcBorders>
              <w:bottom w:val="single" w:sz="8" w:space="0" w:color="9BBA58"/>
            </w:tcBorders>
          </w:tcPr>
          <w:p>
            <w:pPr>
              <w:pStyle w:val="TableParagraph"/>
              <w:ind w:left="482"/>
              <w:rPr>
                <w:sz w:val="24"/>
              </w:rPr>
            </w:pPr>
            <w:r>
              <w:rPr>
                <w:sz w:val="24"/>
              </w:rPr>
              <w:t>35</w:t>
            </w:r>
          </w:p>
        </w:tc>
        <w:tc>
          <w:tcPr>
            <w:tcW w:w="1500" w:type="dxa"/>
            <w:tcBorders>
              <w:bottom w:val="single" w:sz="8" w:space="0" w:color="9BBA58"/>
            </w:tcBorders>
          </w:tcPr>
          <w:p>
            <w:pPr>
              <w:pStyle w:val="TableParagraph"/>
              <w:ind w:right="231"/>
              <w:jc w:val="right"/>
              <w:rPr>
                <w:sz w:val="24"/>
              </w:rPr>
            </w:pPr>
            <w:r>
              <w:rPr>
                <w:sz w:val="24"/>
              </w:rPr>
              <w:t>73.20</w:t>
            </w:r>
          </w:p>
        </w:tc>
        <w:tc>
          <w:tcPr>
            <w:tcW w:w="2228" w:type="dxa"/>
            <w:tcBorders>
              <w:bottom w:val="single" w:sz="8" w:space="0" w:color="9BBA58"/>
            </w:tcBorders>
          </w:tcPr>
          <w:p>
            <w:pPr>
              <w:pStyle w:val="TableParagraph"/>
              <w:ind w:right="165"/>
              <w:jc w:val="right"/>
              <w:rPr>
                <w:sz w:val="24"/>
              </w:rPr>
            </w:pPr>
            <w:r>
              <w:rPr>
                <w:sz w:val="24"/>
              </w:rPr>
              <w:t>5.02</w:t>
            </w:r>
          </w:p>
        </w:tc>
      </w:tr>
    </w:tbl>
    <w:p>
      <w:pPr>
        <w:spacing w:line="201" w:lineRule="exact" w:before="0"/>
        <w:ind w:left="0" w:right="857" w:firstLine="0"/>
        <w:jc w:val="right"/>
        <w:rPr>
          <w:sz w:val="18"/>
        </w:rPr>
      </w:pPr>
      <w:r>
        <w:rPr>
          <w:sz w:val="18"/>
        </w:rPr>
        <w:t>Fuente: directa</w:t>
      </w:r>
    </w:p>
    <w:p>
      <w:pPr>
        <w:pStyle w:val="BodyText"/>
        <w:spacing w:before="3"/>
        <w:rPr>
          <w:sz w:val="20"/>
        </w:rPr>
      </w:pPr>
    </w:p>
    <w:p>
      <w:pPr>
        <w:spacing w:before="70"/>
        <w:ind w:left="3171" w:right="865" w:firstLine="0"/>
        <w:jc w:val="left"/>
        <w:rPr>
          <w:b/>
          <w:sz w:val="24"/>
        </w:rPr>
      </w:pPr>
      <w:r>
        <w:rPr>
          <w:b/>
          <w:sz w:val="24"/>
        </w:rPr>
        <w:t>Cuadro IX. Prueba t para grupo II.</w:t>
      </w:r>
    </w:p>
    <w:p>
      <w:pPr>
        <w:pStyle w:val="BodyText"/>
        <w:spacing w:before="6" w:after="1"/>
        <w:rPr>
          <w:b/>
          <w:sz w:val="29"/>
        </w:rPr>
      </w:pPr>
    </w:p>
    <w:tbl>
      <w:tblPr>
        <w:tblW w:w="0" w:type="auto"/>
        <w:jc w:val="left"/>
        <w:tblInd w:w="4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360"/>
        <w:gridCol w:w="2528"/>
        <w:gridCol w:w="2097"/>
      </w:tblGrid>
      <w:tr>
        <w:trPr>
          <w:trHeight w:val="434" w:hRule="exact"/>
        </w:trPr>
        <w:tc>
          <w:tcPr>
            <w:tcW w:w="4360" w:type="dxa"/>
            <w:tcBorders>
              <w:top w:val="single" w:sz="8" w:space="0" w:color="9BBA58"/>
              <w:bottom w:val="single" w:sz="8" w:space="0" w:color="9BBA58"/>
            </w:tcBorders>
          </w:tcPr>
          <w:p>
            <w:pPr>
              <w:pStyle w:val="TableParagraph"/>
              <w:ind w:left="108"/>
              <w:rPr>
                <w:b/>
                <w:sz w:val="24"/>
              </w:rPr>
            </w:pPr>
            <w:r>
              <w:rPr>
                <w:b/>
                <w:sz w:val="24"/>
              </w:rPr>
              <w:t>Parámetros Cefalométricos</w:t>
            </w:r>
          </w:p>
        </w:tc>
        <w:tc>
          <w:tcPr>
            <w:tcW w:w="2528" w:type="dxa"/>
            <w:tcBorders>
              <w:top w:val="single" w:sz="8" w:space="0" w:color="9BBA58"/>
              <w:bottom w:val="single" w:sz="8" w:space="0" w:color="9BBA58"/>
            </w:tcBorders>
          </w:tcPr>
          <w:p>
            <w:pPr>
              <w:pStyle w:val="TableParagraph"/>
              <w:ind w:left="305"/>
              <w:jc w:val="center"/>
              <w:rPr>
                <w:b/>
                <w:sz w:val="24"/>
              </w:rPr>
            </w:pPr>
            <w:r>
              <w:rPr>
                <w:b/>
                <w:sz w:val="24"/>
              </w:rPr>
              <w:t>F</w:t>
            </w:r>
          </w:p>
        </w:tc>
        <w:tc>
          <w:tcPr>
            <w:tcW w:w="2097" w:type="dxa"/>
            <w:tcBorders>
              <w:top w:val="single" w:sz="8" w:space="0" w:color="9BBA58"/>
              <w:bottom w:val="single" w:sz="8" w:space="0" w:color="9BBA58"/>
            </w:tcBorders>
          </w:tcPr>
          <w:p>
            <w:pPr>
              <w:pStyle w:val="TableParagraph"/>
              <w:ind w:left="809"/>
              <w:rPr>
                <w:b/>
                <w:sz w:val="24"/>
              </w:rPr>
            </w:pPr>
            <w:r>
              <w:rPr>
                <w:b/>
                <w:sz w:val="24"/>
              </w:rPr>
              <w:t>Sig.</w:t>
            </w:r>
          </w:p>
        </w:tc>
      </w:tr>
      <w:tr>
        <w:trPr>
          <w:trHeight w:val="422" w:hRule="exact"/>
        </w:trPr>
        <w:tc>
          <w:tcPr>
            <w:tcW w:w="4360" w:type="dxa"/>
            <w:tcBorders>
              <w:top w:val="single" w:sz="8" w:space="0" w:color="9BBA58"/>
            </w:tcBorders>
            <w:shd w:val="clear" w:color="auto" w:fill="E6EDD4"/>
          </w:tcPr>
          <w:p>
            <w:pPr>
              <w:pStyle w:val="TableParagraph"/>
              <w:ind w:left="168"/>
              <w:rPr>
                <w:sz w:val="24"/>
              </w:rPr>
            </w:pPr>
            <w:r>
              <w:rPr>
                <w:sz w:val="24"/>
              </w:rPr>
              <w:t>PF/FH</w:t>
            </w:r>
          </w:p>
        </w:tc>
        <w:tc>
          <w:tcPr>
            <w:tcW w:w="2528" w:type="dxa"/>
            <w:tcBorders>
              <w:top w:val="single" w:sz="8" w:space="0" w:color="9BBA58"/>
            </w:tcBorders>
            <w:shd w:val="clear" w:color="auto" w:fill="E6EDD4"/>
          </w:tcPr>
          <w:p>
            <w:pPr>
              <w:pStyle w:val="TableParagraph"/>
              <w:ind w:left="1109" w:right="775"/>
              <w:jc w:val="center"/>
              <w:rPr>
                <w:sz w:val="24"/>
              </w:rPr>
            </w:pPr>
            <w:r>
              <w:rPr>
                <w:sz w:val="24"/>
              </w:rPr>
              <w:t>.611</w:t>
            </w:r>
          </w:p>
        </w:tc>
        <w:tc>
          <w:tcPr>
            <w:tcW w:w="2097" w:type="dxa"/>
            <w:tcBorders>
              <w:top w:val="single" w:sz="8" w:space="0" w:color="9BBA58"/>
            </w:tcBorders>
            <w:shd w:val="clear" w:color="auto" w:fill="E6EDD4"/>
          </w:tcPr>
          <w:p>
            <w:pPr>
              <w:pStyle w:val="TableParagraph"/>
              <w:ind w:left="797"/>
              <w:rPr>
                <w:sz w:val="24"/>
              </w:rPr>
            </w:pPr>
            <w:r>
              <w:rPr>
                <w:sz w:val="24"/>
              </w:rPr>
              <w:t>.437</w:t>
            </w:r>
          </w:p>
        </w:tc>
      </w:tr>
      <w:tr>
        <w:trPr>
          <w:trHeight w:val="440" w:hRule="exact"/>
        </w:trPr>
        <w:tc>
          <w:tcPr>
            <w:tcW w:w="4360" w:type="dxa"/>
          </w:tcPr>
          <w:p>
            <w:pPr>
              <w:pStyle w:val="TableParagraph"/>
              <w:ind w:left="168"/>
              <w:rPr>
                <w:sz w:val="24"/>
              </w:rPr>
            </w:pPr>
            <w:r>
              <w:rPr>
                <w:sz w:val="24"/>
              </w:rPr>
              <w:t>AB/PF</w:t>
            </w:r>
          </w:p>
        </w:tc>
        <w:tc>
          <w:tcPr>
            <w:tcW w:w="2528" w:type="dxa"/>
          </w:tcPr>
          <w:p>
            <w:pPr>
              <w:pStyle w:val="TableParagraph"/>
              <w:ind w:left="1109" w:right="775"/>
              <w:jc w:val="center"/>
              <w:rPr>
                <w:sz w:val="24"/>
              </w:rPr>
            </w:pPr>
            <w:r>
              <w:rPr>
                <w:sz w:val="24"/>
              </w:rPr>
              <w:t>.426</w:t>
            </w:r>
          </w:p>
        </w:tc>
        <w:tc>
          <w:tcPr>
            <w:tcW w:w="2097" w:type="dxa"/>
          </w:tcPr>
          <w:p>
            <w:pPr>
              <w:pStyle w:val="TableParagraph"/>
              <w:ind w:left="797"/>
              <w:rPr>
                <w:sz w:val="24"/>
              </w:rPr>
            </w:pPr>
            <w:r>
              <w:rPr>
                <w:sz w:val="24"/>
              </w:rPr>
              <w:t>.516</w:t>
            </w:r>
          </w:p>
        </w:tc>
      </w:tr>
      <w:tr>
        <w:trPr>
          <w:trHeight w:val="492" w:hRule="exact"/>
        </w:trPr>
        <w:tc>
          <w:tcPr>
            <w:tcW w:w="4360" w:type="dxa"/>
            <w:shd w:val="clear" w:color="auto" w:fill="E6EDD4"/>
          </w:tcPr>
          <w:p>
            <w:pPr>
              <w:pStyle w:val="TableParagraph"/>
              <w:ind w:left="168"/>
              <w:rPr>
                <w:sz w:val="24"/>
              </w:rPr>
            </w:pPr>
            <w:r>
              <w:rPr>
                <w:sz w:val="24"/>
              </w:rPr>
              <w:t>PP/FH</w:t>
            </w:r>
          </w:p>
        </w:tc>
        <w:tc>
          <w:tcPr>
            <w:tcW w:w="2528" w:type="dxa"/>
            <w:shd w:val="clear" w:color="auto" w:fill="E6EDD4"/>
          </w:tcPr>
          <w:p>
            <w:pPr>
              <w:pStyle w:val="TableParagraph"/>
              <w:ind w:left="1109" w:right="777"/>
              <w:jc w:val="center"/>
              <w:rPr>
                <w:sz w:val="24"/>
              </w:rPr>
            </w:pPr>
            <w:r>
              <w:rPr>
                <w:sz w:val="24"/>
              </w:rPr>
              <w:t>3.158</w:t>
            </w:r>
          </w:p>
        </w:tc>
        <w:tc>
          <w:tcPr>
            <w:tcW w:w="2097" w:type="dxa"/>
            <w:shd w:val="clear" w:color="auto" w:fill="E6EDD4"/>
          </w:tcPr>
          <w:p>
            <w:pPr>
              <w:pStyle w:val="TableParagraph"/>
              <w:ind w:left="797"/>
              <w:rPr>
                <w:sz w:val="24"/>
              </w:rPr>
            </w:pPr>
            <w:r>
              <w:rPr>
                <w:sz w:val="24"/>
              </w:rPr>
              <w:t>.080</w:t>
            </w:r>
          </w:p>
        </w:tc>
      </w:tr>
      <w:tr>
        <w:trPr>
          <w:trHeight w:val="413" w:hRule="exact"/>
        </w:trPr>
        <w:tc>
          <w:tcPr>
            <w:tcW w:w="4360" w:type="dxa"/>
            <w:tcBorders>
              <w:top w:val="single" w:sz="31" w:space="0" w:color="E6EDD4"/>
            </w:tcBorders>
          </w:tcPr>
          <w:p>
            <w:pPr>
              <w:pStyle w:val="TableParagraph"/>
              <w:spacing w:line="236" w:lineRule="exact"/>
              <w:ind w:left="168"/>
              <w:rPr>
                <w:sz w:val="24"/>
              </w:rPr>
            </w:pPr>
            <w:r>
              <w:rPr>
                <w:sz w:val="24"/>
              </w:rPr>
              <w:t>APDI</w:t>
            </w:r>
          </w:p>
        </w:tc>
        <w:tc>
          <w:tcPr>
            <w:tcW w:w="2528" w:type="dxa"/>
            <w:tcBorders>
              <w:top w:val="single" w:sz="31" w:space="0" w:color="E6EDD4"/>
            </w:tcBorders>
          </w:tcPr>
          <w:p>
            <w:pPr>
              <w:pStyle w:val="TableParagraph"/>
              <w:spacing w:line="236" w:lineRule="exact"/>
              <w:ind w:left="1109" w:right="777"/>
              <w:jc w:val="center"/>
              <w:rPr>
                <w:sz w:val="24"/>
              </w:rPr>
            </w:pPr>
            <w:r>
              <w:rPr>
                <w:sz w:val="24"/>
              </w:rPr>
              <w:t>3.603</w:t>
            </w:r>
          </w:p>
        </w:tc>
        <w:tc>
          <w:tcPr>
            <w:tcW w:w="2097" w:type="dxa"/>
            <w:tcBorders>
              <w:top w:val="single" w:sz="31" w:space="0" w:color="E6EDD4"/>
            </w:tcBorders>
          </w:tcPr>
          <w:p>
            <w:pPr>
              <w:pStyle w:val="TableParagraph"/>
              <w:spacing w:line="236" w:lineRule="exact"/>
              <w:ind w:left="797"/>
              <w:rPr>
                <w:sz w:val="24"/>
              </w:rPr>
            </w:pPr>
            <w:r>
              <w:rPr>
                <w:sz w:val="24"/>
              </w:rPr>
              <w:t>.062</w:t>
            </w:r>
          </w:p>
        </w:tc>
      </w:tr>
      <w:tr>
        <w:trPr>
          <w:trHeight w:val="415" w:hRule="exact"/>
        </w:trPr>
        <w:tc>
          <w:tcPr>
            <w:tcW w:w="4360" w:type="dxa"/>
            <w:shd w:val="clear" w:color="auto" w:fill="E6EDD4"/>
          </w:tcPr>
          <w:p>
            <w:pPr>
              <w:pStyle w:val="TableParagraph"/>
              <w:ind w:left="168"/>
              <w:rPr>
                <w:sz w:val="24"/>
              </w:rPr>
            </w:pPr>
            <w:r>
              <w:rPr>
                <w:sz w:val="24"/>
              </w:rPr>
              <w:t>AB/PM</w:t>
            </w:r>
          </w:p>
        </w:tc>
        <w:tc>
          <w:tcPr>
            <w:tcW w:w="2528" w:type="dxa"/>
            <w:shd w:val="clear" w:color="auto" w:fill="E6EDD4"/>
          </w:tcPr>
          <w:p>
            <w:pPr>
              <w:pStyle w:val="TableParagraph"/>
              <w:ind w:left="1109" w:right="775"/>
              <w:jc w:val="center"/>
              <w:rPr>
                <w:sz w:val="24"/>
              </w:rPr>
            </w:pPr>
            <w:r>
              <w:rPr>
                <w:sz w:val="24"/>
              </w:rPr>
              <w:t>.029</w:t>
            </w:r>
          </w:p>
        </w:tc>
        <w:tc>
          <w:tcPr>
            <w:tcW w:w="2097" w:type="dxa"/>
            <w:shd w:val="clear" w:color="auto" w:fill="E6EDD4"/>
          </w:tcPr>
          <w:p>
            <w:pPr>
              <w:pStyle w:val="TableParagraph"/>
              <w:ind w:left="797"/>
              <w:rPr>
                <w:sz w:val="24"/>
              </w:rPr>
            </w:pPr>
            <w:r>
              <w:rPr>
                <w:sz w:val="24"/>
              </w:rPr>
              <w:t>.866</w:t>
            </w:r>
          </w:p>
        </w:tc>
      </w:tr>
      <w:tr>
        <w:trPr>
          <w:trHeight w:val="413" w:hRule="exact"/>
        </w:trPr>
        <w:tc>
          <w:tcPr>
            <w:tcW w:w="4360" w:type="dxa"/>
          </w:tcPr>
          <w:p>
            <w:pPr>
              <w:pStyle w:val="TableParagraph"/>
              <w:ind w:left="168"/>
              <w:rPr>
                <w:sz w:val="24"/>
              </w:rPr>
            </w:pPr>
            <w:r>
              <w:rPr>
                <w:sz w:val="24"/>
              </w:rPr>
              <w:t>PP/FH</w:t>
            </w:r>
          </w:p>
        </w:tc>
        <w:tc>
          <w:tcPr>
            <w:tcW w:w="2528" w:type="dxa"/>
          </w:tcPr>
          <w:p>
            <w:pPr>
              <w:pStyle w:val="TableParagraph"/>
              <w:ind w:left="1109" w:right="777"/>
              <w:jc w:val="center"/>
              <w:rPr>
                <w:sz w:val="24"/>
              </w:rPr>
            </w:pPr>
            <w:r>
              <w:rPr>
                <w:sz w:val="24"/>
              </w:rPr>
              <w:t>3.158</w:t>
            </w:r>
          </w:p>
        </w:tc>
        <w:tc>
          <w:tcPr>
            <w:tcW w:w="2097" w:type="dxa"/>
          </w:tcPr>
          <w:p>
            <w:pPr>
              <w:pStyle w:val="TableParagraph"/>
              <w:ind w:left="797"/>
              <w:rPr>
                <w:sz w:val="24"/>
              </w:rPr>
            </w:pPr>
            <w:r>
              <w:rPr>
                <w:sz w:val="24"/>
              </w:rPr>
              <w:t>.080</w:t>
            </w:r>
          </w:p>
        </w:tc>
      </w:tr>
      <w:tr>
        <w:trPr>
          <w:trHeight w:val="425" w:hRule="exact"/>
        </w:trPr>
        <w:tc>
          <w:tcPr>
            <w:tcW w:w="4360" w:type="dxa"/>
            <w:tcBorders>
              <w:bottom w:val="single" w:sz="8" w:space="0" w:color="9BBA58"/>
            </w:tcBorders>
            <w:shd w:val="clear" w:color="auto" w:fill="E6EDD4"/>
          </w:tcPr>
          <w:p>
            <w:pPr>
              <w:pStyle w:val="TableParagraph"/>
              <w:ind w:left="168"/>
              <w:rPr>
                <w:sz w:val="24"/>
              </w:rPr>
            </w:pPr>
            <w:r>
              <w:rPr>
                <w:sz w:val="24"/>
              </w:rPr>
              <w:t>ODI</w:t>
            </w:r>
          </w:p>
        </w:tc>
        <w:tc>
          <w:tcPr>
            <w:tcW w:w="2528" w:type="dxa"/>
            <w:tcBorders>
              <w:bottom w:val="single" w:sz="8" w:space="0" w:color="9BBA58"/>
            </w:tcBorders>
            <w:shd w:val="clear" w:color="auto" w:fill="E6EDD4"/>
          </w:tcPr>
          <w:p>
            <w:pPr>
              <w:pStyle w:val="TableParagraph"/>
              <w:ind w:left="1109" w:right="775"/>
              <w:jc w:val="center"/>
              <w:rPr>
                <w:sz w:val="24"/>
              </w:rPr>
            </w:pPr>
            <w:r>
              <w:rPr>
                <w:sz w:val="24"/>
              </w:rPr>
              <w:t>.004</w:t>
            </w:r>
          </w:p>
        </w:tc>
        <w:tc>
          <w:tcPr>
            <w:tcW w:w="2097" w:type="dxa"/>
            <w:tcBorders>
              <w:bottom w:val="single" w:sz="8" w:space="0" w:color="9BBA58"/>
            </w:tcBorders>
            <w:shd w:val="clear" w:color="auto" w:fill="E6EDD4"/>
          </w:tcPr>
          <w:p>
            <w:pPr>
              <w:pStyle w:val="TableParagraph"/>
              <w:ind w:left="797"/>
              <w:rPr>
                <w:sz w:val="24"/>
              </w:rPr>
            </w:pPr>
            <w:r>
              <w:rPr>
                <w:sz w:val="24"/>
              </w:rPr>
              <w:t>.951</w:t>
            </w:r>
          </w:p>
        </w:tc>
      </w:tr>
    </w:tbl>
    <w:p>
      <w:pPr>
        <w:spacing w:line="206" w:lineRule="exact" w:before="0"/>
        <w:ind w:left="0" w:right="857" w:firstLine="0"/>
        <w:jc w:val="right"/>
        <w:rPr>
          <w:sz w:val="18"/>
        </w:rPr>
      </w:pPr>
      <w:r>
        <w:rPr>
          <w:sz w:val="18"/>
        </w:rPr>
        <w:t>Fuente: directa</w:t>
      </w:r>
    </w:p>
    <w:p>
      <w:pPr>
        <w:spacing w:after="0" w:line="206" w:lineRule="exact"/>
        <w:jc w:val="right"/>
        <w:rPr>
          <w:sz w:val="18"/>
        </w:rPr>
        <w:sectPr>
          <w:footerReference w:type="default" r:id="rId391"/>
          <w:pgSz w:w="12240" w:h="15840"/>
          <w:pgMar w:footer="1003" w:header="596" w:top="1380" w:bottom="1200" w:left="900" w:right="840"/>
        </w:sectPr>
      </w:pPr>
    </w:p>
    <w:p>
      <w:pPr>
        <w:pStyle w:val="BodyText"/>
        <w:spacing w:before="5"/>
        <w:rPr>
          <w:sz w:val="21"/>
        </w:rPr>
      </w:pPr>
    </w:p>
    <w:p>
      <w:pPr>
        <w:pStyle w:val="Heading1"/>
        <w:numPr>
          <w:ilvl w:val="0"/>
          <w:numId w:val="19"/>
        </w:numPr>
        <w:tabs>
          <w:tab w:pos="4595" w:val="left" w:leader="none"/>
        </w:tabs>
        <w:spacing w:line="240" w:lineRule="auto" w:before="69" w:after="0"/>
        <w:ind w:left="4594" w:right="0" w:hanging="362"/>
        <w:jc w:val="left"/>
      </w:pPr>
      <w:bookmarkStart w:name="_TOC_250003" w:id="22"/>
      <w:bookmarkEnd w:id="22"/>
      <w:r>
        <w:rPr/>
        <w:t>DISCUSIÓN</w:t>
      </w:r>
    </w:p>
    <w:p>
      <w:pPr>
        <w:pStyle w:val="BodyText"/>
        <w:spacing w:before="4"/>
        <w:rPr>
          <w:b/>
          <w:sz w:val="29"/>
        </w:rPr>
      </w:pPr>
    </w:p>
    <w:p>
      <w:pPr>
        <w:pStyle w:val="BodyText"/>
        <w:spacing w:line="350" w:lineRule="auto" w:before="1"/>
        <w:ind w:left="518" w:right="858"/>
        <w:jc w:val="both"/>
        <w:rPr>
          <w:sz w:val="16"/>
        </w:rPr>
      </w:pPr>
      <w:r>
        <w:rPr/>
        <w:t>La radiografía cefalométrica es una de las herramientas más importantes de la ortodoncia clínica y de investigación; los valores cefalométricos estándar proveen guías útiles en el diagnóstico y plan de tratamiento. Sin embargo, muchos análisis cefalométricos fueron basados en Caucásicos y Europeos.</w:t>
      </w:r>
      <w:r>
        <w:rPr>
          <w:position w:val="11"/>
          <w:sz w:val="16"/>
        </w:rPr>
        <w:t>55</w:t>
      </w:r>
    </w:p>
    <w:p>
      <w:pPr>
        <w:pStyle w:val="BodyText"/>
        <w:spacing w:line="360" w:lineRule="auto" w:before="197"/>
        <w:ind w:left="518" w:right="855"/>
        <w:jc w:val="both"/>
      </w:pPr>
      <w:r>
        <w:rPr/>
        <w:t>Una fase diagnóstica incluye una evaluación del patrón esquelético y dentoalveolar así como de la estética facial. En medicina, un indicador de diagnóstico es utilizado para determinar la presencia o ausencia de un signo, una enfermedad o la probabilidad de ésta. Un indicador de diagnóstico, hace la diferencia entre dos condiciones. Por lo general, es raro que un solo factor produzca variaciones en el complejo dentofacial.</w:t>
      </w:r>
    </w:p>
    <w:p>
      <w:pPr>
        <w:pStyle w:val="BodyText"/>
        <w:spacing w:line="345" w:lineRule="auto" w:before="204"/>
        <w:ind w:left="518" w:right="856"/>
        <w:jc w:val="both"/>
        <w:rPr>
          <w:sz w:val="16"/>
        </w:rPr>
      </w:pPr>
      <w:r>
        <w:rPr/>
        <w:t>Los indicadores cefalométricos como el indicador de sobremordida (ODI) y el indicador de displasia anteroposterior (APDI), proporcionan información diagnóstica importante para clasificar el patrón esquelético de un individuo.</w:t>
      </w:r>
      <w:r>
        <w:rPr>
          <w:position w:val="11"/>
          <w:sz w:val="16"/>
        </w:rPr>
        <w:t>56</w:t>
      </w:r>
    </w:p>
    <w:p>
      <w:pPr>
        <w:pStyle w:val="BodyText"/>
        <w:spacing w:line="350" w:lineRule="auto" w:before="204"/>
        <w:ind w:left="518" w:right="855"/>
        <w:jc w:val="both"/>
        <w:rPr>
          <w:sz w:val="16"/>
        </w:rPr>
      </w:pPr>
      <w:r>
        <w:rPr/>
        <w:t>Aunque se han reportado estudios realizados en diferentes grupos raciales, han sido pocos los realizados en población mexicana que ayuden a establecer la relación horizontal y vertical del complejo craneofacial, así como estudios que analicen por sexo los parámetros craneofaciales de dicha población.</w:t>
      </w:r>
      <w:r>
        <w:rPr>
          <w:position w:val="11"/>
          <w:sz w:val="16"/>
        </w:rPr>
        <w:t>54, 57</w:t>
      </w:r>
    </w:p>
    <w:p>
      <w:pPr>
        <w:pStyle w:val="BodyText"/>
        <w:spacing w:line="360" w:lineRule="auto" w:before="198"/>
        <w:ind w:left="518" w:right="856"/>
        <w:jc w:val="both"/>
      </w:pPr>
      <w:r>
        <w:rPr/>
        <w:t>En la presente investigación se establecieron normas cefalométricas basadas en sujetos mexicanos, con oclusión normal y perfil facial balanceado, para identificar valores cefalométricos útiles en el correcto diagnóstico y plan de tratamiento para dicha población.</w:t>
      </w:r>
    </w:p>
    <w:p>
      <w:pPr>
        <w:pStyle w:val="BodyText"/>
        <w:spacing w:line="340" w:lineRule="auto" w:before="202"/>
        <w:ind w:left="518" w:right="856"/>
        <w:jc w:val="both"/>
      </w:pPr>
      <w:r>
        <w:rPr/>
        <w:t>La norma encontrada para el APDI en esta investigación fue idéntica al promedio reportado por el Dr. Young H. Kim</w:t>
      </w:r>
      <w:r>
        <w:rPr>
          <w:position w:val="11"/>
          <w:sz w:val="16"/>
        </w:rPr>
        <w:t>43</w:t>
      </w:r>
      <w:r>
        <w:rPr/>
        <w:t>. Resultados similares se reportaron con Japoneses</w:t>
      </w:r>
      <w:r>
        <w:rPr>
          <w:position w:val="11"/>
          <w:sz w:val="16"/>
        </w:rPr>
        <w:t>57</w:t>
      </w:r>
      <w:r>
        <w:rPr/>
        <w:t>, dichos estudios fueron basados en una muestra con un rango de edad similar.</w:t>
      </w:r>
    </w:p>
    <w:p>
      <w:pPr>
        <w:spacing w:after="0" w:line="340" w:lineRule="auto"/>
        <w:jc w:val="both"/>
        <w:sectPr>
          <w:footerReference w:type="default" r:id="rId392"/>
          <w:pgSz w:w="12240" w:h="15840"/>
          <w:pgMar w:footer="1003" w:header="596" w:top="1380" w:bottom="1200" w:left="900" w:right="840"/>
          <w:pgNumType w:start="71"/>
        </w:sectPr>
      </w:pPr>
    </w:p>
    <w:p>
      <w:pPr>
        <w:pStyle w:val="BodyText"/>
        <w:spacing w:before="4"/>
        <w:rPr>
          <w:sz w:val="17"/>
        </w:rPr>
      </w:pPr>
    </w:p>
    <w:p>
      <w:pPr>
        <w:pStyle w:val="BodyText"/>
        <w:spacing w:line="360" w:lineRule="auto" w:before="81"/>
        <w:ind w:left="518" w:right="860"/>
        <w:jc w:val="both"/>
      </w:pPr>
      <w:r>
        <w:rPr/>
        <w:t>Freudenthaler</w:t>
      </w:r>
      <w:r>
        <w:rPr>
          <w:position w:val="11"/>
          <w:sz w:val="16"/>
        </w:rPr>
        <w:t>57</w:t>
      </w:r>
      <w:r>
        <w:rPr/>
        <w:t>, en su análisis con europeos, determinó un valor mayor que lo establecido en el presente estudio. Cabe mencionar que la muestra utilizada en europeos fue menor.</w:t>
      </w:r>
    </w:p>
    <w:p>
      <w:pPr>
        <w:pStyle w:val="BodyText"/>
        <w:spacing w:line="352" w:lineRule="auto" w:before="204"/>
        <w:ind w:left="518" w:right="855"/>
        <w:jc w:val="both"/>
      </w:pPr>
      <w:r>
        <w:rPr/>
        <w:t>En el sexo femenino, existe un resultado similar con Bagdadíes en dicho indicador cefalométrico, aunque el rango de edad comprendido en Bagdadíes fue de 18 a 25 años, a diferencia del utilizado en esta investigación que fue de 9-14 años. En el mismo sexo, se observó una diferencia del valor promedio con sujetos Koreanos y Mongoles</w:t>
      </w:r>
      <w:r>
        <w:rPr>
          <w:position w:val="11"/>
          <w:sz w:val="16"/>
        </w:rPr>
        <w:t>55</w:t>
      </w:r>
      <w:r>
        <w:rPr/>
        <w:t>, siendo un promedio menor para nuestra población.</w:t>
      </w:r>
    </w:p>
    <w:p>
      <w:pPr>
        <w:pStyle w:val="BodyText"/>
        <w:spacing w:line="352" w:lineRule="auto" w:before="195"/>
        <w:ind w:left="518" w:right="857"/>
        <w:jc w:val="both"/>
      </w:pPr>
      <w:r>
        <w:rPr/>
        <w:t>Para el sexo masculino, la media establecida para Mexicanos fue similar a la de Mongoles. Se presentó un promedio mayor en la relación anteroposterior en Koreanos</w:t>
      </w:r>
      <w:r>
        <w:rPr>
          <w:position w:val="11"/>
          <w:sz w:val="16"/>
        </w:rPr>
        <w:t>55</w:t>
      </w:r>
      <w:r>
        <w:rPr/>
        <w:t>, cabe destacar que la investigación de Ji-Hwam Kim, se llevó a cabo en adultos Mongoles y Koreanos de 18 a 28 años de edad, por ello se establecierón promedios más altos en dicho estudio.</w:t>
      </w:r>
    </w:p>
    <w:p>
      <w:pPr>
        <w:pStyle w:val="BodyText"/>
        <w:spacing w:line="350" w:lineRule="auto" w:before="212"/>
        <w:ind w:left="518" w:right="858"/>
        <w:jc w:val="both"/>
      </w:pPr>
      <w:r>
        <w:rPr/>
        <w:t>El ángulo ANB y Wits así como el APDI, establecen la relación de las bases óseas, y estos sirven para determinar la discrepancia sagital de la mandíbula; algunos autores</w:t>
      </w:r>
      <w:r>
        <w:rPr>
          <w:position w:val="11"/>
          <w:sz w:val="16"/>
        </w:rPr>
        <w:t>58,59-61 </w:t>
      </w:r>
      <w:r>
        <w:rPr/>
        <w:t>cuestionan la validez de estas medidas cefalométricas utilizadas como único  parámetro para describir ésta  relación  sagital.  La misma  controversia  existe</w:t>
      </w:r>
    </w:p>
    <w:p>
      <w:pPr>
        <w:pStyle w:val="BodyText"/>
        <w:spacing w:line="360" w:lineRule="auto" w:before="13"/>
        <w:ind w:left="518" w:right="860"/>
        <w:jc w:val="both"/>
      </w:pPr>
      <w:r>
        <w:rPr/>
        <w:t>con la dimensión vertical. Es más apropiado para la determinación de patrones esqueléticos la combinación de medidas cefalométricas o la suma de ciertos ángulos que nos proporcionen dicha información.</w:t>
      </w:r>
    </w:p>
    <w:p>
      <w:pPr>
        <w:pStyle w:val="BodyText"/>
        <w:spacing w:line="338" w:lineRule="auto" w:before="204"/>
        <w:ind w:left="518" w:right="856"/>
        <w:jc w:val="both"/>
        <w:rPr>
          <w:sz w:val="16"/>
        </w:rPr>
      </w:pPr>
      <w:r>
        <w:rPr/>
        <w:t>El valor promedio de ODI obtenido para este componente fue similar a lo que reportó el Dr. Kim</w:t>
      </w:r>
      <w:r>
        <w:rPr>
          <w:position w:val="11"/>
          <w:sz w:val="16"/>
        </w:rPr>
        <w:t>42 </w:t>
      </w:r>
      <w:r>
        <w:rPr/>
        <w:t>en su análisis. Como se mencionó anteriormente, el estudio del Dr. Kim fue basado en una muestra de 119 sujetos caucásicos, como se observó, no existe diferencia en la media de sujetos mexicanos comparando con población caucásica.</w:t>
      </w:r>
      <w:r>
        <w:rPr>
          <w:position w:val="11"/>
          <w:sz w:val="16"/>
        </w:rPr>
        <w:t>40</w:t>
      </w:r>
    </w:p>
    <w:p>
      <w:pPr>
        <w:pStyle w:val="BodyText"/>
        <w:spacing w:line="360" w:lineRule="auto" w:before="178"/>
        <w:ind w:left="518" w:right="856"/>
        <w:jc w:val="both"/>
      </w:pPr>
      <w:r>
        <w:rPr/>
        <w:t>Freudenthaler</w:t>
      </w:r>
      <w:r>
        <w:rPr>
          <w:position w:val="11"/>
          <w:sz w:val="16"/>
        </w:rPr>
        <w:t>57</w:t>
      </w:r>
      <w:r>
        <w:rPr/>
        <w:t>, encontró un valor más bajo para Europeos y Japoneses que lo establecido en nuestra investigación.</w:t>
      </w:r>
    </w:p>
    <w:p>
      <w:pPr>
        <w:pStyle w:val="BodyText"/>
        <w:spacing w:line="331" w:lineRule="auto" w:before="202"/>
        <w:ind w:left="518" w:right="854"/>
        <w:jc w:val="both"/>
        <w:rPr>
          <w:sz w:val="16"/>
        </w:rPr>
      </w:pPr>
      <w:r>
        <w:rPr/>
        <w:t>En el sexo femenino, el ODI mostró semejanza con lo reportado en la literatura por Jinan E. Saloom, para Bagdadíes</w:t>
      </w:r>
      <w:r>
        <w:rPr>
          <w:position w:val="11"/>
          <w:sz w:val="16"/>
        </w:rPr>
        <w:t>62</w:t>
      </w:r>
      <w:r>
        <w:rPr/>
        <w:t>, Kim Ji-Hwan, en Mongoles y Koreanos.</w:t>
      </w:r>
      <w:r>
        <w:rPr>
          <w:position w:val="11"/>
          <w:sz w:val="16"/>
        </w:rPr>
        <w:t>55</w:t>
      </w:r>
    </w:p>
    <w:p>
      <w:pPr>
        <w:spacing w:after="0" w:line="331" w:lineRule="auto"/>
        <w:jc w:val="both"/>
        <w:rPr>
          <w:sz w:val="16"/>
        </w:rPr>
        <w:sectPr>
          <w:pgSz w:w="12240" w:h="15840"/>
          <w:pgMar w:header="596" w:footer="1003" w:top="1380" w:bottom="1200" w:left="900" w:right="840"/>
        </w:sectPr>
      </w:pPr>
    </w:p>
    <w:p>
      <w:pPr>
        <w:pStyle w:val="BodyText"/>
        <w:spacing w:before="5"/>
        <w:rPr>
          <w:sz w:val="21"/>
        </w:rPr>
      </w:pPr>
    </w:p>
    <w:p>
      <w:pPr>
        <w:pStyle w:val="BodyText"/>
        <w:spacing w:line="328" w:lineRule="auto" w:before="69"/>
        <w:ind w:left="518" w:right="856"/>
        <w:jc w:val="both"/>
        <w:rPr>
          <w:sz w:val="16"/>
        </w:rPr>
      </w:pPr>
      <w:r>
        <w:rPr/>
        <w:t>Para el sexo masculino, el valor promedio encontrado en este estudio fue menor que en Bagdadíes</w:t>
      </w:r>
      <w:r>
        <w:rPr>
          <w:position w:val="11"/>
          <w:sz w:val="16"/>
        </w:rPr>
        <w:t>62</w:t>
      </w:r>
      <w:r>
        <w:rPr/>
        <w:t>, Mongoles y Koreanos.</w:t>
      </w:r>
      <w:r>
        <w:rPr>
          <w:position w:val="11"/>
          <w:sz w:val="16"/>
        </w:rPr>
        <w:t>55</w:t>
      </w:r>
    </w:p>
    <w:p>
      <w:pPr>
        <w:pStyle w:val="BodyText"/>
        <w:spacing w:line="331" w:lineRule="auto" w:before="225"/>
        <w:ind w:left="518" w:right="861"/>
        <w:jc w:val="both"/>
        <w:rPr>
          <w:sz w:val="16"/>
        </w:rPr>
      </w:pPr>
      <w:r>
        <w:rPr/>
        <w:t>El ODI es solo un factor esquelético, ya que toma como referencia los planos de las bases óseas, dicho factor no tiene influencia sobre la posición de los dientes.</w:t>
      </w:r>
      <w:r>
        <w:rPr>
          <w:position w:val="11"/>
          <w:sz w:val="16"/>
        </w:rPr>
        <w:t>63</w:t>
      </w:r>
    </w:p>
    <w:p>
      <w:pPr>
        <w:pStyle w:val="BodyText"/>
        <w:spacing w:line="352" w:lineRule="auto" w:before="220"/>
        <w:ind w:left="518" w:right="854"/>
        <w:jc w:val="both"/>
      </w:pPr>
      <w:r>
        <w:rPr/>
        <w:t>Se encontró que las variables esqueléticas del crecimiento muestran cambios pequeños en el ángulo AB con plano mandibular y en el ODI podría ser que el hueso alveolar y la inclinación axial de la dentición contribuyen a este diagnóstico;</w:t>
      </w:r>
      <w:r>
        <w:rPr>
          <w:position w:val="11"/>
          <w:sz w:val="16"/>
        </w:rPr>
        <w:t>56 </w:t>
      </w:r>
      <w:r>
        <w:rPr/>
        <w:t>por ejemplo, un ODI normal con una mordida abierta esquelética puede presentar una mordida profunda dental. O de otra manera, un individuo con un valor de ODI alto</w:t>
      </w:r>
    </w:p>
    <w:p>
      <w:pPr>
        <w:pStyle w:val="BodyText"/>
        <w:spacing w:line="350" w:lineRule="auto" w:before="13"/>
        <w:ind w:left="518" w:right="859"/>
        <w:jc w:val="both"/>
        <w:rPr>
          <w:sz w:val="16"/>
        </w:rPr>
      </w:pPr>
      <w:r>
        <w:rPr/>
        <w:t>con una mordida profunda esquelética puede presentar una mordida abierta dental. Esto es debido a los hábitos que producen proinclinación de los incisivos. Estas inconsistencias entre el patrón esquelético y la cantidad de sobremordida pueden ser tomadas en consideración para el plan de tratamiento.</w:t>
      </w:r>
      <w:r>
        <w:rPr>
          <w:position w:val="11"/>
          <w:sz w:val="16"/>
        </w:rPr>
        <w:t>58</w:t>
      </w:r>
    </w:p>
    <w:p>
      <w:pPr>
        <w:pStyle w:val="BodyText"/>
        <w:spacing w:line="350" w:lineRule="auto" w:before="198"/>
        <w:ind w:left="518" w:right="855"/>
        <w:jc w:val="both"/>
      </w:pPr>
      <w:r>
        <w:rPr/>
        <w:t>La norma establecida para el componente horizontal y vertical (ODI y APDI) del presente estudio, en población Mexicana, mostró semejanzas con lo publicado por Kim</w:t>
      </w:r>
      <w:r>
        <w:rPr>
          <w:position w:val="11"/>
          <w:sz w:val="16"/>
        </w:rPr>
        <w:t>40</w:t>
      </w:r>
      <w:r>
        <w:rPr/>
        <w:t>, Kim y Vietas</w:t>
      </w:r>
      <w:r>
        <w:rPr>
          <w:position w:val="11"/>
          <w:sz w:val="16"/>
        </w:rPr>
        <w:t>58</w:t>
      </w:r>
      <w:r>
        <w:rPr/>
        <w:t>, de la misma manera el APDI reportado por Freudenthaler</w:t>
      </w:r>
      <w:r>
        <w:rPr>
          <w:position w:val="11"/>
          <w:sz w:val="16"/>
        </w:rPr>
        <w:t>57 </w:t>
      </w:r>
      <w:r>
        <w:rPr/>
        <w:t>para Japoneses.</w:t>
      </w:r>
    </w:p>
    <w:p>
      <w:pPr>
        <w:pStyle w:val="BodyText"/>
        <w:spacing w:line="348" w:lineRule="auto" w:before="212"/>
        <w:ind w:left="518" w:right="855"/>
        <w:jc w:val="both"/>
      </w:pPr>
      <w:r>
        <w:rPr/>
        <w:t>En esta investigación el análisis del Ángulo PF/FH fue idéntico tanto para el sexo masculino como para el femenino. Esto difiere de lo encontrado en sujetos  Bagdadíes por Jinan E Saloom</w:t>
      </w:r>
      <w:r>
        <w:rPr>
          <w:position w:val="11"/>
          <w:sz w:val="16"/>
        </w:rPr>
        <w:t>62</w:t>
      </w:r>
      <w:r>
        <w:rPr/>
        <w:t>, quien determinó que fue mayor en mujeres. Freudenthaler</w:t>
      </w:r>
      <w:r>
        <w:rPr>
          <w:position w:val="11"/>
          <w:sz w:val="16"/>
        </w:rPr>
        <w:t>57 </w:t>
      </w:r>
      <w:r>
        <w:rPr/>
        <w:t>reportó una diferencia significativa con PF/FH entre Japoneses y Europeos, siendo significativamente menor en Japoneses. El valor promedio resultado de nuestro estudio fue mayor comparado con</w:t>
      </w:r>
      <w:r>
        <w:rPr>
          <w:spacing w:val="-23"/>
        </w:rPr>
        <w:t> </w:t>
      </w:r>
      <w:r>
        <w:rPr/>
        <w:t>Japoneses.</w:t>
      </w:r>
    </w:p>
    <w:p>
      <w:pPr>
        <w:pStyle w:val="BodyText"/>
        <w:spacing w:before="10"/>
        <w:rPr>
          <w:sz w:val="18"/>
        </w:rPr>
      </w:pPr>
    </w:p>
    <w:p>
      <w:pPr>
        <w:pStyle w:val="BodyText"/>
        <w:spacing w:line="328" w:lineRule="auto"/>
        <w:ind w:left="518" w:right="857"/>
        <w:jc w:val="both"/>
        <w:rPr>
          <w:sz w:val="16"/>
        </w:rPr>
      </w:pPr>
      <w:r>
        <w:rPr/>
        <w:t>Para el Ángulo A-B/PF se obtuvieron resultados mayores en el sexo femenino en ambos grupos de edad, lo mismo fue mostrado por Jinan E. Saloom.</w:t>
      </w:r>
      <w:r>
        <w:rPr>
          <w:position w:val="11"/>
          <w:sz w:val="16"/>
        </w:rPr>
        <w:t>62</w:t>
      </w:r>
    </w:p>
    <w:p>
      <w:pPr>
        <w:pStyle w:val="BodyText"/>
        <w:spacing w:line="328" w:lineRule="auto" w:before="225"/>
        <w:ind w:left="518" w:right="856"/>
        <w:jc w:val="both"/>
        <w:rPr>
          <w:sz w:val="16"/>
        </w:rPr>
      </w:pPr>
      <w:r>
        <w:rPr/>
        <w:t>Se determinó en el presente estudio un valor promedio mayor que lo reportado para Japoneses y Europeos por Freudenthaler.</w:t>
      </w:r>
      <w:r>
        <w:rPr>
          <w:position w:val="11"/>
          <w:sz w:val="16"/>
        </w:rPr>
        <w:t>57</w:t>
      </w:r>
    </w:p>
    <w:p>
      <w:pPr>
        <w:spacing w:after="0" w:line="328" w:lineRule="auto"/>
        <w:jc w:val="both"/>
        <w:rPr>
          <w:sz w:val="16"/>
        </w:rPr>
        <w:sectPr>
          <w:pgSz w:w="12240" w:h="15840"/>
          <w:pgMar w:header="596" w:footer="1003" w:top="1380" w:bottom="1200" w:left="900" w:right="840"/>
        </w:sectPr>
      </w:pPr>
    </w:p>
    <w:p>
      <w:pPr>
        <w:pStyle w:val="BodyText"/>
        <w:spacing w:before="4"/>
        <w:rPr>
          <w:sz w:val="17"/>
        </w:rPr>
      </w:pPr>
    </w:p>
    <w:p>
      <w:pPr>
        <w:pStyle w:val="BodyText"/>
        <w:spacing w:line="350" w:lineRule="auto" w:before="81"/>
        <w:ind w:left="518" w:right="855"/>
        <w:jc w:val="both"/>
      </w:pPr>
      <w:r>
        <w:rPr/>
        <w:t>En lo reportado por Ji-Hwan Kim</w:t>
      </w:r>
      <w:r>
        <w:rPr>
          <w:position w:val="11"/>
          <w:sz w:val="16"/>
        </w:rPr>
        <w:t>55 </w:t>
      </w:r>
      <w:r>
        <w:rPr/>
        <w:t>y Jinan E. Saloom</w:t>
      </w:r>
      <w:r>
        <w:rPr>
          <w:position w:val="11"/>
          <w:sz w:val="16"/>
        </w:rPr>
        <w:t>62</w:t>
      </w:r>
      <w:r>
        <w:rPr/>
        <w:t>, el valor promedio del PP/FH en el sexo femenino, mostró semejanza. En donde se encontró una diferencia fue en el sexo masculino comparado con sujetos Bagdadíes, así como con Europeos en lo reportado por Freudenthaler</w:t>
      </w:r>
      <w:r>
        <w:rPr>
          <w:position w:val="11"/>
          <w:sz w:val="16"/>
        </w:rPr>
        <w:t>57</w:t>
      </w:r>
      <w:r>
        <w:rPr/>
        <w:t>, siendo el mayor valor en nuestro estudio.</w:t>
      </w:r>
    </w:p>
    <w:p>
      <w:pPr>
        <w:pStyle w:val="BodyText"/>
        <w:spacing w:line="338" w:lineRule="auto" w:before="198"/>
        <w:ind w:left="518" w:right="855"/>
        <w:jc w:val="both"/>
        <w:rPr>
          <w:sz w:val="16"/>
        </w:rPr>
      </w:pPr>
      <w:r>
        <w:rPr/>
        <w:t>El valor promedio del Ángulo A-B/PM en el sexo masculino fue menor que lo reportado para Bagdadíes</w:t>
      </w:r>
      <w:r>
        <w:rPr>
          <w:position w:val="11"/>
          <w:sz w:val="16"/>
        </w:rPr>
        <w:t>62 </w:t>
      </w:r>
      <w:r>
        <w:rPr/>
        <w:t>y similar para el sexo femenino. Este ángulo fue menor en Japoneses</w:t>
      </w:r>
      <w:r>
        <w:rPr>
          <w:position w:val="11"/>
          <w:sz w:val="16"/>
        </w:rPr>
        <w:t>57 </w:t>
      </w:r>
      <w:r>
        <w:rPr/>
        <w:t>que lo determinado en Mexicanos; el crecimiento hiperdivergente de la mandíbula de los japoneses es expresado por el ángulo AB con plano mandibular  y no por la inclinación del plano palatino.</w:t>
      </w:r>
      <w:r>
        <w:rPr>
          <w:spacing w:val="-9"/>
        </w:rPr>
        <w:t> </w:t>
      </w:r>
      <w:r>
        <w:rPr>
          <w:position w:val="11"/>
          <w:sz w:val="16"/>
        </w:rPr>
        <w:t>57</w:t>
      </w:r>
    </w:p>
    <w:p>
      <w:pPr>
        <w:pStyle w:val="BodyText"/>
        <w:spacing w:line="360" w:lineRule="auto" w:before="213"/>
        <w:ind w:left="518" w:right="855"/>
        <w:jc w:val="both"/>
      </w:pPr>
      <w:r>
        <w:rPr/>
        <w:t>El análisis de la presente investigación mostró que la mayoría de los parámetros cefalométricos evaluados presentaron aumento en el grupo II, esto es congruente con los picos de crecimiento propios de esta</w:t>
      </w:r>
      <w:r>
        <w:rPr>
          <w:spacing w:val="-16"/>
        </w:rPr>
        <w:t> </w:t>
      </w:r>
      <w:r>
        <w:rPr/>
        <w:t>etapa.</w:t>
      </w:r>
    </w:p>
    <w:p>
      <w:pPr>
        <w:pStyle w:val="BodyText"/>
        <w:spacing w:line="352" w:lineRule="auto" w:before="204"/>
        <w:ind w:left="518" w:right="862"/>
        <w:jc w:val="both"/>
        <w:rPr>
          <w:sz w:val="16"/>
        </w:rPr>
      </w:pPr>
      <w:r>
        <w:rPr/>
        <w:t>El Factor de Combinación (suma de ODI y APDI) obtenido en este estudio fue de 154.93°; se ha determinado que los valores individuales mayores de 155° favorecen el tratamiento sin extracción de dientes permanentes. Cuando el valor individual del factor de combinación está por debajo de 150°, lo más probable es que se requiera de un tratamiento con extracciones para corregir la maloclusión.</w:t>
      </w:r>
      <w:r>
        <w:rPr>
          <w:position w:val="11"/>
          <w:sz w:val="16"/>
        </w:rPr>
        <w:t>40</w:t>
      </w:r>
    </w:p>
    <w:p>
      <w:pPr>
        <w:pStyle w:val="BodyText"/>
        <w:spacing w:line="352" w:lineRule="auto" w:before="192"/>
        <w:ind w:left="518" w:right="856"/>
        <w:jc w:val="both"/>
        <w:rPr>
          <w:sz w:val="16"/>
        </w:rPr>
      </w:pPr>
      <w:r>
        <w:rPr/>
        <w:t>Un individuo con valor de ODI menor a la norma tiene mayor probabilidad de presentar una mordida abierta; si el valor es mayor, la probabilidad será de una mordida profunda. De la misma forma un valor de APDI alto tiene más probabilidad de presentar una maloclusión o patrón esquelético Clase III; si el valor es menor, la probabilidad será de Clase</w:t>
      </w:r>
      <w:r>
        <w:rPr>
          <w:spacing w:val="-5"/>
        </w:rPr>
        <w:t> </w:t>
      </w:r>
      <w:r>
        <w:rPr/>
        <w:t>II.</w:t>
      </w:r>
      <w:r>
        <w:rPr>
          <w:position w:val="11"/>
          <w:sz w:val="16"/>
        </w:rPr>
        <w:t>41</w:t>
      </w:r>
    </w:p>
    <w:p>
      <w:pPr>
        <w:pStyle w:val="BodyText"/>
        <w:spacing w:line="360" w:lineRule="auto" w:before="195"/>
        <w:ind w:left="518" w:right="856"/>
        <w:jc w:val="both"/>
      </w:pPr>
      <w:r>
        <w:rPr/>
        <w:t>Se deben considerar las discrepancias entre bases óseas y relaciones dentales, ya que una maloclusión Clase I puede tener varias relaciones anteriores como mordida abierta, mordida profunda, mordida cruzada, rotaciones, etc y todavía ser Clase I molar.</w:t>
      </w:r>
    </w:p>
    <w:p>
      <w:pPr>
        <w:spacing w:after="0" w:line="360" w:lineRule="auto"/>
        <w:jc w:val="both"/>
        <w:sectPr>
          <w:pgSz w:w="12240" w:h="15840"/>
          <w:pgMar w:header="596" w:footer="1003" w:top="1380" w:bottom="1200" w:left="900" w:right="840"/>
        </w:sectPr>
      </w:pPr>
    </w:p>
    <w:p>
      <w:pPr>
        <w:pStyle w:val="BodyText"/>
        <w:spacing w:before="4"/>
        <w:rPr>
          <w:sz w:val="17"/>
        </w:rPr>
      </w:pPr>
    </w:p>
    <w:p>
      <w:pPr>
        <w:pStyle w:val="BodyText"/>
        <w:spacing w:line="350" w:lineRule="auto" w:before="81"/>
        <w:ind w:left="518" w:right="856"/>
        <w:jc w:val="both"/>
      </w:pPr>
      <w:r>
        <w:rPr/>
        <w:t>En un artículo de reporte de casos con una muestra de 5 sujetos</w:t>
      </w:r>
      <w:r>
        <w:rPr>
          <w:position w:val="11"/>
          <w:sz w:val="16"/>
        </w:rPr>
        <w:t>65</w:t>
      </w:r>
      <w:r>
        <w:rPr/>
        <w:t>, fue cuestionada  la validez del ODI como una medida diagnóstica, sin embargo, otras investigaciones</w:t>
      </w:r>
      <w:r>
        <w:rPr>
          <w:position w:val="11"/>
          <w:sz w:val="16"/>
        </w:rPr>
        <w:t>40,58,59,66,67 </w:t>
      </w:r>
      <w:r>
        <w:rPr/>
        <w:t>han encontrado que el ODI y el APDI, tienen una alta correlación para describir la relación vertical y sagital del complejo</w:t>
      </w:r>
      <w:r>
        <w:rPr>
          <w:spacing w:val="-17"/>
        </w:rPr>
        <w:t> </w:t>
      </w:r>
      <w:r>
        <w:rPr/>
        <w:t>craneofacial.</w:t>
      </w:r>
    </w:p>
    <w:p>
      <w:pPr>
        <w:pStyle w:val="BodyText"/>
        <w:spacing w:line="350" w:lineRule="auto" w:before="215"/>
        <w:ind w:left="518" w:right="858"/>
        <w:jc w:val="both"/>
        <w:rPr>
          <w:sz w:val="16"/>
        </w:rPr>
      </w:pPr>
      <w:r>
        <w:rPr/>
        <w:t>Otra ventaja de estas medidas es el uso de ángulos que suelen ser estables durante el periodo de crecimiento. En estudios longitudinales de crecimiento, estos ángulos utilizados para el ODI y el APDI no mostraron cambios significativos durante el crecimiento con excepción del Ángulo del Plano Facial (PF/FH).</w:t>
      </w:r>
      <w:r>
        <w:rPr>
          <w:position w:val="11"/>
          <w:sz w:val="16"/>
        </w:rPr>
        <w:t>58,68-70</w:t>
      </w:r>
    </w:p>
    <w:p>
      <w:pPr>
        <w:pStyle w:val="BodyText"/>
        <w:spacing w:line="355" w:lineRule="auto" w:before="198"/>
        <w:ind w:left="518" w:right="857"/>
        <w:jc w:val="both"/>
      </w:pPr>
      <w:r>
        <w:rPr/>
        <w:t>El establecer estándares cefalométricos agrupados para cada sexo y por rango de edad en población mexicana, aporta información de suma relevancia para el conocimiento de la tendencia de crecimiento de dicha población y es de utilidad para la elaboración del diagnóstico y tratamiento apropiado. Kim</w:t>
      </w:r>
      <w:r>
        <w:rPr>
          <w:position w:val="11"/>
          <w:sz w:val="16"/>
        </w:rPr>
        <w:t>40 </w:t>
      </w:r>
      <w:r>
        <w:rPr/>
        <w:t>también recomienda la combinación del indicador de sobremordida y el indicador de displasia  anteroposterior para propósitos</w:t>
      </w:r>
      <w:r>
        <w:rPr>
          <w:spacing w:val="-18"/>
        </w:rPr>
        <w:t> </w:t>
      </w:r>
      <w:r>
        <w:rPr/>
        <w:t>diagnósticos.</w:t>
      </w:r>
    </w:p>
    <w:p>
      <w:pPr>
        <w:spacing w:after="0" w:line="355" w:lineRule="auto"/>
        <w:jc w:val="both"/>
        <w:sectPr>
          <w:pgSz w:w="12240" w:h="15840"/>
          <w:pgMar w:header="596" w:footer="1003" w:top="1380" w:bottom="1200" w:left="900" w:right="840"/>
        </w:sectPr>
      </w:pPr>
    </w:p>
    <w:p>
      <w:pPr>
        <w:pStyle w:val="BodyText"/>
        <w:spacing w:before="5"/>
        <w:rPr>
          <w:sz w:val="21"/>
        </w:rPr>
      </w:pPr>
    </w:p>
    <w:p>
      <w:pPr>
        <w:pStyle w:val="Heading1"/>
        <w:numPr>
          <w:ilvl w:val="0"/>
          <w:numId w:val="19"/>
        </w:numPr>
        <w:tabs>
          <w:tab w:pos="4261" w:val="left" w:leader="none"/>
        </w:tabs>
        <w:spacing w:line="240" w:lineRule="auto" w:before="69" w:after="0"/>
        <w:ind w:left="4261" w:right="0" w:hanging="296"/>
        <w:jc w:val="left"/>
      </w:pPr>
      <w:bookmarkStart w:name="_TOC_250002" w:id="23"/>
      <w:bookmarkEnd w:id="23"/>
      <w:r>
        <w:rPr/>
        <w:t>CONCLUSIONES</w:t>
      </w:r>
    </w:p>
    <w:p>
      <w:pPr>
        <w:pStyle w:val="BodyText"/>
        <w:spacing w:before="4"/>
        <w:rPr>
          <w:b/>
          <w:sz w:val="29"/>
        </w:rPr>
      </w:pPr>
    </w:p>
    <w:p>
      <w:pPr>
        <w:pStyle w:val="BodyText"/>
        <w:spacing w:line="360" w:lineRule="auto" w:before="1"/>
        <w:ind w:left="518" w:right="855"/>
        <w:jc w:val="both"/>
      </w:pPr>
      <w:r>
        <w:rPr/>
        <w:t>La cefalometría es un importante auxiliar de diagnóstico ortodóncico, por ello, </w:t>
      </w:r>
      <w:r>
        <w:rPr>
          <w:spacing w:val="5"/>
        </w:rPr>
        <w:t>se </w:t>
      </w:r>
      <w:r>
        <w:rPr/>
        <w:t>han evaluado grupos numerosos de pacientes de Ortodoncia tratados y no tratados en un intento por establecer lo que podría considerarse como relación casi ideal de dientes y de los huesos de los maxilares entre sí y con el resto del cráneo. La  implementación del estándar del análisis de Kim puede ser una herramienta útil y eficaz como complemento en la práctica clínica al diagnóstico cefalométrico convencional.</w:t>
      </w:r>
    </w:p>
    <w:p>
      <w:pPr>
        <w:pStyle w:val="BodyText"/>
        <w:spacing w:line="360" w:lineRule="auto" w:before="205"/>
        <w:ind w:left="518" w:right="860"/>
        <w:jc w:val="both"/>
      </w:pPr>
      <w:r>
        <w:rPr/>
        <w:t>La curva de crecimiento de niños y niñas es de tipo y magnitud similares; sin embargo, el brote de la adolescencia comienza antes en las niñas y se prolonga por menos tiempo que en los niños. La mayoría de los parámetros cefalométricos evaluados en el grupo II (12-14 años) presentaron aumento, esto es congruente con los picos de crecimiento propios de esta etapa, debido a que en esta edad se presenta el segundo brote de crecimiento.</w:t>
      </w:r>
    </w:p>
    <w:p>
      <w:pPr>
        <w:pStyle w:val="BodyText"/>
        <w:spacing w:line="360" w:lineRule="auto" w:before="204"/>
        <w:ind w:left="518" w:right="854"/>
        <w:jc w:val="both"/>
      </w:pPr>
      <w:r>
        <w:rPr/>
        <w:t>Considerando que el crecimiento maxilofacial está controlado por el equilibrio en el crecimiento del maxilar y mandíbula, junto con el cóndilo y rama mandibular, al estar dichos elementos en completa armonía, su dirección normal de crecimiento es hacia abajo y adelante. El uso del indicador de displasia anteroposterior y el indicador de sobremordida como patrón de crecimiento representan una ventaja, ya que se estos indicadores se basan en ángulos que suelen ser estables durante el periodo de crecimiento.</w:t>
      </w:r>
    </w:p>
    <w:p>
      <w:pPr>
        <w:spacing w:after="0" w:line="360" w:lineRule="auto"/>
        <w:jc w:val="both"/>
        <w:sectPr>
          <w:pgSz w:w="12240" w:h="15840"/>
          <w:pgMar w:header="596" w:footer="1003" w:top="1380" w:bottom="1200" w:left="900" w:right="840"/>
        </w:sectPr>
      </w:pPr>
    </w:p>
    <w:p>
      <w:pPr>
        <w:pStyle w:val="BodyText"/>
        <w:spacing w:before="5"/>
        <w:rPr>
          <w:sz w:val="21"/>
        </w:rPr>
      </w:pPr>
    </w:p>
    <w:p>
      <w:pPr>
        <w:pStyle w:val="Heading1"/>
        <w:numPr>
          <w:ilvl w:val="0"/>
          <w:numId w:val="19"/>
        </w:numPr>
        <w:tabs>
          <w:tab w:pos="4661" w:val="left" w:leader="none"/>
        </w:tabs>
        <w:spacing w:line="240" w:lineRule="auto" w:before="69" w:after="0"/>
        <w:ind w:left="4660" w:right="0" w:hanging="361"/>
        <w:jc w:val="left"/>
      </w:pPr>
      <w:bookmarkStart w:name="_TOC_250001" w:id="24"/>
      <w:bookmarkEnd w:id="24"/>
      <w:r>
        <w:rPr/>
        <w:t>RESUMEN</w:t>
      </w:r>
    </w:p>
    <w:p>
      <w:pPr>
        <w:pStyle w:val="BodyText"/>
        <w:spacing w:before="4"/>
        <w:rPr>
          <w:b/>
          <w:sz w:val="29"/>
        </w:rPr>
      </w:pPr>
    </w:p>
    <w:p>
      <w:pPr>
        <w:pStyle w:val="BodyText"/>
        <w:spacing w:line="276" w:lineRule="auto" w:before="1"/>
        <w:ind w:left="518" w:right="863"/>
        <w:jc w:val="both"/>
      </w:pPr>
      <w:r>
        <w:rPr/>
        <w:t>Introducción: La cefalometría proporciona datos sobre características craneofaciales para diagnosticar anomalías y alteraciones dentoesqueletales, cuyo objetivo es determinar un plan de tratamiento ortodóncico óptimo. El análisis de Kim evalúa desde un punto de vista horizontal y vertical el patrón esquelético, mediante el Indicador de Displasia Anteroposterior (APDI):determina la relación anteroposterior maxilo-mandibular y el Indicador de Sobremordida Vertical (ODI):determina la relación vertical</w:t>
      </w:r>
      <w:r>
        <w:rPr>
          <w:spacing w:val="-2"/>
        </w:rPr>
        <w:t> </w:t>
      </w:r>
      <w:r>
        <w:rPr/>
        <w:t>maxilo-mandibular.</w:t>
      </w:r>
    </w:p>
    <w:p>
      <w:pPr>
        <w:pStyle w:val="BodyText"/>
      </w:pPr>
    </w:p>
    <w:p>
      <w:pPr>
        <w:pStyle w:val="BodyText"/>
        <w:spacing w:before="2"/>
        <w:rPr>
          <w:sz w:val="21"/>
        </w:rPr>
      </w:pPr>
    </w:p>
    <w:p>
      <w:pPr>
        <w:pStyle w:val="BodyText"/>
        <w:spacing w:line="276" w:lineRule="auto"/>
        <w:ind w:left="518" w:right="863"/>
        <w:jc w:val="both"/>
      </w:pPr>
      <w:r>
        <w:rPr/>
        <w:t>Objetivos: Implementar el estándar del análisis de Kim para niños y adolescentes de 9-14 años como auxiliar de diagnóstico en la Clínica de Ortodoncia del CIEAO.</w:t>
      </w:r>
    </w:p>
    <w:p>
      <w:pPr>
        <w:pStyle w:val="BodyText"/>
      </w:pPr>
    </w:p>
    <w:p>
      <w:pPr>
        <w:pStyle w:val="BodyText"/>
        <w:spacing w:before="1"/>
        <w:rPr>
          <w:sz w:val="21"/>
        </w:rPr>
      </w:pPr>
    </w:p>
    <w:p>
      <w:pPr>
        <w:pStyle w:val="BodyText"/>
        <w:spacing w:line="276" w:lineRule="auto"/>
        <w:ind w:left="518" w:right="856"/>
        <w:jc w:val="both"/>
      </w:pPr>
      <w:r>
        <w:rPr/>
        <w:t>Material/métodos: Descriptivo, transversal y prospectivo. 136 radiografías lateral de cráneo divididos por edad (grupo I: 9-11, grupo II 12-14) y sexo. Se tomó radiografía lateral de cráneo; se realizó trazado cefalométrico con parámetros de Kim para obtener APDI y ODI. Prueba t Student mediante software SPSS v. 20 p≤0.05.</w:t>
      </w:r>
    </w:p>
    <w:p>
      <w:pPr>
        <w:pStyle w:val="BodyText"/>
      </w:pPr>
    </w:p>
    <w:p>
      <w:pPr>
        <w:pStyle w:val="BodyText"/>
        <w:spacing w:before="10"/>
        <w:rPr>
          <w:sz w:val="20"/>
        </w:rPr>
      </w:pPr>
    </w:p>
    <w:p>
      <w:pPr>
        <w:pStyle w:val="BodyText"/>
        <w:spacing w:line="276" w:lineRule="auto"/>
        <w:ind w:left="518" w:right="865"/>
        <w:jc w:val="both"/>
      </w:pPr>
      <w:r>
        <w:rPr/>
        <w:t>Resultados: APDI: 81.54°y ODI: 73.39° para el total de la muestra.El promedio de APDI por sexo fue de 80.76° para femenino y 82.23° masculino, encontrándose diferencia significativa (p≤0.05). En grupo I, el PP/FH tuvo diferencia por sexo. La mayoría de los parámetros cefalométricos fueron mayor en grupo II.</w:t>
      </w:r>
    </w:p>
    <w:p>
      <w:pPr>
        <w:pStyle w:val="BodyText"/>
      </w:pPr>
    </w:p>
    <w:p>
      <w:pPr>
        <w:pStyle w:val="BodyText"/>
        <w:spacing w:before="1"/>
        <w:rPr>
          <w:sz w:val="21"/>
        </w:rPr>
      </w:pPr>
    </w:p>
    <w:p>
      <w:pPr>
        <w:pStyle w:val="BodyText"/>
        <w:spacing w:line="276" w:lineRule="auto"/>
        <w:ind w:left="518" w:right="860"/>
        <w:jc w:val="both"/>
      </w:pPr>
      <w:r>
        <w:rPr/>
        <w:t>Conclusiones: Una ventaja del uso del análisis de Kim es que los ángulos evaluados son estables durante el periodo de crecimiento. La implementación de dicho estándar constituye una herramienta útil y eficaz como complemento al diagnóstico cefalométrico convencional.</w:t>
      </w:r>
    </w:p>
    <w:p>
      <w:pPr>
        <w:spacing w:before="200"/>
        <w:ind w:left="518" w:right="0" w:firstLine="0"/>
        <w:jc w:val="both"/>
        <w:rPr>
          <w:b/>
          <w:sz w:val="24"/>
        </w:rPr>
      </w:pPr>
      <w:r>
        <w:rPr>
          <w:b/>
          <w:sz w:val="24"/>
        </w:rPr>
        <w:t>Abstracts</w:t>
      </w:r>
    </w:p>
    <w:p>
      <w:pPr>
        <w:pStyle w:val="BodyText"/>
        <w:spacing w:before="1"/>
        <w:rPr>
          <w:b/>
          <w:sz w:val="21"/>
        </w:rPr>
      </w:pPr>
    </w:p>
    <w:p>
      <w:pPr>
        <w:pStyle w:val="BodyText"/>
        <w:spacing w:line="276" w:lineRule="auto"/>
        <w:ind w:left="518" w:right="867"/>
        <w:jc w:val="both"/>
      </w:pPr>
      <w:r>
        <w:rPr/>
        <w:t>Objectives: To establish cephalometric norms of adolescents in Central Mexico according to Kim's Analysis.</w:t>
      </w:r>
    </w:p>
    <w:p>
      <w:pPr>
        <w:pStyle w:val="BodyText"/>
        <w:spacing w:line="276" w:lineRule="auto" w:before="202"/>
        <w:ind w:left="518" w:right="866"/>
        <w:jc w:val="both"/>
      </w:pPr>
      <w:r>
        <w:rPr/>
        <w:t>Methods: Lateral cephalograms of 136 mexican children and adolescents were selected and divided in two groups:</w:t>
      </w:r>
    </w:p>
    <w:p>
      <w:pPr>
        <w:pStyle w:val="BodyText"/>
        <w:spacing w:line="276" w:lineRule="auto" w:before="200"/>
        <w:ind w:left="518" w:right="858"/>
        <w:jc w:val="both"/>
      </w:pPr>
      <w:r>
        <w:rPr/>
        <w:t>GI: 9-11 years (37 males, 31 females); GII: 12-14 years (35 males, 33 females). All subjects presented well-balanced lateral profiles, normal occlusion, class I molar and canine relationship, overjet and overbite less than 2.5mm, no missing teeth and no</w:t>
      </w:r>
    </w:p>
    <w:p>
      <w:pPr>
        <w:spacing w:after="0" w:line="276" w:lineRule="auto"/>
        <w:jc w:val="both"/>
        <w:sectPr>
          <w:pgSz w:w="12240" w:h="15840"/>
          <w:pgMar w:header="596" w:footer="1003" w:top="1380" w:bottom="1200" w:left="900" w:right="840"/>
        </w:sectPr>
      </w:pPr>
    </w:p>
    <w:p>
      <w:pPr>
        <w:pStyle w:val="BodyText"/>
        <w:spacing w:before="5"/>
        <w:rPr>
          <w:sz w:val="21"/>
        </w:rPr>
      </w:pPr>
    </w:p>
    <w:p>
      <w:pPr>
        <w:pStyle w:val="BodyText"/>
        <w:spacing w:line="276" w:lineRule="auto" w:before="69"/>
        <w:ind w:left="518" w:right="860"/>
        <w:jc w:val="both"/>
      </w:pPr>
      <w:r>
        <w:rPr/>
        <w:t>previous orthodontic treatment. The cephalograms were measured to obtain the APDI and ODI, and then were statistically analyzed (t-test with SPSS software v. 20 p&lt;0.05).</w:t>
      </w:r>
    </w:p>
    <w:p>
      <w:pPr>
        <w:pStyle w:val="BodyText"/>
        <w:spacing w:line="276" w:lineRule="auto" w:before="202"/>
        <w:ind w:left="518" w:right="858"/>
        <w:jc w:val="both"/>
      </w:pPr>
      <w:r>
        <w:rPr/>
        <w:t>Results: Overall values of APDI (81.54°) and ODI (73.39°) were established. APDI values showed high statistically significant differences among gender. The APDI average was greater for males (82.23°) than females (80.76°). ODI values showed no statistically significant differences between ages and gender.</w:t>
      </w:r>
    </w:p>
    <w:p>
      <w:pPr>
        <w:pStyle w:val="BodyText"/>
        <w:spacing w:line="276" w:lineRule="auto" w:before="200"/>
        <w:ind w:left="518" w:right="857"/>
        <w:jc w:val="both"/>
      </w:pPr>
      <w:r>
        <w:rPr/>
        <w:t>In group I, a gender difference was found in PP / FH of 1.17°, indicating an increased posterior slope of the palatal plane in males versus females. The majority of evaluated cephalometric parameters were higher in group II, which is consistent with growth peaks particular in this developmental</w:t>
      </w:r>
      <w:r>
        <w:rPr>
          <w:spacing w:val="-8"/>
        </w:rPr>
        <w:t> </w:t>
      </w:r>
      <w:r>
        <w:rPr/>
        <w:t>stage.</w:t>
      </w:r>
    </w:p>
    <w:p>
      <w:pPr>
        <w:pStyle w:val="BodyText"/>
        <w:spacing w:line="276" w:lineRule="auto" w:before="200"/>
        <w:ind w:left="518" w:right="863"/>
        <w:jc w:val="both"/>
      </w:pPr>
      <w:r>
        <w:rPr/>
        <w:t>As a result of these findings, two polygonal charts were created that identify cephalometric patterns for these two groups, facilitating analysis and identification of malocclusion among individual patients.</w:t>
      </w:r>
    </w:p>
    <w:p>
      <w:pPr>
        <w:pStyle w:val="BodyText"/>
        <w:spacing w:line="276" w:lineRule="auto" w:before="200"/>
        <w:ind w:left="518" w:right="857"/>
        <w:jc w:val="both"/>
      </w:pPr>
      <w:r>
        <w:rPr/>
        <w:t>Conclusions: ODI and APDI differentiate anteroposterior and vertical skeletal relationships, classifying the skeletal pattern. Cephalometric standards for Mexican adolescents, according to Kim’s analysis, are useful and effective in clinical practice as a complement to conventional cephalometric diagnosis, establishing an individual dentoalveolar treatment</w:t>
      </w:r>
      <w:r>
        <w:rPr>
          <w:spacing w:val="-12"/>
        </w:rPr>
        <w:t> </w:t>
      </w:r>
      <w:r>
        <w:rPr/>
        <w:t>objective.</w:t>
      </w:r>
    </w:p>
    <w:p>
      <w:pPr>
        <w:pStyle w:val="BodyText"/>
        <w:spacing w:before="202"/>
        <w:ind w:left="518"/>
        <w:jc w:val="both"/>
      </w:pPr>
      <w:r>
        <w:rPr/>
        <w:t>KEYWORDS: Cephalometric analysis, malocclusion, Orthodontics, APDI, ODI.</w:t>
      </w:r>
    </w:p>
    <w:p>
      <w:pPr>
        <w:spacing w:after="0"/>
        <w:jc w:val="both"/>
        <w:sectPr>
          <w:pgSz w:w="12240" w:h="15840"/>
          <w:pgMar w:header="596" w:footer="1003" w:top="1380" w:bottom="1200" w:left="900" w:right="840"/>
        </w:sectPr>
      </w:pPr>
    </w:p>
    <w:p>
      <w:pPr>
        <w:pStyle w:val="BodyText"/>
        <w:spacing w:before="5"/>
        <w:rPr>
          <w:sz w:val="21"/>
        </w:rPr>
      </w:pPr>
    </w:p>
    <w:p>
      <w:pPr>
        <w:pStyle w:val="Heading1"/>
        <w:numPr>
          <w:ilvl w:val="0"/>
          <w:numId w:val="19"/>
        </w:numPr>
        <w:tabs>
          <w:tab w:pos="4429" w:val="left" w:leader="none"/>
        </w:tabs>
        <w:spacing w:line="240" w:lineRule="auto" w:before="69" w:after="0"/>
        <w:ind w:left="4429" w:right="0" w:hanging="430"/>
        <w:jc w:val="left"/>
      </w:pPr>
      <w:bookmarkStart w:name="_TOC_250000" w:id="25"/>
      <w:bookmarkEnd w:id="25"/>
      <w:r>
        <w:rPr/>
        <w:t>BIBLIOGRAFÍA</w:t>
      </w:r>
    </w:p>
    <w:p>
      <w:pPr>
        <w:pStyle w:val="BodyText"/>
        <w:spacing w:before="4"/>
        <w:rPr>
          <w:b/>
          <w:sz w:val="29"/>
        </w:rPr>
      </w:pPr>
    </w:p>
    <w:p>
      <w:pPr>
        <w:pStyle w:val="ListParagraph"/>
        <w:numPr>
          <w:ilvl w:val="0"/>
          <w:numId w:val="27"/>
        </w:numPr>
        <w:tabs>
          <w:tab w:pos="721" w:val="left" w:leader="none"/>
        </w:tabs>
        <w:spacing w:line="240" w:lineRule="auto" w:before="1" w:after="0"/>
        <w:ind w:left="518" w:right="0" w:firstLine="0"/>
        <w:jc w:val="left"/>
        <w:rPr>
          <w:sz w:val="24"/>
        </w:rPr>
      </w:pPr>
      <w:r>
        <w:rPr>
          <w:sz w:val="24"/>
        </w:rPr>
        <w:t>Ricketts MR. The golden divider. J Clin Orthod.</w:t>
      </w:r>
      <w:r>
        <w:rPr>
          <w:spacing w:val="-18"/>
          <w:sz w:val="24"/>
        </w:rPr>
        <w:t> </w:t>
      </w:r>
      <w:r>
        <w:rPr>
          <w:sz w:val="24"/>
        </w:rPr>
        <w:t>1981;15:752-759.</w:t>
      </w:r>
    </w:p>
    <w:p>
      <w:pPr>
        <w:pStyle w:val="BodyText"/>
        <w:spacing w:before="2"/>
        <w:rPr>
          <w:sz w:val="29"/>
        </w:rPr>
      </w:pPr>
    </w:p>
    <w:p>
      <w:pPr>
        <w:pStyle w:val="ListParagraph"/>
        <w:numPr>
          <w:ilvl w:val="0"/>
          <w:numId w:val="27"/>
        </w:numPr>
        <w:tabs>
          <w:tab w:pos="721" w:val="left" w:leader="none"/>
        </w:tabs>
        <w:spacing w:line="360" w:lineRule="auto" w:before="0" w:after="0"/>
        <w:ind w:left="518" w:right="862" w:firstLine="0"/>
        <w:jc w:val="left"/>
        <w:rPr>
          <w:sz w:val="24"/>
        </w:rPr>
      </w:pPr>
      <w:r>
        <w:rPr>
          <w:sz w:val="24"/>
        </w:rPr>
        <w:t>Interlandi S. Ortodoncia, bases para la iniciación. Sao Paolo: Artes Médicas Latinoamérica;</w:t>
      </w:r>
      <w:r>
        <w:rPr>
          <w:spacing w:val="-9"/>
          <w:sz w:val="24"/>
        </w:rPr>
        <w:t> </w:t>
      </w:r>
      <w:r>
        <w:rPr>
          <w:sz w:val="24"/>
        </w:rPr>
        <w:t>2002.</w:t>
      </w:r>
    </w:p>
    <w:p>
      <w:pPr>
        <w:pStyle w:val="ListParagraph"/>
        <w:numPr>
          <w:ilvl w:val="0"/>
          <w:numId w:val="27"/>
        </w:numPr>
        <w:tabs>
          <w:tab w:pos="721" w:val="left" w:leader="none"/>
        </w:tabs>
        <w:spacing w:line="240" w:lineRule="auto" w:before="204" w:after="0"/>
        <w:ind w:left="721" w:right="0" w:hanging="203"/>
        <w:jc w:val="left"/>
        <w:rPr>
          <w:sz w:val="24"/>
        </w:rPr>
      </w:pPr>
      <w:r>
        <w:rPr>
          <w:sz w:val="24"/>
        </w:rPr>
        <w:t>Proffit </w:t>
      </w:r>
      <w:r>
        <w:rPr>
          <w:spacing w:val="2"/>
          <w:sz w:val="24"/>
        </w:rPr>
        <w:t>WR. </w:t>
      </w:r>
      <w:r>
        <w:rPr>
          <w:sz w:val="24"/>
        </w:rPr>
        <w:t>Ortodoncia, teoría y práctica, 2ª ed. España: Mosby-Doyma;</w:t>
      </w:r>
      <w:r>
        <w:rPr>
          <w:spacing w:val="-32"/>
          <w:sz w:val="24"/>
        </w:rPr>
        <w:t> </w:t>
      </w:r>
      <w:r>
        <w:rPr>
          <w:sz w:val="24"/>
        </w:rPr>
        <w:t>1994.</w:t>
      </w:r>
    </w:p>
    <w:p>
      <w:pPr>
        <w:pStyle w:val="BodyText"/>
        <w:spacing w:before="4"/>
        <w:rPr>
          <w:sz w:val="29"/>
        </w:rPr>
      </w:pPr>
    </w:p>
    <w:p>
      <w:pPr>
        <w:pStyle w:val="ListParagraph"/>
        <w:numPr>
          <w:ilvl w:val="0"/>
          <w:numId w:val="27"/>
        </w:numPr>
        <w:tabs>
          <w:tab w:pos="721" w:val="left" w:leader="none"/>
          <w:tab w:pos="1691" w:val="left" w:leader="none"/>
          <w:tab w:pos="2594" w:val="left" w:leader="none"/>
          <w:tab w:pos="2967" w:val="left" w:leader="none"/>
          <w:tab w:pos="3652" w:val="left" w:leader="none"/>
          <w:tab w:pos="4873" w:val="left" w:leader="none"/>
          <w:tab w:pos="4912" w:val="left" w:leader="none"/>
          <w:tab w:pos="5350" w:val="left" w:leader="none"/>
          <w:tab w:pos="5585" w:val="left" w:leader="none"/>
          <w:tab w:pos="6295" w:val="left" w:leader="none"/>
          <w:tab w:pos="6866" w:val="left" w:leader="none"/>
          <w:tab w:pos="7039" w:val="left" w:leader="none"/>
          <w:tab w:pos="8245" w:val="left" w:leader="none"/>
          <w:tab w:pos="8337" w:val="left" w:leader="none"/>
          <w:tab w:pos="8975" w:val="left" w:leader="none"/>
        </w:tabs>
        <w:spacing w:line="360" w:lineRule="auto" w:before="1" w:after="0"/>
        <w:ind w:left="518" w:right="855" w:firstLine="0"/>
        <w:jc w:val="left"/>
        <w:rPr>
          <w:sz w:val="24"/>
        </w:rPr>
      </w:pPr>
      <w:r>
        <w:rPr>
          <w:sz w:val="24"/>
        </w:rPr>
        <w:t>Silva MR. Aplicación Práctica de los Indicadores de Profundidad de Sobremordida Vertical,</w:t>
        <w:tab/>
        <w:t>Displasia</w:t>
        <w:tab/>
        <w:t>Anteroposterior</w:t>
        <w:tab/>
        <w:tab/>
        <w:t>e</w:t>
        <w:tab/>
        <w:t>Índice</w:t>
        <w:tab/>
        <w:t>de</w:t>
        <w:tab/>
        <w:t>extracción.</w:t>
        <w:tab/>
        <w:tab/>
      </w:r>
      <w:r>
        <w:rPr>
          <w:spacing w:val="-1"/>
          <w:sz w:val="24"/>
        </w:rPr>
        <w:t>[Orthodontic </w:t>
      </w:r>
      <w:r>
        <w:rPr>
          <w:sz w:val="24"/>
        </w:rPr>
        <w:t>CYBERjournal]</w:t>
        <w:tab/>
        <w:t>2004.</w:t>
        <w:tab/>
        <w:t>[Citado</w:t>
        <w:tab/>
        <w:t>el:</w:t>
        <w:tab/>
        <w:tab/>
        <w:t>22</w:t>
        <w:tab/>
        <w:t>de</w:t>
        <w:tab/>
        <w:tab/>
        <w:t>Agosto</w:t>
        <w:tab/>
        <w:t>de</w:t>
        <w:tab/>
        <w:t>2013.] </w:t>
      </w:r>
      <w:hyperlink r:id="rId393">
        <w:r>
          <w:rPr>
            <w:sz w:val="24"/>
          </w:rPr>
          <w:t>http://orthocj.com/2004/02/indicadores-de-profundidad-de-sobre-mordida-vertical-</w:t>
        </w:r>
      </w:hyperlink>
      <w:r>
        <w:rPr>
          <w:sz w:val="24"/>
        </w:rPr>
        <w:t> displasia</w:t>
      </w:r>
    </w:p>
    <w:p>
      <w:pPr>
        <w:pStyle w:val="ListParagraph"/>
        <w:numPr>
          <w:ilvl w:val="0"/>
          <w:numId w:val="27"/>
        </w:numPr>
        <w:tabs>
          <w:tab w:pos="721" w:val="left" w:leader="none"/>
        </w:tabs>
        <w:spacing w:line="360" w:lineRule="auto" w:before="204" w:after="0"/>
        <w:ind w:left="518" w:right="855" w:firstLine="0"/>
        <w:jc w:val="left"/>
        <w:rPr>
          <w:sz w:val="24"/>
        </w:rPr>
      </w:pPr>
      <w:r>
        <w:rPr>
          <w:sz w:val="24"/>
        </w:rPr>
        <w:t>Kim JY. Classification of the skeletal variation in normal occlusion. Angle Orthod. 2005;75:311-319.</w:t>
      </w:r>
    </w:p>
    <w:p>
      <w:pPr>
        <w:pStyle w:val="ListParagraph"/>
        <w:numPr>
          <w:ilvl w:val="0"/>
          <w:numId w:val="27"/>
        </w:numPr>
        <w:tabs>
          <w:tab w:pos="721" w:val="left" w:leader="none"/>
        </w:tabs>
        <w:spacing w:line="360" w:lineRule="auto" w:before="204" w:after="0"/>
        <w:ind w:left="518" w:right="857" w:firstLine="0"/>
        <w:jc w:val="both"/>
        <w:rPr>
          <w:sz w:val="24"/>
        </w:rPr>
      </w:pPr>
      <w:r>
        <w:rPr>
          <w:sz w:val="24"/>
        </w:rPr>
        <w:t>Kubodera IT. Morphometric Study on Craneofacial Structures of Central Mexican Adolescents by Using Cephalometric Analysis. Meikai University School of Dentistry. Japón.</w:t>
      </w:r>
      <w:r>
        <w:rPr>
          <w:spacing w:val="-9"/>
          <w:sz w:val="24"/>
        </w:rPr>
        <w:t> </w:t>
      </w:r>
      <w:r>
        <w:rPr>
          <w:sz w:val="24"/>
        </w:rPr>
        <w:t>1992;125-144.</w:t>
      </w:r>
    </w:p>
    <w:p>
      <w:pPr>
        <w:pStyle w:val="ListParagraph"/>
        <w:numPr>
          <w:ilvl w:val="0"/>
          <w:numId w:val="27"/>
        </w:numPr>
        <w:tabs>
          <w:tab w:pos="721" w:val="left" w:leader="none"/>
        </w:tabs>
        <w:spacing w:line="360" w:lineRule="auto" w:before="202" w:after="0"/>
        <w:ind w:left="518" w:right="856" w:firstLine="0"/>
        <w:jc w:val="left"/>
        <w:rPr>
          <w:sz w:val="24"/>
        </w:rPr>
      </w:pPr>
      <w:r>
        <w:rPr>
          <w:sz w:val="24"/>
        </w:rPr>
        <w:t>Vellini FF. Ortodoncia Diagnóstico y Planificación Clínica. Brasil: Artes Médicas Latinoamericanas;</w:t>
      </w:r>
      <w:r>
        <w:rPr>
          <w:spacing w:val="-10"/>
          <w:sz w:val="24"/>
        </w:rPr>
        <w:t> </w:t>
      </w:r>
      <w:r>
        <w:rPr>
          <w:sz w:val="24"/>
        </w:rPr>
        <w:t>2002.</w:t>
      </w:r>
    </w:p>
    <w:p>
      <w:pPr>
        <w:pStyle w:val="ListParagraph"/>
        <w:numPr>
          <w:ilvl w:val="0"/>
          <w:numId w:val="27"/>
        </w:numPr>
        <w:tabs>
          <w:tab w:pos="721" w:val="left" w:leader="none"/>
          <w:tab w:pos="1554" w:val="left" w:leader="none"/>
          <w:tab w:pos="2403" w:val="left" w:leader="none"/>
          <w:tab w:pos="3900" w:val="left" w:leader="none"/>
          <w:tab w:pos="4856" w:val="left" w:leader="none"/>
          <w:tab w:pos="5235" w:val="left" w:leader="none"/>
          <w:tab w:pos="6243" w:val="left" w:leader="none"/>
          <w:tab w:pos="7583" w:val="left" w:leader="none"/>
          <w:tab w:pos="9152" w:val="left" w:leader="none"/>
        </w:tabs>
        <w:spacing w:line="360" w:lineRule="auto" w:before="204" w:after="0"/>
        <w:ind w:left="518" w:right="864" w:firstLine="0"/>
        <w:jc w:val="left"/>
        <w:rPr>
          <w:sz w:val="24"/>
        </w:rPr>
      </w:pPr>
      <w:r>
        <w:rPr>
          <w:sz w:val="24"/>
        </w:rPr>
        <w:t>Uribe</w:t>
        <w:tab/>
        <w:t>RGA.</w:t>
        <w:tab/>
        <w:t>Ortodoncia.</w:t>
        <w:tab/>
        <w:t>Teoría</w:t>
        <w:tab/>
        <w:t>y</w:t>
        <w:tab/>
        <w:t>clínica.</w:t>
        <w:tab/>
        <w:t>Colombia:</w:t>
        <w:tab/>
        <w:t>Corporación</w:t>
        <w:tab/>
        <w:t>para investigaciones biológicas;</w:t>
      </w:r>
      <w:r>
        <w:rPr>
          <w:spacing w:val="-8"/>
          <w:sz w:val="24"/>
        </w:rPr>
        <w:t> </w:t>
      </w:r>
      <w:r>
        <w:rPr>
          <w:sz w:val="24"/>
        </w:rPr>
        <w:t>2010.</w:t>
      </w:r>
    </w:p>
    <w:p>
      <w:pPr>
        <w:pStyle w:val="ListParagraph"/>
        <w:numPr>
          <w:ilvl w:val="0"/>
          <w:numId w:val="27"/>
        </w:numPr>
        <w:tabs>
          <w:tab w:pos="721" w:val="left" w:leader="none"/>
        </w:tabs>
        <w:spacing w:line="535" w:lineRule="auto" w:before="204" w:after="0"/>
        <w:ind w:left="518" w:right="991" w:firstLine="0"/>
        <w:jc w:val="left"/>
        <w:rPr>
          <w:sz w:val="24"/>
        </w:rPr>
      </w:pPr>
      <w:r>
        <w:rPr>
          <w:sz w:val="24"/>
        </w:rPr>
        <w:t>Proffit WR. Ortodoncia contemporánea. Teoría y práctica. España: Harcourt;</w:t>
      </w:r>
      <w:r>
        <w:rPr>
          <w:spacing w:val="-32"/>
          <w:sz w:val="24"/>
        </w:rPr>
        <w:t> </w:t>
      </w:r>
      <w:r>
        <w:rPr>
          <w:sz w:val="24"/>
        </w:rPr>
        <w:t>2001. 10.Canut BJ. Ortodoncia Clínica. México:  Salvat;</w:t>
      </w:r>
      <w:r>
        <w:rPr>
          <w:spacing w:val="-18"/>
          <w:sz w:val="24"/>
        </w:rPr>
        <w:t> </w:t>
      </w:r>
      <w:r>
        <w:rPr>
          <w:sz w:val="24"/>
        </w:rPr>
        <w:t>2000.</w:t>
      </w:r>
    </w:p>
    <w:p>
      <w:pPr>
        <w:pStyle w:val="ListParagraph"/>
        <w:numPr>
          <w:ilvl w:val="0"/>
          <w:numId w:val="28"/>
        </w:numPr>
        <w:tabs>
          <w:tab w:pos="855" w:val="left" w:leader="none"/>
        </w:tabs>
        <w:spacing w:line="240" w:lineRule="auto" w:before="8" w:after="0"/>
        <w:ind w:left="518" w:right="0" w:firstLine="0"/>
        <w:jc w:val="left"/>
        <w:rPr>
          <w:sz w:val="24"/>
        </w:rPr>
      </w:pPr>
      <w:r>
        <w:rPr>
          <w:sz w:val="24"/>
        </w:rPr>
        <w:t>Zamora MCE. Atlas de Cefalometría. México: Amolca;</w:t>
      </w:r>
      <w:r>
        <w:rPr>
          <w:spacing w:val="-15"/>
          <w:sz w:val="24"/>
        </w:rPr>
        <w:t> </w:t>
      </w:r>
      <w:r>
        <w:rPr>
          <w:sz w:val="24"/>
        </w:rPr>
        <w:t>2003.</w:t>
      </w:r>
    </w:p>
    <w:p>
      <w:pPr>
        <w:pStyle w:val="BodyText"/>
        <w:spacing w:before="10"/>
        <w:rPr>
          <w:sz w:val="20"/>
        </w:rPr>
      </w:pPr>
    </w:p>
    <w:p>
      <w:pPr>
        <w:pStyle w:val="ListParagraph"/>
        <w:numPr>
          <w:ilvl w:val="0"/>
          <w:numId w:val="28"/>
        </w:numPr>
        <w:tabs>
          <w:tab w:pos="855" w:val="left" w:leader="none"/>
        </w:tabs>
        <w:spacing w:line="360" w:lineRule="auto" w:before="0" w:after="0"/>
        <w:ind w:left="518" w:right="867" w:firstLine="0"/>
        <w:jc w:val="left"/>
        <w:rPr>
          <w:sz w:val="24"/>
        </w:rPr>
      </w:pPr>
      <w:r>
        <w:rPr>
          <w:sz w:val="24"/>
        </w:rPr>
        <w:t>Bedoya AO. Biotipo morfológico facial en tres grupos étnicos Colombianos: Una nueva clasificación por medio del índice facial. Int J Morphol.</w:t>
      </w:r>
      <w:r>
        <w:rPr>
          <w:spacing w:val="-23"/>
          <w:sz w:val="24"/>
        </w:rPr>
        <w:t> </w:t>
      </w:r>
      <w:r>
        <w:rPr>
          <w:sz w:val="24"/>
        </w:rPr>
        <w:t>2012;30(2):677-682.</w:t>
      </w:r>
    </w:p>
    <w:p>
      <w:pPr>
        <w:spacing w:after="0" w:line="360" w:lineRule="auto"/>
        <w:jc w:val="left"/>
        <w:rPr>
          <w:sz w:val="24"/>
        </w:rPr>
        <w:sectPr>
          <w:pgSz w:w="12240" w:h="15840"/>
          <w:pgMar w:header="596" w:footer="1003" w:top="1380" w:bottom="1200" w:left="900" w:right="840"/>
        </w:sectPr>
      </w:pPr>
    </w:p>
    <w:p>
      <w:pPr>
        <w:pStyle w:val="BodyText"/>
        <w:spacing w:before="5"/>
        <w:rPr>
          <w:sz w:val="21"/>
        </w:rPr>
      </w:pPr>
    </w:p>
    <w:p>
      <w:pPr>
        <w:pStyle w:val="ListParagraph"/>
        <w:numPr>
          <w:ilvl w:val="0"/>
          <w:numId w:val="28"/>
        </w:numPr>
        <w:tabs>
          <w:tab w:pos="856" w:val="left" w:leader="none"/>
        </w:tabs>
        <w:spacing w:line="360" w:lineRule="auto" w:before="69" w:after="0"/>
        <w:ind w:left="518" w:right="855" w:firstLine="0"/>
        <w:jc w:val="left"/>
        <w:rPr>
          <w:sz w:val="24"/>
        </w:rPr>
      </w:pPr>
      <w:r>
        <w:rPr>
          <w:sz w:val="24"/>
        </w:rPr>
        <w:t>Moyers ER. The concept of pattern in craniofacial growth, Am J Orthod. 1979;76:136-148.</w:t>
      </w:r>
    </w:p>
    <w:p>
      <w:pPr>
        <w:pStyle w:val="ListParagraph"/>
        <w:numPr>
          <w:ilvl w:val="0"/>
          <w:numId w:val="28"/>
        </w:numPr>
        <w:tabs>
          <w:tab w:pos="856" w:val="left" w:leader="none"/>
        </w:tabs>
        <w:spacing w:line="360" w:lineRule="auto" w:before="204" w:after="0"/>
        <w:ind w:left="518" w:right="860" w:firstLine="0"/>
        <w:jc w:val="left"/>
        <w:rPr>
          <w:sz w:val="24"/>
        </w:rPr>
      </w:pPr>
      <w:r>
        <w:rPr>
          <w:sz w:val="24"/>
        </w:rPr>
        <w:t>Lara CE. Kubodera IT. González LB. et al. Cephalometric norms according to the Harvold´s analysis. Inter J Odontostomat.</w:t>
      </w:r>
      <w:r>
        <w:rPr>
          <w:spacing w:val="-16"/>
          <w:sz w:val="24"/>
        </w:rPr>
        <w:t> </w:t>
      </w:r>
      <w:r>
        <w:rPr>
          <w:sz w:val="24"/>
        </w:rPr>
        <w:t>2009;3(1):33-39.</w:t>
      </w:r>
    </w:p>
    <w:p>
      <w:pPr>
        <w:pStyle w:val="ListParagraph"/>
        <w:numPr>
          <w:ilvl w:val="0"/>
          <w:numId w:val="28"/>
        </w:numPr>
        <w:tabs>
          <w:tab w:pos="855" w:val="left" w:leader="none"/>
        </w:tabs>
        <w:spacing w:line="360" w:lineRule="auto" w:before="202" w:after="0"/>
        <w:ind w:left="518" w:right="863" w:firstLine="0"/>
        <w:jc w:val="left"/>
        <w:rPr>
          <w:sz w:val="24"/>
        </w:rPr>
      </w:pPr>
      <w:r>
        <w:rPr>
          <w:sz w:val="24"/>
        </w:rPr>
        <w:t>Faini E. Indicadores de maduración esqueletal, edad ósea, dental y morfológica. Rev Cub Ortod.</w:t>
      </w:r>
      <w:r>
        <w:rPr>
          <w:spacing w:val="-10"/>
          <w:sz w:val="24"/>
        </w:rPr>
        <w:t> </w:t>
      </w:r>
      <w:r>
        <w:rPr>
          <w:sz w:val="24"/>
        </w:rPr>
        <w:t>1988;13(2):121-125.</w:t>
      </w:r>
    </w:p>
    <w:p>
      <w:pPr>
        <w:pStyle w:val="ListParagraph"/>
        <w:numPr>
          <w:ilvl w:val="0"/>
          <w:numId w:val="28"/>
        </w:numPr>
        <w:tabs>
          <w:tab w:pos="856" w:val="left" w:leader="none"/>
        </w:tabs>
        <w:spacing w:line="360" w:lineRule="auto" w:before="204" w:after="0"/>
        <w:ind w:left="518" w:right="855" w:firstLine="0"/>
        <w:jc w:val="left"/>
        <w:rPr>
          <w:sz w:val="24"/>
        </w:rPr>
      </w:pPr>
      <w:r>
        <w:rPr>
          <w:sz w:val="24"/>
        </w:rPr>
        <w:t>Jiménez SE. Diagnóstico clínico en ortodoncia. Revista Mexicana de Odontología. 2008;14-17.</w:t>
      </w:r>
    </w:p>
    <w:p>
      <w:pPr>
        <w:pStyle w:val="ListParagraph"/>
        <w:numPr>
          <w:ilvl w:val="0"/>
          <w:numId w:val="28"/>
        </w:numPr>
        <w:tabs>
          <w:tab w:pos="855" w:val="left" w:leader="none"/>
        </w:tabs>
        <w:spacing w:line="240" w:lineRule="auto" w:before="204" w:after="0"/>
        <w:ind w:left="854" w:right="0" w:hanging="336"/>
        <w:jc w:val="left"/>
        <w:rPr>
          <w:sz w:val="24"/>
        </w:rPr>
      </w:pPr>
      <w:r>
        <w:rPr>
          <w:sz w:val="24"/>
        </w:rPr>
        <w:t>Costa CA. Fernadez BJ. La imagen digital. Rev Esp Ortod.</w:t>
      </w:r>
      <w:r>
        <w:rPr>
          <w:spacing w:val="-24"/>
          <w:sz w:val="24"/>
        </w:rPr>
        <w:t> </w:t>
      </w:r>
      <w:r>
        <w:rPr>
          <w:sz w:val="24"/>
        </w:rPr>
        <w:t>2005;35:255-266.</w:t>
      </w:r>
    </w:p>
    <w:p>
      <w:pPr>
        <w:pStyle w:val="BodyText"/>
        <w:spacing w:before="4"/>
        <w:rPr>
          <w:sz w:val="29"/>
        </w:rPr>
      </w:pPr>
    </w:p>
    <w:p>
      <w:pPr>
        <w:pStyle w:val="ListParagraph"/>
        <w:numPr>
          <w:ilvl w:val="0"/>
          <w:numId w:val="28"/>
        </w:numPr>
        <w:tabs>
          <w:tab w:pos="856" w:val="left" w:leader="none"/>
          <w:tab w:pos="7922" w:val="left" w:leader="none"/>
        </w:tabs>
        <w:spacing w:line="360" w:lineRule="auto" w:before="1" w:after="0"/>
        <w:ind w:left="518" w:right="861" w:firstLine="0"/>
        <w:jc w:val="left"/>
        <w:rPr>
          <w:sz w:val="24"/>
        </w:rPr>
      </w:pPr>
      <w:r>
        <w:rPr>
          <w:sz w:val="24"/>
        </w:rPr>
        <w:t>Moreno  VM.  Importancia  y  requisitos  de  la</w:t>
      </w:r>
      <w:r>
        <w:rPr>
          <w:spacing w:val="15"/>
          <w:sz w:val="24"/>
        </w:rPr>
        <w:t> </w:t>
      </w:r>
      <w:r>
        <w:rPr>
          <w:sz w:val="24"/>
        </w:rPr>
        <w:t>fotografía</w:t>
      </w:r>
      <w:r>
        <w:rPr>
          <w:spacing w:val="60"/>
          <w:sz w:val="24"/>
        </w:rPr>
        <w:t> </w:t>
      </w:r>
      <w:r>
        <w:rPr>
          <w:sz w:val="24"/>
        </w:rPr>
        <w:t>clínica</w:t>
        <w:tab/>
        <w:t>en</w:t>
      </w:r>
      <w:r>
        <w:rPr>
          <w:spacing w:val="54"/>
          <w:sz w:val="24"/>
        </w:rPr>
        <w:t> </w:t>
      </w:r>
      <w:r>
        <w:rPr>
          <w:sz w:val="24"/>
        </w:rPr>
        <w:t>odontología.</w:t>
      </w:r>
      <w:r>
        <w:rPr>
          <w:w w:val="100"/>
          <w:sz w:val="24"/>
        </w:rPr>
        <w:t> </w:t>
      </w:r>
      <w:r>
        <w:rPr>
          <w:sz w:val="24"/>
        </w:rPr>
        <w:t>Revista Odontológica de Mérida.</w:t>
      </w:r>
      <w:r>
        <w:rPr>
          <w:spacing w:val="-14"/>
          <w:sz w:val="24"/>
        </w:rPr>
        <w:t> </w:t>
      </w:r>
      <w:r>
        <w:rPr>
          <w:sz w:val="24"/>
        </w:rPr>
        <w:t>2006;1:35-43.</w:t>
      </w:r>
    </w:p>
    <w:p>
      <w:pPr>
        <w:pStyle w:val="ListParagraph"/>
        <w:numPr>
          <w:ilvl w:val="0"/>
          <w:numId w:val="28"/>
        </w:numPr>
        <w:tabs>
          <w:tab w:pos="855" w:val="left" w:leader="none"/>
        </w:tabs>
        <w:spacing w:line="240" w:lineRule="auto" w:before="204" w:after="0"/>
        <w:ind w:left="854" w:right="0" w:hanging="336"/>
        <w:jc w:val="left"/>
        <w:rPr>
          <w:sz w:val="24"/>
        </w:rPr>
      </w:pPr>
      <w:r>
        <w:rPr>
          <w:sz w:val="24"/>
        </w:rPr>
        <w:t>Fernandez BJ. Fotografía intraoral y extraoral. Rev Esp Ortod.</w:t>
      </w:r>
      <w:r>
        <w:rPr>
          <w:spacing w:val="-25"/>
          <w:sz w:val="24"/>
        </w:rPr>
        <w:t> </w:t>
      </w:r>
      <w:r>
        <w:rPr>
          <w:sz w:val="24"/>
        </w:rPr>
        <w:t>2006;36:49-58.</w:t>
      </w:r>
    </w:p>
    <w:p>
      <w:pPr>
        <w:pStyle w:val="BodyText"/>
        <w:spacing w:before="4"/>
        <w:rPr>
          <w:sz w:val="29"/>
        </w:rPr>
      </w:pPr>
    </w:p>
    <w:p>
      <w:pPr>
        <w:pStyle w:val="ListParagraph"/>
        <w:numPr>
          <w:ilvl w:val="0"/>
          <w:numId w:val="28"/>
        </w:numPr>
        <w:tabs>
          <w:tab w:pos="855" w:val="left" w:leader="none"/>
        </w:tabs>
        <w:spacing w:line="360" w:lineRule="auto" w:before="1" w:after="0"/>
        <w:ind w:left="518" w:right="860" w:firstLine="0"/>
        <w:jc w:val="left"/>
        <w:rPr>
          <w:sz w:val="24"/>
        </w:rPr>
      </w:pPr>
      <w:r>
        <w:rPr>
          <w:sz w:val="24"/>
        </w:rPr>
        <w:t>Canut BM. Fotografías intraorales laterales con espejos. Rev Esp Ortod. 2003;33:73-76.</w:t>
      </w:r>
    </w:p>
    <w:p>
      <w:pPr>
        <w:pStyle w:val="ListParagraph"/>
        <w:numPr>
          <w:ilvl w:val="0"/>
          <w:numId w:val="28"/>
        </w:numPr>
        <w:tabs>
          <w:tab w:pos="856" w:val="left" w:leader="none"/>
        </w:tabs>
        <w:spacing w:line="360" w:lineRule="auto" w:before="204" w:after="0"/>
        <w:ind w:left="518" w:right="858" w:firstLine="0"/>
        <w:jc w:val="left"/>
        <w:rPr>
          <w:sz w:val="24"/>
        </w:rPr>
      </w:pPr>
      <w:r>
        <w:rPr>
          <w:sz w:val="24"/>
        </w:rPr>
        <w:t>Ugalde MF. La imagen digital aplicada a la clínica de ortodoncia. Rev ADM. 2005;62(6):230-239.</w:t>
      </w:r>
    </w:p>
    <w:p>
      <w:pPr>
        <w:pStyle w:val="ListParagraph"/>
        <w:numPr>
          <w:ilvl w:val="0"/>
          <w:numId w:val="28"/>
        </w:numPr>
        <w:tabs>
          <w:tab w:pos="855" w:val="left" w:leader="none"/>
        </w:tabs>
        <w:spacing w:line="360" w:lineRule="auto" w:before="204" w:after="0"/>
        <w:ind w:left="518" w:right="864" w:firstLine="0"/>
        <w:jc w:val="left"/>
        <w:rPr>
          <w:sz w:val="24"/>
        </w:rPr>
      </w:pPr>
      <w:r>
        <w:rPr>
          <w:sz w:val="24"/>
        </w:rPr>
        <w:t>Mckeown HF. How to avoid common errors in clinical photography. J Orthod. 2005;32:43-45.</w:t>
      </w:r>
    </w:p>
    <w:p>
      <w:pPr>
        <w:pStyle w:val="ListParagraph"/>
        <w:numPr>
          <w:ilvl w:val="0"/>
          <w:numId w:val="28"/>
        </w:numPr>
        <w:tabs>
          <w:tab w:pos="856" w:val="left" w:leader="none"/>
        </w:tabs>
        <w:spacing w:line="240" w:lineRule="auto" w:before="204" w:after="0"/>
        <w:ind w:left="855" w:right="0" w:hanging="337"/>
        <w:jc w:val="left"/>
        <w:rPr>
          <w:sz w:val="24"/>
        </w:rPr>
      </w:pPr>
      <w:r>
        <w:rPr>
          <w:sz w:val="24"/>
        </w:rPr>
        <w:t>Steiner CC. Cephalometrics in clinical practice. Angle Orthod.</w:t>
      </w:r>
      <w:r>
        <w:rPr>
          <w:spacing w:val="-23"/>
          <w:sz w:val="24"/>
        </w:rPr>
        <w:t> </w:t>
      </w:r>
      <w:r>
        <w:rPr>
          <w:sz w:val="24"/>
        </w:rPr>
        <w:t>1959;29:8-29.</w:t>
      </w:r>
    </w:p>
    <w:p>
      <w:pPr>
        <w:pStyle w:val="BodyText"/>
        <w:spacing w:before="5"/>
        <w:rPr>
          <w:sz w:val="29"/>
        </w:rPr>
      </w:pPr>
    </w:p>
    <w:p>
      <w:pPr>
        <w:pStyle w:val="ListParagraph"/>
        <w:numPr>
          <w:ilvl w:val="0"/>
          <w:numId w:val="28"/>
        </w:numPr>
        <w:tabs>
          <w:tab w:pos="855" w:val="left" w:leader="none"/>
          <w:tab w:pos="4178" w:val="left" w:leader="none"/>
        </w:tabs>
        <w:spacing w:line="360" w:lineRule="auto" w:before="0" w:after="0"/>
        <w:ind w:left="518" w:right="864" w:firstLine="0"/>
        <w:jc w:val="left"/>
        <w:rPr>
          <w:sz w:val="24"/>
        </w:rPr>
      </w:pPr>
      <w:r>
        <w:rPr>
          <w:sz w:val="24"/>
        </w:rPr>
        <w:t>Gregoret   J. </w:t>
      </w:r>
      <w:r>
        <w:rPr>
          <w:spacing w:val="22"/>
          <w:sz w:val="24"/>
        </w:rPr>
        <w:t> </w:t>
      </w:r>
      <w:r>
        <w:rPr>
          <w:sz w:val="24"/>
        </w:rPr>
        <w:t>Ortodoncia </w:t>
      </w:r>
      <w:r>
        <w:rPr>
          <w:spacing w:val="44"/>
          <w:sz w:val="24"/>
        </w:rPr>
        <w:t> </w:t>
      </w:r>
      <w:r>
        <w:rPr>
          <w:sz w:val="24"/>
        </w:rPr>
        <w:t>y</w:t>
        <w:tab/>
        <w:t>cirugía   ortognática.   Diagnóstico</w:t>
      </w:r>
      <w:r>
        <w:rPr>
          <w:spacing w:val="63"/>
          <w:sz w:val="24"/>
        </w:rPr>
        <w:t> </w:t>
      </w:r>
      <w:r>
        <w:rPr>
          <w:sz w:val="24"/>
        </w:rPr>
        <w:t>y </w:t>
      </w:r>
      <w:r>
        <w:rPr>
          <w:spacing w:val="41"/>
          <w:sz w:val="24"/>
        </w:rPr>
        <w:t> </w:t>
      </w:r>
      <w:r>
        <w:rPr>
          <w:sz w:val="24"/>
        </w:rPr>
        <w:t>planificación.</w:t>
      </w:r>
      <w:r>
        <w:rPr>
          <w:w w:val="100"/>
          <w:sz w:val="24"/>
        </w:rPr>
        <w:t> </w:t>
      </w:r>
      <w:r>
        <w:rPr>
          <w:sz w:val="24"/>
        </w:rPr>
        <w:t>Barcelona: Publicaciones médicas;</w:t>
      </w:r>
      <w:r>
        <w:rPr>
          <w:spacing w:val="-13"/>
          <w:sz w:val="24"/>
        </w:rPr>
        <w:t> </w:t>
      </w:r>
      <w:r>
        <w:rPr>
          <w:sz w:val="24"/>
        </w:rPr>
        <w:t>1998.</w:t>
      </w:r>
    </w:p>
    <w:p>
      <w:pPr>
        <w:pStyle w:val="ListParagraph"/>
        <w:numPr>
          <w:ilvl w:val="0"/>
          <w:numId w:val="28"/>
        </w:numPr>
        <w:tabs>
          <w:tab w:pos="856" w:val="left" w:leader="none"/>
        </w:tabs>
        <w:spacing w:line="240" w:lineRule="auto" w:before="204" w:after="0"/>
        <w:ind w:left="855" w:right="0" w:hanging="337"/>
        <w:jc w:val="left"/>
        <w:rPr>
          <w:sz w:val="24"/>
        </w:rPr>
      </w:pPr>
      <w:r>
        <w:rPr>
          <w:sz w:val="24"/>
        </w:rPr>
        <w:t>Frías VI. El diagnóstico en ortodoncia. Parte 1: cefalometría. Rev ADM.</w:t>
      </w:r>
      <w:r>
        <w:rPr>
          <w:spacing w:val="-17"/>
          <w:sz w:val="24"/>
        </w:rPr>
        <w:t> </w:t>
      </w:r>
      <w:r>
        <w:rPr>
          <w:sz w:val="24"/>
        </w:rPr>
        <w:t>8-13.</w:t>
      </w:r>
    </w:p>
    <w:p>
      <w:pPr>
        <w:pStyle w:val="BodyText"/>
        <w:spacing w:before="4"/>
        <w:rPr>
          <w:sz w:val="29"/>
        </w:rPr>
      </w:pPr>
    </w:p>
    <w:p>
      <w:pPr>
        <w:pStyle w:val="ListParagraph"/>
        <w:numPr>
          <w:ilvl w:val="0"/>
          <w:numId w:val="28"/>
        </w:numPr>
        <w:tabs>
          <w:tab w:pos="856" w:val="left" w:leader="none"/>
        </w:tabs>
        <w:spacing w:line="360" w:lineRule="auto" w:before="1" w:after="0"/>
        <w:ind w:left="518" w:right="857" w:firstLine="0"/>
        <w:jc w:val="left"/>
        <w:rPr>
          <w:sz w:val="24"/>
        </w:rPr>
      </w:pPr>
      <w:r>
        <w:rPr>
          <w:sz w:val="24"/>
        </w:rPr>
        <w:t>Caro MRS. Aplicación del índice de Pont en pacientes de etnia mestiza de 18-25 años con oclusión normal. Kiru. 2008;14(1):</w:t>
      </w:r>
      <w:r>
        <w:rPr>
          <w:spacing w:val="-18"/>
          <w:sz w:val="24"/>
        </w:rPr>
        <w:t> </w:t>
      </w:r>
      <w:r>
        <w:rPr>
          <w:sz w:val="24"/>
        </w:rPr>
        <w:t>25-35.</w:t>
      </w:r>
    </w:p>
    <w:p>
      <w:pPr>
        <w:spacing w:after="0" w:line="360" w:lineRule="auto"/>
        <w:jc w:val="left"/>
        <w:rPr>
          <w:sz w:val="24"/>
        </w:rPr>
        <w:sectPr>
          <w:footerReference w:type="default" r:id="rId394"/>
          <w:pgSz w:w="12240" w:h="15840"/>
          <w:pgMar w:footer="1003" w:header="596" w:top="1380" w:bottom="1200" w:left="900" w:right="840"/>
        </w:sectPr>
      </w:pPr>
    </w:p>
    <w:p>
      <w:pPr>
        <w:pStyle w:val="BodyText"/>
        <w:spacing w:before="5"/>
        <w:rPr>
          <w:sz w:val="21"/>
        </w:rPr>
      </w:pPr>
    </w:p>
    <w:p>
      <w:pPr>
        <w:pStyle w:val="ListParagraph"/>
        <w:numPr>
          <w:ilvl w:val="0"/>
          <w:numId w:val="28"/>
        </w:numPr>
        <w:tabs>
          <w:tab w:pos="856" w:val="left" w:leader="none"/>
        </w:tabs>
        <w:spacing w:line="360" w:lineRule="auto" w:before="69" w:after="0"/>
        <w:ind w:left="518" w:right="863" w:firstLine="0"/>
        <w:jc w:val="left"/>
        <w:rPr>
          <w:sz w:val="24"/>
        </w:rPr>
      </w:pPr>
      <w:r>
        <w:rPr>
          <w:sz w:val="24"/>
        </w:rPr>
        <w:t>Barahona CJ. Principales análisis cefalométricos utilizados para el diagnóstico ortodóntico. Revista Científica.</w:t>
      </w:r>
      <w:r>
        <w:rPr>
          <w:spacing w:val="-13"/>
          <w:sz w:val="24"/>
        </w:rPr>
        <w:t> </w:t>
      </w:r>
      <w:r>
        <w:rPr>
          <w:sz w:val="24"/>
        </w:rPr>
        <w:t>2006:11-27.</w:t>
      </w:r>
    </w:p>
    <w:p>
      <w:pPr>
        <w:pStyle w:val="BodyText"/>
        <w:tabs>
          <w:tab w:pos="1806" w:val="left" w:leader="none"/>
          <w:tab w:pos="2425" w:val="left" w:leader="none"/>
          <w:tab w:pos="3494" w:val="left" w:leader="none"/>
          <w:tab w:pos="4046" w:val="left" w:leader="none"/>
          <w:tab w:pos="5718" w:val="left" w:leader="none"/>
          <w:tab w:pos="7202" w:val="left" w:leader="none"/>
          <w:tab w:pos="8861" w:val="left" w:leader="none"/>
        </w:tabs>
        <w:spacing w:line="360" w:lineRule="auto" w:before="204"/>
        <w:ind w:left="518" w:right="865"/>
      </w:pPr>
      <w:r>
        <w:rPr/>
        <w:t>28.Águila</w:t>
        <w:tab/>
        <w:t>JF.</w:t>
        <w:tab/>
        <w:t>Manual</w:t>
        <w:tab/>
        <w:t>de</w:t>
        <w:tab/>
        <w:t>cefalometría.</w:t>
        <w:tab/>
        <w:t>Venezuela:</w:t>
        <w:tab/>
        <w:t>Actualidades</w:t>
        <w:tab/>
      </w:r>
      <w:r>
        <w:rPr>
          <w:spacing w:val="-1"/>
        </w:rPr>
        <w:t>Médico </w:t>
      </w:r>
      <w:r>
        <w:rPr/>
        <w:t>Odontológicas Latinoamerica;</w:t>
      </w:r>
      <w:r>
        <w:rPr>
          <w:spacing w:val="-13"/>
        </w:rPr>
        <w:t> </w:t>
      </w:r>
      <w:r>
        <w:rPr/>
        <w:t>1996.</w:t>
      </w:r>
    </w:p>
    <w:p>
      <w:pPr>
        <w:pStyle w:val="ListParagraph"/>
        <w:numPr>
          <w:ilvl w:val="0"/>
          <w:numId w:val="29"/>
        </w:numPr>
        <w:tabs>
          <w:tab w:pos="856" w:val="left" w:leader="none"/>
        </w:tabs>
        <w:spacing w:line="360" w:lineRule="auto" w:before="202" w:after="0"/>
        <w:ind w:left="518" w:right="855" w:firstLine="0"/>
        <w:jc w:val="left"/>
        <w:rPr>
          <w:sz w:val="24"/>
        </w:rPr>
      </w:pPr>
      <w:r>
        <w:rPr>
          <w:sz w:val="24"/>
        </w:rPr>
        <w:t>Moyers ER. The inappropriateness of conventional cephalometrics. Am J Orthod. 1979;75:599-617.</w:t>
      </w:r>
    </w:p>
    <w:p>
      <w:pPr>
        <w:pStyle w:val="ListParagraph"/>
        <w:numPr>
          <w:ilvl w:val="0"/>
          <w:numId w:val="29"/>
        </w:numPr>
        <w:tabs>
          <w:tab w:pos="856" w:val="left" w:leader="none"/>
        </w:tabs>
        <w:spacing w:line="360" w:lineRule="auto" w:before="204" w:after="0"/>
        <w:ind w:left="518" w:right="857" w:firstLine="0"/>
        <w:jc w:val="left"/>
        <w:rPr>
          <w:sz w:val="24"/>
        </w:rPr>
      </w:pPr>
      <w:r>
        <w:rPr>
          <w:sz w:val="24"/>
        </w:rPr>
        <w:t>Downs </w:t>
      </w:r>
      <w:r>
        <w:rPr>
          <w:spacing w:val="2"/>
          <w:sz w:val="24"/>
        </w:rPr>
        <w:t>WB. </w:t>
      </w:r>
      <w:r>
        <w:rPr>
          <w:sz w:val="24"/>
        </w:rPr>
        <w:t>Variations in facial relationships: their significance in treatment and prognosis. Am J Orthod.</w:t>
      </w:r>
      <w:r>
        <w:rPr>
          <w:spacing w:val="-15"/>
          <w:sz w:val="24"/>
        </w:rPr>
        <w:t> </w:t>
      </w:r>
      <w:r>
        <w:rPr>
          <w:sz w:val="24"/>
        </w:rPr>
        <w:t>1948;34:812-840.</w:t>
      </w:r>
    </w:p>
    <w:p>
      <w:pPr>
        <w:pStyle w:val="ListParagraph"/>
        <w:numPr>
          <w:ilvl w:val="0"/>
          <w:numId w:val="29"/>
        </w:numPr>
        <w:tabs>
          <w:tab w:pos="856" w:val="left" w:leader="none"/>
        </w:tabs>
        <w:spacing w:line="240" w:lineRule="auto" w:before="204" w:after="0"/>
        <w:ind w:left="855" w:right="0" w:hanging="337"/>
        <w:jc w:val="left"/>
        <w:rPr>
          <w:sz w:val="24"/>
        </w:rPr>
      </w:pPr>
      <w:r>
        <w:rPr>
          <w:sz w:val="24"/>
        </w:rPr>
        <w:t>Jacobson A. Application of the Wits Appraisal. Am J Orthod.</w:t>
      </w:r>
      <w:r>
        <w:rPr>
          <w:spacing w:val="-28"/>
          <w:sz w:val="24"/>
        </w:rPr>
        <w:t> </w:t>
      </w:r>
      <w:r>
        <w:rPr>
          <w:sz w:val="24"/>
        </w:rPr>
        <w:t>1976;70:179-189.</w:t>
      </w:r>
    </w:p>
    <w:p>
      <w:pPr>
        <w:pStyle w:val="BodyText"/>
        <w:spacing w:before="4"/>
        <w:rPr>
          <w:sz w:val="29"/>
        </w:rPr>
      </w:pPr>
    </w:p>
    <w:p>
      <w:pPr>
        <w:pStyle w:val="ListParagraph"/>
        <w:numPr>
          <w:ilvl w:val="0"/>
          <w:numId w:val="29"/>
        </w:numPr>
        <w:tabs>
          <w:tab w:pos="856" w:val="left" w:leader="none"/>
        </w:tabs>
        <w:spacing w:line="360" w:lineRule="auto" w:before="1" w:after="0"/>
        <w:ind w:left="518" w:right="852" w:firstLine="0"/>
        <w:jc w:val="left"/>
        <w:rPr>
          <w:sz w:val="24"/>
        </w:rPr>
      </w:pPr>
      <w:r>
        <w:rPr>
          <w:sz w:val="24"/>
        </w:rPr>
        <w:t>Jacobson A. The Wits appraisal of jaw disharmony. Am J Orthod. 1975;67:125- 138.</w:t>
      </w:r>
    </w:p>
    <w:p>
      <w:pPr>
        <w:pStyle w:val="ListParagraph"/>
        <w:numPr>
          <w:ilvl w:val="0"/>
          <w:numId w:val="29"/>
        </w:numPr>
        <w:tabs>
          <w:tab w:pos="856" w:val="left" w:leader="none"/>
        </w:tabs>
        <w:spacing w:line="360" w:lineRule="auto" w:before="204" w:after="0"/>
        <w:ind w:left="518" w:right="855" w:firstLine="0"/>
        <w:jc w:val="left"/>
        <w:rPr>
          <w:sz w:val="24"/>
        </w:rPr>
      </w:pPr>
      <w:r>
        <w:rPr>
          <w:sz w:val="24"/>
        </w:rPr>
        <w:t>Ricketts MR. Orientation sella-nasion of Frankfort horizontal. Am J Orthod. 1976;69:648-654.</w:t>
      </w:r>
    </w:p>
    <w:p>
      <w:pPr>
        <w:pStyle w:val="ListParagraph"/>
        <w:numPr>
          <w:ilvl w:val="0"/>
          <w:numId w:val="29"/>
        </w:numPr>
        <w:tabs>
          <w:tab w:pos="856" w:val="left" w:leader="none"/>
        </w:tabs>
        <w:spacing w:line="360" w:lineRule="auto" w:before="202" w:after="0"/>
        <w:ind w:left="518" w:right="858" w:firstLine="0"/>
        <w:jc w:val="left"/>
        <w:rPr>
          <w:sz w:val="24"/>
        </w:rPr>
      </w:pPr>
      <w:r>
        <w:rPr>
          <w:sz w:val="24"/>
        </w:rPr>
        <w:t>Young JH. Constancy of the angle between the Frankfort horizontal plane and the sella-nasion line. Angle Orthod.</w:t>
      </w:r>
      <w:r>
        <w:rPr>
          <w:spacing w:val="-16"/>
          <w:sz w:val="24"/>
        </w:rPr>
        <w:t> </w:t>
      </w:r>
      <w:r>
        <w:rPr>
          <w:sz w:val="24"/>
        </w:rPr>
        <w:t>2000;00:1-6.</w:t>
      </w:r>
    </w:p>
    <w:p>
      <w:pPr>
        <w:pStyle w:val="ListParagraph"/>
        <w:numPr>
          <w:ilvl w:val="0"/>
          <w:numId w:val="29"/>
        </w:numPr>
        <w:tabs>
          <w:tab w:pos="856" w:val="left" w:leader="none"/>
        </w:tabs>
        <w:spacing w:line="360" w:lineRule="auto" w:before="204" w:after="0"/>
        <w:ind w:left="518" w:right="859" w:firstLine="0"/>
        <w:jc w:val="left"/>
        <w:rPr>
          <w:sz w:val="24"/>
        </w:rPr>
      </w:pPr>
      <w:r>
        <w:rPr>
          <w:sz w:val="24"/>
        </w:rPr>
        <w:t>Biggersatff RA. Vertical cephalometric analisys of the human craniofacial complex. Am J Orthod.</w:t>
      </w:r>
      <w:r>
        <w:rPr>
          <w:spacing w:val="-10"/>
          <w:sz w:val="24"/>
        </w:rPr>
        <w:t> </w:t>
      </w:r>
      <w:r>
        <w:rPr>
          <w:sz w:val="24"/>
        </w:rPr>
        <w:t>1977;4:397-405.</w:t>
      </w:r>
    </w:p>
    <w:p>
      <w:pPr>
        <w:pStyle w:val="ListParagraph"/>
        <w:numPr>
          <w:ilvl w:val="0"/>
          <w:numId w:val="29"/>
        </w:numPr>
        <w:tabs>
          <w:tab w:pos="856" w:val="left" w:leader="none"/>
        </w:tabs>
        <w:spacing w:line="360" w:lineRule="auto" w:before="204" w:after="0"/>
        <w:ind w:left="518" w:right="856" w:firstLine="0"/>
        <w:jc w:val="left"/>
        <w:rPr>
          <w:sz w:val="24"/>
        </w:rPr>
      </w:pPr>
      <w:r>
        <w:rPr>
          <w:sz w:val="24"/>
        </w:rPr>
        <w:t>Nielsen L. Vertical malocclusions: etiology, development, diagnosis and some aspects of treatment. Angle Orthod.</w:t>
      </w:r>
      <w:r>
        <w:rPr>
          <w:spacing w:val="-19"/>
          <w:sz w:val="24"/>
        </w:rPr>
        <w:t> </w:t>
      </w:r>
      <w:r>
        <w:rPr>
          <w:sz w:val="24"/>
        </w:rPr>
        <w:t>1991;61:247260.</w:t>
      </w:r>
    </w:p>
    <w:p>
      <w:pPr>
        <w:pStyle w:val="ListParagraph"/>
        <w:numPr>
          <w:ilvl w:val="0"/>
          <w:numId w:val="29"/>
        </w:numPr>
        <w:tabs>
          <w:tab w:pos="856" w:val="left" w:leader="none"/>
        </w:tabs>
        <w:spacing w:line="360" w:lineRule="auto" w:before="205" w:after="0"/>
        <w:ind w:left="518" w:right="857" w:firstLine="0"/>
        <w:jc w:val="left"/>
        <w:rPr>
          <w:sz w:val="24"/>
        </w:rPr>
      </w:pPr>
      <w:r>
        <w:rPr>
          <w:sz w:val="24"/>
        </w:rPr>
        <w:t>Medine A. Analysis of Holdaway soft-tissue measurements in children between 9 and 12 years of age. Eur J Orthod.</w:t>
      </w:r>
      <w:r>
        <w:rPr>
          <w:spacing w:val="-19"/>
          <w:sz w:val="24"/>
        </w:rPr>
        <w:t> </w:t>
      </w:r>
      <w:r>
        <w:rPr>
          <w:sz w:val="24"/>
        </w:rPr>
        <w:t>2001;287-294.</w:t>
      </w:r>
    </w:p>
    <w:p>
      <w:pPr>
        <w:pStyle w:val="ListParagraph"/>
        <w:numPr>
          <w:ilvl w:val="0"/>
          <w:numId w:val="29"/>
        </w:numPr>
        <w:tabs>
          <w:tab w:pos="856" w:val="left" w:leader="none"/>
        </w:tabs>
        <w:spacing w:line="360" w:lineRule="auto" w:before="204" w:after="0"/>
        <w:ind w:left="518" w:right="855" w:firstLine="0"/>
        <w:jc w:val="left"/>
        <w:rPr>
          <w:sz w:val="24"/>
        </w:rPr>
      </w:pPr>
      <w:r>
        <w:rPr>
          <w:sz w:val="24"/>
        </w:rPr>
        <w:t>Holdaway RA. A soft-tissue cephalometric analysis and its use in orthodontic treatment planning Part I. Am J Orthodontics.</w:t>
      </w:r>
      <w:r>
        <w:rPr>
          <w:spacing w:val="-16"/>
          <w:sz w:val="24"/>
        </w:rPr>
        <w:t> </w:t>
      </w:r>
      <w:r>
        <w:rPr>
          <w:sz w:val="24"/>
        </w:rPr>
        <w:t>1983;1:1-28.</w:t>
      </w:r>
    </w:p>
    <w:p>
      <w:pPr>
        <w:pStyle w:val="ListParagraph"/>
        <w:numPr>
          <w:ilvl w:val="0"/>
          <w:numId w:val="29"/>
        </w:numPr>
        <w:tabs>
          <w:tab w:pos="856" w:val="left" w:leader="none"/>
        </w:tabs>
        <w:spacing w:line="360" w:lineRule="auto" w:before="204" w:after="0"/>
        <w:ind w:left="518" w:right="855" w:firstLine="0"/>
        <w:jc w:val="left"/>
        <w:rPr>
          <w:sz w:val="24"/>
        </w:rPr>
      </w:pPr>
      <w:r>
        <w:rPr>
          <w:sz w:val="24"/>
        </w:rPr>
        <w:t>Holdaway RA. A soft-tissue cephalometric analysis and its use in orthodontic treatment planning Part II. Am J Orthod.</w:t>
      </w:r>
      <w:r>
        <w:rPr>
          <w:spacing w:val="-19"/>
          <w:sz w:val="24"/>
        </w:rPr>
        <w:t> </w:t>
      </w:r>
      <w:r>
        <w:rPr>
          <w:sz w:val="24"/>
        </w:rPr>
        <w:t>1984;4:279-293.</w:t>
      </w:r>
    </w:p>
    <w:p>
      <w:pPr>
        <w:spacing w:after="0" w:line="360" w:lineRule="auto"/>
        <w:jc w:val="left"/>
        <w:rPr>
          <w:sz w:val="24"/>
        </w:rPr>
        <w:sectPr>
          <w:footerReference w:type="default" r:id="rId395"/>
          <w:pgSz w:w="12240" w:h="15840"/>
          <w:pgMar w:footer="1003" w:header="596" w:top="1380" w:bottom="1200" w:left="900" w:right="840"/>
          <w:pgNumType w:start="81"/>
        </w:sectPr>
      </w:pPr>
    </w:p>
    <w:p>
      <w:pPr>
        <w:pStyle w:val="BodyText"/>
        <w:spacing w:before="5"/>
        <w:rPr>
          <w:sz w:val="21"/>
        </w:rPr>
      </w:pPr>
    </w:p>
    <w:p>
      <w:pPr>
        <w:pStyle w:val="ListParagraph"/>
        <w:numPr>
          <w:ilvl w:val="0"/>
          <w:numId w:val="29"/>
        </w:numPr>
        <w:tabs>
          <w:tab w:pos="856" w:val="left" w:leader="none"/>
        </w:tabs>
        <w:spacing w:line="360" w:lineRule="auto" w:before="69" w:after="0"/>
        <w:ind w:left="518" w:right="858" w:firstLine="0"/>
        <w:jc w:val="both"/>
        <w:rPr>
          <w:sz w:val="24"/>
        </w:rPr>
      </w:pPr>
      <w:r>
        <w:rPr>
          <w:sz w:val="24"/>
        </w:rPr>
        <w:t>Kim HY. Anterior openbite and its treatment with multiloop edgewise archwire. Angle Orthod.</w:t>
      </w:r>
      <w:r>
        <w:rPr>
          <w:spacing w:val="-11"/>
          <w:sz w:val="24"/>
        </w:rPr>
        <w:t> </w:t>
      </w:r>
      <w:r>
        <w:rPr>
          <w:sz w:val="24"/>
        </w:rPr>
        <w:t>1987:290-32.</w:t>
      </w:r>
    </w:p>
    <w:p>
      <w:pPr>
        <w:pStyle w:val="ListParagraph"/>
        <w:numPr>
          <w:ilvl w:val="0"/>
          <w:numId w:val="29"/>
        </w:numPr>
        <w:tabs>
          <w:tab w:pos="856" w:val="left" w:leader="none"/>
        </w:tabs>
        <w:spacing w:line="360" w:lineRule="auto" w:before="204" w:after="0"/>
        <w:ind w:left="518" w:right="859" w:firstLine="0"/>
        <w:jc w:val="both"/>
        <w:rPr>
          <w:sz w:val="24"/>
        </w:rPr>
      </w:pPr>
      <w:r>
        <w:rPr>
          <w:sz w:val="24"/>
        </w:rPr>
        <w:t>Beltráo P. Treatment of Class II deep overbite with multiloop edgewise arch-wire (MEAW) therapy. Ed. Principles in contemporary orthodontics. Croacia: Intech; 2011 p.55-78.</w:t>
      </w:r>
    </w:p>
    <w:p>
      <w:pPr>
        <w:pStyle w:val="ListParagraph"/>
        <w:numPr>
          <w:ilvl w:val="0"/>
          <w:numId w:val="29"/>
        </w:numPr>
        <w:tabs>
          <w:tab w:pos="855" w:val="left" w:leader="none"/>
        </w:tabs>
        <w:spacing w:line="360" w:lineRule="auto" w:before="204" w:after="0"/>
        <w:ind w:left="518" w:right="855" w:firstLine="0"/>
        <w:jc w:val="both"/>
        <w:rPr>
          <w:sz w:val="24"/>
        </w:rPr>
      </w:pPr>
      <w:r>
        <w:rPr>
          <w:sz w:val="24"/>
        </w:rPr>
        <w:t>Kim YH. Overbite depth indicator with particular reference to anterior open-bite. Am J Orthod.</w:t>
      </w:r>
      <w:r>
        <w:rPr>
          <w:spacing w:val="-9"/>
          <w:sz w:val="24"/>
        </w:rPr>
        <w:t> </w:t>
      </w:r>
      <w:r>
        <w:rPr>
          <w:sz w:val="24"/>
        </w:rPr>
        <w:t>1974;65(6):586-611.</w:t>
      </w:r>
    </w:p>
    <w:p>
      <w:pPr>
        <w:pStyle w:val="ListParagraph"/>
        <w:numPr>
          <w:ilvl w:val="0"/>
          <w:numId w:val="29"/>
        </w:numPr>
        <w:tabs>
          <w:tab w:pos="855" w:val="left" w:leader="none"/>
        </w:tabs>
        <w:spacing w:line="360" w:lineRule="auto" w:before="205" w:after="0"/>
        <w:ind w:left="518" w:right="866" w:firstLine="0"/>
        <w:jc w:val="both"/>
        <w:rPr>
          <w:sz w:val="24"/>
        </w:rPr>
      </w:pPr>
      <w:r>
        <w:rPr>
          <w:sz w:val="24"/>
        </w:rPr>
        <w:t>Kim YH. Anteroposterior dysplasia indicator: an adjunct to cephalometric differential diagnosis. Am J Orthod.</w:t>
      </w:r>
      <w:r>
        <w:rPr>
          <w:spacing w:val="-15"/>
          <w:sz w:val="24"/>
        </w:rPr>
        <w:t> </w:t>
      </w:r>
      <w:r>
        <w:rPr>
          <w:sz w:val="24"/>
        </w:rPr>
        <w:t>1978;73(6):619-633.</w:t>
      </w:r>
    </w:p>
    <w:p>
      <w:pPr>
        <w:pStyle w:val="ListParagraph"/>
        <w:numPr>
          <w:ilvl w:val="0"/>
          <w:numId w:val="29"/>
        </w:numPr>
        <w:tabs>
          <w:tab w:pos="856" w:val="left" w:leader="none"/>
        </w:tabs>
        <w:spacing w:line="360" w:lineRule="auto" w:before="202" w:after="0"/>
        <w:ind w:left="518" w:right="854" w:firstLine="0"/>
        <w:jc w:val="both"/>
        <w:rPr>
          <w:sz w:val="24"/>
        </w:rPr>
      </w:pPr>
      <w:r>
        <w:rPr>
          <w:sz w:val="24"/>
        </w:rPr>
        <w:t>Kim HY. Han KU. The versatility and effectiveness of the multiloop edgewise archwire (MEAW) in treatment of various malocclusions. World J Orthod. 2001;2:208- 218.</w:t>
      </w:r>
    </w:p>
    <w:p>
      <w:pPr>
        <w:pStyle w:val="ListParagraph"/>
        <w:numPr>
          <w:ilvl w:val="0"/>
          <w:numId w:val="29"/>
        </w:numPr>
        <w:tabs>
          <w:tab w:pos="856" w:val="left" w:leader="none"/>
        </w:tabs>
        <w:spacing w:line="360" w:lineRule="auto" w:before="204" w:after="0"/>
        <w:ind w:left="518" w:right="866" w:firstLine="0"/>
        <w:jc w:val="both"/>
        <w:rPr>
          <w:sz w:val="24"/>
        </w:rPr>
      </w:pPr>
      <w:r>
        <w:rPr>
          <w:sz w:val="24"/>
        </w:rPr>
        <w:t>Voss ZR. Basili EC. Etiopatogenia y tratamiento de la asimetría mediante filosofía MEAW-multiloop edgewise archwire. Rev. Chil. Ortod.</w:t>
      </w:r>
      <w:r>
        <w:rPr>
          <w:spacing w:val="-21"/>
          <w:sz w:val="24"/>
        </w:rPr>
        <w:t> </w:t>
      </w:r>
      <w:r>
        <w:rPr>
          <w:sz w:val="24"/>
        </w:rPr>
        <w:t>2009;XXVI(1):19-33</w:t>
      </w:r>
    </w:p>
    <w:p>
      <w:pPr>
        <w:pStyle w:val="ListParagraph"/>
        <w:numPr>
          <w:ilvl w:val="0"/>
          <w:numId w:val="29"/>
        </w:numPr>
        <w:tabs>
          <w:tab w:pos="856" w:val="left" w:leader="none"/>
        </w:tabs>
        <w:spacing w:line="360" w:lineRule="auto" w:before="204" w:after="0"/>
        <w:ind w:left="518" w:right="857" w:firstLine="0"/>
        <w:jc w:val="both"/>
        <w:rPr>
          <w:sz w:val="24"/>
        </w:rPr>
      </w:pPr>
      <w:r>
        <w:rPr>
          <w:sz w:val="24"/>
        </w:rPr>
        <w:t>Kim HY. Tratamiento de maloclusiones severas mediante la técnica de alambre Edgewise Multiloop(Multiloop Edgewise Arch-Wire, MEAW). Ortodoncia Clínica. 2004;1:22-34.</w:t>
      </w:r>
    </w:p>
    <w:p>
      <w:pPr>
        <w:pStyle w:val="ListParagraph"/>
        <w:numPr>
          <w:ilvl w:val="0"/>
          <w:numId w:val="29"/>
        </w:numPr>
        <w:tabs>
          <w:tab w:pos="856" w:val="left" w:leader="none"/>
        </w:tabs>
        <w:spacing w:line="360" w:lineRule="auto" w:before="202" w:after="0"/>
        <w:ind w:left="518" w:right="852" w:firstLine="0"/>
        <w:jc w:val="both"/>
        <w:rPr>
          <w:sz w:val="24"/>
        </w:rPr>
      </w:pPr>
      <w:r>
        <w:rPr>
          <w:sz w:val="24"/>
        </w:rPr>
        <w:t>Bishara SE. Cephalometric comparisons of the dentofacial relationships of two adolescent populations from Iowa and northern México. Am J Orthod. 1985;4:314- 322.</w:t>
      </w:r>
    </w:p>
    <w:p>
      <w:pPr>
        <w:pStyle w:val="ListParagraph"/>
        <w:numPr>
          <w:ilvl w:val="0"/>
          <w:numId w:val="29"/>
        </w:numPr>
        <w:tabs>
          <w:tab w:pos="856" w:val="left" w:leader="none"/>
        </w:tabs>
        <w:spacing w:line="360" w:lineRule="auto" w:before="205" w:after="0"/>
        <w:ind w:left="518" w:right="865" w:firstLine="0"/>
        <w:jc w:val="both"/>
        <w:rPr>
          <w:sz w:val="24"/>
        </w:rPr>
      </w:pPr>
      <w:r>
        <w:rPr>
          <w:sz w:val="24"/>
        </w:rPr>
        <w:t>Sassouni V. Comparison of the dentofacial patterns for native Greek and American- Caucasian adolescents. Am J Orthod.</w:t>
      </w:r>
      <w:r>
        <w:rPr>
          <w:spacing w:val="-20"/>
          <w:sz w:val="24"/>
        </w:rPr>
        <w:t> </w:t>
      </w:r>
      <w:r>
        <w:rPr>
          <w:sz w:val="24"/>
        </w:rPr>
        <w:t>1989;3:238-249.</w:t>
      </w:r>
    </w:p>
    <w:p>
      <w:pPr>
        <w:pStyle w:val="ListParagraph"/>
        <w:numPr>
          <w:ilvl w:val="0"/>
          <w:numId w:val="29"/>
        </w:numPr>
        <w:tabs>
          <w:tab w:pos="856" w:val="left" w:leader="none"/>
        </w:tabs>
        <w:spacing w:line="360" w:lineRule="auto" w:before="202" w:after="0"/>
        <w:ind w:left="518" w:right="859" w:firstLine="0"/>
        <w:jc w:val="both"/>
        <w:rPr>
          <w:sz w:val="24"/>
        </w:rPr>
      </w:pPr>
      <w:r>
        <w:rPr>
          <w:sz w:val="24"/>
        </w:rPr>
        <w:t>Moldez MA. Linear and angular Filipino cephalometric norms according to age and sex. Angle Orthod.</w:t>
      </w:r>
      <w:r>
        <w:rPr>
          <w:spacing w:val="-15"/>
          <w:sz w:val="24"/>
        </w:rPr>
        <w:t> </w:t>
      </w:r>
      <w:r>
        <w:rPr>
          <w:sz w:val="24"/>
        </w:rPr>
        <w:t>2006;76:800-805.</w:t>
      </w:r>
    </w:p>
    <w:p>
      <w:pPr>
        <w:pStyle w:val="ListParagraph"/>
        <w:numPr>
          <w:ilvl w:val="0"/>
          <w:numId w:val="29"/>
        </w:numPr>
        <w:tabs>
          <w:tab w:pos="856" w:val="left" w:leader="none"/>
        </w:tabs>
        <w:spacing w:line="360" w:lineRule="auto" w:before="204" w:after="0"/>
        <w:ind w:left="518" w:right="856" w:firstLine="0"/>
        <w:jc w:val="both"/>
        <w:rPr>
          <w:sz w:val="24"/>
        </w:rPr>
      </w:pPr>
      <w:r>
        <w:rPr>
          <w:sz w:val="24"/>
        </w:rPr>
        <w:t>Mc Namara JA Jr. Comparison of craniofacial characteristics of typical Chinese and Caucasian young adults. Eur J Orthod.</w:t>
      </w:r>
      <w:r>
        <w:rPr>
          <w:spacing w:val="-19"/>
          <w:sz w:val="24"/>
        </w:rPr>
        <w:t> </w:t>
      </w:r>
      <w:r>
        <w:rPr>
          <w:sz w:val="24"/>
        </w:rPr>
        <w:t>2011;2:205-211.</w:t>
      </w:r>
    </w:p>
    <w:p>
      <w:pPr>
        <w:spacing w:after="0" w:line="360" w:lineRule="auto"/>
        <w:jc w:val="both"/>
        <w:rPr>
          <w:sz w:val="24"/>
        </w:rPr>
        <w:sectPr>
          <w:pgSz w:w="12240" w:h="15840"/>
          <w:pgMar w:header="596" w:footer="1003" w:top="1380" w:bottom="1200" w:left="900" w:right="840"/>
        </w:sectPr>
      </w:pPr>
    </w:p>
    <w:p>
      <w:pPr>
        <w:pStyle w:val="BodyText"/>
        <w:spacing w:before="5"/>
        <w:rPr>
          <w:sz w:val="21"/>
        </w:rPr>
      </w:pPr>
    </w:p>
    <w:p>
      <w:pPr>
        <w:pStyle w:val="ListParagraph"/>
        <w:numPr>
          <w:ilvl w:val="0"/>
          <w:numId w:val="29"/>
        </w:numPr>
        <w:tabs>
          <w:tab w:pos="856" w:val="left" w:leader="none"/>
        </w:tabs>
        <w:spacing w:line="360" w:lineRule="auto" w:before="69" w:after="0"/>
        <w:ind w:left="518" w:right="858" w:firstLine="0"/>
        <w:jc w:val="both"/>
        <w:rPr>
          <w:sz w:val="24"/>
        </w:rPr>
      </w:pPr>
      <w:r>
        <w:rPr>
          <w:sz w:val="24"/>
        </w:rPr>
        <w:t>Rivas GR. Estudio cefalométrico de una población mexicana y su comparación con  poblaciones de otras regiones. Revista Oral.</w:t>
      </w:r>
      <w:r>
        <w:rPr>
          <w:spacing w:val="-18"/>
          <w:sz w:val="24"/>
        </w:rPr>
        <w:t> </w:t>
      </w:r>
      <w:r>
        <w:rPr>
          <w:sz w:val="24"/>
        </w:rPr>
        <w:t>2009;488-493.</w:t>
      </w:r>
    </w:p>
    <w:p>
      <w:pPr>
        <w:pStyle w:val="ListParagraph"/>
        <w:numPr>
          <w:ilvl w:val="0"/>
          <w:numId w:val="29"/>
        </w:numPr>
        <w:tabs>
          <w:tab w:pos="856" w:val="left" w:leader="none"/>
        </w:tabs>
        <w:spacing w:line="360" w:lineRule="auto" w:before="204" w:after="0"/>
        <w:ind w:left="518" w:right="864" w:firstLine="0"/>
        <w:jc w:val="both"/>
        <w:rPr>
          <w:sz w:val="24"/>
        </w:rPr>
      </w:pPr>
      <w:r>
        <w:rPr>
          <w:sz w:val="24"/>
        </w:rPr>
        <w:t>Vela E. Differences in craniofacial and dental characteristics of adolescent Mexicans Americans and European Americans. Am J Orthod.</w:t>
      </w:r>
      <w:r>
        <w:rPr>
          <w:spacing w:val="-24"/>
          <w:sz w:val="24"/>
        </w:rPr>
        <w:t> </w:t>
      </w:r>
      <w:r>
        <w:rPr>
          <w:sz w:val="24"/>
        </w:rPr>
        <w:t>2011;6:839-847.</w:t>
      </w:r>
    </w:p>
    <w:p>
      <w:pPr>
        <w:pStyle w:val="ListParagraph"/>
        <w:numPr>
          <w:ilvl w:val="0"/>
          <w:numId w:val="29"/>
        </w:numPr>
        <w:tabs>
          <w:tab w:pos="856" w:val="left" w:leader="none"/>
        </w:tabs>
        <w:spacing w:line="360" w:lineRule="auto" w:before="202" w:after="0"/>
        <w:ind w:left="518" w:right="855" w:firstLine="0"/>
        <w:jc w:val="both"/>
        <w:rPr>
          <w:sz w:val="24"/>
        </w:rPr>
      </w:pPr>
      <w:r>
        <w:rPr>
          <w:sz w:val="24"/>
        </w:rPr>
        <w:t>Nanda RS. Growth of face during the transitional period. Angle Orthod. 1972;42:165-171.</w:t>
      </w:r>
    </w:p>
    <w:p>
      <w:pPr>
        <w:pStyle w:val="ListParagraph"/>
        <w:numPr>
          <w:ilvl w:val="0"/>
          <w:numId w:val="29"/>
        </w:numPr>
        <w:tabs>
          <w:tab w:pos="856" w:val="left" w:leader="none"/>
        </w:tabs>
        <w:spacing w:line="360" w:lineRule="auto" w:before="204" w:after="0"/>
        <w:ind w:left="518" w:right="1144" w:firstLine="0"/>
        <w:jc w:val="left"/>
        <w:rPr>
          <w:sz w:val="24"/>
        </w:rPr>
      </w:pPr>
      <w:r>
        <w:rPr>
          <w:sz w:val="24"/>
        </w:rPr>
        <w:t>Porras B. et al. Diagnóstico ortodóncico: análisis cefalométrico. [IDental] [Citado el: 10 de Diciembre de 2013] </w:t>
      </w:r>
      <w:hyperlink r:id="rId396">
        <w:r>
          <w:rPr>
            <w:sz w:val="24"/>
          </w:rPr>
          <w:t>www.ulacit.ac.cr/.../suplemento%20Ortodoncia/ID02.pdf.</w:t>
        </w:r>
      </w:hyperlink>
    </w:p>
    <w:p>
      <w:pPr>
        <w:pStyle w:val="ListParagraph"/>
        <w:numPr>
          <w:ilvl w:val="0"/>
          <w:numId w:val="29"/>
        </w:numPr>
        <w:tabs>
          <w:tab w:pos="856" w:val="left" w:leader="none"/>
        </w:tabs>
        <w:spacing w:line="360" w:lineRule="auto" w:before="202" w:after="0"/>
        <w:ind w:left="518" w:right="855" w:firstLine="0"/>
        <w:jc w:val="both"/>
        <w:rPr>
          <w:sz w:val="24"/>
        </w:rPr>
      </w:pPr>
      <w:r>
        <w:rPr>
          <w:sz w:val="24"/>
        </w:rPr>
        <w:t>Kim JH. Comparison of cephalometric norms between Mongolian and Korean adults with normal occlusions and well-ballanced profiles. Korean J Orthod. 2011;41(1):42-50.</w:t>
      </w:r>
    </w:p>
    <w:p>
      <w:pPr>
        <w:pStyle w:val="ListParagraph"/>
        <w:numPr>
          <w:ilvl w:val="0"/>
          <w:numId w:val="29"/>
        </w:numPr>
        <w:tabs>
          <w:tab w:pos="856" w:val="left" w:leader="none"/>
        </w:tabs>
        <w:spacing w:line="360" w:lineRule="auto" w:before="204" w:after="0"/>
        <w:ind w:left="518" w:right="855" w:firstLine="0"/>
        <w:jc w:val="both"/>
        <w:rPr>
          <w:sz w:val="24"/>
        </w:rPr>
      </w:pPr>
      <w:r>
        <w:rPr>
          <w:sz w:val="24"/>
        </w:rPr>
        <w:t>Kim HY. et al. Stability of anterior openbite correction with multiloop edgewise archwire therapy: A cephalometric follow-up study. Am J Orthod Dentofacial Orthop. 2000;118:43-54.</w:t>
      </w:r>
    </w:p>
    <w:p>
      <w:pPr>
        <w:pStyle w:val="ListParagraph"/>
        <w:numPr>
          <w:ilvl w:val="0"/>
          <w:numId w:val="29"/>
        </w:numPr>
        <w:tabs>
          <w:tab w:pos="856" w:val="left" w:leader="none"/>
        </w:tabs>
        <w:spacing w:line="360" w:lineRule="auto" w:before="204" w:after="0"/>
        <w:ind w:left="518" w:right="854" w:firstLine="0"/>
        <w:jc w:val="both"/>
        <w:rPr>
          <w:sz w:val="24"/>
        </w:rPr>
      </w:pPr>
      <w:r>
        <w:rPr>
          <w:sz w:val="24"/>
        </w:rPr>
        <w:t>Freudenthaler JW. Comparison of Japanese and European overbite depth indicator and antero-posterior dysplasia indicator values. Eur J Orthod. 2012;34:114- 118.</w:t>
      </w:r>
    </w:p>
    <w:p>
      <w:pPr>
        <w:pStyle w:val="ListParagraph"/>
        <w:numPr>
          <w:ilvl w:val="0"/>
          <w:numId w:val="29"/>
        </w:numPr>
        <w:tabs>
          <w:tab w:pos="856" w:val="left" w:leader="none"/>
        </w:tabs>
        <w:spacing w:line="360" w:lineRule="auto" w:before="204" w:after="0"/>
        <w:ind w:left="518" w:right="864" w:firstLine="0"/>
        <w:jc w:val="both"/>
        <w:rPr>
          <w:sz w:val="24"/>
        </w:rPr>
      </w:pPr>
      <w:r>
        <w:rPr>
          <w:sz w:val="24"/>
        </w:rPr>
        <w:t>Freudenthaler JW. Overbite depth and anteroposterior dysplasia indicators the relationship between occlusal and skeletal patterns using the receiver operating characteristic (ROC) analysis. Eur J Orthod.</w:t>
      </w:r>
      <w:r>
        <w:rPr>
          <w:spacing w:val="-16"/>
          <w:sz w:val="24"/>
        </w:rPr>
        <w:t> </w:t>
      </w:r>
      <w:r>
        <w:rPr>
          <w:sz w:val="24"/>
        </w:rPr>
        <w:t>2000;22:75-83.</w:t>
      </w:r>
    </w:p>
    <w:p>
      <w:pPr>
        <w:pStyle w:val="ListParagraph"/>
        <w:numPr>
          <w:ilvl w:val="0"/>
          <w:numId w:val="29"/>
        </w:numPr>
        <w:tabs>
          <w:tab w:pos="856" w:val="left" w:leader="none"/>
        </w:tabs>
        <w:spacing w:line="360" w:lineRule="auto" w:before="205" w:after="0"/>
        <w:ind w:left="518" w:right="859" w:firstLine="0"/>
        <w:jc w:val="both"/>
        <w:rPr>
          <w:sz w:val="24"/>
        </w:rPr>
      </w:pPr>
      <w:r>
        <w:rPr>
          <w:sz w:val="24"/>
        </w:rPr>
        <w:t>Oktay H. A comparison of ANB, WITS, AF-BF, and APDI measurements. Am J Orthod Dentofacial Orthop.</w:t>
      </w:r>
      <w:r>
        <w:rPr>
          <w:spacing w:val="-15"/>
          <w:sz w:val="24"/>
        </w:rPr>
        <w:t> </w:t>
      </w:r>
      <w:r>
        <w:rPr>
          <w:sz w:val="24"/>
        </w:rPr>
        <w:t>1991;98:122-128.</w:t>
      </w:r>
    </w:p>
    <w:p>
      <w:pPr>
        <w:pStyle w:val="ListParagraph"/>
        <w:numPr>
          <w:ilvl w:val="0"/>
          <w:numId w:val="29"/>
        </w:numPr>
        <w:tabs>
          <w:tab w:pos="856" w:val="left" w:leader="none"/>
        </w:tabs>
        <w:spacing w:line="360" w:lineRule="auto" w:before="204" w:after="0"/>
        <w:ind w:left="518" w:right="857" w:firstLine="0"/>
        <w:jc w:val="both"/>
        <w:rPr>
          <w:sz w:val="24"/>
        </w:rPr>
      </w:pPr>
      <w:r>
        <w:rPr>
          <w:sz w:val="24"/>
        </w:rPr>
        <w:t>Foley TF. Stirling DL, Hall SJ. The reliability of three sagittal reference planes in the assessment of Class II treatment. Am J Orthod Dentofacial Orthop. 1997;112:320-329.</w:t>
      </w:r>
    </w:p>
    <w:p>
      <w:pPr>
        <w:spacing w:after="0" w:line="360" w:lineRule="auto"/>
        <w:jc w:val="both"/>
        <w:rPr>
          <w:sz w:val="24"/>
        </w:rPr>
        <w:sectPr>
          <w:pgSz w:w="12240" w:h="15840"/>
          <w:pgMar w:header="596" w:footer="1003" w:top="1380" w:bottom="1200" w:left="900" w:right="840"/>
        </w:sectPr>
      </w:pPr>
    </w:p>
    <w:p>
      <w:pPr>
        <w:pStyle w:val="BodyText"/>
        <w:spacing w:before="5"/>
        <w:rPr>
          <w:sz w:val="21"/>
        </w:rPr>
      </w:pPr>
    </w:p>
    <w:p>
      <w:pPr>
        <w:pStyle w:val="ListParagraph"/>
        <w:numPr>
          <w:ilvl w:val="0"/>
          <w:numId w:val="29"/>
        </w:numPr>
        <w:tabs>
          <w:tab w:pos="856" w:val="left" w:leader="none"/>
        </w:tabs>
        <w:spacing w:line="360" w:lineRule="auto" w:before="69" w:after="0"/>
        <w:ind w:left="518" w:right="856" w:firstLine="0"/>
        <w:jc w:val="both"/>
        <w:rPr>
          <w:sz w:val="24"/>
        </w:rPr>
      </w:pPr>
      <w:r>
        <w:rPr>
          <w:sz w:val="24"/>
        </w:rPr>
        <w:t>Celar AG. Freudenthaler JW. Celar RM, et al. The denture frame analysis: an additional diagnostic tool. Eur J Orthod.</w:t>
      </w:r>
      <w:r>
        <w:rPr>
          <w:spacing w:val="-18"/>
          <w:sz w:val="24"/>
        </w:rPr>
        <w:t> </w:t>
      </w:r>
      <w:r>
        <w:rPr>
          <w:sz w:val="24"/>
        </w:rPr>
        <w:t>1997;67:55-67.</w:t>
      </w:r>
    </w:p>
    <w:p>
      <w:pPr>
        <w:pStyle w:val="ListParagraph"/>
        <w:numPr>
          <w:ilvl w:val="0"/>
          <w:numId w:val="29"/>
        </w:numPr>
        <w:tabs>
          <w:tab w:pos="855" w:val="left" w:leader="none"/>
        </w:tabs>
        <w:spacing w:line="360" w:lineRule="auto" w:before="204" w:after="0"/>
        <w:ind w:left="518" w:right="861" w:firstLine="0"/>
        <w:jc w:val="both"/>
        <w:rPr>
          <w:sz w:val="24"/>
        </w:rPr>
      </w:pPr>
      <w:r>
        <w:rPr>
          <w:sz w:val="24"/>
        </w:rPr>
        <w:t>Saloom JE. Anteroposterior dysplasia indicator (APDI) and overbite depth  indicator (ODI) in a sample of Iraqi adults with different skeletal classes. J Bagh College Dentistry.</w:t>
      </w:r>
      <w:r>
        <w:rPr>
          <w:spacing w:val="-11"/>
          <w:sz w:val="24"/>
        </w:rPr>
        <w:t> </w:t>
      </w:r>
      <w:r>
        <w:rPr>
          <w:sz w:val="24"/>
        </w:rPr>
        <w:t>2011;23(4):128-133.</w:t>
      </w:r>
    </w:p>
    <w:p>
      <w:pPr>
        <w:pStyle w:val="ListParagraph"/>
        <w:numPr>
          <w:ilvl w:val="0"/>
          <w:numId w:val="29"/>
        </w:numPr>
        <w:tabs>
          <w:tab w:pos="856" w:val="left" w:leader="none"/>
        </w:tabs>
        <w:spacing w:line="360" w:lineRule="auto" w:before="204" w:after="0"/>
        <w:ind w:left="518" w:right="856" w:firstLine="0"/>
        <w:jc w:val="both"/>
        <w:rPr>
          <w:sz w:val="24"/>
        </w:rPr>
      </w:pPr>
      <w:r>
        <w:rPr>
          <w:sz w:val="24"/>
        </w:rPr>
        <w:t>Yu YH. The predictability of dentoskeletal factors for soft-tissue chin strain during lip closure. Korean J Orthod.</w:t>
      </w:r>
      <w:r>
        <w:rPr>
          <w:spacing w:val="-12"/>
          <w:sz w:val="24"/>
        </w:rPr>
        <w:t> </w:t>
      </w:r>
      <w:r>
        <w:rPr>
          <w:sz w:val="24"/>
        </w:rPr>
        <w:t>2013;43(6):279-287.</w:t>
      </w:r>
    </w:p>
    <w:p>
      <w:pPr>
        <w:pStyle w:val="ListParagraph"/>
        <w:numPr>
          <w:ilvl w:val="0"/>
          <w:numId w:val="29"/>
        </w:numPr>
        <w:tabs>
          <w:tab w:pos="856" w:val="left" w:leader="none"/>
        </w:tabs>
        <w:spacing w:line="360" w:lineRule="auto" w:before="205" w:after="0"/>
        <w:ind w:left="518" w:right="862" w:firstLine="0"/>
        <w:jc w:val="both"/>
        <w:rPr>
          <w:sz w:val="24"/>
        </w:rPr>
      </w:pPr>
      <w:r>
        <w:rPr>
          <w:sz w:val="24"/>
        </w:rPr>
        <w:t>Freudenthaler JW. Cephalometric differentiation between vertical and horizontal malocclusions in 122 Europeans using the denture frame analysis and standard measurements. Journal of Orofacial Orthopedics.</w:t>
      </w:r>
      <w:r>
        <w:rPr>
          <w:spacing w:val="-20"/>
          <w:sz w:val="24"/>
        </w:rPr>
        <w:t> </w:t>
      </w:r>
      <w:r>
        <w:rPr>
          <w:sz w:val="24"/>
        </w:rPr>
        <w:t>1999;60:195-204.</w:t>
      </w:r>
    </w:p>
    <w:p>
      <w:pPr>
        <w:pStyle w:val="ListParagraph"/>
        <w:numPr>
          <w:ilvl w:val="0"/>
          <w:numId w:val="29"/>
        </w:numPr>
        <w:tabs>
          <w:tab w:pos="856" w:val="left" w:leader="none"/>
        </w:tabs>
        <w:spacing w:line="360" w:lineRule="auto" w:before="204" w:after="0"/>
        <w:ind w:left="518" w:right="856" w:firstLine="0"/>
        <w:jc w:val="both"/>
        <w:rPr>
          <w:sz w:val="24"/>
        </w:rPr>
      </w:pPr>
      <w:r>
        <w:rPr>
          <w:sz w:val="24"/>
        </w:rPr>
        <w:t>Nahoum HI. Anterior open-bite: a cephalometric analysisand suggested treatment procedures. Am J Orthod.</w:t>
      </w:r>
      <w:r>
        <w:rPr>
          <w:spacing w:val="-13"/>
          <w:sz w:val="24"/>
        </w:rPr>
        <w:t> </w:t>
      </w:r>
      <w:r>
        <w:rPr>
          <w:sz w:val="24"/>
        </w:rPr>
        <w:t>1975;67:513-521.</w:t>
      </w:r>
    </w:p>
    <w:p>
      <w:pPr>
        <w:pStyle w:val="ListParagraph"/>
        <w:numPr>
          <w:ilvl w:val="0"/>
          <w:numId w:val="29"/>
        </w:numPr>
        <w:tabs>
          <w:tab w:pos="856" w:val="left" w:leader="none"/>
        </w:tabs>
        <w:spacing w:line="360" w:lineRule="auto" w:before="204" w:after="0"/>
        <w:ind w:left="518" w:right="857" w:firstLine="0"/>
        <w:jc w:val="both"/>
        <w:rPr>
          <w:sz w:val="24"/>
        </w:rPr>
      </w:pPr>
      <w:r>
        <w:rPr>
          <w:sz w:val="24"/>
        </w:rPr>
        <w:t>Wardlaw DW. Smith RJ. Hertweek DW. et al. Cephalometrics of anterior open bite: a receiver operating characteristic (ROC) anlysis. Am J Orthod Dentofacial Orthop. 1992;101:234-243.</w:t>
      </w:r>
    </w:p>
    <w:p>
      <w:pPr>
        <w:pStyle w:val="ListParagraph"/>
        <w:numPr>
          <w:ilvl w:val="0"/>
          <w:numId w:val="29"/>
        </w:numPr>
        <w:tabs>
          <w:tab w:pos="856" w:val="left" w:leader="none"/>
        </w:tabs>
        <w:spacing w:line="360" w:lineRule="auto" w:before="204" w:after="0"/>
        <w:ind w:left="518" w:right="856" w:firstLine="0"/>
        <w:jc w:val="both"/>
        <w:rPr>
          <w:sz w:val="24"/>
        </w:rPr>
      </w:pPr>
      <w:r>
        <w:rPr>
          <w:sz w:val="24"/>
        </w:rPr>
        <w:t>Han UK. Kim YH. Determination of Class II skeletal patterns: receiver operating characteristic (ROC) analysis on various cephalometric measurements. Am J Orthod Dentofacial Orthop.</w:t>
      </w:r>
      <w:r>
        <w:rPr>
          <w:spacing w:val="-12"/>
          <w:sz w:val="24"/>
        </w:rPr>
        <w:t> </w:t>
      </w:r>
      <w:r>
        <w:rPr>
          <w:sz w:val="24"/>
        </w:rPr>
        <w:t>1998;113:538-545.</w:t>
      </w:r>
    </w:p>
    <w:p>
      <w:pPr>
        <w:pStyle w:val="ListParagraph"/>
        <w:numPr>
          <w:ilvl w:val="0"/>
          <w:numId w:val="29"/>
        </w:numPr>
        <w:tabs>
          <w:tab w:pos="856" w:val="left" w:leader="none"/>
        </w:tabs>
        <w:spacing w:line="360" w:lineRule="auto" w:before="204" w:after="0"/>
        <w:ind w:left="518" w:right="858" w:firstLine="0"/>
        <w:jc w:val="both"/>
        <w:rPr>
          <w:sz w:val="24"/>
        </w:rPr>
      </w:pPr>
      <w:r>
        <w:rPr>
          <w:sz w:val="24"/>
        </w:rPr>
        <w:t>Riolo ML. Moyers RE. McNamara Jr JA. et al. An atlas of craniofacial growth. Cephalometric standards from the university school growth study, monograph N° 2, Center for craniofacial growth and development. University of Michigan, Ann</w:t>
      </w:r>
      <w:r>
        <w:rPr>
          <w:spacing w:val="-25"/>
          <w:sz w:val="24"/>
        </w:rPr>
        <w:t> </w:t>
      </w:r>
      <w:r>
        <w:rPr>
          <w:sz w:val="24"/>
        </w:rPr>
        <w:t>Arbor.</w:t>
      </w:r>
    </w:p>
    <w:p>
      <w:pPr>
        <w:pStyle w:val="ListParagraph"/>
        <w:numPr>
          <w:ilvl w:val="0"/>
          <w:numId w:val="29"/>
        </w:numPr>
        <w:tabs>
          <w:tab w:pos="856" w:val="left" w:leader="none"/>
        </w:tabs>
        <w:spacing w:line="360" w:lineRule="auto" w:before="205" w:after="0"/>
        <w:ind w:left="518" w:right="858" w:firstLine="0"/>
        <w:jc w:val="both"/>
        <w:rPr>
          <w:sz w:val="24"/>
        </w:rPr>
      </w:pPr>
      <w:r>
        <w:rPr>
          <w:sz w:val="24"/>
        </w:rPr>
        <w:t>Bhatia SN. Leighton BC. A manual of facial growth. A computer analysis of longitudinal cephalometric growth data. Oxford University Press,</w:t>
      </w:r>
      <w:r>
        <w:rPr>
          <w:spacing w:val="-20"/>
          <w:sz w:val="24"/>
        </w:rPr>
        <w:t> </w:t>
      </w:r>
      <w:r>
        <w:rPr>
          <w:sz w:val="24"/>
        </w:rPr>
        <w:t>Oxford.</w:t>
      </w:r>
    </w:p>
    <w:p>
      <w:pPr>
        <w:pStyle w:val="ListParagraph"/>
        <w:numPr>
          <w:ilvl w:val="0"/>
          <w:numId w:val="29"/>
        </w:numPr>
        <w:tabs>
          <w:tab w:pos="856" w:val="left" w:leader="none"/>
        </w:tabs>
        <w:spacing w:line="360" w:lineRule="auto" w:before="204" w:after="0"/>
        <w:ind w:left="518" w:right="857" w:firstLine="0"/>
        <w:jc w:val="both"/>
        <w:rPr>
          <w:sz w:val="24"/>
        </w:rPr>
      </w:pPr>
      <w:r>
        <w:rPr>
          <w:sz w:val="24"/>
        </w:rPr>
        <w:t>Bishara SE. Jakobsen JR. Vorthies B. et al. Changes in dentofacial structures in untreated Class II division 1 and normal subjects: a longitudinal study. Angle Orthod. 1997;67:55-67.</w:t>
      </w:r>
    </w:p>
    <w:p>
      <w:pPr>
        <w:spacing w:after="0" w:line="360" w:lineRule="auto"/>
        <w:jc w:val="both"/>
        <w:rPr>
          <w:sz w:val="24"/>
        </w:rPr>
        <w:sectPr>
          <w:pgSz w:w="12240" w:h="15840"/>
          <w:pgMar w:header="596" w:footer="1003" w:top="1380" w:bottom="1200" w:left="900" w:right="8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1"/>
        </w:rPr>
      </w:pPr>
    </w:p>
    <w:p>
      <w:pPr>
        <w:spacing w:line="1572" w:lineRule="exact" w:before="0"/>
        <w:ind w:left="2518" w:right="865" w:firstLine="0"/>
        <w:jc w:val="left"/>
        <w:rPr>
          <w:b/>
          <w:sz w:val="144"/>
        </w:rPr>
      </w:pPr>
      <w:r>
        <w:rPr>
          <w:b/>
          <w:sz w:val="144"/>
        </w:rPr>
        <w:t>ANEXO</w:t>
      </w:r>
    </w:p>
    <w:p>
      <w:pPr>
        <w:spacing w:after="0" w:line="1572" w:lineRule="exact"/>
        <w:jc w:val="left"/>
        <w:rPr>
          <w:sz w:val="144"/>
        </w:rPr>
        <w:sectPr>
          <w:pgSz w:w="12240" w:h="15840"/>
          <w:pgMar w:header="596" w:footer="1003" w:top="1380" w:bottom="1200" w:left="900" w:right="840"/>
        </w:sectPr>
      </w:pPr>
    </w:p>
    <w:p>
      <w:pPr>
        <w:pStyle w:val="BodyText"/>
        <w:spacing w:before="5"/>
        <w:rPr>
          <w:b/>
          <w:sz w:val="21"/>
        </w:rPr>
      </w:pPr>
    </w:p>
    <w:p>
      <w:pPr>
        <w:pStyle w:val="Heading1"/>
        <w:spacing w:before="69"/>
        <w:ind w:left="3631" w:right="3974"/>
        <w:jc w:val="center"/>
      </w:pPr>
      <w:r>
        <w:rPr/>
        <w:t>ANEXO 1</w:t>
      </w:r>
    </w:p>
    <w:p>
      <w:pPr>
        <w:pStyle w:val="BodyText"/>
        <w:spacing w:before="4"/>
        <w:rPr>
          <w:b/>
          <w:sz w:val="29"/>
        </w:rPr>
      </w:pPr>
    </w:p>
    <w:p>
      <w:pPr>
        <w:tabs>
          <w:tab w:pos="3630" w:val="left" w:leader="none"/>
        </w:tabs>
        <w:spacing w:before="1"/>
        <w:ind w:left="0" w:right="340" w:firstLine="0"/>
        <w:jc w:val="center"/>
        <w:rPr>
          <w:b/>
          <w:sz w:val="24"/>
        </w:rPr>
      </w:pPr>
      <w:r>
        <w:rPr>
          <w:b/>
          <w:sz w:val="24"/>
        </w:rPr>
        <w:t>Formato Análisis de</w:t>
      </w:r>
      <w:r>
        <w:rPr>
          <w:b/>
          <w:spacing w:val="-1"/>
          <w:sz w:val="24"/>
        </w:rPr>
        <w:t> </w:t>
      </w:r>
      <w:r>
        <w:rPr>
          <w:b/>
          <w:sz w:val="24"/>
        </w:rPr>
        <w:t>Kim:</w:t>
        <w:tab/>
        <w:t>GRUPO DE 9-11</w:t>
      </w:r>
      <w:r>
        <w:rPr>
          <w:b/>
          <w:spacing w:val="-6"/>
          <w:sz w:val="24"/>
        </w:rPr>
        <w:t> </w:t>
      </w:r>
      <w:r>
        <w:rPr>
          <w:b/>
          <w:sz w:val="24"/>
        </w:rPr>
        <w:t>AÑOS</w:t>
      </w:r>
    </w:p>
    <w:p>
      <w:pPr>
        <w:pStyle w:val="BodyText"/>
        <w:spacing w:before="4"/>
        <w:rPr>
          <w:b/>
          <w:sz w:val="29"/>
        </w:rPr>
      </w:pPr>
    </w:p>
    <w:tbl>
      <w:tblPr>
        <w:tblW w:w="0" w:type="auto"/>
        <w:jc w:val="left"/>
        <w:tblInd w:w="4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91"/>
        <w:gridCol w:w="2737"/>
        <w:gridCol w:w="2127"/>
        <w:gridCol w:w="2156"/>
      </w:tblGrid>
      <w:tr>
        <w:trPr>
          <w:trHeight w:val="2909" w:hRule="exact"/>
        </w:trPr>
        <w:tc>
          <w:tcPr>
            <w:tcW w:w="2191" w:type="dxa"/>
          </w:tcPr>
          <w:p>
            <w:pPr>
              <w:pStyle w:val="TableParagraph"/>
              <w:spacing w:line="240" w:lineRule="auto"/>
              <w:ind w:left="103"/>
              <w:rPr>
                <w:b/>
                <w:sz w:val="24"/>
              </w:rPr>
            </w:pPr>
            <w:r>
              <w:rPr>
                <w:b/>
                <w:sz w:val="24"/>
              </w:rPr>
              <w:t>RADIOGRAFIA</w:t>
            </w:r>
          </w:p>
          <w:p>
            <w:pPr>
              <w:pStyle w:val="TableParagraph"/>
              <w:spacing w:line="240" w:lineRule="auto" w:before="137"/>
              <w:ind w:left="103"/>
              <w:rPr>
                <w:b/>
                <w:sz w:val="24"/>
              </w:rPr>
            </w:pPr>
            <w:r>
              <w:rPr>
                <w:b/>
                <w:sz w:val="24"/>
              </w:rPr>
              <w:t>#1</w:t>
            </w:r>
          </w:p>
          <w:p>
            <w:pPr>
              <w:pStyle w:val="TableParagraph"/>
              <w:spacing w:line="240" w:lineRule="auto"/>
              <w:rPr>
                <w:b/>
                <w:sz w:val="24"/>
              </w:rPr>
            </w:pPr>
          </w:p>
          <w:p>
            <w:pPr>
              <w:pStyle w:val="TableParagraph"/>
              <w:spacing w:line="240" w:lineRule="auto"/>
              <w:rPr>
                <w:b/>
                <w:sz w:val="24"/>
              </w:rPr>
            </w:pPr>
          </w:p>
          <w:p>
            <w:pPr>
              <w:pStyle w:val="TableParagraph"/>
              <w:spacing w:line="240" w:lineRule="auto" w:before="10"/>
              <w:rPr>
                <w:b/>
                <w:sz w:val="35"/>
              </w:rPr>
            </w:pPr>
          </w:p>
          <w:p>
            <w:pPr>
              <w:pStyle w:val="TableParagraph"/>
              <w:tabs>
                <w:tab w:pos="1250" w:val="left" w:leader="none"/>
                <w:tab w:pos="1798" w:val="left" w:leader="none"/>
              </w:tabs>
              <w:spacing w:line="240" w:lineRule="auto"/>
              <w:ind w:left="103"/>
              <w:rPr>
                <w:b/>
                <w:sz w:val="24"/>
              </w:rPr>
            </w:pPr>
            <w:r>
              <w:rPr>
                <w:b/>
                <w:sz w:val="24"/>
              </w:rPr>
              <w:t>SEXO:</w:t>
              <w:tab/>
              <w:t>F</w:t>
              <w:tab/>
              <w:t>M</w:t>
            </w:r>
          </w:p>
        </w:tc>
        <w:tc>
          <w:tcPr>
            <w:tcW w:w="2737" w:type="dxa"/>
          </w:tcPr>
          <w:p>
            <w:pPr>
              <w:pStyle w:val="TableParagraph"/>
              <w:spacing w:line="240" w:lineRule="auto"/>
              <w:ind w:left="100" w:right="102"/>
              <w:jc w:val="center"/>
              <w:rPr>
                <w:b/>
                <w:sz w:val="24"/>
              </w:rPr>
            </w:pPr>
            <w:r>
              <w:rPr>
                <w:b/>
                <w:sz w:val="24"/>
              </w:rPr>
              <w:t>APDI</w:t>
            </w:r>
          </w:p>
          <w:p>
            <w:pPr>
              <w:pStyle w:val="TableParagraph"/>
              <w:spacing w:line="360" w:lineRule="auto" w:before="137"/>
              <w:ind w:left="100" w:right="103"/>
              <w:jc w:val="center"/>
              <w:rPr>
                <w:b/>
                <w:sz w:val="24"/>
              </w:rPr>
            </w:pPr>
            <w:r>
              <w:rPr>
                <w:b/>
                <w:sz w:val="24"/>
              </w:rPr>
              <w:t>Indicador de displasia anteroposterior (ANTEROPOSTERIOR DISPLASIA INDICATOR)</w:t>
            </w:r>
          </w:p>
        </w:tc>
        <w:tc>
          <w:tcPr>
            <w:tcW w:w="2127" w:type="dxa"/>
          </w:tcPr>
          <w:p>
            <w:pPr/>
          </w:p>
        </w:tc>
        <w:tc>
          <w:tcPr>
            <w:tcW w:w="2156" w:type="dxa"/>
          </w:tcPr>
          <w:p>
            <w:pPr>
              <w:pStyle w:val="TableParagraph"/>
              <w:spacing w:line="240" w:lineRule="auto"/>
              <w:ind w:left="838" w:right="840"/>
              <w:jc w:val="center"/>
              <w:rPr>
                <w:b/>
                <w:sz w:val="24"/>
              </w:rPr>
            </w:pPr>
            <w:r>
              <w:rPr>
                <w:b/>
                <w:sz w:val="24"/>
              </w:rPr>
              <w:t>ODI</w:t>
            </w:r>
          </w:p>
          <w:p>
            <w:pPr>
              <w:pStyle w:val="TableParagraph"/>
              <w:spacing w:line="360" w:lineRule="auto" w:before="137"/>
              <w:ind w:left="196" w:right="201" w:firstLine="1"/>
              <w:jc w:val="center"/>
              <w:rPr>
                <w:b/>
                <w:sz w:val="24"/>
              </w:rPr>
            </w:pPr>
            <w:r>
              <w:rPr>
                <w:b/>
                <w:sz w:val="24"/>
              </w:rPr>
              <w:t>Indicador de la profundidad de</w:t>
            </w:r>
            <w:r>
              <w:rPr>
                <w:b/>
                <w:w w:val="99"/>
                <w:sz w:val="24"/>
              </w:rPr>
              <w:t> </w:t>
            </w:r>
            <w:r>
              <w:rPr>
                <w:b/>
                <w:sz w:val="24"/>
              </w:rPr>
              <w:t>sobremordida (OVERBITE DEPTH INDICATOR)</w:t>
            </w:r>
          </w:p>
        </w:tc>
      </w:tr>
      <w:tr>
        <w:trPr>
          <w:trHeight w:val="1253" w:hRule="exact"/>
        </w:trPr>
        <w:tc>
          <w:tcPr>
            <w:tcW w:w="2191" w:type="dxa"/>
          </w:tcPr>
          <w:p>
            <w:pPr>
              <w:pStyle w:val="TableParagraph"/>
              <w:spacing w:line="360" w:lineRule="auto"/>
              <w:ind w:left="103" w:right="517"/>
              <w:rPr>
                <w:sz w:val="24"/>
              </w:rPr>
            </w:pPr>
            <w:r>
              <w:rPr>
                <w:sz w:val="24"/>
              </w:rPr>
              <w:t>&lt;Plano Facial- Plano FH</w:t>
            </w:r>
          </w:p>
        </w:tc>
        <w:tc>
          <w:tcPr>
            <w:tcW w:w="2737" w:type="dxa"/>
          </w:tcPr>
          <w:p>
            <w:pPr/>
          </w:p>
        </w:tc>
        <w:tc>
          <w:tcPr>
            <w:tcW w:w="2127" w:type="dxa"/>
          </w:tcPr>
          <w:p>
            <w:pPr>
              <w:pStyle w:val="TableParagraph"/>
              <w:spacing w:line="360" w:lineRule="auto"/>
              <w:ind w:left="103" w:right="159"/>
              <w:rPr>
                <w:sz w:val="24"/>
              </w:rPr>
            </w:pPr>
            <w:r>
              <w:rPr>
                <w:sz w:val="24"/>
              </w:rPr>
              <w:t>&lt;Plano AB-Plano Mandibular</w:t>
            </w:r>
          </w:p>
        </w:tc>
        <w:tc>
          <w:tcPr>
            <w:tcW w:w="2156" w:type="dxa"/>
          </w:tcPr>
          <w:p>
            <w:pPr/>
          </w:p>
        </w:tc>
      </w:tr>
      <w:tr>
        <w:trPr>
          <w:trHeight w:val="1250" w:hRule="exact"/>
        </w:trPr>
        <w:tc>
          <w:tcPr>
            <w:tcW w:w="2191" w:type="dxa"/>
          </w:tcPr>
          <w:p>
            <w:pPr>
              <w:pStyle w:val="TableParagraph"/>
              <w:spacing w:line="360" w:lineRule="auto"/>
              <w:ind w:left="103" w:right="223"/>
              <w:rPr>
                <w:sz w:val="24"/>
              </w:rPr>
            </w:pPr>
            <w:r>
              <w:rPr>
                <w:sz w:val="24"/>
              </w:rPr>
              <w:t>&lt;Plano AB-Plano Facial</w:t>
            </w:r>
          </w:p>
        </w:tc>
        <w:tc>
          <w:tcPr>
            <w:tcW w:w="2737" w:type="dxa"/>
          </w:tcPr>
          <w:p>
            <w:pPr/>
          </w:p>
        </w:tc>
        <w:tc>
          <w:tcPr>
            <w:tcW w:w="2127" w:type="dxa"/>
          </w:tcPr>
          <w:p>
            <w:pPr>
              <w:pStyle w:val="TableParagraph"/>
              <w:spacing w:line="360" w:lineRule="auto"/>
              <w:ind w:left="103" w:right="359"/>
              <w:rPr>
                <w:sz w:val="24"/>
              </w:rPr>
            </w:pPr>
            <w:r>
              <w:rPr>
                <w:sz w:val="24"/>
              </w:rPr>
              <w:t>&lt;Plano Palatal- Plano FH</w:t>
            </w:r>
          </w:p>
        </w:tc>
        <w:tc>
          <w:tcPr>
            <w:tcW w:w="2156" w:type="dxa"/>
          </w:tcPr>
          <w:p>
            <w:pPr/>
          </w:p>
        </w:tc>
      </w:tr>
      <w:tr>
        <w:trPr>
          <w:trHeight w:val="852" w:hRule="exact"/>
        </w:trPr>
        <w:tc>
          <w:tcPr>
            <w:tcW w:w="2191" w:type="dxa"/>
          </w:tcPr>
          <w:p>
            <w:pPr>
              <w:pStyle w:val="TableParagraph"/>
              <w:spacing w:line="360" w:lineRule="auto"/>
              <w:ind w:left="103" w:right="424"/>
              <w:rPr>
                <w:sz w:val="24"/>
              </w:rPr>
            </w:pPr>
            <w:r>
              <w:rPr>
                <w:sz w:val="24"/>
              </w:rPr>
              <w:t>&lt;Plano Palatal- Plano FH</w:t>
            </w:r>
          </w:p>
        </w:tc>
        <w:tc>
          <w:tcPr>
            <w:tcW w:w="2737" w:type="dxa"/>
          </w:tcPr>
          <w:p>
            <w:pPr/>
          </w:p>
        </w:tc>
        <w:tc>
          <w:tcPr>
            <w:tcW w:w="2127" w:type="dxa"/>
          </w:tcPr>
          <w:p>
            <w:pPr>
              <w:pStyle w:val="TableParagraph"/>
              <w:ind w:left="103" w:right="159"/>
              <w:rPr>
                <w:b/>
                <w:sz w:val="24"/>
              </w:rPr>
            </w:pPr>
            <w:r>
              <w:rPr>
                <w:b/>
                <w:sz w:val="24"/>
              </w:rPr>
              <w:t>TOTAL</w:t>
            </w:r>
          </w:p>
        </w:tc>
        <w:tc>
          <w:tcPr>
            <w:tcW w:w="2156" w:type="dxa"/>
          </w:tcPr>
          <w:p>
            <w:pPr/>
          </w:p>
        </w:tc>
      </w:tr>
      <w:tr>
        <w:trPr>
          <w:trHeight w:val="494" w:hRule="exact"/>
        </w:trPr>
        <w:tc>
          <w:tcPr>
            <w:tcW w:w="2191" w:type="dxa"/>
          </w:tcPr>
          <w:p>
            <w:pPr>
              <w:pStyle w:val="TableParagraph"/>
              <w:ind w:left="103"/>
              <w:rPr>
                <w:b/>
                <w:sz w:val="24"/>
              </w:rPr>
            </w:pPr>
            <w:r>
              <w:rPr>
                <w:b/>
                <w:sz w:val="24"/>
              </w:rPr>
              <w:t>TOTAL</w:t>
            </w:r>
          </w:p>
        </w:tc>
        <w:tc>
          <w:tcPr>
            <w:tcW w:w="2737" w:type="dxa"/>
          </w:tcPr>
          <w:p>
            <w:pPr/>
          </w:p>
        </w:tc>
        <w:tc>
          <w:tcPr>
            <w:tcW w:w="2127" w:type="dxa"/>
          </w:tcPr>
          <w:p>
            <w:pPr/>
          </w:p>
        </w:tc>
        <w:tc>
          <w:tcPr>
            <w:tcW w:w="2156" w:type="dxa"/>
          </w:tcPr>
          <w:p>
            <w:pPr/>
          </w:p>
        </w:tc>
      </w:tr>
    </w:tbl>
    <w:p>
      <w:pPr>
        <w:spacing w:after="0"/>
        <w:sectPr>
          <w:pgSz w:w="12240" w:h="15840"/>
          <w:pgMar w:header="596" w:footer="1003" w:top="1380" w:bottom="1200" w:left="900" w:right="840"/>
        </w:sectPr>
      </w:pPr>
    </w:p>
    <w:p>
      <w:pPr>
        <w:pStyle w:val="BodyText"/>
        <w:spacing w:before="5"/>
        <w:rPr>
          <w:b/>
          <w:sz w:val="21"/>
        </w:rPr>
      </w:pPr>
    </w:p>
    <w:p>
      <w:pPr>
        <w:spacing w:before="69"/>
        <w:ind w:left="3631" w:right="3974" w:firstLine="0"/>
        <w:jc w:val="center"/>
        <w:rPr>
          <w:b/>
          <w:sz w:val="24"/>
        </w:rPr>
      </w:pPr>
      <w:r>
        <w:rPr>
          <w:b/>
          <w:sz w:val="24"/>
        </w:rPr>
        <w:t>ANEXO 2</w:t>
      </w:r>
    </w:p>
    <w:p>
      <w:pPr>
        <w:pStyle w:val="BodyText"/>
        <w:spacing w:before="4"/>
        <w:rPr>
          <w:b/>
          <w:sz w:val="29"/>
        </w:rPr>
      </w:pPr>
    </w:p>
    <w:p>
      <w:pPr>
        <w:tabs>
          <w:tab w:pos="3631" w:val="left" w:leader="none"/>
        </w:tabs>
        <w:spacing w:before="1"/>
        <w:ind w:left="0" w:right="340" w:firstLine="0"/>
        <w:jc w:val="center"/>
        <w:rPr>
          <w:b/>
          <w:sz w:val="24"/>
        </w:rPr>
      </w:pPr>
      <w:r>
        <w:rPr>
          <w:b/>
          <w:sz w:val="24"/>
        </w:rPr>
        <w:t>Formato Análisis de</w:t>
      </w:r>
      <w:r>
        <w:rPr>
          <w:b/>
          <w:spacing w:val="-1"/>
          <w:sz w:val="24"/>
        </w:rPr>
        <w:t> </w:t>
      </w:r>
      <w:r>
        <w:rPr>
          <w:b/>
          <w:sz w:val="24"/>
        </w:rPr>
        <w:t>Kim:</w:t>
        <w:tab/>
        <w:t>GRUPO DE 12-14</w:t>
      </w:r>
      <w:r>
        <w:rPr>
          <w:b/>
          <w:spacing w:val="-8"/>
          <w:sz w:val="24"/>
        </w:rPr>
        <w:t> </w:t>
      </w:r>
      <w:r>
        <w:rPr>
          <w:b/>
          <w:sz w:val="24"/>
        </w:rPr>
        <w:t>AÑOS</w:t>
      </w:r>
    </w:p>
    <w:p>
      <w:pPr>
        <w:pStyle w:val="BodyText"/>
        <w:spacing w:before="4"/>
        <w:rPr>
          <w:b/>
          <w:sz w:val="29"/>
        </w:rPr>
      </w:pPr>
    </w:p>
    <w:tbl>
      <w:tblPr>
        <w:tblW w:w="0" w:type="auto"/>
        <w:jc w:val="left"/>
        <w:tblInd w:w="4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91"/>
        <w:gridCol w:w="2722"/>
        <w:gridCol w:w="2324"/>
        <w:gridCol w:w="1973"/>
      </w:tblGrid>
      <w:tr>
        <w:trPr>
          <w:trHeight w:val="2909" w:hRule="exact"/>
        </w:trPr>
        <w:tc>
          <w:tcPr>
            <w:tcW w:w="2191" w:type="dxa"/>
          </w:tcPr>
          <w:p>
            <w:pPr>
              <w:pStyle w:val="TableParagraph"/>
              <w:spacing w:line="240" w:lineRule="auto"/>
              <w:ind w:left="103"/>
              <w:rPr>
                <w:b/>
                <w:sz w:val="24"/>
              </w:rPr>
            </w:pPr>
            <w:r>
              <w:rPr>
                <w:b/>
                <w:sz w:val="24"/>
              </w:rPr>
              <w:t>RADIOGRAFIA</w:t>
            </w:r>
          </w:p>
          <w:p>
            <w:pPr>
              <w:pStyle w:val="TableParagraph"/>
              <w:spacing w:line="240" w:lineRule="auto" w:before="137"/>
              <w:ind w:left="103"/>
              <w:rPr>
                <w:b/>
                <w:sz w:val="24"/>
              </w:rPr>
            </w:pPr>
            <w:r>
              <w:rPr>
                <w:b/>
                <w:sz w:val="24"/>
              </w:rPr>
              <w:t>#1</w:t>
            </w:r>
          </w:p>
          <w:p>
            <w:pPr>
              <w:pStyle w:val="TableParagraph"/>
              <w:spacing w:line="240" w:lineRule="auto"/>
              <w:rPr>
                <w:b/>
                <w:sz w:val="24"/>
              </w:rPr>
            </w:pPr>
          </w:p>
          <w:p>
            <w:pPr>
              <w:pStyle w:val="TableParagraph"/>
              <w:spacing w:line="240" w:lineRule="auto"/>
              <w:rPr>
                <w:b/>
                <w:sz w:val="24"/>
              </w:rPr>
            </w:pPr>
          </w:p>
          <w:p>
            <w:pPr>
              <w:pStyle w:val="TableParagraph"/>
              <w:spacing w:line="240" w:lineRule="auto" w:before="10"/>
              <w:rPr>
                <w:b/>
                <w:sz w:val="35"/>
              </w:rPr>
            </w:pPr>
          </w:p>
          <w:p>
            <w:pPr>
              <w:pStyle w:val="TableParagraph"/>
              <w:tabs>
                <w:tab w:pos="1250" w:val="left" w:leader="none"/>
                <w:tab w:pos="1798" w:val="left" w:leader="none"/>
              </w:tabs>
              <w:spacing w:line="240" w:lineRule="auto"/>
              <w:ind w:left="103"/>
              <w:rPr>
                <w:b/>
                <w:sz w:val="24"/>
              </w:rPr>
            </w:pPr>
            <w:r>
              <w:rPr>
                <w:b/>
                <w:sz w:val="24"/>
              </w:rPr>
              <w:t>SEXO:</w:t>
              <w:tab/>
              <w:t>F</w:t>
              <w:tab/>
              <w:t>M</w:t>
            </w:r>
          </w:p>
        </w:tc>
        <w:tc>
          <w:tcPr>
            <w:tcW w:w="2722" w:type="dxa"/>
          </w:tcPr>
          <w:p>
            <w:pPr>
              <w:pStyle w:val="TableParagraph"/>
              <w:spacing w:line="240" w:lineRule="auto"/>
              <w:ind w:left="1048" w:right="1050"/>
              <w:jc w:val="center"/>
              <w:rPr>
                <w:b/>
                <w:sz w:val="24"/>
              </w:rPr>
            </w:pPr>
            <w:r>
              <w:rPr>
                <w:b/>
                <w:sz w:val="24"/>
              </w:rPr>
              <w:t>APDI</w:t>
            </w:r>
          </w:p>
          <w:p>
            <w:pPr>
              <w:pStyle w:val="TableParagraph"/>
              <w:spacing w:line="360" w:lineRule="auto" w:before="137"/>
              <w:ind w:left="100" w:right="104" w:firstLine="4"/>
              <w:jc w:val="center"/>
              <w:rPr>
                <w:b/>
                <w:sz w:val="24"/>
              </w:rPr>
            </w:pPr>
            <w:r>
              <w:rPr>
                <w:b/>
                <w:sz w:val="24"/>
              </w:rPr>
              <w:t>Indicador de displasia anteroposterior </w:t>
            </w:r>
            <w:r>
              <w:rPr>
                <w:b/>
                <w:spacing w:val="-1"/>
                <w:sz w:val="24"/>
              </w:rPr>
              <w:t>(ANTEROPOSTERIOR </w:t>
            </w:r>
            <w:r>
              <w:rPr>
                <w:b/>
                <w:sz w:val="24"/>
              </w:rPr>
              <w:t>DISPLASIA INDICATOR)</w:t>
            </w:r>
          </w:p>
        </w:tc>
        <w:tc>
          <w:tcPr>
            <w:tcW w:w="2324" w:type="dxa"/>
          </w:tcPr>
          <w:p>
            <w:pPr/>
          </w:p>
        </w:tc>
        <w:tc>
          <w:tcPr>
            <w:tcW w:w="1973" w:type="dxa"/>
          </w:tcPr>
          <w:p>
            <w:pPr>
              <w:pStyle w:val="TableParagraph"/>
              <w:spacing w:line="240" w:lineRule="auto"/>
              <w:ind w:left="747" w:right="749"/>
              <w:jc w:val="center"/>
              <w:rPr>
                <w:b/>
                <w:sz w:val="24"/>
              </w:rPr>
            </w:pPr>
            <w:r>
              <w:rPr>
                <w:b/>
                <w:sz w:val="24"/>
              </w:rPr>
              <w:t>ODI</w:t>
            </w:r>
          </w:p>
          <w:p>
            <w:pPr>
              <w:pStyle w:val="TableParagraph"/>
              <w:spacing w:line="360" w:lineRule="auto" w:before="137"/>
              <w:ind w:left="105" w:right="109" w:hanging="4"/>
              <w:jc w:val="center"/>
              <w:rPr>
                <w:b/>
                <w:sz w:val="24"/>
              </w:rPr>
            </w:pPr>
            <w:r>
              <w:rPr>
                <w:b/>
                <w:sz w:val="24"/>
              </w:rPr>
              <w:t>Indicador de la profundidad de sobremordida (OVERBITE DEPTH INDICATOR)</w:t>
            </w:r>
          </w:p>
        </w:tc>
      </w:tr>
      <w:tr>
        <w:trPr>
          <w:trHeight w:val="1253" w:hRule="exact"/>
        </w:trPr>
        <w:tc>
          <w:tcPr>
            <w:tcW w:w="2191" w:type="dxa"/>
          </w:tcPr>
          <w:p>
            <w:pPr>
              <w:pStyle w:val="TableParagraph"/>
              <w:spacing w:line="360" w:lineRule="auto"/>
              <w:ind w:left="103" w:right="517"/>
              <w:rPr>
                <w:sz w:val="24"/>
              </w:rPr>
            </w:pPr>
            <w:r>
              <w:rPr>
                <w:sz w:val="24"/>
              </w:rPr>
              <w:t>&lt;Plano Facial- Plano FH</w:t>
            </w:r>
          </w:p>
        </w:tc>
        <w:tc>
          <w:tcPr>
            <w:tcW w:w="2722" w:type="dxa"/>
          </w:tcPr>
          <w:p>
            <w:pPr/>
          </w:p>
        </w:tc>
        <w:tc>
          <w:tcPr>
            <w:tcW w:w="2324" w:type="dxa"/>
          </w:tcPr>
          <w:p>
            <w:pPr>
              <w:pStyle w:val="TableParagraph"/>
              <w:spacing w:line="360" w:lineRule="auto"/>
              <w:ind w:left="103" w:right="356"/>
              <w:rPr>
                <w:sz w:val="24"/>
              </w:rPr>
            </w:pPr>
            <w:r>
              <w:rPr>
                <w:sz w:val="24"/>
              </w:rPr>
              <w:t>&lt;Plano AB-Plano Mandibular</w:t>
            </w:r>
          </w:p>
        </w:tc>
        <w:tc>
          <w:tcPr>
            <w:tcW w:w="1973" w:type="dxa"/>
          </w:tcPr>
          <w:p>
            <w:pPr/>
          </w:p>
        </w:tc>
      </w:tr>
      <w:tr>
        <w:trPr>
          <w:trHeight w:val="1250" w:hRule="exact"/>
        </w:trPr>
        <w:tc>
          <w:tcPr>
            <w:tcW w:w="2191" w:type="dxa"/>
          </w:tcPr>
          <w:p>
            <w:pPr>
              <w:pStyle w:val="TableParagraph"/>
              <w:spacing w:line="360" w:lineRule="auto"/>
              <w:ind w:left="103" w:right="223"/>
              <w:rPr>
                <w:sz w:val="24"/>
              </w:rPr>
            </w:pPr>
            <w:r>
              <w:rPr>
                <w:sz w:val="24"/>
              </w:rPr>
              <w:t>&lt;Plano AB-Plano Facial</w:t>
            </w:r>
          </w:p>
        </w:tc>
        <w:tc>
          <w:tcPr>
            <w:tcW w:w="2722" w:type="dxa"/>
          </w:tcPr>
          <w:p>
            <w:pPr/>
          </w:p>
        </w:tc>
        <w:tc>
          <w:tcPr>
            <w:tcW w:w="2324" w:type="dxa"/>
          </w:tcPr>
          <w:p>
            <w:pPr>
              <w:pStyle w:val="TableParagraph"/>
              <w:spacing w:line="360" w:lineRule="auto"/>
              <w:ind w:left="103" w:right="556"/>
              <w:rPr>
                <w:sz w:val="24"/>
              </w:rPr>
            </w:pPr>
            <w:r>
              <w:rPr>
                <w:sz w:val="24"/>
              </w:rPr>
              <w:t>&lt;Plano Palatal- Plano FH</w:t>
            </w:r>
          </w:p>
        </w:tc>
        <w:tc>
          <w:tcPr>
            <w:tcW w:w="1973" w:type="dxa"/>
          </w:tcPr>
          <w:p>
            <w:pPr/>
          </w:p>
        </w:tc>
      </w:tr>
      <w:tr>
        <w:trPr>
          <w:trHeight w:val="838" w:hRule="exact"/>
        </w:trPr>
        <w:tc>
          <w:tcPr>
            <w:tcW w:w="2191" w:type="dxa"/>
          </w:tcPr>
          <w:p>
            <w:pPr>
              <w:pStyle w:val="TableParagraph"/>
              <w:spacing w:line="360" w:lineRule="auto"/>
              <w:ind w:left="103" w:right="424"/>
              <w:rPr>
                <w:sz w:val="24"/>
              </w:rPr>
            </w:pPr>
            <w:r>
              <w:rPr>
                <w:sz w:val="24"/>
              </w:rPr>
              <w:t>&lt;Plano Palatal- Plano FH</w:t>
            </w:r>
          </w:p>
        </w:tc>
        <w:tc>
          <w:tcPr>
            <w:tcW w:w="2722" w:type="dxa"/>
          </w:tcPr>
          <w:p>
            <w:pPr/>
          </w:p>
        </w:tc>
        <w:tc>
          <w:tcPr>
            <w:tcW w:w="2324" w:type="dxa"/>
          </w:tcPr>
          <w:p>
            <w:pPr>
              <w:pStyle w:val="TableParagraph"/>
              <w:ind w:left="103" w:right="356"/>
              <w:rPr>
                <w:b/>
                <w:sz w:val="24"/>
              </w:rPr>
            </w:pPr>
            <w:r>
              <w:rPr>
                <w:b/>
                <w:sz w:val="24"/>
              </w:rPr>
              <w:t>TOTAL</w:t>
            </w:r>
          </w:p>
        </w:tc>
        <w:tc>
          <w:tcPr>
            <w:tcW w:w="1973" w:type="dxa"/>
          </w:tcPr>
          <w:p>
            <w:pPr/>
          </w:p>
        </w:tc>
      </w:tr>
      <w:tr>
        <w:trPr>
          <w:trHeight w:val="494" w:hRule="exact"/>
        </w:trPr>
        <w:tc>
          <w:tcPr>
            <w:tcW w:w="2191" w:type="dxa"/>
          </w:tcPr>
          <w:p>
            <w:pPr>
              <w:pStyle w:val="TableParagraph"/>
              <w:spacing w:line="240" w:lineRule="auto"/>
              <w:ind w:left="103"/>
              <w:rPr>
                <w:b/>
                <w:sz w:val="24"/>
              </w:rPr>
            </w:pPr>
            <w:r>
              <w:rPr>
                <w:b/>
                <w:sz w:val="24"/>
              </w:rPr>
              <w:t>TOTAL</w:t>
            </w:r>
          </w:p>
        </w:tc>
        <w:tc>
          <w:tcPr>
            <w:tcW w:w="2722" w:type="dxa"/>
          </w:tcPr>
          <w:p>
            <w:pPr/>
          </w:p>
        </w:tc>
        <w:tc>
          <w:tcPr>
            <w:tcW w:w="2324" w:type="dxa"/>
          </w:tcPr>
          <w:p>
            <w:pPr/>
          </w:p>
        </w:tc>
        <w:tc>
          <w:tcPr>
            <w:tcW w:w="1973" w:type="dxa"/>
          </w:tcPr>
          <w:p>
            <w:pPr/>
          </w:p>
        </w:tc>
      </w:tr>
    </w:tbl>
    <w:p>
      <w:pPr>
        <w:spacing w:after="0"/>
        <w:sectPr>
          <w:pgSz w:w="12240" w:h="15840"/>
          <w:pgMar w:header="596" w:footer="1003" w:top="1380" w:bottom="1200" w:left="900" w:right="840"/>
        </w:sectPr>
      </w:pPr>
    </w:p>
    <w:p>
      <w:pPr>
        <w:pStyle w:val="BodyText"/>
        <w:spacing w:before="5"/>
        <w:rPr>
          <w:b/>
          <w:sz w:val="21"/>
        </w:rPr>
      </w:pPr>
    </w:p>
    <w:p>
      <w:pPr>
        <w:spacing w:before="69"/>
        <w:ind w:left="3632" w:right="3974" w:firstLine="0"/>
        <w:jc w:val="center"/>
        <w:rPr>
          <w:b/>
          <w:sz w:val="24"/>
        </w:rPr>
      </w:pPr>
      <w:r>
        <w:rPr>
          <w:b/>
          <w:sz w:val="24"/>
        </w:rPr>
        <w:t>ANEXO 3.</w:t>
      </w:r>
    </w:p>
    <w:p>
      <w:pPr>
        <w:pStyle w:val="BodyText"/>
        <w:spacing w:before="4"/>
        <w:rPr>
          <w:b/>
          <w:sz w:val="29"/>
        </w:rPr>
      </w:pPr>
    </w:p>
    <w:p>
      <w:pPr>
        <w:spacing w:before="1"/>
        <w:ind w:left="0" w:right="342" w:firstLine="0"/>
        <w:jc w:val="center"/>
        <w:rPr>
          <w:b/>
          <w:sz w:val="24"/>
        </w:rPr>
      </w:pPr>
      <w:r>
        <w:rPr>
          <w:b/>
          <w:sz w:val="24"/>
        </w:rPr>
        <w:t>Formato de Software Análisis Cefalométrico de Kim.</w:t>
      </w:r>
    </w:p>
    <w:p>
      <w:pPr>
        <w:pStyle w:val="BodyText"/>
        <w:rPr>
          <w:b/>
          <w:sz w:val="20"/>
        </w:rPr>
      </w:pPr>
    </w:p>
    <w:p>
      <w:pPr>
        <w:pStyle w:val="BodyText"/>
        <w:rPr>
          <w:b/>
          <w:sz w:val="20"/>
        </w:rPr>
      </w:pPr>
    </w:p>
    <w:p>
      <w:pPr>
        <w:pStyle w:val="BodyText"/>
        <w:rPr>
          <w:b/>
          <w:sz w:val="20"/>
        </w:rPr>
      </w:pPr>
    </w:p>
    <w:p>
      <w:pPr>
        <w:pStyle w:val="BodyText"/>
        <w:rPr>
          <w:b/>
          <w:sz w:val="21"/>
        </w:rPr>
      </w:pPr>
      <w:r>
        <w:rPr/>
        <w:pict>
          <v:group style="position:absolute;margin-left:71.879997pt;margin-top:14.05998pt;width:488.05pt;height:359.55pt;mso-position-horizontal-relative:page;mso-position-vertical-relative:paragraph;z-index:2200;mso-wrap-distance-left:0;mso-wrap-distance-right:0" coordorigin="1438,281" coordsize="9761,7191">
            <v:shape style="position:absolute;left:1438;top:281;width:9761;height:7190" type="#_x0000_t75" stroked="false">
              <v:imagedata r:id="rId397" o:title=""/>
            </v:shape>
            <v:shape style="position:absolute;left:1538;top:382;width:9473;height:6904" type="#_x0000_t75" stroked="false">
              <v:imagedata r:id="rId398" o:title=""/>
            </v:shape>
            <v:rect style="position:absolute;left:1508;top:352;width:9533;height:6964" filled="false" stroked="true" strokeweight="3pt" strokecolor="#77923b"/>
            <w10:wrap type="topAndBottom"/>
          </v:group>
        </w:pict>
      </w:r>
    </w:p>
    <w:p>
      <w:pPr>
        <w:spacing w:after="0"/>
        <w:rPr>
          <w:sz w:val="21"/>
        </w:rPr>
        <w:sectPr>
          <w:pgSz w:w="12240" w:h="15840"/>
          <w:pgMar w:header="596" w:footer="1003" w:top="1380" w:bottom="1200" w:left="900" w:right="840"/>
        </w:sectPr>
      </w:pPr>
    </w:p>
    <w:p>
      <w:pPr>
        <w:pStyle w:val="BodyText"/>
        <w:spacing w:before="5"/>
        <w:rPr>
          <w:b/>
          <w:sz w:val="21"/>
        </w:rPr>
      </w:pPr>
    </w:p>
    <w:p>
      <w:pPr>
        <w:spacing w:before="69"/>
        <w:ind w:left="3631" w:right="3974" w:firstLine="0"/>
        <w:jc w:val="center"/>
        <w:rPr>
          <w:b/>
          <w:sz w:val="24"/>
        </w:rPr>
      </w:pPr>
      <w:r>
        <w:rPr>
          <w:b/>
          <w:sz w:val="24"/>
        </w:rPr>
        <w:t>ANEXO 4</w:t>
      </w:r>
    </w:p>
    <w:p>
      <w:pPr>
        <w:pStyle w:val="BodyText"/>
        <w:spacing w:before="4"/>
        <w:rPr>
          <w:b/>
          <w:sz w:val="29"/>
        </w:rPr>
      </w:pPr>
    </w:p>
    <w:p>
      <w:pPr>
        <w:spacing w:line="360" w:lineRule="auto" w:before="1" w:after="6"/>
        <w:ind w:left="723" w:right="1062" w:firstLine="0"/>
        <w:jc w:val="center"/>
        <w:rPr>
          <w:b/>
          <w:sz w:val="24"/>
        </w:rPr>
      </w:pPr>
      <w:r>
        <w:rPr>
          <w:b/>
          <w:sz w:val="24"/>
        </w:rPr>
        <w:t>Constancia XXII Encuentro Nacional y XIII Congreso Iberoamericano de Investigación en Odontología</w:t>
      </w:r>
    </w:p>
    <w:p>
      <w:pPr>
        <w:pStyle w:val="BodyText"/>
        <w:ind w:left="844"/>
        <w:rPr>
          <w:sz w:val="20"/>
        </w:rPr>
      </w:pPr>
      <w:r>
        <w:rPr>
          <w:sz w:val="20"/>
        </w:rPr>
        <w:drawing>
          <wp:inline distT="0" distB="0" distL="0" distR="0">
            <wp:extent cx="5374474" cy="6922008"/>
            <wp:effectExtent l="0" t="0" r="0" b="0"/>
            <wp:docPr id="15" name="image372.jpeg" descr=""/>
            <wp:cNvGraphicFramePr>
              <a:graphicFrameLocks noChangeAspect="1"/>
            </wp:cNvGraphicFramePr>
            <a:graphic>
              <a:graphicData uri="http://schemas.openxmlformats.org/drawingml/2006/picture">
                <pic:pic>
                  <pic:nvPicPr>
                    <pic:cNvPr id="16" name="image372.jpeg"/>
                    <pic:cNvPicPr/>
                  </pic:nvPicPr>
                  <pic:blipFill>
                    <a:blip r:embed="rId399" cstate="print"/>
                    <a:stretch>
                      <a:fillRect/>
                    </a:stretch>
                  </pic:blipFill>
                  <pic:spPr>
                    <a:xfrm>
                      <a:off x="0" y="0"/>
                      <a:ext cx="5374474" cy="6922008"/>
                    </a:xfrm>
                    <a:prstGeom prst="rect">
                      <a:avLst/>
                    </a:prstGeom>
                  </pic:spPr>
                </pic:pic>
              </a:graphicData>
            </a:graphic>
          </wp:inline>
        </w:drawing>
      </w:r>
      <w:r>
        <w:rPr>
          <w:sz w:val="20"/>
        </w:rPr>
      </w:r>
    </w:p>
    <w:p>
      <w:pPr>
        <w:spacing w:after="0"/>
        <w:rPr>
          <w:sz w:val="20"/>
        </w:rPr>
        <w:sectPr>
          <w:pgSz w:w="12240" w:h="15840"/>
          <w:pgMar w:header="596" w:footer="1003" w:top="1380" w:bottom="1200" w:left="900" w:right="840"/>
        </w:sectPr>
      </w:pPr>
    </w:p>
    <w:p>
      <w:pPr>
        <w:pStyle w:val="BodyText"/>
        <w:spacing w:before="5"/>
        <w:rPr>
          <w:b/>
          <w:sz w:val="21"/>
        </w:rPr>
      </w:pPr>
    </w:p>
    <w:p>
      <w:pPr>
        <w:spacing w:before="69"/>
        <w:ind w:left="3631" w:right="3974" w:firstLine="0"/>
        <w:jc w:val="center"/>
        <w:rPr>
          <w:b/>
          <w:sz w:val="24"/>
        </w:rPr>
      </w:pPr>
      <w:r>
        <w:rPr>
          <w:b/>
          <w:sz w:val="24"/>
        </w:rPr>
        <w:t>ANEXO 5</w:t>
      </w:r>
    </w:p>
    <w:p>
      <w:pPr>
        <w:pStyle w:val="BodyText"/>
        <w:spacing w:before="4"/>
        <w:rPr>
          <w:b/>
          <w:sz w:val="29"/>
        </w:rPr>
      </w:pPr>
    </w:p>
    <w:p>
      <w:pPr>
        <w:spacing w:line="360" w:lineRule="auto" w:before="1" w:after="6"/>
        <w:ind w:left="0" w:right="347" w:firstLine="0"/>
        <w:jc w:val="center"/>
        <w:rPr>
          <w:b/>
          <w:sz w:val="24"/>
        </w:rPr>
      </w:pPr>
      <w:r>
        <w:rPr>
          <w:b/>
          <w:sz w:val="24"/>
        </w:rPr>
        <w:t>Reconocimiento XXII Encuentro Nacional y XIII Congreso Iberoamericano de Investigación en Odontología</w:t>
      </w:r>
    </w:p>
    <w:p>
      <w:pPr>
        <w:pStyle w:val="BodyText"/>
        <w:ind w:left="1088"/>
        <w:rPr>
          <w:sz w:val="20"/>
        </w:rPr>
      </w:pPr>
      <w:r>
        <w:rPr>
          <w:sz w:val="20"/>
        </w:rPr>
        <w:drawing>
          <wp:inline distT="0" distB="0" distL="0" distR="0">
            <wp:extent cx="5061746" cy="6665976"/>
            <wp:effectExtent l="0" t="0" r="0" b="0"/>
            <wp:docPr id="17" name="image373.jpeg" descr=""/>
            <wp:cNvGraphicFramePr>
              <a:graphicFrameLocks noChangeAspect="1"/>
            </wp:cNvGraphicFramePr>
            <a:graphic>
              <a:graphicData uri="http://schemas.openxmlformats.org/drawingml/2006/picture">
                <pic:pic>
                  <pic:nvPicPr>
                    <pic:cNvPr id="18" name="image373.jpeg"/>
                    <pic:cNvPicPr/>
                  </pic:nvPicPr>
                  <pic:blipFill>
                    <a:blip r:embed="rId401" cstate="print"/>
                    <a:stretch>
                      <a:fillRect/>
                    </a:stretch>
                  </pic:blipFill>
                  <pic:spPr>
                    <a:xfrm>
                      <a:off x="0" y="0"/>
                      <a:ext cx="5061746" cy="6665976"/>
                    </a:xfrm>
                    <a:prstGeom prst="rect">
                      <a:avLst/>
                    </a:prstGeom>
                  </pic:spPr>
                </pic:pic>
              </a:graphicData>
            </a:graphic>
          </wp:inline>
        </w:drawing>
      </w:r>
      <w:r>
        <w:rPr>
          <w:sz w:val="20"/>
        </w:rPr>
      </w:r>
    </w:p>
    <w:p>
      <w:pPr>
        <w:spacing w:after="0"/>
        <w:rPr>
          <w:sz w:val="20"/>
        </w:rPr>
        <w:sectPr>
          <w:footerReference w:type="default" r:id="rId400"/>
          <w:pgSz w:w="12240" w:h="15840"/>
          <w:pgMar w:footer="1003" w:header="596" w:top="1380" w:bottom="1200" w:left="900" w:right="840"/>
        </w:sectPr>
      </w:pPr>
    </w:p>
    <w:p>
      <w:pPr>
        <w:pStyle w:val="BodyText"/>
        <w:spacing w:before="5"/>
        <w:rPr>
          <w:b/>
          <w:sz w:val="21"/>
        </w:rPr>
      </w:pPr>
    </w:p>
    <w:p>
      <w:pPr>
        <w:spacing w:before="69"/>
        <w:ind w:left="3631" w:right="3974" w:firstLine="0"/>
        <w:jc w:val="center"/>
        <w:rPr>
          <w:b/>
          <w:sz w:val="24"/>
        </w:rPr>
      </w:pPr>
      <w:r>
        <w:rPr>
          <w:b/>
          <w:sz w:val="24"/>
        </w:rPr>
        <w:t>ANEXO 6</w:t>
      </w:r>
    </w:p>
    <w:p>
      <w:pPr>
        <w:pStyle w:val="BodyText"/>
        <w:spacing w:before="4"/>
        <w:rPr>
          <w:b/>
          <w:sz w:val="29"/>
        </w:rPr>
      </w:pPr>
    </w:p>
    <w:p>
      <w:pPr>
        <w:spacing w:before="1"/>
        <w:ind w:left="0" w:right="343" w:firstLine="0"/>
        <w:jc w:val="center"/>
        <w:rPr>
          <w:b/>
          <w:sz w:val="24"/>
        </w:rPr>
      </w:pPr>
      <w:r>
        <w:rPr>
          <w:b/>
          <w:sz w:val="24"/>
        </w:rPr>
        <w:t>Constancia Congreso Nacional e Internacional de Salud Pública Bucal 2015</w:t>
      </w:r>
    </w:p>
    <w:p>
      <w:pPr>
        <w:pStyle w:val="BodyText"/>
        <w:rPr>
          <w:b/>
          <w:sz w:val="26"/>
        </w:rPr>
      </w:pPr>
      <w:r>
        <w:rPr/>
        <w:drawing>
          <wp:anchor distT="0" distB="0" distL="0" distR="0" allowOverlap="1" layoutInCell="1" locked="0" behindDoc="0" simplePos="0" relativeHeight="2224">
            <wp:simplePos x="0" y="0"/>
            <wp:positionH relativeFrom="page">
              <wp:posOffset>986472</wp:posOffset>
            </wp:positionH>
            <wp:positionV relativeFrom="paragraph">
              <wp:posOffset>214976</wp:posOffset>
            </wp:positionV>
            <wp:extent cx="5556827" cy="7115460"/>
            <wp:effectExtent l="0" t="0" r="0" b="0"/>
            <wp:wrapTopAndBottom/>
            <wp:docPr id="19" name="image374.jpeg" descr=""/>
            <wp:cNvGraphicFramePr>
              <a:graphicFrameLocks noChangeAspect="1"/>
            </wp:cNvGraphicFramePr>
            <a:graphic>
              <a:graphicData uri="http://schemas.openxmlformats.org/drawingml/2006/picture">
                <pic:pic>
                  <pic:nvPicPr>
                    <pic:cNvPr id="20" name="image374.jpeg"/>
                    <pic:cNvPicPr/>
                  </pic:nvPicPr>
                  <pic:blipFill>
                    <a:blip r:embed="rId403" cstate="print"/>
                    <a:stretch>
                      <a:fillRect/>
                    </a:stretch>
                  </pic:blipFill>
                  <pic:spPr>
                    <a:xfrm>
                      <a:off x="0" y="0"/>
                      <a:ext cx="5556827" cy="7115460"/>
                    </a:xfrm>
                    <a:prstGeom prst="rect">
                      <a:avLst/>
                    </a:prstGeom>
                  </pic:spPr>
                </pic:pic>
              </a:graphicData>
            </a:graphic>
          </wp:anchor>
        </w:drawing>
      </w:r>
    </w:p>
    <w:p>
      <w:pPr>
        <w:spacing w:after="0"/>
        <w:rPr>
          <w:sz w:val="26"/>
        </w:rPr>
        <w:sectPr>
          <w:footerReference w:type="default" r:id="rId402"/>
          <w:pgSz w:w="12240" w:h="15840"/>
          <w:pgMar w:footer="1003" w:header="596" w:top="1380" w:bottom="1200" w:left="900" w:right="840"/>
          <w:pgNumType w:start="91"/>
        </w:sectPr>
      </w:pPr>
    </w:p>
    <w:p>
      <w:pPr>
        <w:pStyle w:val="BodyText"/>
        <w:spacing w:before="5"/>
        <w:rPr>
          <w:b/>
          <w:sz w:val="21"/>
        </w:rPr>
      </w:pPr>
    </w:p>
    <w:p>
      <w:pPr>
        <w:spacing w:before="69"/>
        <w:ind w:left="3631" w:right="3974" w:firstLine="0"/>
        <w:jc w:val="center"/>
        <w:rPr>
          <w:b/>
          <w:sz w:val="24"/>
        </w:rPr>
      </w:pPr>
      <w:r>
        <w:rPr>
          <w:b/>
          <w:sz w:val="24"/>
        </w:rPr>
        <w:t>Anexo 7</w:t>
      </w:r>
    </w:p>
    <w:p>
      <w:pPr>
        <w:pStyle w:val="BodyText"/>
        <w:spacing w:before="4"/>
        <w:rPr>
          <w:b/>
          <w:sz w:val="29"/>
        </w:rPr>
      </w:pPr>
    </w:p>
    <w:p>
      <w:pPr>
        <w:spacing w:before="1"/>
        <w:ind w:left="0" w:right="340" w:firstLine="0"/>
        <w:jc w:val="center"/>
        <w:rPr>
          <w:b/>
          <w:sz w:val="24"/>
        </w:rPr>
      </w:pPr>
      <w:r>
        <w:rPr>
          <w:b/>
          <w:sz w:val="24"/>
        </w:rPr>
        <w:t>Constancia International Association for Dental Research</w:t>
      </w:r>
    </w:p>
    <w:p>
      <w:pPr>
        <w:pStyle w:val="BodyText"/>
        <w:rPr>
          <w:b/>
          <w:sz w:val="26"/>
        </w:rPr>
      </w:pPr>
      <w:r>
        <w:rPr/>
        <w:drawing>
          <wp:anchor distT="0" distB="0" distL="0" distR="0" allowOverlap="1" layoutInCell="1" locked="0" behindDoc="0" simplePos="0" relativeHeight="2248">
            <wp:simplePos x="0" y="0"/>
            <wp:positionH relativeFrom="page">
              <wp:posOffset>1223263</wp:posOffset>
            </wp:positionH>
            <wp:positionV relativeFrom="paragraph">
              <wp:posOffset>214973</wp:posOffset>
            </wp:positionV>
            <wp:extent cx="5077876" cy="6807136"/>
            <wp:effectExtent l="0" t="0" r="0" b="0"/>
            <wp:wrapTopAndBottom/>
            <wp:docPr id="21" name="image375.jpeg" descr=""/>
            <wp:cNvGraphicFramePr>
              <a:graphicFrameLocks noChangeAspect="1"/>
            </wp:cNvGraphicFramePr>
            <a:graphic>
              <a:graphicData uri="http://schemas.openxmlformats.org/drawingml/2006/picture">
                <pic:pic>
                  <pic:nvPicPr>
                    <pic:cNvPr id="22" name="image375.jpeg"/>
                    <pic:cNvPicPr/>
                  </pic:nvPicPr>
                  <pic:blipFill>
                    <a:blip r:embed="rId404" cstate="print"/>
                    <a:stretch>
                      <a:fillRect/>
                    </a:stretch>
                  </pic:blipFill>
                  <pic:spPr>
                    <a:xfrm>
                      <a:off x="0" y="0"/>
                      <a:ext cx="5077876" cy="6807136"/>
                    </a:xfrm>
                    <a:prstGeom prst="rect">
                      <a:avLst/>
                    </a:prstGeom>
                  </pic:spPr>
                </pic:pic>
              </a:graphicData>
            </a:graphic>
          </wp:anchor>
        </w:drawing>
      </w:r>
    </w:p>
    <w:p>
      <w:pPr>
        <w:spacing w:after="0"/>
        <w:rPr>
          <w:sz w:val="26"/>
        </w:rPr>
        <w:sectPr>
          <w:pgSz w:w="12240" w:h="15840"/>
          <w:pgMar w:header="596" w:footer="1003" w:top="1380" w:bottom="1200" w:left="900" w:right="840"/>
        </w:sectPr>
      </w:pPr>
    </w:p>
    <w:p>
      <w:pPr>
        <w:pStyle w:val="BodyText"/>
        <w:spacing w:before="5"/>
        <w:rPr>
          <w:b/>
          <w:sz w:val="21"/>
        </w:rPr>
      </w:pPr>
    </w:p>
    <w:p>
      <w:pPr>
        <w:spacing w:before="69"/>
        <w:ind w:left="3631" w:right="3974" w:firstLine="0"/>
        <w:jc w:val="center"/>
        <w:rPr>
          <w:b/>
          <w:sz w:val="24"/>
        </w:rPr>
      </w:pPr>
      <w:r>
        <w:rPr>
          <w:b/>
          <w:sz w:val="24"/>
        </w:rPr>
        <w:t>Anexo 8</w:t>
      </w:r>
    </w:p>
    <w:p>
      <w:pPr>
        <w:pStyle w:val="BodyText"/>
        <w:spacing w:before="4"/>
        <w:rPr>
          <w:b/>
          <w:sz w:val="29"/>
        </w:rPr>
      </w:pPr>
    </w:p>
    <w:p>
      <w:pPr>
        <w:spacing w:before="1"/>
        <w:ind w:left="0" w:right="343" w:firstLine="0"/>
        <w:jc w:val="center"/>
        <w:rPr>
          <w:b/>
          <w:sz w:val="24"/>
        </w:rPr>
      </w:pPr>
      <w:r>
        <w:rPr>
          <w:b/>
          <w:sz w:val="24"/>
        </w:rPr>
        <w:t>Oficio para liberación y autorización de impresión</w:t>
      </w:r>
    </w:p>
    <w:p>
      <w:pPr>
        <w:pStyle w:val="BodyText"/>
        <w:rPr>
          <w:b/>
        </w:rPr>
      </w:pPr>
    </w:p>
    <w:p>
      <w:pPr>
        <w:pStyle w:val="BodyText"/>
        <w:rPr>
          <w:b/>
        </w:rPr>
      </w:pPr>
    </w:p>
    <w:p>
      <w:pPr>
        <w:pStyle w:val="BodyText"/>
        <w:spacing w:before="7"/>
        <w:rPr>
          <w:b/>
          <w:sz w:val="34"/>
        </w:rPr>
      </w:pPr>
    </w:p>
    <w:p>
      <w:pPr>
        <w:pStyle w:val="BodyText"/>
        <w:ind w:left="5756"/>
      </w:pPr>
      <w:r>
        <w:rPr/>
        <w:t>Toluca, México; 5 de Marzo de 2015</w:t>
      </w:r>
    </w:p>
    <w:p>
      <w:pPr>
        <w:pStyle w:val="BodyText"/>
      </w:pPr>
    </w:p>
    <w:p>
      <w:pPr>
        <w:pStyle w:val="BodyText"/>
      </w:pPr>
    </w:p>
    <w:p>
      <w:pPr>
        <w:pStyle w:val="BodyText"/>
        <w:spacing w:before="9"/>
        <w:rPr>
          <w:sz w:val="34"/>
        </w:rPr>
      </w:pPr>
    </w:p>
    <w:p>
      <w:pPr>
        <w:spacing w:line="535" w:lineRule="auto" w:before="1"/>
        <w:ind w:left="518" w:right="2334" w:firstLine="0"/>
        <w:jc w:val="left"/>
        <w:rPr>
          <w:b/>
          <w:sz w:val="24"/>
        </w:rPr>
      </w:pPr>
      <w:r>
        <w:rPr>
          <w:b/>
          <w:sz w:val="24"/>
        </w:rPr>
        <w:t>M. EN C.S. SARA GABRIELA MARÍA EUGENIA DE REAL SÁNCHEZ COORDINADORA DE POSGRADO</w:t>
      </w:r>
    </w:p>
    <w:p>
      <w:pPr>
        <w:spacing w:line="535" w:lineRule="auto" w:before="6"/>
        <w:ind w:left="518" w:right="5602" w:firstLine="0"/>
        <w:jc w:val="left"/>
        <w:rPr>
          <w:b/>
          <w:sz w:val="24"/>
        </w:rPr>
      </w:pPr>
      <w:r>
        <w:rPr>
          <w:b/>
          <w:sz w:val="24"/>
        </w:rPr>
        <w:t>FACULTAD DE ODONTOLOGÍA UAEM PRESENTE</w:t>
      </w:r>
    </w:p>
    <w:p>
      <w:pPr>
        <w:pStyle w:val="BodyText"/>
        <w:spacing w:before="6"/>
        <w:ind w:left="518" w:right="854"/>
        <w:jc w:val="both"/>
      </w:pPr>
      <w:r>
        <w:rPr/>
        <w:t>La que suscribe C.D Mireya Romero Muñoz, alumna de la Especialidad en Ortodoncia, solicito a usted de la manera más atenta la autorización para llevar a cabo la impresión del proyecto terminal que lleva por nombre “Implementación del Análisis de Kim en población de 9-14 años de edad para el Departamento de Ortodoncia, UAEM”, que se realizó bajo tutoría de la M. en C.O.O Saraí López González, la Dra. en C.S Edith Lara Carrillo y el Dr. en O. Toshio Kubodera Ito; para poder continuar con mis trámites de liberación y obtención del diploma correspondiente.</w:t>
      </w:r>
    </w:p>
    <w:p>
      <w:pPr>
        <w:pStyle w:val="BodyText"/>
        <w:spacing w:before="199"/>
        <w:ind w:left="518"/>
        <w:jc w:val="both"/>
      </w:pPr>
      <w:r>
        <w:rPr/>
        <w:t>Sin otro particular, y esperando su amable respuesta, le envió un cordial saludo.</w:t>
      </w:r>
    </w:p>
    <w:p>
      <w:pPr>
        <w:pStyle w:val="BodyText"/>
      </w:pPr>
    </w:p>
    <w:p>
      <w:pPr>
        <w:pStyle w:val="BodyText"/>
      </w:pPr>
    </w:p>
    <w:p>
      <w:pPr>
        <w:pStyle w:val="BodyText"/>
      </w:pPr>
    </w:p>
    <w:p>
      <w:pPr>
        <w:pStyle w:val="BodyText"/>
        <w:spacing w:before="2"/>
        <w:rPr>
          <w:sz w:val="28"/>
        </w:rPr>
      </w:pPr>
    </w:p>
    <w:p>
      <w:pPr>
        <w:spacing w:before="0"/>
        <w:ind w:left="3632" w:right="3974" w:firstLine="0"/>
        <w:jc w:val="center"/>
        <w:rPr>
          <w:b/>
          <w:sz w:val="24"/>
        </w:rPr>
      </w:pPr>
      <w:r>
        <w:rPr>
          <w:b/>
          <w:sz w:val="24"/>
        </w:rPr>
        <w:t>ATENTAMENTE</w:t>
      </w:r>
    </w:p>
    <w:p>
      <w:pPr>
        <w:pStyle w:val="BodyText"/>
        <w:rPr>
          <w:b/>
          <w:sz w:val="20"/>
        </w:rPr>
      </w:pPr>
    </w:p>
    <w:p>
      <w:pPr>
        <w:pStyle w:val="BodyText"/>
        <w:rPr>
          <w:b/>
          <w:sz w:val="20"/>
        </w:rPr>
      </w:pPr>
    </w:p>
    <w:p>
      <w:pPr>
        <w:pStyle w:val="BodyText"/>
        <w:rPr>
          <w:b/>
          <w:sz w:val="20"/>
        </w:rPr>
      </w:pPr>
    </w:p>
    <w:p>
      <w:pPr>
        <w:pStyle w:val="BodyText"/>
        <w:spacing w:before="3"/>
        <w:rPr>
          <w:b/>
          <w:sz w:val="17"/>
        </w:rPr>
      </w:pPr>
      <w:r>
        <w:rPr/>
        <w:pict>
          <v:line style="position:absolute;mso-position-horizontal-relative:page;mso-position-vertical-relative:paragraph;z-index:2272;mso-wrap-distance-left:0;mso-wrap-distance-right:0" from="185.419998pt,12.471959pt" to="412.160009pt,12.471959pt" stroked="true" strokeweight="1.068pt" strokecolor="#000000">
            <w10:wrap type="topAndBottom"/>
          </v:line>
        </w:pict>
      </w:r>
    </w:p>
    <w:p>
      <w:pPr>
        <w:pStyle w:val="BodyText"/>
        <w:rPr>
          <w:b/>
          <w:sz w:val="9"/>
        </w:rPr>
      </w:pPr>
    </w:p>
    <w:p>
      <w:pPr>
        <w:spacing w:before="69"/>
        <w:ind w:left="3325" w:right="865" w:firstLine="0"/>
        <w:jc w:val="left"/>
        <w:rPr>
          <w:b/>
          <w:sz w:val="24"/>
        </w:rPr>
      </w:pPr>
      <w:r>
        <w:rPr>
          <w:b/>
          <w:sz w:val="24"/>
        </w:rPr>
        <w:t>C.D MIREYA ROMERO MUÑOZ</w:t>
      </w:r>
    </w:p>
    <w:p>
      <w:pPr>
        <w:spacing w:after="0"/>
        <w:jc w:val="left"/>
        <w:rPr>
          <w:sz w:val="24"/>
        </w:rPr>
        <w:sectPr>
          <w:pgSz w:w="12240" w:h="15840"/>
          <w:pgMar w:header="596" w:footer="1003" w:top="1380" w:bottom="1200" w:left="900" w:right="840"/>
        </w:sectPr>
      </w:pPr>
    </w:p>
    <w:p>
      <w:pPr>
        <w:pStyle w:val="BodyText"/>
        <w:spacing w:before="5"/>
        <w:rPr>
          <w:b/>
          <w:sz w:val="21"/>
        </w:rPr>
      </w:pPr>
    </w:p>
    <w:p>
      <w:pPr>
        <w:spacing w:before="69"/>
        <w:ind w:left="3631" w:right="3974" w:firstLine="0"/>
        <w:jc w:val="center"/>
        <w:rPr>
          <w:b/>
          <w:sz w:val="24"/>
        </w:rPr>
      </w:pPr>
      <w:r>
        <w:rPr>
          <w:b/>
          <w:sz w:val="24"/>
        </w:rPr>
        <w:t>Anexo 9</w:t>
      </w:r>
    </w:p>
    <w:p>
      <w:pPr>
        <w:pStyle w:val="BodyText"/>
        <w:spacing w:before="4"/>
        <w:rPr>
          <w:b/>
          <w:sz w:val="29"/>
        </w:rPr>
      </w:pPr>
    </w:p>
    <w:p>
      <w:pPr>
        <w:spacing w:before="1"/>
        <w:ind w:left="2801" w:right="3143" w:firstLine="0"/>
        <w:jc w:val="center"/>
        <w:rPr>
          <w:b/>
          <w:sz w:val="24"/>
        </w:rPr>
      </w:pPr>
      <w:r>
        <w:rPr>
          <w:b/>
          <w:sz w:val="24"/>
        </w:rPr>
        <w:t>Oficio para autorización de impresión</w:t>
      </w:r>
    </w:p>
    <w:p>
      <w:pPr>
        <w:pStyle w:val="BodyText"/>
        <w:rPr>
          <w:b/>
          <w:sz w:val="26"/>
        </w:rPr>
      </w:pPr>
      <w:r>
        <w:rPr/>
        <w:drawing>
          <wp:anchor distT="0" distB="0" distL="0" distR="0" allowOverlap="1" layoutInCell="1" locked="0" behindDoc="0" simplePos="0" relativeHeight="2296">
            <wp:simplePos x="0" y="0"/>
            <wp:positionH relativeFrom="page">
              <wp:posOffset>1222692</wp:posOffset>
            </wp:positionH>
            <wp:positionV relativeFrom="paragraph">
              <wp:posOffset>214986</wp:posOffset>
            </wp:positionV>
            <wp:extent cx="5092708" cy="7050881"/>
            <wp:effectExtent l="0" t="0" r="0" b="0"/>
            <wp:wrapTopAndBottom/>
            <wp:docPr id="23" name="image376.jpeg" descr=""/>
            <wp:cNvGraphicFramePr>
              <a:graphicFrameLocks noChangeAspect="1"/>
            </wp:cNvGraphicFramePr>
            <a:graphic>
              <a:graphicData uri="http://schemas.openxmlformats.org/drawingml/2006/picture">
                <pic:pic>
                  <pic:nvPicPr>
                    <pic:cNvPr id="24" name="image376.jpeg"/>
                    <pic:cNvPicPr/>
                  </pic:nvPicPr>
                  <pic:blipFill>
                    <a:blip r:embed="rId405" cstate="print"/>
                    <a:stretch>
                      <a:fillRect/>
                    </a:stretch>
                  </pic:blipFill>
                  <pic:spPr>
                    <a:xfrm>
                      <a:off x="0" y="0"/>
                      <a:ext cx="5092708" cy="7050881"/>
                    </a:xfrm>
                    <a:prstGeom prst="rect">
                      <a:avLst/>
                    </a:prstGeom>
                  </pic:spPr>
                </pic:pic>
              </a:graphicData>
            </a:graphic>
          </wp:anchor>
        </w:drawing>
      </w:r>
    </w:p>
    <w:p>
      <w:pPr>
        <w:spacing w:after="0"/>
        <w:rPr>
          <w:sz w:val="26"/>
        </w:rPr>
        <w:sectPr>
          <w:pgSz w:w="12240" w:h="15840"/>
          <w:pgMar w:header="596" w:footer="1003" w:top="1380" w:bottom="1200" w:left="900" w:right="840"/>
        </w:sectPr>
      </w:pPr>
    </w:p>
    <w:p>
      <w:pPr>
        <w:pStyle w:val="BodyText"/>
        <w:spacing w:before="5"/>
        <w:rPr>
          <w:b/>
          <w:sz w:val="21"/>
        </w:rPr>
      </w:pPr>
    </w:p>
    <w:p>
      <w:pPr>
        <w:spacing w:before="69"/>
        <w:ind w:left="3631" w:right="3974" w:firstLine="0"/>
        <w:jc w:val="center"/>
        <w:rPr>
          <w:b/>
          <w:sz w:val="24"/>
        </w:rPr>
      </w:pPr>
      <w:r>
        <w:rPr>
          <w:b/>
          <w:sz w:val="24"/>
        </w:rPr>
        <w:t>Anexo 10</w:t>
      </w:r>
    </w:p>
    <w:p>
      <w:pPr>
        <w:pStyle w:val="BodyText"/>
        <w:spacing w:before="4"/>
        <w:rPr>
          <w:b/>
          <w:sz w:val="29"/>
        </w:rPr>
      </w:pPr>
    </w:p>
    <w:p>
      <w:pPr>
        <w:spacing w:before="1"/>
        <w:ind w:left="2801" w:right="3143" w:firstLine="0"/>
        <w:jc w:val="center"/>
        <w:rPr>
          <w:b/>
          <w:sz w:val="24"/>
        </w:rPr>
      </w:pPr>
      <w:r>
        <w:rPr>
          <w:b/>
          <w:sz w:val="24"/>
        </w:rPr>
        <w:t>Oficio para autorización de impresión</w:t>
      </w:r>
    </w:p>
    <w:p>
      <w:pPr>
        <w:pStyle w:val="BodyText"/>
        <w:rPr>
          <w:b/>
          <w:sz w:val="26"/>
        </w:rPr>
      </w:pPr>
      <w:r>
        <w:rPr/>
        <w:drawing>
          <wp:anchor distT="0" distB="0" distL="0" distR="0" allowOverlap="1" layoutInCell="1" locked="0" behindDoc="0" simplePos="0" relativeHeight="2320">
            <wp:simplePos x="0" y="0"/>
            <wp:positionH relativeFrom="page">
              <wp:posOffset>1203642</wp:posOffset>
            </wp:positionH>
            <wp:positionV relativeFrom="paragraph">
              <wp:posOffset>214973</wp:posOffset>
            </wp:positionV>
            <wp:extent cx="5148104" cy="6642354"/>
            <wp:effectExtent l="0" t="0" r="0" b="0"/>
            <wp:wrapTopAndBottom/>
            <wp:docPr id="25" name="image377.jpeg" descr=""/>
            <wp:cNvGraphicFramePr>
              <a:graphicFrameLocks noChangeAspect="1"/>
            </wp:cNvGraphicFramePr>
            <a:graphic>
              <a:graphicData uri="http://schemas.openxmlformats.org/drawingml/2006/picture">
                <pic:pic>
                  <pic:nvPicPr>
                    <pic:cNvPr id="26" name="image377.jpeg"/>
                    <pic:cNvPicPr/>
                  </pic:nvPicPr>
                  <pic:blipFill>
                    <a:blip r:embed="rId406" cstate="print"/>
                    <a:stretch>
                      <a:fillRect/>
                    </a:stretch>
                  </pic:blipFill>
                  <pic:spPr>
                    <a:xfrm>
                      <a:off x="0" y="0"/>
                      <a:ext cx="5148104" cy="6642354"/>
                    </a:xfrm>
                    <a:prstGeom prst="rect">
                      <a:avLst/>
                    </a:prstGeom>
                  </pic:spPr>
                </pic:pic>
              </a:graphicData>
            </a:graphic>
          </wp:anchor>
        </w:drawing>
      </w:r>
    </w:p>
    <w:p>
      <w:pPr>
        <w:spacing w:after="0"/>
        <w:rPr>
          <w:sz w:val="26"/>
        </w:rPr>
        <w:sectPr>
          <w:pgSz w:w="12240" w:h="15840"/>
          <w:pgMar w:header="596" w:footer="1003" w:top="1380" w:bottom="1200" w:left="900" w:right="840"/>
        </w:sectPr>
      </w:pPr>
    </w:p>
    <w:p>
      <w:pPr>
        <w:pStyle w:val="BodyText"/>
        <w:spacing w:before="5"/>
        <w:rPr>
          <w:b/>
          <w:sz w:val="21"/>
        </w:rPr>
      </w:pPr>
    </w:p>
    <w:p>
      <w:pPr>
        <w:spacing w:before="69"/>
        <w:ind w:left="3631" w:right="3974" w:firstLine="0"/>
        <w:jc w:val="center"/>
        <w:rPr>
          <w:b/>
          <w:sz w:val="24"/>
        </w:rPr>
      </w:pPr>
      <w:r>
        <w:rPr>
          <w:b/>
          <w:sz w:val="24"/>
        </w:rPr>
        <w:t>Anexo 10</w:t>
      </w:r>
    </w:p>
    <w:p>
      <w:pPr>
        <w:pStyle w:val="BodyText"/>
        <w:spacing w:before="4"/>
        <w:rPr>
          <w:b/>
          <w:sz w:val="29"/>
        </w:rPr>
      </w:pPr>
    </w:p>
    <w:p>
      <w:pPr>
        <w:spacing w:before="1"/>
        <w:ind w:left="0" w:right="344" w:firstLine="0"/>
        <w:jc w:val="center"/>
        <w:rPr>
          <w:b/>
          <w:sz w:val="24"/>
        </w:rPr>
      </w:pPr>
      <w:r>
        <w:rPr>
          <w:b/>
          <w:sz w:val="24"/>
        </w:rPr>
        <w:t>Oficio de autorización de impresión y expedición de diploma</w:t>
      </w:r>
    </w:p>
    <w:p>
      <w:pPr>
        <w:pStyle w:val="BodyText"/>
        <w:rPr>
          <w:b/>
          <w:sz w:val="26"/>
        </w:rPr>
      </w:pPr>
      <w:r>
        <w:rPr/>
        <w:drawing>
          <wp:anchor distT="0" distB="0" distL="0" distR="0" allowOverlap="1" layoutInCell="1" locked="0" behindDoc="0" simplePos="0" relativeHeight="2344">
            <wp:simplePos x="0" y="0"/>
            <wp:positionH relativeFrom="page">
              <wp:posOffset>1196022</wp:posOffset>
            </wp:positionH>
            <wp:positionV relativeFrom="paragraph">
              <wp:posOffset>214884</wp:posOffset>
            </wp:positionV>
            <wp:extent cx="5169547" cy="7055358"/>
            <wp:effectExtent l="0" t="0" r="0" b="0"/>
            <wp:wrapTopAndBottom/>
            <wp:docPr id="27" name="image378.jpeg" descr=""/>
            <wp:cNvGraphicFramePr>
              <a:graphicFrameLocks noChangeAspect="1"/>
            </wp:cNvGraphicFramePr>
            <a:graphic>
              <a:graphicData uri="http://schemas.openxmlformats.org/drawingml/2006/picture">
                <pic:pic>
                  <pic:nvPicPr>
                    <pic:cNvPr id="28" name="image378.jpeg"/>
                    <pic:cNvPicPr/>
                  </pic:nvPicPr>
                  <pic:blipFill>
                    <a:blip r:embed="rId407" cstate="print"/>
                    <a:stretch>
                      <a:fillRect/>
                    </a:stretch>
                  </pic:blipFill>
                  <pic:spPr>
                    <a:xfrm>
                      <a:off x="0" y="0"/>
                      <a:ext cx="5169547" cy="7055358"/>
                    </a:xfrm>
                    <a:prstGeom prst="rect">
                      <a:avLst/>
                    </a:prstGeom>
                  </pic:spPr>
                </pic:pic>
              </a:graphicData>
            </a:graphic>
          </wp:anchor>
        </w:drawing>
      </w:r>
    </w:p>
    <w:sectPr>
      <w:pgSz w:w="12240" w:h="15840"/>
      <w:pgMar w:header="596" w:footer="1003" w:top="1380" w:bottom="1200" w:left="900" w:right="8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mbria">
    <w:altName w:val="Cambria"/>
    <w:charset w:val="0"/>
    <w:family w:val="roman"/>
    <w:pitch w:val="variable"/>
  </w:font>
  <w:font w:name="Calibri">
    <w:altName w:val="Calibri"/>
    <w:charset w:val="0"/>
    <w:family w:val="swiss"/>
    <w:pitch w:val="variable"/>
  </w:font>
  <w:font w:name="Wingdings">
    <w:altName w:val="Wingdings"/>
    <w:charset w:val="2"/>
    <w:family w:val="auto"/>
    <w:pitch w:val="variable"/>
  </w:font>
  <w:font w:name="Symbol">
    <w:altName w:val="Symbol"/>
    <w:charset w:val="2"/>
    <w:family w:val="roman"/>
    <w:pitch w:val="variable"/>
  </w:font>
  <w:font w:name="Courier New">
    <w:altName w:val="Courier New"/>
    <w:charset w:val="0"/>
    <w:family w:val="modern"/>
    <w:pitch w:val="fixed"/>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5pt;margin-top:732.296021pt;width:9.6pt;height:13.05pt;mso-position-horizontal-relative:page;mso-position-vertical-relative:page;z-index:-1035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2.296021pt;width:13.3pt;height:13.05pt;mso-position-horizontal-relative:page;mso-position-vertical-relative:page;z-index:-103288"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4.5pt;mso-position-horizontal-relative:page;mso-position-vertical-relative:page;z-index:-103264" type="#_x0000_t202" filled="false" stroked="false">
          <v:textbox inset="0,0,0,0">
            <w:txbxContent>
              <w:p>
                <w:pPr>
                  <w:spacing w:before="5"/>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103240"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1032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103192" type="#_x0000_t202" filled="false" stroked="false">
          <v:textbox inset="0,0,0,0">
            <w:txbxContent>
              <w:p>
                <w:pPr>
                  <w:spacing w:line="245" w:lineRule="exact" w:before="0"/>
                  <w:ind w:left="20" w:right="0" w:firstLine="0"/>
                  <w:jc w:val="left"/>
                  <w:rPr>
                    <w:rFonts w:ascii="Calibri"/>
                    <w:sz w:val="22"/>
                  </w:rPr>
                </w:pPr>
                <w:r>
                  <w:rPr>
                    <w:rFonts w:ascii="Calibri"/>
                    <w:sz w:val="22"/>
                  </w:rPr>
                  <w:t>70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1031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103144" type="#_x0000_t202" filled="false" stroked="false">
          <v:textbox inset="0,0,0,0">
            <w:txbxContent>
              <w:p>
                <w:pPr>
                  <w:spacing w:line="245" w:lineRule="exact" w:before="0"/>
                  <w:ind w:left="20" w:right="0" w:firstLine="0"/>
                  <w:jc w:val="left"/>
                  <w:rPr>
                    <w:rFonts w:ascii="Calibri"/>
                    <w:sz w:val="22"/>
                  </w:rPr>
                </w:pPr>
                <w:r>
                  <w:rPr>
                    <w:rFonts w:ascii="Calibri"/>
                    <w:sz w:val="22"/>
                  </w:rPr>
                  <w:t>80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1031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103096" type="#_x0000_t202" filled="false" stroked="false">
          <v:textbox inset="0,0,0,0">
            <w:txbxContent>
              <w:p>
                <w:pPr>
                  <w:spacing w:line="245" w:lineRule="exact" w:before="0"/>
                  <w:ind w:left="20" w:right="0" w:firstLine="0"/>
                  <w:jc w:val="left"/>
                  <w:rPr>
                    <w:rFonts w:ascii="Calibri"/>
                    <w:sz w:val="22"/>
                  </w:rPr>
                </w:pPr>
                <w:r>
                  <w:rPr>
                    <w:rFonts w:ascii="Calibri"/>
                    <w:sz w:val="22"/>
                  </w:rPr>
                  <w:t>90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1030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2.296021pt;width:13.3pt;height:13.05pt;mso-position-horizontal-relative:page;mso-position-vertical-relative:page;z-index:-103480"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2.296021pt;width:15.3pt;height:13.05pt;mso-position-horizontal-relative:page;mso-position-vertical-relative:page;z-index:-1034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2.296021pt;width:13.3pt;height:13.05pt;mso-position-horizontal-relative:page;mso-position-vertical-relative:page;z-index:-103432"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2.296021pt;width:15.3pt;height:13.05pt;mso-position-horizontal-relative:page;mso-position-vertical-relative:page;z-index:-1034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2.296021pt;width:13.3pt;height:13.05pt;mso-position-horizontal-relative:page;mso-position-vertical-relative:page;z-index:-103384"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2.296021pt;width:15.3pt;height:13.05pt;mso-position-horizontal-relative:page;mso-position-vertical-relative:page;z-index:-1033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2.296021pt;width:13.3pt;height:13.05pt;mso-position-horizontal-relative:page;mso-position-vertical-relative:page;z-index:-103336"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2.296021pt;width:15.3pt;height:13.05pt;mso-position-horizontal-relative:page;mso-position-vertical-relative:page;z-index:-1033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3648" from="64.320000pt,78.050003pt" to="575.190pt,78.050003pt" stroked="true" strokeweight="2.74pt" strokecolor="#7e7e7e">
          <w10:wrap type="none"/>
        </v:line>
      </w:pict>
    </w:r>
    <w:r>
      <w:rPr/>
      <w:pict>
        <v:line style="position:absolute;mso-position-horizontal-relative:page;mso-position-vertical-relative:page;z-index:-103624" from="64.320000pt,80.785004pt" to="575.190pt,80.785004pt" stroked="true" strokeweight=".91pt" strokecolor="#7e7e7e">
          <w10:wrap type="none"/>
        </v:line>
      </w:pict>
    </w:r>
    <w:r>
      <w:rPr/>
      <w:pict>
        <v:shapetype id="_x0000_t202" o:spt="202" coordsize="21600,21600" path="m,l,21600r21600,l21600,xe">
          <v:stroke joinstyle="miter"/>
          <v:path gradientshapeok="t" o:connecttype="rect"/>
        </v:shapetype>
        <v:shape style="position:absolute;margin-left:69.944pt;margin-top:40.212128pt;width:452.65pt;height:25.9pt;mso-position-horizontal-relative:page;mso-position-vertical-relative:page;z-index:-103600" type="#_x0000_t202" filled="false" stroked="false">
          <v:textbox inset="0,0,0,0">
            <w:txbxContent>
              <w:p>
                <w:pPr>
                  <w:spacing w:line="240" w:lineRule="auto" w:before="0"/>
                  <w:ind w:left="20" w:right="3" w:firstLine="0"/>
                  <w:jc w:val="left"/>
                  <w:rPr>
                    <w:rFonts w:ascii="Cambria" w:hAnsi="Cambria"/>
                    <w:sz w:val="22"/>
                  </w:rPr>
                </w:pPr>
                <w:r>
                  <w:rPr>
                    <w:rFonts w:ascii="Cambria" w:hAnsi="Cambria"/>
                    <w:sz w:val="22"/>
                  </w:rPr>
                  <w:t>Implementación del análisis de Kim en población de 9-14 años de edad para el Departamento de Ortodoncia, UAEM.</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3576" from="52.283001pt,69.269997pt" to="568.050001pt,69.269997pt" stroked="true" strokeweight="2.7pt" strokecolor="#7e7e7e">
          <w10:wrap type="none"/>
        </v:line>
      </w:pict>
    </w:r>
    <w:r>
      <w:rPr/>
      <w:pict>
        <v:line style="position:absolute;mso-position-horizontal-relative:page;mso-position-vertical-relative:page;z-index:-103552" from="52.283001pt,71.970001pt" to="568.050001pt,71.970001pt" stroked="true" strokeweight=".9pt" strokecolor="#7e7e7e">
          <w10:wrap type="none"/>
        </v:line>
      </w:pict>
    </w:r>
    <w:r>
      <w:rPr/>
      <w:pict>
        <v:shape style="position:absolute;margin-left:69.944pt;margin-top:28.812128pt;width:452.7pt;height:26pt;mso-position-horizontal-relative:page;mso-position-vertical-relative:page;z-index:-103528" type="#_x0000_t202" filled="false" stroked="false">
          <v:textbox inset="0,0,0,0">
            <w:txbxContent>
              <w:p>
                <w:pPr>
                  <w:spacing w:line="240" w:lineRule="auto" w:before="0"/>
                  <w:ind w:left="20" w:right="4" w:firstLine="0"/>
                  <w:jc w:val="left"/>
                  <w:rPr>
                    <w:rFonts w:ascii="Cambria" w:hAnsi="Cambria"/>
                    <w:sz w:val="22"/>
                  </w:rPr>
                </w:pPr>
                <w:r>
                  <w:rPr>
                    <w:rFonts w:ascii="Cambria" w:hAnsi="Cambria"/>
                    <w:sz w:val="22"/>
                  </w:rPr>
                  <w:t>Implementación del análisis de Kim en población de 9-14 años de edad para el Departamento de Ortodoncia, UAEM.</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6">
    <w:multiLevelType w:val="hybridMultilevel"/>
    <w:lvl w:ilvl="0">
      <w:start w:val="1"/>
      <w:numFmt w:val="bullet"/>
      <w:lvlText w:val=""/>
      <w:lvlJc w:val="left"/>
      <w:pPr>
        <w:ind w:left="1238" w:hanging="360"/>
      </w:pPr>
      <w:rPr>
        <w:rFonts w:hint="default" w:ascii="Symbol" w:hAnsi="Symbol" w:eastAsia="Symbol" w:cs="Symbol"/>
        <w:w w:val="100"/>
        <w:sz w:val="24"/>
        <w:szCs w:val="24"/>
      </w:rPr>
    </w:lvl>
    <w:lvl w:ilvl="1">
      <w:start w:val="1"/>
      <w:numFmt w:val="bullet"/>
      <w:lvlText w:val="•"/>
      <w:lvlJc w:val="left"/>
      <w:pPr>
        <w:ind w:left="2176" w:hanging="360"/>
      </w:pPr>
      <w:rPr>
        <w:rFonts w:hint="default"/>
      </w:rPr>
    </w:lvl>
    <w:lvl w:ilvl="2">
      <w:start w:val="1"/>
      <w:numFmt w:val="bullet"/>
      <w:lvlText w:val="•"/>
      <w:lvlJc w:val="left"/>
      <w:pPr>
        <w:ind w:left="3112" w:hanging="360"/>
      </w:pPr>
      <w:rPr>
        <w:rFonts w:hint="default"/>
      </w:rPr>
    </w:lvl>
    <w:lvl w:ilvl="3">
      <w:start w:val="1"/>
      <w:numFmt w:val="bullet"/>
      <w:lvlText w:val="•"/>
      <w:lvlJc w:val="left"/>
      <w:pPr>
        <w:ind w:left="4048" w:hanging="360"/>
      </w:pPr>
      <w:rPr>
        <w:rFonts w:hint="default"/>
      </w:rPr>
    </w:lvl>
    <w:lvl w:ilvl="4">
      <w:start w:val="1"/>
      <w:numFmt w:val="bullet"/>
      <w:lvlText w:val="•"/>
      <w:lvlJc w:val="left"/>
      <w:pPr>
        <w:ind w:left="4984" w:hanging="360"/>
      </w:pPr>
      <w:rPr>
        <w:rFonts w:hint="default"/>
      </w:rPr>
    </w:lvl>
    <w:lvl w:ilvl="5">
      <w:start w:val="1"/>
      <w:numFmt w:val="bullet"/>
      <w:lvlText w:val="•"/>
      <w:lvlJc w:val="left"/>
      <w:pPr>
        <w:ind w:left="5920" w:hanging="360"/>
      </w:pPr>
      <w:rPr>
        <w:rFonts w:hint="default"/>
      </w:rPr>
    </w:lvl>
    <w:lvl w:ilvl="6">
      <w:start w:val="1"/>
      <w:numFmt w:val="bullet"/>
      <w:lvlText w:val="•"/>
      <w:lvlJc w:val="left"/>
      <w:pPr>
        <w:ind w:left="6856" w:hanging="360"/>
      </w:pPr>
      <w:rPr>
        <w:rFonts w:hint="default"/>
      </w:rPr>
    </w:lvl>
    <w:lvl w:ilvl="7">
      <w:start w:val="1"/>
      <w:numFmt w:val="bullet"/>
      <w:lvlText w:val="•"/>
      <w:lvlJc w:val="left"/>
      <w:pPr>
        <w:ind w:left="7792" w:hanging="360"/>
      </w:pPr>
      <w:rPr>
        <w:rFonts w:hint="default"/>
      </w:rPr>
    </w:lvl>
    <w:lvl w:ilvl="8">
      <w:start w:val="1"/>
      <w:numFmt w:val="bullet"/>
      <w:lvlText w:val="•"/>
      <w:lvlJc w:val="left"/>
      <w:pPr>
        <w:ind w:left="8728" w:hanging="360"/>
      </w:pPr>
      <w:rPr>
        <w:rFonts w:hint="default"/>
      </w:rPr>
    </w:lvl>
  </w:abstractNum>
  <w:abstractNum w:abstractNumId="28">
    <w:multiLevelType w:val="hybridMultilevel"/>
    <w:lvl w:ilvl="0">
      <w:start w:val="29"/>
      <w:numFmt w:val="decimal"/>
      <w:lvlText w:val="%1."/>
      <w:lvlJc w:val="left"/>
      <w:pPr>
        <w:ind w:left="518" w:hanging="337"/>
        <w:jc w:val="left"/>
      </w:pPr>
      <w:rPr>
        <w:rFonts w:hint="default" w:ascii="Arial" w:hAnsi="Arial" w:eastAsia="Arial" w:cs="Arial"/>
        <w:w w:val="99"/>
        <w:sz w:val="24"/>
        <w:szCs w:val="24"/>
      </w:rPr>
    </w:lvl>
    <w:lvl w:ilvl="1">
      <w:start w:val="1"/>
      <w:numFmt w:val="bullet"/>
      <w:lvlText w:val="•"/>
      <w:lvlJc w:val="left"/>
      <w:pPr>
        <w:ind w:left="1518" w:hanging="337"/>
      </w:pPr>
      <w:rPr>
        <w:rFonts w:hint="default"/>
      </w:rPr>
    </w:lvl>
    <w:lvl w:ilvl="2">
      <w:start w:val="1"/>
      <w:numFmt w:val="bullet"/>
      <w:lvlText w:val="•"/>
      <w:lvlJc w:val="left"/>
      <w:pPr>
        <w:ind w:left="2516" w:hanging="337"/>
      </w:pPr>
      <w:rPr>
        <w:rFonts w:hint="default"/>
      </w:rPr>
    </w:lvl>
    <w:lvl w:ilvl="3">
      <w:start w:val="1"/>
      <w:numFmt w:val="bullet"/>
      <w:lvlText w:val="•"/>
      <w:lvlJc w:val="left"/>
      <w:pPr>
        <w:ind w:left="3514" w:hanging="337"/>
      </w:pPr>
      <w:rPr>
        <w:rFonts w:hint="default"/>
      </w:rPr>
    </w:lvl>
    <w:lvl w:ilvl="4">
      <w:start w:val="1"/>
      <w:numFmt w:val="bullet"/>
      <w:lvlText w:val="•"/>
      <w:lvlJc w:val="left"/>
      <w:pPr>
        <w:ind w:left="4512" w:hanging="337"/>
      </w:pPr>
      <w:rPr>
        <w:rFonts w:hint="default"/>
      </w:rPr>
    </w:lvl>
    <w:lvl w:ilvl="5">
      <w:start w:val="1"/>
      <w:numFmt w:val="bullet"/>
      <w:lvlText w:val="•"/>
      <w:lvlJc w:val="left"/>
      <w:pPr>
        <w:ind w:left="5510" w:hanging="337"/>
      </w:pPr>
      <w:rPr>
        <w:rFonts w:hint="default"/>
      </w:rPr>
    </w:lvl>
    <w:lvl w:ilvl="6">
      <w:start w:val="1"/>
      <w:numFmt w:val="bullet"/>
      <w:lvlText w:val="•"/>
      <w:lvlJc w:val="left"/>
      <w:pPr>
        <w:ind w:left="6508" w:hanging="337"/>
      </w:pPr>
      <w:rPr>
        <w:rFonts w:hint="default"/>
      </w:rPr>
    </w:lvl>
    <w:lvl w:ilvl="7">
      <w:start w:val="1"/>
      <w:numFmt w:val="bullet"/>
      <w:lvlText w:val="•"/>
      <w:lvlJc w:val="left"/>
      <w:pPr>
        <w:ind w:left="7506" w:hanging="337"/>
      </w:pPr>
      <w:rPr>
        <w:rFonts w:hint="default"/>
      </w:rPr>
    </w:lvl>
    <w:lvl w:ilvl="8">
      <w:start w:val="1"/>
      <w:numFmt w:val="bullet"/>
      <w:lvlText w:val="•"/>
      <w:lvlJc w:val="left"/>
      <w:pPr>
        <w:ind w:left="8504" w:hanging="337"/>
      </w:pPr>
      <w:rPr>
        <w:rFonts w:hint="default"/>
      </w:rPr>
    </w:lvl>
  </w:abstractNum>
  <w:abstractNum w:abstractNumId="27">
    <w:multiLevelType w:val="hybridMultilevel"/>
    <w:lvl w:ilvl="0">
      <w:start w:val="11"/>
      <w:numFmt w:val="decimal"/>
      <w:lvlText w:val="%1."/>
      <w:lvlJc w:val="left"/>
      <w:pPr>
        <w:ind w:left="518" w:hanging="337"/>
        <w:jc w:val="left"/>
      </w:pPr>
      <w:rPr>
        <w:rFonts w:hint="default" w:ascii="Arial" w:hAnsi="Arial" w:eastAsia="Arial" w:cs="Arial"/>
        <w:w w:val="99"/>
        <w:sz w:val="24"/>
        <w:szCs w:val="24"/>
      </w:rPr>
    </w:lvl>
    <w:lvl w:ilvl="1">
      <w:start w:val="1"/>
      <w:numFmt w:val="bullet"/>
      <w:lvlText w:val="•"/>
      <w:lvlJc w:val="left"/>
      <w:pPr>
        <w:ind w:left="1518" w:hanging="337"/>
      </w:pPr>
      <w:rPr>
        <w:rFonts w:hint="default"/>
      </w:rPr>
    </w:lvl>
    <w:lvl w:ilvl="2">
      <w:start w:val="1"/>
      <w:numFmt w:val="bullet"/>
      <w:lvlText w:val="•"/>
      <w:lvlJc w:val="left"/>
      <w:pPr>
        <w:ind w:left="2516" w:hanging="337"/>
      </w:pPr>
      <w:rPr>
        <w:rFonts w:hint="default"/>
      </w:rPr>
    </w:lvl>
    <w:lvl w:ilvl="3">
      <w:start w:val="1"/>
      <w:numFmt w:val="bullet"/>
      <w:lvlText w:val="•"/>
      <w:lvlJc w:val="left"/>
      <w:pPr>
        <w:ind w:left="3514" w:hanging="337"/>
      </w:pPr>
      <w:rPr>
        <w:rFonts w:hint="default"/>
      </w:rPr>
    </w:lvl>
    <w:lvl w:ilvl="4">
      <w:start w:val="1"/>
      <w:numFmt w:val="bullet"/>
      <w:lvlText w:val="•"/>
      <w:lvlJc w:val="left"/>
      <w:pPr>
        <w:ind w:left="4512" w:hanging="337"/>
      </w:pPr>
      <w:rPr>
        <w:rFonts w:hint="default"/>
      </w:rPr>
    </w:lvl>
    <w:lvl w:ilvl="5">
      <w:start w:val="1"/>
      <w:numFmt w:val="bullet"/>
      <w:lvlText w:val="•"/>
      <w:lvlJc w:val="left"/>
      <w:pPr>
        <w:ind w:left="5510" w:hanging="337"/>
      </w:pPr>
      <w:rPr>
        <w:rFonts w:hint="default"/>
      </w:rPr>
    </w:lvl>
    <w:lvl w:ilvl="6">
      <w:start w:val="1"/>
      <w:numFmt w:val="bullet"/>
      <w:lvlText w:val="•"/>
      <w:lvlJc w:val="left"/>
      <w:pPr>
        <w:ind w:left="6508" w:hanging="337"/>
      </w:pPr>
      <w:rPr>
        <w:rFonts w:hint="default"/>
      </w:rPr>
    </w:lvl>
    <w:lvl w:ilvl="7">
      <w:start w:val="1"/>
      <w:numFmt w:val="bullet"/>
      <w:lvlText w:val="•"/>
      <w:lvlJc w:val="left"/>
      <w:pPr>
        <w:ind w:left="7506" w:hanging="337"/>
      </w:pPr>
      <w:rPr>
        <w:rFonts w:hint="default"/>
      </w:rPr>
    </w:lvl>
    <w:lvl w:ilvl="8">
      <w:start w:val="1"/>
      <w:numFmt w:val="bullet"/>
      <w:lvlText w:val="•"/>
      <w:lvlJc w:val="left"/>
      <w:pPr>
        <w:ind w:left="8504" w:hanging="337"/>
      </w:pPr>
      <w:rPr>
        <w:rFonts w:hint="default"/>
      </w:rPr>
    </w:lvl>
  </w:abstractNum>
  <w:abstractNum w:abstractNumId="26">
    <w:multiLevelType w:val="hybridMultilevel"/>
    <w:lvl w:ilvl="0">
      <w:start w:val="1"/>
      <w:numFmt w:val="decimal"/>
      <w:lvlText w:val="%1."/>
      <w:lvlJc w:val="left"/>
      <w:pPr>
        <w:ind w:left="518" w:hanging="203"/>
        <w:jc w:val="left"/>
      </w:pPr>
      <w:rPr>
        <w:rFonts w:hint="default" w:ascii="Arial" w:hAnsi="Arial" w:eastAsia="Arial" w:cs="Arial"/>
        <w:w w:val="100"/>
        <w:sz w:val="24"/>
        <w:szCs w:val="24"/>
      </w:rPr>
    </w:lvl>
    <w:lvl w:ilvl="1">
      <w:start w:val="1"/>
      <w:numFmt w:val="bullet"/>
      <w:lvlText w:val="•"/>
      <w:lvlJc w:val="left"/>
      <w:pPr>
        <w:ind w:left="1518" w:hanging="203"/>
      </w:pPr>
      <w:rPr>
        <w:rFonts w:hint="default"/>
      </w:rPr>
    </w:lvl>
    <w:lvl w:ilvl="2">
      <w:start w:val="1"/>
      <w:numFmt w:val="bullet"/>
      <w:lvlText w:val="•"/>
      <w:lvlJc w:val="left"/>
      <w:pPr>
        <w:ind w:left="2516" w:hanging="203"/>
      </w:pPr>
      <w:rPr>
        <w:rFonts w:hint="default"/>
      </w:rPr>
    </w:lvl>
    <w:lvl w:ilvl="3">
      <w:start w:val="1"/>
      <w:numFmt w:val="bullet"/>
      <w:lvlText w:val="•"/>
      <w:lvlJc w:val="left"/>
      <w:pPr>
        <w:ind w:left="3514" w:hanging="203"/>
      </w:pPr>
      <w:rPr>
        <w:rFonts w:hint="default"/>
      </w:rPr>
    </w:lvl>
    <w:lvl w:ilvl="4">
      <w:start w:val="1"/>
      <w:numFmt w:val="bullet"/>
      <w:lvlText w:val="•"/>
      <w:lvlJc w:val="left"/>
      <w:pPr>
        <w:ind w:left="4512" w:hanging="203"/>
      </w:pPr>
      <w:rPr>
        <w:rFonts w:hint="default"/>
      </w:rPr>
    </w:lvl>
    <w:lvl w:ilvl="5">
      <w:start w:val="1"/>
      <w:numFmt w:val="bullet"/>
      <w:lvlText w:val="•"/>
      <w:lvlJc w:val="left"/>
      <w:pPr>
        <w:ind w:left="5510" w:hanging="203"/>
      </w:pPr>
      <w:rPr>
        <w:rFonts w:hint="default"/>
      </w:rPr>
    </w:lvl>
    <w:lvl w:ilvl="6">
      <w:start w:val="1"/>
      <w:numFmt w:val="bullet"/>
      <w:lvlText w:val="•"/>
      <w:lvlJc w:val="left"/>
      <w:pPr>
        <w:ind w:left="6508" w:hanging="203"/>
      </w:pPr>
      <w:rPr>
        <w:rFonts w:hint="default"/>
      </w:rPr>
    </w:lvl>
    <w:lvl w:ilvl="7">
      <w:start w:val="1"/>
      <w:numFmt w:val="bullet"/>
      <w:lvlText w:val="•"/>
      <w:lvlJc w:val="left"/>
      <w:pPr>
        <w:ind w:left="7506" w:hanging="203"/>
      </w:pPr>
      <w:rPr>
        <w:rFonts w:hint="default"/>
      </w:rPr>
    </w:lvl>
    <w:lvl w:ilvl="8">
      <w:start w:val="1"/>
      <w:numFmt w:val="bullet"/>
      <w:lvlText w:val="•"/>
      <w:lvlJc w:val="left"/>
      <w:pPr>
        <w:ind w:left="8504" w:hanging="203"/>
      </w:pPr>
      <w:rPr>
        <w:rFonts w:hint="default"/>
      </w:rPr>
    </w:lvl>
  </w:abstractNum>
  <w:abstractNum w:abstractNumId="25">
    <w:multiLevelType w:val="hybridMultilevel"/>
    <w:lvl w:ilvl="0">
      <w:start w:val="1"/>
      <w:numFmt w:val="bullet"/>
      <w:lvlText w:val="•"/>
      <w:lvlJc w:val="left"/>
      <w:pPr>
        <w:ind w:left="863" w:hanging="361"/>
      </w:pPr>
      <w:rPr>
        <w:rFonts w:hint="default" w:ascii="Arial" w:hAnsi="Arial" w:eastAsia="Arial" w:cs="Arial"/>
        <w:color w:val="FFFFFF"/>
        <w:w w:val="99"/>
        <w:sz w:val="56"/>
        <w:szCs w:val="56"/>
      </w:rPr>
    </w:lvl>
    <w:lvl w:ilvl="1">
      <w:start w:val="1"/>
      <w:numFmt w:val="bullet"/>
      <w:lvlText w:val="•"/>
      <w:lvlJc w:val="left"/>
      <w:pPr>
        <w:ind w:left="1294" w:hanging="361"/>
      </w:pPr>
      <w:rPr>
        <w:rFonts w:hint="default"/>
      </w:rPr>
    </w:lvl>
    <w:lvl w:ilvl="2">
      <w:start w:val="1"/>
      <w:numFmt w:val="bullet"/>
      <w:lvlText w:val="•"/>
      <w:lvlJc w:val="left"/>
      <w:pPr>
        <w:ind w:left="1729" w:hanging="361"/>
      </w:pPr>
      <w:rPr>
        <w:rFonts w:hint="default"/>
      </w:rPr>
    </w:lvl>
    <w:lvl w:ilvl="3">
      <w:start w:val="1"/>
      <w:numFmt w:val="bullet"/>
      <w:lvlText w:val="•"/>
      <w:lvlJc w:val="left"/>
      <w:pPr>
        <w:ind w:left="2164" w:hanging="361"/>
      </w:pPr>
      <w:rPr>
        <w:rFonts w:hint="default"/>
      </w:rPr>
    </w:lvl>
    <w:lvl w:ilvl="4">
      <w:start w:val="1"/>
      <w:numFmt w:val="bullet"/>
      <w:lvlText w:val="•"/>
      <w:lvlJc w:val="left"/>
      <w:pPr>
        <w:ind w:left="2598" w:hanging="361"/>
      </w:pPr>
      <w:rPr>
        <w:rFonts w:hint="default"/>
      </w:rPr>
    </w:lvl>
    <w:lvl w:ilvl="5">
      <w:start w:val="1"/>
      <w:numFmt w:val="bullet"/>
      <w:lvlText w:val="•"/>
      <w:lvlJc w:val="left"/>
      <w:pPr>
        <w:ind w:left="3033" w:hanging="361"/>
      </w:pPr>
      <w:rPr>
        <w:rFonts w:hint="default"/>
      </w:rPr>
    </w:lvl>
    <w:lvl w:ilvl="6">
      <w:start w:val="1"/>
      <w:numFmt w:val="bullet"/>
      <w:lvlText w:val="•"/>
      <w:lvlJc w:val="left"/>
      <w:pPr>
        <w:ind w:left="3468" w:hanging="361"/>
      </w:pPr>
      <w:rPr>
        <w:rFonts w:hint="default"/>
      </w:rPr>
    </w:lvl>
    <w:lvl w:ilvl="7">
      <w:start w:val="1"/>
      <w:numFmt w:val="bullet"/>
      <w:lvlText w:val="•"/>
      <w:lvlJc w:val="left"/>
      <w:pPr>
        <w:ind w:left="3902" w:hanging="361"/>
      </w:pPr>
      <w:rPr>
        <w:rFonts w:hint="default"/>
      </w:rPr>
    </w:lvl>
    <w:lvl w:ilvl="8">
      <w:start w:val="1"/>
      <w:numFmt w:val="bullet"/>
      <w:lvlText w:val="•"/>
      <w:lvlJc w:val="left"/>
      <w:pPr>
        <w:ind w:left="4337" w:hanging="361"/>
      </w:pPr>
      <w:rPr>
        <w:rFonts w:hint="default"/>
      </w:rPr>
    </w:lvl>
  </w:abstractNum>
  <w:abstractNum w:abstractNumId="24">
    <w:multiLevelType w:val="hybridMultilevel"/>
    <w:lvl w:ilvl="0">
      <w:start w:val="1"/>
      <w:numFmt w:val="upperLetter"/>
      <w:lvlText w:val="%1)"/>
      <w:lvlJc w:val="left"/>
      <w:pPr>
        <w:ind w:left="1238" w:hanging="360"/>
        <w:jc w:val="left"/>
      </w:pPr>
      <w:rPr>
        <w:rFonts w:hint="default" w:ascii="Arial" w:hAnsi="Arial" w:eastAsia="Arial" w:cs="Arial"/>
        <w:spacing w:val="-15"/>
        <w:w w:val="99"/>
        <w:sz w:val="24"/>
        <w:szCs w:val="24"/>
      </w:rPr>
    </w:lvl>
    <w:lvl w:ilvl="1">
      <w:start w:val="1"/>
      <w:numFmt w:val="bullet"/>
      <w:lvlText w:val="•"/>
      <w:lvlJc w:val="left"/>
      <w:pPr>
        <w:ind w:left="2166" w:hanging="360"/>
      </w:pPr>
      <w:rPr>
        <w:rFonts w:hint="default"/>
      </w:rPr>
    </w:lvl>
    <w:lvl w:ilvl="2">
      <w:start w:val="1"/>
      <w:numFmt w:val="bullet"/>
      <w:lvlText w:val="•"/>
      <w:lvlJc w:val="left"/>
      <w:pPr>
        <w:ind w:left="3092" w:hanging="360"/>
      </w:pPr>
      <w:rPr>
        <w:rFonts w:hint="default"/>
      </w:rPr>
    </w:lvl>
    <w:lvl w:ilvl="3">
      <w:start w:val="1"/>
      <w:numFmt w:val="bullet"/>
      <w:lvlText w:val="•"/>
      <w:lvlJc w:val="left"/>
      <w:pPr>
        <w:ind w:left="4018" w:hanging="360"/>
      </w:pPr>
      <w:rPr>
        <w:rFonts w:hint="default"/>
      </w:rPr>
    </w:lvl>
    <w:lvl w:ilvl="4">
      <w:start w:val="1"/>
      <w:numFmt w:val="bullet"/>
      <w:lvlText w:val="•"/>
      <w:lvlJc w:val="left"/>
      <w:pPr>
        <w:ind w:left="4944" w:hanging="360"/>
      </w:pPr>
      <w:rPr>
        <w:rFonts w:hint="default"/>
      </w:rPr>
    </w:lvl>
    <w:lvl w:ilvl="5">
      <w:start w:val="1"/>
      <w:numFmt w:val="bullet"/>
      <w:lvlText w:val="•"/>
      <w:lvlJc w:val="left"/>
      <w:pPr>
        <w:ind w:left="5870" w:hanging="360"/>
      </w:pPr>
      <w:rPr>
        <w:rFonts w:hint="default"/>
      </w:rPr>
    </w:lvl>
    <w:lvl w:ilvl="6">
      <w:start w:val="1"/>
      <w:numFmt w:val="bullet"/>
      <w:lvlText w:val="•"/>
      <w:lvlJc w:val="left"/>
      <w:pPr>
        <w:ind w:left="6796" w:hanging="360"/>
      </w:pPr>
      <w:rPr>
        <w:rFonts w:hint="default"/>
      </w:rPr>
    </w:lvl>
    <w:lvl w:ilvl="7">
      <w:start w:val="1"/>
      <w:numFmt w:val="bullet"/>
      <w:lvlText w:val="•"/>
      <w:lvlJc w:val="left"/>
      <w:pPr>
        <w:ind w:left="7722" w:hanging="360"/>
      </w:pPr>
      <w:rPr>
        <w:rFonts w:hint="default"/>
      </w:rPr>
    </w:lvl>
    <w:lvl w:ilvl="8">
      <w:start w:val="1"/>
      <w:numFmt w:val="bullet"/>
      <w:lvlText w:val="•"/>
      <w:lvlJc w:val="left"/>
      <w:pPr>
        <w:ind w:left="8648" w:hanging="360"/>
      </w:pPr>
      <w:rPr>
        <w:rFonts w:hint="default"/>
      </w:rPr>
    </w:lvl>
  </w:abstractNum>
  <w:abstractNum w:abstractNumId="23">
    <w:multiLevelType w:val="hybridMultilevel"/>
    <w:lvl w:ilvl="0">
      <w:start w:val="1"/>
      <w:numFmt w:val="bullet"/>
      <w:lvlText w:val=""/>
      <w:lvlJc w:val="left"/>
      <w:pPr>
        <w:ind w:left="1238" w:hanging="360"/>
      </w:pPr>
      <w:rPr>
        <w:rFonts w:hint="default" w:ascii="Wingdings" w:hAnsi="Wingdings" w:eastAsia="Wingdings" w:cs="Wingdings"/>
        <w:w w:val="99"/>
        <w:sz w:val="24"/>
        <w:szCs w:val="24"/>
      </w:rPr>
    </w:lvl>
    <w:lvl w:ilvl="1">
      <w:start w:val="1"/>
      <w:numFmt w:val="bullet"/>
      <w:lvlText w:val="•"/>
      <w:lvlJc w:val="left"/>
      <w:pPr>
        <w:ind w:left="2166" w:hanging="360"/>
      </w:pPr>
      <w:rPr>
        <w:rFonts w:hint="default"/>
      </w:rPr>
    </w:lvl>
    <w:lvl w:ilvl="2">
      <w:start w:val="1"/>
      <w:numFmt w:val="bullet"/>
      <w:lvlText w:val="•"/>
      <w:lvlJc w:val="left"/>
      <w:pPr>
        <w:ind w:left="3092" w:hanging="360"/>
      </w:pPr>
      <w:rPr>
        <w:rFonts w:hint="default"/>
      </w:rPr>
    </w:lvl>
    <w:lvl w:ilvl="3">
      <w:start w:val="1"/>
      <w:numFmt w:val="bullet"/>
      <w:lvlText w:val="•"/>
      <w:lvlJc w:val="left"/>
      <w:pPr>
        <w:ind w:left="4018" w:hanging="360"/>
      </w:pPr>
      <w:rPr>
        <w:rFonts w:hint="default"/>
      </w:rPr>
    </w:lvl>
    <w:lvl w:ilvl="4">
      <w:start w:val="1"/>
      <w:numFmt w:val="bullet"/>
      <w:lvlText w:val="•"/>
      <w:lvlJc w:val="left"/>
      <w:pPr>
        <w:ind w:left="4944" w:hanging="360"/>
      </w:pPr>
      <w:rPr>
        <w:rFonts w:hint="default"/>
      </w:rPr>
    </w:lvl>
    <w:lvl w:ilvl="5">
      <w:start w:val="1"/>
      <w:numFmt w:val="bullet"/>
      <w:lvlText w:val="•"/>
      <w:lvlJc w:val="left"/>
      <w:pPr>
        <w:ind w:left="5870" w:hanging="360"/>
      </w:pPr>
      <w:rPr>
        <w:rFonts w:hint="default"/>
      </w:rPr>
    </w:lvl>
    <w:lvl w:ilvl="6">
      <w:start w:val="1"/>
      <w:numFmt w:val="bullet"/>
      <w:lvlText w:val="•"/>
      <w:lvlJc w:val="left"/>
      <w:pPr>
        <w:ind w:left="6796" w:hanging="360"/>
      </w:pPr>
      <w:rPr>
        <w:rFonts w:hint="default"/>
      </w:rPr>
    </w:lvl>
    <w:lvl w:ilvl="7">
      <w:start w:val="1"/>
      <w:numFmt w:val="bullet"/>
      <w:lvlText w:val="•"/>
      <w:lvlJc w:val="left"/>
      <w:pPr>
        <w:ind w:left="7722" w:hanging="360"/>
      </w:pPr>
      <w:rPr>
        <w:rFonts w:hint="default"/>
      </w:rPr>
    </w:lvl>
    <w:lvl w:ilvl="8">
      <w:start w:val="1"/>
      <w:numFmt w:val="bullet"/>
      <w:lvlText w:val="•"/>
      <w:lvlJc w:val="left"/>
      <w:pPr>
        <w:ind w:left="8648" w:hanging="360"/>
      </w:pPr>
      <w:rPr>
        <w:rFonts w:hint="default"/>
      </w:rPr>
    </w:lvl>
  </w:abstractNum>
  <w:abstractNum w:abstractNumId="22">
    <w:multiLevelType w:val="hybridMultilevel"/>
    <w:lvl w:ilvl="0">
      <w:start w:val="1"/>
      <w:numFmt w:val="bullet"/>
      <w:lvlText w:val="o"/>
      <w:lvlJc w:val="left"/>
      <w:pPr>
        <w:ind w:left="1238" w:hanging="360"/>
      </w:pPr>
      <w:rPr>
        <w:rFonts w:hint="default" w:ascii="Courier New" w:hAnsi="Courier New" w:eastAsia="Courier New" w:cs="Courier New"/>
        <w:w w:val="100"/>
        <w:sz w:val="24"/>
        <w:szCs w:val="24"/>
      </w:rPr>
    </w:lvl>
    <w:lvl w:ilvl="1">
      <w:start w:val="1"/>
      <w:numFmt w:val="bullet"/>
      <w:lvlText w:val="•"/>
      <w:lvlJc w:val="left"/>
      <w:pPr>
        <w:ind w:left="2176" w:hanging="360"/>
      </w:pPr>
      <w:rPr>
        <w:rFonts w:hint="default"/>
      </w:rPr>
    </w:lvl>
    <w:lvl w:ilvl="2">
      <w:start w:val="1"/>
      <w:numFmt w:val="bullet"/>
      <w:lvlText w:val="•"/>
      <w:lvlJc w:val="left"/>
      <w:pPr>
        <w:ind w:left="3112" w:hanging="360"/>
      </w:pPr>
      <w:rPr>
        <w:rFonts w:hint="default"/>
      </w:rPr>
    </w:lvl>
    <w:lvl w:ilvl="3">
      <w:start w:val="1"/>
      <w:numFmt w:val="bullet"/>
      <w:lvlText w:val="•"/>
      <w:lvlJc w:val="left"/>
      <w:pPr>
        <w:ind w:left="4048" w:hanging="360"/>
      </w:pPr>
      <w:rPr>
        <w:rFonts w:hint="default"/>
      </w:rPr>
    </w:lvl>
    <w:lvl w:ilvl="4">
      <w:start w:val="1"/>
      <w:numFmt w:val="bullet"/>
      <w:lvlText w:val="•"/>
      <w:lvlJc w:val="left"/>
      <w:pPr>
        <w:ind w:left="4984" w:hanging="360"/>
      </w:pPr>
      <w:rPr>
        <w:rFonts w:hint="default"/>
      </w:rPr>
    </w:lvl>
    <w:lvl w:ilvl="5">
      <w:start w:val="1"/>
      <w:numFmt w:val="bullet"/>
      <w:lvlText w:val="•"/>
      <w:lvlJc w:val="left"/>
      <w:pPr>
        <w:ind w:left="5920" w:hanging="360"/>
      </w:pPr>
      <w:rPr>
        <w:rFonts w:hint="default"/>
      </w:rPr>
    </w:lvl>
    <w:lvl w:ilvl="6">
      <w:start w:val="1"/>
      <w:numFmt w:val="bullet"/>
      <w:lvlText w:val="•"/>
      <w:lvlJc w:val="left"/>
      <w:pPr>
        <w:ind w:left="6856" w:hanging="360"/>
      </w:pPr>
      <w:rPr>
        <w:rFonts w:hint="default"/>
      </w:rPr>
    </w:lvl>
    <w:lvl w:ilvl="7">
      <w:start w:val="1"/>
      <w:numFmt w:val="bullet"/>
      <w:lvlText w:val="•"/>
      <w:lvlJc w:val="left"/>
      <w:pPr>
        <w:ind w:left="7792" w:hanging="360"/>
      </w:pPr>
      <w:rPr>
        <w:rFonts w:hint="default"/>
      </w:rPr>
    </w:lvl>
    <w:lvl w:ilvl="8">
      <w:start w:val="1"/>
      <w:numFmt w:val="bullet"/>
      <w:lvlText w:val="•"/>
      <w:lvlJc w:val="left"/>
      <w:pPr>
        <w:ind w:left="8728" w:hanging="360"/>
      </w:pPr>
      <w:rPr>
        <w:rFonts w:hint="default"/>
      </w:rPr>
    </w:lvl>
  </w:abstractNum>
  <w:abstractNum w:abstractNumId="21">
    <w:multiLevelType w:val="hybridMultilevel"/>
    <w:lvl w:ilvl="0">
      <w:start w:val="1"/>
      <w:numFmt w:val="bullet"/>
      <w:lvlText w:val=""/>
      <w:lvlJc w:val="left"/>
      <w:pPr>
        <w:ind w:left="1238" w:hanging="360"/>
      </w:pPr>
      <w:rPr>
        <w:rFonts w:hint="default" w:ascii="Wingdings" w:hAnsi="Wingdings" w:eastAsia="Wingdings" w:cs="Wingdings"/>
        <w:w w:val="100"/>
        <w:sz w:val="24"/>
        <w:szCs w:val="24"/>
      </w:rPr>
    </w:lvl>
    <w:lvl w:ilvl="1">
      <w:start w:val="1"/>
      <w:numFmt w:val="bullet"/>
      <w:lvlText w:val="•"/>
      <w:lvlJc w:val="left"/>
      <w:pPr>
        <w:ind w:left="2176" w:hanging="360"/>
      </w:pPr>
      <w:rPr>
        <w:rFonts w:hint="default"/>
      </w:rPr>
    </w:lvl>
    <w:lvl w:ilvl="2">
      <w:start w:val="1"/>
      <w:numFmt w:val="bullet"/>
      <w:lvlText w:val="•"/>
      <w:lvlJc w:val="left"/>
      <w:pPr>
        <w:ind w:left="3112" w:hanging="360"/>
      </w:pPr>
      <w:rPr>
        <w:rFonts w:hint="default"/>
      </w:rPr>
    </w:lvl>
    <w:lvl w:ilvl="3">
      <w:start w:val="1"/>
      <w:numFmt w:val="bullet"/>
      <w:lvlText w:val="•"/>
      <w:lvlJc w:val="left"/>
      <w:pPr>
        <w:ind w:left="4048" w:hanging="360"/>
      </w:pPr>
      <w:rPr>
        <w:rFonts w:hint="default"/>
      </w:rPr>
    </w:lvl>
    <w:lvl w:ilvl="4">
      <w:start w:val="1"/>
      <w:numFmt w:val="bullet"/>
      <w:lvlText w:val="•"/>
      <w:lvlJc w:val="left"/>
      <w:pPr>
        <w:ind w:left="4984" w:hanging="360"/>
      </w:pPr>
      <w:rPr>
        <w:rFonts w:hint="default"/>
      </w:rPr>
    </w:lvl>
    <w:lvl w:ilvl="5">
      <w:start w:val="1"/>
      <w:numFmt w:val="bullet"/>
      <w:lvlText w:val="•"/>
      <w:lvlJc w:val="left"/>
      <w:pPr>
        <w:ind w:left="5920" w:hanging="360"/>
      </w:pPr>
      <w:rPr>
        <w:rFonts w:hint="default"/>
      </w:rPr>
    </w:lvl>
    <w:lvl w:ilvl="6">
      <w:start w:val="1"/>
      <w:numFmt w:val="bullet"/>
      <w:lvlText w:val="•"/>
      <w:lvlJc w:val="left"/>
      <w:pPr>
        <w:ind w:left="6856" w:hanging="360"/>
      </w:pPr>
      <w:rPr>
        <w:rFonts w:hint="default"/>
      </w:rPr>
    </w:lvl>
    <w:lvl w:ilvl="7">
      <w:start w:val="1"/>
      <w:numFmt w:val="bullet"/>
      <w:lvlText w:val="•"/>
      <w:lvlJc w:val="left"/>
      <w:pPr>
        <w:ind w:left="7792" w:hanging="360"/>
      </w:pPr>
      <w:rPr>
        <w:rFonts w:hint="default"/>
      </w:rPr>
    </w:lvl>
    <w:lvl w:ilvl="8">
      <w:start w:val="1"/>
      <w:numFmt w:val="bullet"/>
      <w:lvlText w:val="•"/>
      <w:lvlJc w:val="left"/>
      <w:pPr>
        <w:ind w:left="8728" w:hanging="360"/>
      </w:pPr>
      <w:rPr>
        <w:rFonts w:hint="default"/>
      </w:rPr>
    </w:lvl>
  </w:abstractNum>
  <w:abstractNum w:abstractNumId="20">
    <w:multiLevelType w:val="hybridMultilevel"/>
    <w:lvl w:ilvl="0">
      <w:start w:val="1"/>
      <w:numFmt w:val="bullet"/>
      <w:lvlText w:val=""/>
      <w:lvlJc w:val="left"/>
      <w:pPr>
        <w:ind w:left="1238" w:hanging="360"/>
      </w:pPr>
      <w:rPr>
        <w:rFonts w:hint="default" w:ascii="Symbol" w:hAnsi="Symbol" w:eastAsia="Symbol" w:cs="Symbol"/>
        <w:w w:val="100"/>
        <w:sz w:val="24"/>
        <w:szCs w:val="24"/>
      </w:rPr>
    </w:lvl>
    <w:lvl w:ilvl="1">
      <w:start w:val="1"/>
      <w:numFmt w:val="bullet"/>
      <w:lvlText w:val="•"/>
      <w:lvlJc w:val="left"/>
      <w:pPr>
        <w:ind w:left="2176" w:hanging="360"/>
      </w:pPr>
      <w:rPr>
        <w:rFonts w:hint="default"/>
      </w:rPr>
    </w:lvl>
    <w:lvl w:ilvl="2">
      <w:start w:val="1"/>
      <w:numFmt w:val="bullet"/>
      <w:lvlText w:val="•"/>
      <w:lvlJc w:val="left"/>
      <w:pPr>
        <w:ind w:left="3112" w:hanging="360"/>
      </w:pPr>
      <w:rPr>
        <w:rFonts w:hint="default"/>
      </w:rPr>
    </w:lvl>
    <w:lvl w:ilvl="3">
      <w:start w:val="1"/>
      <w:numFmt w:val="bullet"/>
      <w:lvlText w:val="•"/>
      <w:lvlJc w:val="left"/>
      <w:pPr>
        <w:ind w:left="4048" w:hanging="360"/>
      </w:pPr>
      <w:rPr>
        <w:rFonts w:hint="default"/>
      </w:rPr>
    </w:lvl>
    <w:lvl w:ilvl="4">
      <w:start w:val="1"/>
      <w:numFmt w:val="bullet"/>
      <w:lvlText w:val="•"/>
      <w:lvlJc w:val="left"/>
      <w:pPr>
        <w:ind w:left="4984" w:hanging="360"/>
      </w:pPr>
      <w:rPr>
        <w:rFonts w:hint="default"/>
      </w:rPr>
    </w:lvl>
    <w:lvl w:ilvl="5">
      <w:start w:val="1"/>
      <w:numFmt w:val="bullet"/>
      <w:lvlText w:val="•"/>
      <w:lvlJc w:val="left"/>
      <w:pPr>
        <w:ind w:left="5920" w:hanging="360"/>
      </w:pPr>
      <w:rPr>
        <w:rFonts w:hint="default"/>
      </w:rPr>
    </w:lvl>
    <w:lvl w:ilvl="6">
      <w:start w:val="1"/>
      <w:numFmt w:val="bullet"/>
      <w:lvlText w:val="•"/>
      <w:lvlJc w:val="left"/>
      <w:pPr>
        <w:ind w:left="6856" w:hanging="360"/>
      </w:pPr>
      <w:rPr>
        <w:rFonts w:hint="default"/>
      </w:rPr>
    </w:lvl>
    <w:lvl w:ilvl="7">
      <w:start w:val="1"/>
      <w:numFmt w:val="bullet"/>
      <w:lvlText w:val="•"/>
      <w:lvlJc w:val="left"/>
      <w:pPr>
        <w:ind w:left="7792" w:hanging="360"/>
      </w:pPr>
      <w:rPr>
        <w:rFonts w:hint="default"/>
      </w:rPr>
    </w:lvl>
    <w:lvl w:ilvl="8">
      <w:start w:val="1"/>
      <w:numFmt w:val="bullet"/>
      <w:lvlText w:val="•"/>
      <w:lvlJc w:val="left"/>
      <w:pPr>
        <w:ind w:left="8728" w:hanging="360"/>
      </w:pPr>
      <w:rPr>
        <w:rFonts w:hint="default"/>
      </w:rPr>
    </w:lvl>
  </w:abstractNum>
  <w:abstractNum w:abstractNumId="19">
    <w:multiLevelType w:val="hybridMultilevel"/>
    <w:lvl w:ilvl="0">
      <w:start w:val="1"/>
      <w:numFmt w:val="bullet"/>
      <w:lvlText w:val=""/>
      <w:lvlJc w:val="left"/>
      <w:pPr>
        <w:ind w:left="1238" w:hanging="360"/>
      </w:pPr>
      <w:rPr>
        <w:rFonts w:hint="default" w:ascii="Wingdings" w:hAnsi="Wingdings" w:eastAsia="Wingdings" w:cs="Wingdings"/>
        <w:w w:val="99"/>
        <w:sz w:val="24"/>
        <w:szCs w:val="24"/>
      </w:rPr>
    </w:lvl>
    <w:lvl w:ilvl="1">
      <w:start w:val="1"/>
      <w:numFmt w:val="bullet"/>
      <w:lvlText w:val="•"/>
      <w:lvlJc w:val="left"/>
      <w:pPr>
        <w:ind w:left="2176" w:hanging="360"/>
      </w:pPr>
      <w:rPr>
        <w:rFonts w:hint="default"/>
      </w:rPr>
    </w:lvl>
    <w:lvl w:ilvl="2">
      <w:start w:val="1"/>
      <w:numFmt w:val="bullet"/>
      <w:lvlText w:val="•"/>
      <w:lvlJc w:val="left"/>
      <w:pPr>
        <w:ind w:left="3112" w:hanging="360"/>
      </w:pPr>
      <w:rPr>
        <w:rFonts w:hint="default"/>
      </w:rPr>
    </w:lvl>
    <w:lvl w:ilvl="3">
      <w:start w:val="1"/>
      <w:numFmt w:val="bullet"/>
      <w:lvlText w:val="•"/>
      <w:lvlJc w:val="left"/>
      <w:pPr>
        <w:ind w:left="4048" w:hanging="360"/>
      </w:pPr>
      <w:rPr>
        <w:rFonts w:hint="default"/>
      </w:rPr>
    </w:lvl>
    <w:lvl w:ilvl="4">
      <w:start w:val="1"/>
      <w:numFmt w:val="bullet"/>
      <w:lvlText w:val="•"/>
      <w:lvlJc w:val="left"/>
      <w:pPr>
        <w:ind w:left="4984" w:hanging="360"/>
      </w:pPr>
      <w:rPr>
        <w:rFonts w:hint="default"/>
      </w:rPr>
    </w:lvl>
    <w:lvl w:ilvl="5">
      <w:start w:val="1"/>
      <w:numFmt w:val="bullet"/>
      <w:lvlText w:val="•"/>
      <w:lvlJc w:val="left"/>
      <w:pPr>
        <w:ind w:left="5920" w:hanging="360"/>
      </w:pPr>
      <w:rPr>
        <w:rFonts w:hint="default"/>
      </w:rPr>
    </w:lvl>
    <w:lvl w:ilvl="6">
      <w:start w:val="1"/>
      <w:numFmt w:val="bullet"/>
      <w:lvlText w:val="•"/>
      <w:lvlJc w:val="left"/>
      <w:pPr>
        <w:ind w:left="6856" w:hanging="360"/>
      </w:pPr>
      <w:rPr>
        <w:rFonts w:hint="default"/>
      </w:rPr>
    </w:lvl>
    <w:lvl w:ilvl="7">
      <w:start w:val="1"/>
      <w:numFmt w:val="bullet"/>
      <w:lvlText w:val="•"/>
      <w:lvlJc w:val="left"/>
      <w:pPr>
        <w:ind w:left="7792" w:hanging="360"/>
      </w:pPr>
      <w:rPr>
        <w:rFonts w:hint="default"/>
      </w:rPr>
    </w:lvl>
    <w:lvl w:ilvl="8">
      <w:start w:val="1"/>
      <w:numFmt w:val="bullet"/>
      <w:lvlText w:val="•"/>
      <w:lvlJc w:val="left"/>
      <w:pPr>
        <w:ind w:left="8728" w:hanging="360"/>
      </w:pPr>
      <w:rPr>
        <w:rFonts w:hint="default"/>
      </w:rPr>
    </w:lvl>
  </w:abstractNum>
  <w:abstractNum w:abstractNumId="18">
    <w:multiLevelType w:val="hybridMultilevel"/>
    <w:lvl w:ilvl="0">
      <w:start w:val="3"/>
      <w:numFmt w:val="upperRoman"/>
      <w:lvlText w:val="%1."/>
      <w:lvlJc w:val="left"/>
      <w:pPr>
        <w:ind w:left="3221" w:hanging="337"/>
        <w:jc w:val="right"/>
      </w:pPr>
      <w:rPr>
        <w:rFonts w:hint="default" w:ascii="Arial" w:hAnsi="Arial" w:eastAsia="Arial" w:cs="Arial"/>
        <w:b/>
        <w:bCs/>
        <w:w w:val="100"/>
        <w:sz w:val="24"/>
        <w:szCs w:val="24"/>
      </w:rPr>
    </w:lvl>
    <w:lvl w:ilvl="1">
      <w:start w:val="1"/>
      <w:numFmt w:val="bullet"/>
      <w:lvlText w:val="•"/>
      <w:lvlJc w:val="left"/>
      <w:pPr>
        <w:ind w:left="3958" w:hanging="337"/>
      </w:pPr>
      <w:rPr>
        <w:rFonts w:hint="default"/>
      </w:rPr>
    </w:lvl>
    <w:lvl w:ilvl="2">
      <w:start w:val="1"/>
      <w:numFmt w:val="bullet"/>
      <w:lvlText w:val="•"/>
      <w:lvlJc w:val="left"/>
      <w:pPr>
        <w:ind w:left="4696" w:hanging="337"/>
      </w:pPr>
      <w:rPr>
        <w:rFonts w:hint="default"/>
      </w:rPr>
    </w:lvl>
    <w:lvl w:ilvl="3">
      <w:start w:val="1"/>
      <w:numFmt w:val="bullet"/>
      <w:lvlText w:val="•"/>
      <w:lvlJc w:val="left"/>
      <w:pPr>
        <w:ind w:left="5434" w:hanging="337"/>
      </w:pPr>
      <w:rPr>
        <w:rFonts w:hint="default"/>
      </w:rPr>
    </w:lvl>
    <w:lvl w:ilvl="4">
      <w:start w:val="1"/>
      <w:numFmt w:val="bullet"/>
      <w:lvlText w:val="•"/>
      <w:lvlJc w:val="left"/>
      <w:pPr>
        <w:ind w:left="6172" w:hanging="337"/>
      </w:pPr>
      <w:rPr>
        <w:rFonts w:hint="default"/>
      </w:rPr>
    </w:lvl>
    <w:lvl w:ilvl="5">
      <w:start w:val="1"/>
      <w:numFmt w:val="bullet"/>
      <w:lvlText w:val="•"/>
      <w:lvlJc w:val="left"/>
      <w:pPr>
        <w:ind w:left="6910" w:hanging="337"/>
      </w:pPr>
      <w:rPr>
        <w:rFonts w:hint="default"/>
      </w:rPr>
    </w:lvl>
    <w:lvl w:ilvl="6">
      <w:start w:val="1"/>
      <w:numFmt w:val="bullet"/>
      <w:lvlText w:val="•"/>
      <w:lvlJc w:val="left"/>
      <w:pPr>
        <w:ind w:left="7648" w:hanging="337"/>
      </w:pPr>
      <w:rPr>
        <w:rFonts w:hint="default"/>
      </w:rPr>
    </w:lvl>
    <w:lvl w:ilvl="7">
      <w:start w:val="1"/>
      <w:numFmt w:val="bullet"/>
      <w:lvlText w:val="•"/>
      <w:lvlJc w:val="left"/>
      <w:pPr>
        <w:ind w:left="8386" w:hanging="337"/>
      </w:pPr>
      <w:rPr>
        <w:rFonts w:hint="default"/>
      </w:rPr>
    </w:lvl>
    <w:lvl w:ilvl="8">
      <w:start w:val="1"/>
      <w:numFmt w:val="bullet"/>
      <w:lvlText w:val="•"/>
      <w:lvlJc w:val="left"/>
      <w:pPr>
        <w:ind w:left="9124" w:hanging="337"/>
      </w:pPr>
      <w:rPr>
        <w:rFonts w:hint="default"/>
      </w:rPr>
    </w:lvl>
  </w:abstractNum>
  <w:abstractNum w:abstractNumId="17">
    <w:multiLevelType w:val="hybridMultilevel"/>
    <w:lvl w:ilvl="0">
      <w:start w:val="1"/>
      <w:numFmt w:val="decimal"/>
      <w:lvlText w:val="%1."/>
      <w:lvlJc w:val="left"/>
      <w:pPr>
        <w:ind w:left="1238" w:hanging="360"/>
        <w:jc w:val="left"/>
      </w:pPr>
      <w:rPr>
        <w:rFonts w:hint="default" w:ascii="Arial" w:hAnsi="Arial" w:eastAsia="Arial" w:cs="Arial"/>
        <w:spacing w:val="-16"/>
        <w:w w:val="99"/>
        <w:sz w:val="24"/>
        <w:szCs w:val="24"/>
      </w:rPr>
    </w:lvl>
    <w:lvl w:ilvl="1">
      <w:start w:val="1"/>
      <w:numFmt w:val="bullet"/>
      <w:lvlText w:val="•"/>
      <w:lvlJc w:val="left"/>
      <w:pPr>
        <w:ind w:left="2176" w:hanging="360"/>
      </w:pPr>
      <w:rPr>
        <w:rFonts w:hint="default"/>
      </w:rPr>
    </w:lvl>
    <w:lvl w:ilvl="2">
      <w:start w:val="1"/>
      <w:numFmt w:val="bullet"/>
      <w:lvlText w:val="•"/>
      <w:lvlJc w:val="left"/>
      <w:pPr>
        <w:ind w:left="3112" w:hanging="360"/>
      </w:pPr>
      <w:rPr>
        <w:rFonts w:hint="default"/>
      </w:rPr>
    </w:lvl>
    <w:lvl w:ilvl="3">
      <w:start w:val="1"/>
      <w:numFmt w:val="bullet"/>
      <w:lvlText w:val="•"/>
      <w:lvlJc w:val="left"/>
      <w:pPr>
        <w:ind w:left="4048" w:hanging="360"/>
      </w:pPr>
      <w:rPr>
        <w:rFonts w:hint="default"/>
      </w:rPr>
    </w:lvl>
    <w:lvl w:ilvl="4">
      <w:start w:val="1"/>
      <w:numFmt w:val="bullet"/>
      <w:lvlText w:val="•"/>
      <w:lvlJc w:val="left"/>
      <w:pPr>
        <w:ind w:left="4984" w:hanging="360"/>
      </w:pPr>
      <w:rPr>
        <w:rFonts w:hint="default"/>
      </w:rPr>
    </w:lvl>
    <w:lvl w:ilvl="5">
      <w:start w:val="1"/>
      <w:numFmt w:val="bullet"/>
      <w:lvlText w:val="•"/>
      <w:lvlJc w:val="left"/>
      <w:pPr>
        <w:ind w:left="5920" w:hanging="360"/>
      </w:pPr>
      <w:rPr>
        <w:rFonts w:hint="default"/>
      </w:rPr>
    </w:lvl>
    <w:lvl w:ilvl="6">
      <w:start w:val="1"/>
      <w:numFmt w:val="bullet"/>
      <w:lvlText w:val="•"/>
      <w:lvlJc w:val="left"/>
      <w:pPr>
        <w:ind w:left="6856" w:hanging="360"/>
      </w:pPr>
      <w:rPr>
        <w:rFonts w:hint="default"/>
      </w:rPr>
    </w:lvl>
    <w:lvl w:ilvl="7">
      <w:start w:val="1"/>
      <w:numFmt w:val="bullet"/>
      <w:lvlText w:val="•"/>
      <w:lvlJc w:val="left"/>
      <w:pPr>
        <w:ind w:left="7792" w:hanging="360"/>
      </w:pPr>
      <w:rPr>
        <w:rFonts w:hint="default"/>
      </w:rPr>
    </w:lvl>
    <w:lvl w:ilvl="8">
      <w:start w:val="1"/>
      <w:numFmt w:val="bullet"/>
      <w:lvlText w:val="•"/>
      <w:lvlJc w:val="left"/>
      <w:pPr>
        <w:ind w:left="8728" w:hanging="360"/>
      </w:pPr>
      <w:rPr>
        <w:rFonts w:hint="default"/>
      </w:rPr>
    </w:lvl>
  </w:abstractNum>
  <w:abstractNum w:abstractNumId="16">
    <w:multiLevelType w:val="hybridMultilevel"/>
    <w:lvl w:ilvl="0">
      <w:start w:val="1"/>
      <w:numFmt w:val="lowerLetter"/>
      <w:lvlText w:val="%1)"/>
      <w:lvlJc w:val="left"/>
      <w:pPr>
        <w:ind w:left="5449" w:hanging="4511"/>
        <w:jc w:val="right"/>
      </w:pPr>
      <w:rPr>
        <w:rFonts w:hint="default" w:ascii="Arial" w:hAnsi="Arial" w:eastAsia="Arial" w:cs="Arial"/>
        <w:w w:val="99"/>
        <w:sz w:val="24"/>
        <w:szCs w:val="24"/>
      </w:rPr>
    </w:lvl>
    <w:lvl w:ilvl="1">
      <w:start w:val="1"/>
      <w:numFmt w:val="bullet"/>
      <w:lvlText w:val="•"/>
      <w:lvlJc w:val="left"/>
      <w:pPr>
        <w:ind w:left="5998" w:hanging="4511"/>
      </w:pPr>
      <w:rPr>
        <w:rFonts w:hint="default"/>
      </w:rPr>
    </w:lvl>
    <w:lvl w:ilvl="2">
      <w:start w:val="1"/>
      <w:numFmt w:val="bullet"/>
      <w:lvlText w:val="•"/>
      <w:lvlJc w:val="left"/>
      <w:pPr>
        <w:ind w:left="6556" w:hanging="4511"/>
      </w:pPr>
      <w:rPr>
        <w:rFonts w:hint="default"/>
      </w:rPr>
    </w:lvl>
    <w:lvl w:ilvl="3">
      <w:start w:val="1"/>
      <w:numFmt w:val="bullet"/>
      <w:lvlText w:val="•"/>
      <w:lvlJc w:val="left"/>
      <w:pPr>
        <w:ind w:left="7114" w:hanging="4511"/>
      </w:pPr>
      <w:rPr>
        <w:rFonts w:hint="default"/>
      </w:rPr>
    </w:lvl>
    <w:lvl w:ilvl="4">
      <w:start w:val="1"/>
      <w:numFmt w:val="bullet"/>
      <w:lvlText w:val="•"/>
      <w:lvlJc w:val="left"/>
      <w:pPr>
        <w:ind w:left="7672" w:hanging="4511"/>
      </w:pPr>
      <w:rPr>
        <w:rFonts w:hint="default"/>
      </w:rPr>
    </w:lvl>
    <w:lvl w:ilvl="5">
      <w:start w:val="1"/>
      <w:numFmt w:val="bullet"/>
      <w:lvlText w:val="•"/>
      <w:lvlJc w:val="left"/>
      <w:pPr>
        <w:ind w:left="8230" w:hanging="4511"/>
      </w:pPr>
      <w:rPr>
        <w:rFonts w:hint="default"/>
      </w:rPr>
    </w:lvl>
    <w:lvl w:ilvl="6">
      <w:start w:val="1"/>
      <w:numFmt w:val="bullet"/>
      <w:lvlText w:val="•"/>
      <w:lvlJc w:val="left"/>
      <w:pPr>
        <w:ind w:left="8788" w:hanging="4511"/>
      </w:pPr>
      <w:rPr>
        <w:rFonts w:hint="default"/>
      </w:rPr>
    </w:lvl>
    <w:lvl w:ilvl="7">
      <w:start w:val="1"/>
      <w:numFmt w:val="bullet"/>
      <w:lvlText w:val="•"/>
      <w:lvlJc w:val="left"/>
      <w:pPr>
        <w:ind w:left="9346" w:hanging="4511"/>
      </w:pPr>
      <w:rPr>
        <w:rFonts w:hint="default"/>
      </w:rPr>
    </w:lvl>
    <w:lvl w:ilvl="8">
      <w:start w:val="1"/>
      <w:numFmt w:val="bullet"/>
      <w:lvlText w:val="•"/>
      <w:lvlJc w:val="left"/>
      <w:pPr>
        <w:ind w:left="9904" w:hanging="4511"/>
      </w:pPr>
      <w:rPr>
        <w:rFonts w:hint="default"/>
      </w:rPr>
    </w:lvl>
  </w:abstractNum>
  <w:abstractNum w:abstractNumId="15">
    <w:multiLevelType w:val="hybridMultilevel"/>
    <w:lvl w:ilvl="0">
      <w:start w:val="1"/>
      <w:numFmt w:val="lowerLetter"/>
      <w:lvlText w:val="%1)"/>
      <w:lvlJc w:val="left"/>
      <w:pPr>
        <w:ind w:left="1238" w:hanging="360"/>
        <w:jc w:val="left"/>
      </w:pPr>
      <w:rPr>
        <w:rFonts w:hint="default" w:ascii="Arial" w:hAnsi="Arial" w:eastAsia="Arial" w:cs="Arial"/>
        <w:w w:val="99"/>
        <w:sz w:val="24"/>
        <w:szCs w:val="24"/>
      </w:rPr>
    </w:lvl>
    <w:lvl w:ilvl="1">
      <w:start w:val="1"/>
      <w:numFmt w:val="lowerLetter"/>
      <w:lvlText w:val="%2)"/>
      <w:lvlJc w:val="left"/>
      <w:pPr>
        <w:ind w:left="1658" w:hanging="360"/>
        <w:jc w:val="left"/>
      </w:pPr>
      <w:rPr>
        <w:rFonts w:hint="default" w:ascii="Arial" w:hAnsi="Arial" w:eastAsia="Arial" w:cs="Arial"/>
        <w:w w:val="99"/>
        <w:sz w:val="24"/>
        <w:szCs w:val="24"/>
      </w:rPr>
    </w:lvl>
    <w:lvl w:ilvl="2">
      <w:start w:val="1"/>
      <w:numFmt w:val="bullet"/>
      <w:lvlText w:val="•"/>
      <w:lvlJc w:val="left"/>
      <w:pPr>
        <w:ind w:left="2653" w:hanging="360"/>
      </w:pPr>
      <w:rPr>
        <w:rFonts w:hint="default"/>
      </w:rPr>
    </w:lvl>
    <w:lvl w:ilvl="3">
      <w:start w:val="1"/>
      <w:numFmt w:val="bullet"/>
      <w:lvlText w:val="•"/>
      <w:lvlJc w:val="left"/>
      <w:pPr>
        <w:ind w:left="3646" w:hanging="360"/>
      </w:pPr>
      <w:rPr>
        <w:rFonts w:hint="default"/>
      </w:rPr>
    </w:lvl>
    <w:lvl w:ilvl="4">
      <w:start w:val="1"/>
      <w:numFmt w:val="bullet"/>
      <w:lvlText w:val="•"/>
      <w:lvlJc w:val="left"/>
      <w:pPr>
        <w:ind w:left="4640" w:hanging="360"/>
      </w:pPr>
      <w:rPr>
        <w:rFonts w:hint="default"/>
      </w:rPr>
    </w:lvl>
    <w:lvl w:ilvl="5">
      <w:start w:val="1"/>
      <w:numFmt w:val="bullet"/>
      <w:lvlText w:val="•"/>
      <w:lvlJc w:val="left"/>
      <w:pPr>
        <w:ind w:left="5633" w:hanging="360"/>
      </w:pPr>
      <w:rPr>
        <w:rFonts w:hint="default"/>
      </w:rPr>
    </w:lvl>
    <w:lvl w:ilvl="6">
      <w:start w:val="1"/>
      <w:numFmt w:val="bullet"/>
      <w:lvlText w:val="•"/>
      <w:lvlJc w:val="left"/>
      <w:pPr>
        <w:ind w:left="6626" w:hanging="360"/>
      </w:pPr>
      <w:rPr>
        <w:rFonts w:hint="default"/>
      </w:rPr>
    </w:lvl>
    <w:lvl w:ilvl="7">
      <w:start w:val="1"/>
      <w:numFmt w:val="bullet"/>
      <w:lvlText w:val="•"/>
      <w:lvlJc w:val="left"/>
      <w:pPr>
        <w:ind w:left="7620" w:hanging="360"/>
      </w:pPr>
      <w:rPr>
        <w:rFonts w:hint="default"/>
      </w:rPr>
    </w:lvl>
    <w:lvl w:ilvl="8">
      <w:start w:val="1"/>
      <w:numFmt w:val="bullet"/>
      <w:lvlText w:val="•"/>
      <w:lvlJc w:val="left"/>
      <w:pPr>
        <w:ind w:left="8613" w:hanging="360"/>
      </w:pPr>
      <w:rPr>
        <w:rFonts w:hint="default"/>
      </w:rPr>
    </w:lvl>
  </w:abstractNum>
  <w:abstractNum w:abstractNumId="14">
    <w:multiLevelType w:val="hybridMultilevel"/>
    <w:lvl w:ilvl="0">
      <w:start w:val="4"/>
      <w:numFmt w:val="decimal"/>
      <w:lvlText w:val="%1"/>
      <w:lvlJc w:val="left"/>
      <w:pPr>
        <w:ind w:left="924" w:hanging="406"/>
        <w:jc w:val="left"/>
      </w:pPr>
      <w:rPr>
        <w:rFonts w:hint="default"/>
      </w:rPr>
    </w:lvl>
    <w:lvl w:ilvl="1">
      <w:start w:val="1"/>
      <w:numFmt w:val="decimal"/>
      <w:lvlText w:val="%1.%2"/>
      <w:lvlJc w:val="left"/>
      <w:pPr>
        <w:ind w:left="924" w:hanging="406"/>
        <w:jc w:val="right"/>
      </w:pPr>
      <w:rPr>
        <w:rFonts w:hint="default" w:ascii="Arial" w:hAnsi="Arial" w:eastAsia="Arial" w:cs="Arial"/>
        <w:b/>
        <w:bCs/>
        <w:w w:val="99"/>
        <w:sz w:val="24"/>
        <w:szCs w:val="24"/>
      </w:rPr>
    </w:lvl>
    <w:lvl w:ilvl="2">
      <w:start w:val="1"/>
      <w:numFmt w:val="decimal"/>
      <w:lvlText w:val="%3."/>
      <w:lvlJc w:val="left"/>
      <w:pPr>
        <w:ind w:left="1238" w:hanging="360"/>
        <w:jc w:val="left"/>
      </w:pPr>
      <w:rPr>
        <w:rFonts w:hint="default" w:ascii="Arial" w:hAnsi="Arial" w:eastAsia="Arial" w:cs="Arial"/>
        <w:spacing w:val="-3"/>
        <w:w w:val="99"/>
        <w:sz w:val="24"/>
        <w:szCs w:val="24"/>
      </w:rPr>
    </w:lvl>
    <w:lvl w:ilvl="3">
      <w:start w:val="1"/>
      <w:numFmt w:val="bullet"/>
      <w:lvlText w:val="•"/>
      <w:lvlJc w:val="left"/>
      <w:pPr>
        <w:ind w:left="3320" w:hanging="360"/>
      </w:pPr>
      <w:rPr>
        <w:rFonts w:hint="default"/>
      </w:rPr>
    </w:lvl>
    <w:lvl w:ilvl="4">
      <w:start w:val="1"/>
      <w:numFmt w:val="bullet"/>
      <w:lvlText w:val="•"/>
      <w:lvlJc w:val="left"/>
      <w:pPr>
        <w:ind w:left="4360" w:hanging="360"/>
      </w:pPr>
      <w:rPr>
        <w:rFonts w:hint="default"/>
      </w:rPr>
    </w:lvl>
    <w:lvl w:ilvl="5">
      <w:start w:val="1"/>
      <w:numFmt w:val="bullet"/>
      <w:lvlText w:val="•"/>
      <w:lvlJc w:val="left"/>
      <w:pPr>
        <w:ind w:left="5400" w:hanging="360"/>
      </w:pPr>
      <w:rPr>
        <w:rFonts w:hint="default"/>
      </w:rPr>
    </w:lvl>
    <w:lvl w:ilvl="6">
      <w:start w:val="1"/>
      <w:numFmt w:val="bullet"/>
      <w:lvlText w:val="•"/>
      <w:lvlJc w:val="left"/>
      <w:pPr>
        <w:ind w:left="6440" w:hanging="360"/>
      </w:pPr>
      <w:rPr>
        <w:rFonts w:hint="default"/>
      </w:rPr>
    </w:lvl>
    <w:lvl w:ilvl="7">
      <w:start w:val="1"/>
      <w:numFmt w:val="bullet"/>
      <w:lvlText w:val="•"/>
      <w:lvlJc w:val="left"/>
      <w:pPr>
        <w:ind w:left="7480" w:hanging="360"/>
      </w:pPr>
      <w:rPr>
        <w:rFonts w:hint="default"/>
      </w:rPr>
    </w:lvl>
    <w:lvl w:ilvl="8">
      <w:start w:val="1"/>
      <w:numFmt w:val="bullet"/>
      <w:lvlText w:val="•"/>
      <w:lvlJc w:val="left"/>
      <w:pPr>
        <w:ind w:left="8520" w:hanging="360"/>
      </w:pPr>
      <w:rPr>
        <w:rFonts w:hint="default"/>
      </w:rPr>
    </w:lvl>
  </w:abstractNum>
  <w:abstractNum w:abstractNumId="13">
    <w:multiLevelType w:val="hybridMultilevel"/>
    <w:lvl w:ilvl="0">
      <w:start w:val="3"/>
      <w:numFmt w:val="decimal"/>
      <w:lvlText w:val="%1"/>
      <w:lvlJc w:val="left"/>
      <w:pPr>
        <w:ind w:left="923" w:hanging="405"/>
        <w:jc w:val="left"/>
      </w:pPr>
      <w:rPr>
        <w:rFonts w:hint="default"/>
      </w:rPr>
    </w:lvl>
    <w:lvl w:ilvl="1">
      <w:start w:val="1"/>
      <w:numFmt w:val="decimal"/>
      <w:lvlText w:val="%1.%2"/>
      <w:lvlJc w:val="left"/>
      <w:pPr>
        <w:ind w:left="923" w:hanging="405"/>
        <w:jc w:val="left"/>
      </w:pPr>
      <w:rPr>
        <w:rFonts w:hint="default" w:ascii="Arial" w:hAnsi="Arial" w:eastAsia="Arial" w:cs="Arial"/>
        <w:b/>
        <w:bCs/>
        <w:w w:val="99"/>
        <w:sz w:val="24"/>
        <w:szCs w:val="24"/>
      </w:rPr>
    </w:lvl>
    <w:lvl w:ilvl="2">
      <w:start w:val="1"/>
      <w:numFmt w:val="bullet"/>
      <w:lvlText w:val=""/>
      <w:lvlJc w:val="left"/>
      <w:pPr>
        <w:ind w:left="1238" w:hanging="360"/>
      </w:pPr>
      <w:rPr>
        <w:rFonts w:hint="default" w:ascii="Wingdings" w:hAnsi="Wingdings" w:eastAsia="Wingdings" w:cs="Wingdings"/>
        <w:w w:val="99"/>
        <w:sz w:val="24"/>
        <w:szCs w:val="24"/>
      </w:rPr>
    </w:lvl>
    <w:lvl w:ilvl="3">
      <w:start w:val="1"/>
      <w:numFmt w:val="bullet"/>
      <w:lvlText w:val="•"/>
      <w:lvlJc w:val="left"/>
      <w:pPr>
        <w:ind w:left="3320" w:hanging="360"/>
      </w:pPr>
      <w:rPr>
        <w:rFonts w:hint="default"/>
      </w:rPr>
    </w:lvl>
    <w:lvl w:ilvl="4">
      <w:start w:val="1"/>
      <w:numFmt w:val="bullet"/>
      <w:lvlText w:val="•"/>
      <w:lvlJc w:val="left"/>
      <w:pPr>
        <w:ind w:left="4360" w:hanging="360"/>
      </w:pPr>
      <w:rPr>
        <w:rFonts w:hint="default"/>
      </w:rPr>
    </w:lvl>
    <w:lvl w:ilvl="5">
      <w:start w:val="1"/>
      <w:numFmt w:val="bullet"/>
      <w:lvlText w:val="•"/>
      <w:lvlJc w:val="left"/>
      <w:pPr>
        <w:ind w:left="5400" w:hanging="360"/>
      </w:pPr>
      <w:rPr>
        <w:rFonts w:hint="default"/>
      </w:rPr>
    </w:lvl>
    <w:lvl w:ilvl="6">
      <w:start w:val="1"/>
      <w:numFmt w:val="bullet"/>
      <w:lvlText w:val="•"/>
      <w:lvlJc w:val="left"/>
      <w:pPr>
        <w:ind w:left="6440" w:hanging="360"/>
      </w:pPr>
      <w:rPr>
        <w:rFonts w:hint="default"/>
      </w:rPr>
    </w:lvl>
    <w:lvl w:ilvl="7">
      <w:start w:val="1"/>
      <w:numFmt w:val="bullet"/>
      <w:lvlText w:val="•"/>
      <w:lvlJc w:val="left"/>
      <w:pPr>
        <w:ind w:left="7480" w:hanging="360"/>
      </w:pPr>
      <w:rPr>
        <w:rFonts w:hint="default"/>
      </w:rPr>
    </w:lvl>
    <w:lvl w:ilvl="8">
      <w:start w:val="1"/>
      <w:numFmt w:val="bullet"/>
      <w:lvlText w:val="•"/>
      <w:lvlJc w:val="left"/>
      <w:pPr>
        <w:ind w:left="8520" w:hanging="360"/>
      </w:pPr>
      <w:rPr>
        <w:rFonts w:hint="default"/>
      </w:rPr>
    </w:lvl>
  </w:abstractNum>
  <w:abstractNum w:abstractNumId="12">
    <w:multiLevelType w:val="hybridMultilevel"/>
    <w:lvl w:ilvl="0">
      <w:start w:val="1"/>
      <w:numFmt w:val="lowerLetter"/>
      <w:lvlText w:val="%1)"/>
      <w:lvlJc w:val="left"/>
      <w:pPr>
        <w:ind w:left="518" w:hanging="353"/>
        <w:jc w:val="left"/>
      </w:pPr>
      <w:rPr>
        <w:rFonts w:hint="default" w:ascii="Arial" w:hAnsi="Arial" w:eastAsia="Arial" w:cs="Arial"/>
        <w:spacing w:val="-3"/>
        <w:w w:val="99"/>
        <w:sz w:val="24"/>
        <w:szCs w:val="24"/>
      </w:rPr>
    </w:lvl>
    <w:lvl w:ilvl="1">
      <w:start w:val="1"/>
      <w:numFmt w:val="bullet"/>
      <w:lvlText w:val="•"/>
      <w:lvlJc w:val="left"/>
      <w:pPr>
        <w:ind w:left="1528" w:hanging="353"/>
      </w:pPr>
      <w:rPr>
        <w:rFonts w:hint="default"/>
      </w:rPr>
    </w:lvl>
    <w:lvl w:ilvl="2">
      <w:start w:val="1"/>
      <w:numFmt w:val="bullet"/>
      <w:lvlText w:val="•"/>
      <w:lvlJc w:val="left"/>
      <w:pPr>
        <w:ind w:left="2536" w:hanging="353"/>
      </w:pPr>
      <w:rPr>
        <w:rFonts w:hint="default"/>
      </w:rPr>
    </w:lvl>
    <w:lvl w:ilvl="3">
      <w:start w:val="1"/>
      <w:numFmt w:val="bullet"/>
      <w:lvlText w:val="•"/>
      <w:lvlJc w:val="left"/>
      <w:pPr>
        <w:ind w:left="3544" w:hanging="353"/>
      </w:pPr>
      <w:rPr>
        <w:rFonts w:hint="default"/>
      </w:rPr>
    </w:lvl>
    <w:lvl w:ilvl="4">
      <w:start w:val="1"/>
      <w:numFmt w:val="bullet"/>
      <w:lvlText w:val="•"/>
      <w:lvlJc w:val="left"/>
      <w:pPr>
        <w:ind w:left="4552" w:hanging="353"/>
      </w:pPr>
      <w:rPr>
        <w:rFonts w:hint="default"/>
      </w:rPr>
    </w:lvl>
    <w:lvl w:ilvl="5">
      <w:start w:val="1"/>
      <w:numFmt w:val="bullet"/>
      <w:lvlText w:val="•"/>
      <w:lvlJc w:val="left"/>
      <w:pPr>
        <w:ind w:left="5560" w:hanging="353"/>
      </w:pPr>
      <w:rPr>
        <w:rFonts w:hint="default"/>
      </w:rPr>
    </w:lvl>
    <w:lvl w:ilvl="6">
      <w:start w:val="1"/>
      <w:numFmt w:val="bullet"/>
      <w:lvlText w:val="•"/>
      <w:lvlJc w:val="left"/>
      <w:pPr>
        <w:ind w:left="6568" w:hanging="353"/>
      </w:pPr>
      <w:rPr>
        <w:rFonts w:hint="default"/>
      </w:rPr>
    </w:lvl>
    <w:lvl w:ilvl="7">
      <w:start w:val="1"/>
      <w:numFmt w:val="bullet"/>
      <w:lvlText w:val="•"/>
      <w:lvlJc w:val="left"/>
      <w:pPr>
        <w:ind w:left="7576" w:hanging="353"/>
      </w:pPr>
      <w:rPr>
        <w:rFonts w:hint="default"/>
      </w:rPr>
    </w:lvl>
    <w:lvl w:ilvl="8">
      <w:start w:val="1"/>
      <w:numFmt w:val="bullet"/>
      <w:lvlText w:val="•"/>
      <w:lvlJc w:val="left"/>
      <w:pPr>
        <w:ind w:left="8584" w:hanging="353"/>
      </w:pPr>
      <w:rPr>
        <w:rFonts w:hint="default"/>
      </w:rPr>
    </w:lvl>
  </w:abstractNum>
  <w:abstractNum w:abstractNumId="11">
    <w:multiLevelType w:val="hybridMultilevel"/>
    <w:lvl w:ilvl="0">
      <w:start w:val="1"/>
      <w:numFmt w:val="lowerLetter"/>
      <w:lvlText w:val="%1)"/>
      <w:lvlJc w:val="left"/>
      <w:pPr>
        <w:ind w:left="878" w:hanging="360"/>
        <w:jc w:val="left"/>
      </w:pPr>
      <w:rPr>
        <w:rFonts w:hint="default" w:ascii="Arial" w:hAnsi="Arial" w:eastAsia="Arial" w:cs="Arial"/>
        <w:w w:val="99"/>
        <w:sz w:val="24"/>
        <w:szCs w:val="24"/>
      </w:rPr>
    </w:lvl>
    <w:lvl w:ilvl="1">
      <w:start w:val="1"/>
      <w:numFmt w:val="bullet"/>
      <w:lvlText w:val="•"/>
      <w:lvlJc w:val="left"/>
      <w:pPr>
        <w:ind w:left="1852" w:hanging="360"/>
      </w:pPr>
      <w:rPr>
        <w:rFonts w:hint="default"/>
      </w:rPr>
    </w:lvl>
    <w:lvl w:ilvl="2">
      <w:start w:val="1"/>
      <w:numFmt w:val="bullet"/>
      <w:lvlText w:val="•"/>
      <w:lvlJc w:val="left"/>
      <w:pPr>
        <w:ind w:left="2824" w:hanging="360"/>
      </w:pPr>
      <w:rPr>
        <w:rFonts w:hint="default"/>
      </w:rPr>
    </w:lvl>
    <w:lvl w:ilvl="3">
      <w:start w:val="1"/>
      <w:numFmt w:val="bullet"/>
      <w:lvlText w:val="•"/>
      <w:lvlJc w:val="left"/>
      <w:pPr>
        <w:ind w:left="3796" w:hanging="360"/>
      </w:pPr>
      <w:rPr>
        <w:rFonts w:hint="default"/>
      </w:rPr>
    </w:lvl>
    <w:lvl w:ilvl="4">
      <w:start w:val="1"/>
      <w:numFmt w:val="bullet"/>
      <w:lvlText w:val="•"/>
      <w:lvlJc w:val="left"/>
      <w:pPr>
        <w:ind w:left="4768" w:hanging="360"/>
      </w:pPr>
      <w:rPr>
        <w:rFonts w:hint="default"/>
      </w:rPr>
    </w:lvl>
    <w:lvl w:ilvl="5">
      <w:start w:val="1"/>
      <w:numFmt w:val="bullet"/>
      <w:lvlText w:val="•"/>
      <w:lvlJc w:val="left"/>
      <w:pPr>
        <w:ind w:left="5740" w:hanging="360"/>
      </w:pPr>
      <w:rPr>
        <w:rFonts w:hint="default"/>
      </w:rPr>
    </w:lvl>
    <w:lvl w:ilvl="6">
      <w:start w:val="1"/>
      <w:numFmt w:val="bullet"/>
      <w:lvlText w:val="•"/>
      <w:lvlJc w:val="left"/>
      <w:pPr>
        <w:ind w:left="6712" w:hanging="360"/>
      </w:pPr>
      <w:rPr>
        <w:rFonts w:hint="default"/>
      </w:rPr>
    </w:lvl>
    <w:lvl w:ilvl="7">
      <w:start w:val="1"/>
      <w:numFmt w:val="bullet"/>
      <w:lvlText w:val="•"/>
      <w:lvlJc w:val="left"/>
      <w:pPr>
        <w:ind w:left="7684" w:hanging="360"/>
      </w:pPr>
      <w:rPr>
        <w:rFonts w:hint="default"/>
      </w:rPr>
    </w:lvl>
    <w:lvl w:ilvl="8">
      <w:start w:val="1"/>
      <w:numFmt w:val="bullet"/>
      <w:lvlText w:val="•"/>
      <w:lvlJc w:val="left"/>
      <w:pPr>
        <w:ind w:left="8656" w:hanging="360"/>
      </w:pPr>
      <w:rPr>
        <w:rFonts w:hint="default"/>
      </w:rPr>
    </w:lvl>
  </w:abstractNum>
  <w:abstractNum w:abstractNumId="10">
    <w:multiLevelType w:val="hybridMultilevel"/>
    <w:lvl w:ilvl="0">
      <w:start w:val="1"/>
      <w:numFmt w:val="bullet"/>
      <w:lvlText w:val=""/>
      <w:lvlJc w:val="left"/>
      <w:pPr>
        <w:ind w:left="1238" w:hanging="360"/>
      </w:pPr>
      <w:rPr>
        <w:rFonts w:hint="default" w:ascii="Wingdings" w:hAnsi="Wingdings" w:eastAsia="Wingdings" w:cs="Wingdings"/>
        <w:w w:val="99"/>
        <w:sz w:val="24"/>
        <w:szCs w:val="24"/>
      </w:rPr>
    </w:lvl>
    <w:lvl w:ilvl="1">
      <w:start w:val="1"/>
      <w:numFmt w:val="bullet"/>
      <w:lvlText w:val="•"/>
      <w:lvlJc w:val="left"/>
      <w:pPr>
        <w:ind w:left="2176" w:hanging="360"/>
      </w:pPr>
      <w:rPr>
        <w:rFonts w:hint="default"/>
      </w:rPr>
    </w:lvl>
    <w:lvl w:ilvl="2">
      <w:start w:val="1"/>
      <w:numFmt w:val="bullet"/>
      <w:lvlText w:val="•"/>
      <w:lvlJc w:val="left"/>
      <w:pPr>
        <w:ind w:left="3112" w:hanging="360"/>
      </w:pPr>
      <w:rPr>
        <w:rFonts w:hint="default"/>
      </w:rPr>
    </w:lvl>
    <w:lvl w:ilvl="3">
      <w:start w:val="1"/>
      <w:numFmt w:val="bullet"/>
      <w:lvlText w:val="•"/>
      <w:lvlJc w:val="left"/>
      <w:pPr>
        <w:ind w:left="4048" w:hanging="360"/>
      </w:pPr>
      <w:rPr>
        <w:rFonts w:hint="default"/>
      </w:rPr>
    </w:lvl>
    <w:lvl w:ilvl="4">
      <w:start w:val="1"/>
      <w:numFmt w:val="bullet"/>
      <w:lvlText w:val="•"/>
      <w:lvlJc w:val="left"/>
      <w:pPr>
        <w:ind w:left="4984" w:hanging="360"/>
      </w:pPr>
      <w:rPr>
        <w:rFonts w:hint="default"/>
      </w:rPr>
    </w:lvl>
    <w:lvl w:ilvl="5">
      <w:start w:val="1"/>
      <w:numFmt w:val="bullet"/>
      <w:lvlText w:val="•"/>
      <w:lvlJc w:val="left"/>
      <w:pPr>
        <w:ind w:left="5920" w:hanging="360"/>
      </w:pPr>
      <w:rPr>
        <w:rFonts w:hint="default"/>
      </w:rPr>
    </w:lvl>
    <w:lvl w:ilvl="6">
      <w:start w:val="1"/>
      <w:numFmt w:val="bullet"/>
      <w:lvlText w:val="•"/>
      <w:lvlJc w:val="left"/>
      <w:pPr>
        <w:ind w:left="6856" w:hanging="360"/>
      </w:pPr>
      <w:rPr>
        <w:rFonts w:hint="default"/>
      </w:rPr>
    </w:lvl>
    <w:lvl w:ilvl="7">
      <w:start w:val="1"/>
      <w:numFmt w:val="bullet"/>
      <w:lvlText w:val="•"/>
      <w:lvlJc w:val="left"/>
      <w:pPr>
        <w:ind w:left="7792" w:hanging="360"/>
      </w:pPr>
      <w:rPr>
        <w:rFonts w:hint="default"/>
      </w:rPr>
    </w:lvl>
    <w:lvl w:ilvl="8">
      <w:start w:val="1"/>
      <w:numFmt w:val="bullet"/>
      <w:lvlText w:val="•"/>
      <w:lvlJc w:val="left"/>
      <w:pPr>
        <w:ind w:left="8728" w:hanging="360"/>
      </w:pPr>
      <w:rPr>
        <w:rFonts w:hint="default"/>
      </w:rPr>
    </w:lvl>
  </w:abstractNum>
  <w:abstractNum w:abstractNumId="9">
    <w:multiLevelType w:val="hybridMultilevel"/>
    <w:lvl w:ilvl="0">
      <w:start w:val="1"/>
      <w:numFmt w:val="bullet"/>
      <w:lvlText w:val=""/>
      <w:lvlJc w:val="left"/>
      <w:pPr>
        <w:ind w:left="878" w:hanging="360"/>
      </w:pPr>
      <w:rPr>
        <w:rFonts w:hint="default" w:ascii="Wingdings" w:hAnsi="Wingdings" w:eastAsia="Wingdings" w:cs="Wingdings"/>
        <w:w w:val="100"/>
        <w:sz w:val="24"/>
        <w:szCs w:val="24"/>
      </w:rPr>
    </w:lvl>
    <w:lvl w:ilvl="1">
      <w:start w:val="1"/>
      <w:numFmt w:val="bullet"/>
      <w:lvlText w:val=""/>
      <w:lvlJc w:val="left"/>
      <w:pPr>
        <w:ind w:left="1238" w:hanging="360"/>
      </w:pPr>
      <w:rPr>
        <w:rFonts w:hint="default" w:ascii="Symbol" w:hAnsi="Symbol" w:eastAsia="Symbol" w:cs="Symbol"/>
        <w:w w:val="100"/>
        <w:sz w:val="24"/>
        <w:szCs w:val="24"/>
      </w:rPr>
    </w:lvl>
    <w:lvl w:ilvl="2">
      <w:start w:val="1"/>
      <w:numFmt w:val="bullet"/>
      <w:lvlText w:val="•"/>
      <w:lvlJc w:val="left"/>
      <w:pPr>
        <w:ind w:left="2280" w:hanging="360"/>
      </w:pPr>
      <w:rPr>
        <w:rFonts w:hint="default"/>
      </w:rPr>
    </w:lvl>
    <w:lvl w:ilvl="3">
      <w:start w:val="1"/>
      <w:numFmt w:val="bullet"/>
      <w:lvlText w:val="•"/>
      <w:lvlJc w:val="left"/>
      <w:pPr>
        <w:ind w:left="3320" w:hanging="360"/>
      </w:pPr>
      <w:rPr>
        <w:rFonts w:hint="default"/>
      </w:rPr>
    </w:lvl>
    <w:lvl w:ilvl="4">
      <w:start w:val="1"/>
      <w:numFmt w:val="bullet"/>
      <w:lvlText w:val="•"/>
      <w:lvlJc w:val="left"/>
      <w:pPr>
        <w:ind w:left="4360" w:hanging="360"/>
      </w:pPr>
      <w:rPr>
        <w:rFonts w:hint="default"/>
      </w:rPr>
    </w:lvl>
    <w:lvl w:ilvl="5">
      <w:start w:val="1"/>
      <w:numFmt w:val="bullet"/>
      <w:lvlText w:val="•"/>
      <w:lvlJc w:val="left"/>
      <w:pPr>
        <w:ind w:left="5400" w:hanging="360"/>
      </w:pPr>
      <w:rPr>
        <w:rFonts w:hint="default"/>
      </w:rPr>
    </w:lvl>
    <w:lvl w:ilvl="6">
      <w:start w:val="1"/>
      <w:numFmt w:val="bullet"/>
      <w:lvlText w:val="•"/>
      <w:lvlJc w:val="left"/>
      <w:pPr>
        <w:ind w:left="6440" w:hanging="360"/>
      </w:pPr>
      <w:rPr>
        <w:rFonts w:hint="default"/>
      </w:rPr>
    </w:lvl>
    <w:lvl w:ilvl="7">
      <w:start w:val="1"/>
      <w:numFmt w:val="bullet"/>
      <w:lvlText w:val="•"/>
      <w:lvlJc w:val="left"/>
      <w:pPr>
        <w:ind w:left="7480" w:hanging="360"/>
      </w:pPr>
      <w:rPr>
        <w:rFonts w:hint="default"/>
      </w:rPr>
    </w:lvl>
    <w:lvl w:ilvl="8">
      <w:start w:val="1"/>
      <w:numFmt w:val="bullet"/>
      <w:lvlText w:val="•"/>
      <w:lvlJc w:val="left"/>
      <w:pPr>
        <w:ind w:left="8520" w:hanging="360"/>
      </w:pPr>
      <w:rPr>
        <w:rFonts w:hint="default"/>
      </w:rPr>
    </w:lvl>
  </w:abstractNum>
  <w:abstractNum w:abstractNumId="8">
    <w:multiLevelType w:val="hybridMultilevel"/>
    <w:lvl w:ilvl="0">
      <w:start w:val="2"/>
      <w:numFmt w:val="decimal"/>
      <w:lvlText w:val="%1"/>
      <w:lvlJc w:val="left"/>
      <w:pPr>
        <w:ind w:left="923" w:hanging="405"/>
        <w:jc w:val="left"/>
      </w:pPr>
      <w:rPr>
        <w:rFonts w:hint="default"/>
      </w:rPr>
    </w:lvl>
    <w:lvl w:ilvl="1">
      <w:start w:val="1"/>
      <w:numFmt w:val="decimal"/>
      <w:lvlText w:val="%1.%2"/>
      <w:lvlJc w:val="left"/>
      <w:pPr>
        <w:ind w:left="923" w:hanging="405"/>
        <w:jc w:val="left"/>
      </w:pPr>
      <w:rPr>
        <w:rFonts w:hint="default" w:ascii="Arial" w:hAnsi="Arial" w:eastAsia="Arial" w:cs="Arial"/>
        <w:b/>
        <w:bCs/>
        <w:w w:val="99"/>
        <w:sz w:val="24"/>
        <w:szCs w:val="24"/>
      </w:rPr>
    </w:lvl>
    <w:lvl w:ilvl="2">
      <w:start w:val="1"/>
      <w:numFmt w:val="decimal"/>
      <w:lvlText w:val="%1.%2.%3"/>
      <w:lvlJc w:val="left"/>
      <w:pPr>
        <w:ind w:left="1121" w:hanging="603"/>
        <w:jc w:val="left"/>
      </w:pPr>
      <w:rPr>
        <w:rFonts w:hint="default" w:ascii="Arial" w:hAnsi="Arial" w:eastAsia="Arial" w:cs="Arial"/>
        <w:b/>
        <w:bCs/>
        <w:spacing w:val="-2"/>
        <w:w w:val="99"/>
        <w:sz w:val="24"/>
        <w:szCs w:val="24"/>
      </w:rPr>
    </w:lvl>
    <w:lvl w:ilvl="3">
      <w:start w:val="1"/>
      <w:numFmt w:val="bullet"/>
      <w:lvlText w:val="•"/>
      <w:lvlJc w:val="left"/>
      <w:pPr>
        <w:ind w:left="3226" w:hanging="603"/>
      </w:pPr>
      <w:rPr>
        <w:rFonts w:hint="default"/>
      </w:rPr>
    </w:lvl>
    <w:lvl w:ilvl="4">
      <w:start w:val="1"/>
      <w:numFmt w:val="bullet"/>
      <w:lvlText w:val="•"/>
      <w:lvlJc w:val="left"/>
      <w:pPr>
        <w:ind w:left="4280" w:hanging="603"/>
      </w:pPr>
      <w:rPr>
        <w:rFonts w:hint="default"/>
      </w:rPr>
    </w:lvl>
    <w:lvl w:ilvl="5">
      <w:start w:val="1"/>
      <w:numFmt w:val="bullet"/>
      <w:lvlText w:val="•"/>
      <w:lvlJc w:val="left"/>
      <w:pPr>
        <w:ind w:left="5333" w:hanging="603"/>
      </w:pPr>
      <w:rPr>
        <w:rFonts w:hint="default"/>
      </w:rPr>
    </w:lvl>
    <w:lvl w:ilvl="6">
      <w:start w:val="1"/>
      <w:numFmt w:val="bullet"/>
      <w:lvlText w:val="•"/>
      <w:lvlJc w:val="left"/>
      <w:pPr>
        <w:ind w:left="6386" w:hanging="603"/>
      </w:pPr>
      <w:rPr>
        <w:rFonts w:hint="default"/>
      </w:rPr>
    </w:lvl>
    <w:lvl w:ilvl="7">
      <w:start w:val="1"/>
      <w:numFmt w:val="bullet"/>
      <w:lvlText w:val="•"/>
      <w:lvlJc w:val="left"/>
      <w:pPr>
        <w:ind w:left="7440" w:hanging="603"/>
      </w:pPr>
      <w:rPr>
        <w:rFonts w:hint="default"/>
      </w:rPr>
    </w:lvl>
    <w:lvl w:ilvl="8">
      <w:start w:val="1"/>
      <w:numFmt w:val="bullet"/>
      <w:lvlText w:val="•"/>
      <w:lvlJc w:val="left"/>
      <w:pPr>
        <w:ind w:left="8493" w:hanging="603"/>
      </w:pPr>
      <w:rPr>
        <w:rFonts w:hint="default"/>
      </w:rPr>
    </w:lvl>
  </w:abstractNum>
  <w:abstractNum w:abstractNumId="7">
    <w:multiLevelType w:val="hybridMultilevel"/>
    <w:lvl w:ilvl="0">
      <w:start w:val="1"/>
      <w:numFmt w:val="bullet"/>
      <w:lvlText w:val=""/>
      <w:lvlJc w:val="left"/>
      <w:pPr>
        <w:ind w:left="878" w:hanging="360"/>
      </w:pPr>
      <w:rPr>
        <w:rFonts w:hint="default" w:ascii="Wingdings" w:hAnsi="Wingdings" w:eastAsia="Wingdings" w:cs="Wingdings"/>
        <w:w w:val="99"/>
        <w:sz w:val="24"/>
        <w:szCs w:val="24"/>
      </w:rPr>
    </w:lvl>
    <w:lvl w:ilvl="1">
      <w:start w:val="1"/>
      <w:numFmt w:val="bullet"/>
      <w:lvlText w:val=""/>
      <w:lvlJc w:val="left"/>
      <w:pPr>
        <w:ind w:left="1238" w:hanging="360"/>
      </w:pPr>
      <w:rPr>
        <w:rFonts w:hint="default" w:ascii="Symbol" w:hAnsi="Symbol" w:eastAsia="Symbol" w:cs="Symbol"/>
        <w:w w:val="100"/>
        <w:sz w:val="24"/>
        <w:szCs w:val="24"/>
      </w:rPr>
    </w:lvl>
    <w:lvl w:ilvl="2">
      <w:start w:val="1"/>
      <w:numFmt w:val="bullet"/>
      <w:lvlText w:val="•"/>
      <w:lvlJc w:val="left"/>
      <w:pPr>
        <w:ind w:left="2280" w:hanging="360"/>
      </w:pPr>
      <w:rPr>
        <w:rFonts w:hint="default"/>
      </w:rPr>
    </w:lvl>
    <w:lvl w:ilvl="3">
      <w:start w:val="1"/>
      <w:numFmt w:val="bullet"/>
      <w:lvlText w:val="•"/>
      <w:lvlJc w:val="left"/>
      <w:pPr>
        <w:ind w:left="3320" w:hanging="360"/>
      </w:pPr>
      <w:rPr>
        <w:rFonts w:hint="default"/>
      </w:rPr>
    </w:lvl>
    <w:lvl w:ilvl="4">
      <w:start w:val="1"/>
      <w:numFmt w:val="bullet"/>
      <w:lvlText w:val="•"/>
      <w:lvlJc w:val="left"/>
      <w:pPr>
        <w:ind w:left="4360" w:hanging="360"/>
      </w:pPr>
      <w:rPr>
        <w:rFonts w:hint="default"/>
      </w:rPr>
    </w:lvl>
    <w:lvl w:ilvl="5">
      <w:start w:val="1"/>
      <w:numFmt w:val="bullet"/>
      <w:lvlText w:val="•"/>
      <w:lvlJc w:val="left"/>
      <w:pPr>
        <w:ind w:left="5400" w:hanging="360"/>
      </w:pPr>
      <w:rPr>
        <w:rFonts w:hint="default"/>
      </w:rPr>
    </w:lvl>
    <w:lvl w:ilvl="6">
      <w:start w:val="1"/>
      <w:numFmt w:val="bullet"/>
      <w:lvlText w:val="•"/>
      <w:lvlJc w:val="left"/>
      <w:pPr>
        <w:ind w:left="6440" w:hanging="360"/>
      </w:pPr>
      <w:rPr>
        <w:rFonts w:hint="default"/>
      </w:rPr>
    </w:lvl>
    <w:lvl w:ilvl="7">
      <w:start w:val="1"/>
      <w:numFmt w:val="bullet"/>
      <w:lvlText w:val="•"/>
      <w:lvlJc w:val="left"/>
      <w:pPr>
        <w:ind w:left="7480" w:hanging="360"/>
      </w:pPr>
      <w:rPr>
        <w:rFonts w:hint="default"/>
      </w:rPr>
    </w:lvl>
    <w:lvl w:ilvl="8">
      <w:start w:val="1"/>
      <w:numFmt w:val="bullet"/>
      <w:lvlText w:val="•"/>
      <w:lvlJc w:val="left"/>
      <w:pPr>
        <w:ind w:left="8520" w:hanging="360"/>
      </w:pPr>
      <w:rPr>
        <w:rFonts w:hint="default"/>
      </w:rPr>
    </w:lvl>
  </w:abstractNum>
  <w:abstractNum w:abstractNumId="5">
    <w:multiLevelType w:val="hybridMultilevel"/>
    <w:lvl w:ilvl="0">
      <w:start w:val="1"/>
      <w:numFmt w:val="bullet"/>
      <w:lvlText w:val=""/>
      <w:lvlJc w:val="left"/>
      <w:pPr>
        <w:ind w:left="1238" w:hanging="360"/>
      </w:pPr>
      <w:rPr>
        <w:rFonts w:hint="default" w:ascii="Symbol" w:hAnsi="Symbol" w:eastAsia="Symbol" w:cs="Symbol"/>
        <w:w w:val="100"/>
        <w:sz w:val="24"/>
        <w:szCs w:val="24"/>
      </w:rPr>
    </w:lvl>
    <w:lvl w:ilvl="1">
      <w:start w:val="1"/>
      <w:numFmt w:val="bullet"/>
      <w:lvlText w:val="•"/>
      <w:lvlJc w:val="left"/>
      <w:pPr>
        <w:ind w:left="2176" w:hanging="360"/>
      </w:pPr>
      <w:rPr>
        <w:rFonts w:hint="default"/>
      </w:rPr>
    </w:lvl>
    <w:lvl w:ilvl="2">
      <w:start w:val="1"/>
      <w:numFmt w:val="bullet"/>
      <w:lvlText w:val="•"/>
      <w:lvlJc w:val="left"/>
      <w:pPr>
        <w:ind w:left="3112" w:hanging="360"/>
      </w:pPr>
      <w:rPr>
        <w:rFonts w:hint="default"/>
      </w:rPr>
    </w:lvl>
    <w:lvl w:ilvl="3">
      <w:start w:val="1"/>
      <w:numFmt w:val="bullet"/>
      <w:lvlText w:val="•"/>
      <w:lvlJc w:val="left"/>
      <w:pPr>
        <w:ind w:left="4048" w:hanging="360"/>
      </w:pPr>
      <w:rPr>
        <w:rFonts w:hint="default"/>
      </w:rPr>
    </w:lvl>
    <w:lvl w:ilvl="4">
      <w:start w:val="1"/>
      <w:numFmt w:val="bullet"/>
      <w:lvlText w:val="•"/>
      <w:lvlJc w:val="left"/>
      <w:pPr>
        <w:ind w:left="4984" w:hanging="360"/>
      </w:pPr>
      <w:rPr>
        <w:rFonts w:hint="default"/>
      </w:rPr>
    </w:lvl>
    <w:lvl w:ilvl="5">
      <w:start w:val="1"/>
      <w:numFmt w:val="bullet"/>
      <w:lvlText w:val="•"/>
      <w:lvlJc w:val="left"/>
      <w:pPr>
        <w:ind w:left="5920" w:hanging="360"/>
      </w:pPr>
      <w:rPr>
        <w:rFonts w:hint="default"/>
      </w:rPr>
    </w:lvl>
    <w:lvl w:ilvl="6">
      <w:start w:val="1"/>
      <w:numFmt w:val="bullet"/>
      <w:lvlText w:val="•"/>
      <w:lvlJc w:val="left"/>
      <w:pPr>
        <w:ind w:left="6856" w:hanging="360"/>
      </w:pPr>
      <w:rPr>
        <w:rFonts w:hint="default"/>
      </w:rPr>
    </w:lvl>
    <w:lvl w:ilvl="7">
      <w:start w:val="1"/>
      <w:numFmt w:val="bullet"/>
      <w:lvlText w:val="•"/>
      <w:lvlJc w:val="left"/>
      <w:pPr>
        <w:ind w:left="7792" w:hanging="360"/>
      </w:pPr>
      <w:rPr>
        <w:rFonts w:hint="default"/>
      </w:rPr>
    </w:lvl>
    <w:lvl w:ilvl="8">
      <w:start w:val="1"/>
      <w:numFmt w:val="bullet"/>
      <w:lvlText w:val="•"/>
      <w:lvlJc w:val="left"/>
      <w:pPr>
        <w:ind w:left="8728" w:hanging="360"/>
      </w:pPr>
      <w:rPr>
        <w:rFonts w:hint="default"/>
      </w:rPr>
    </w:lvl>
  </w:abstractNum>
  <w:abstractNum w:abstractNumId="4">
    <w:multiLevelType w:val="hybridMultilevel"/>
    <w:lvl w:ilvl="0">
      <w:start w:val="1"/>
      <w:numFmt w:val="bullet"/>
      <w:lvlText w:val=""/>
      <w:lvlJc w:val="left"/>
      <w:pPr>
        <w:ind w:left="518" w:hanging="360"/>
      </w:pPr>
      <w:rPr>
        <w:rFonts w:hint="default" w:ascii="Symbol" w:hAnsi="Symbol" w:eastAsia="Symbol" w:cs="Symbol"/>
        <w:w w:val="100"/>
        <w:sz w:val="24"/>
        <w:szCs w:val="24"/>
      </w:rPr>
    </w:lvl>
    <w:lvl w:ilvl="1">
      <w:start w:val="1"/>
      <w:numFmt w:val="bullet"/>
      <w:lvlText w:val="o"/>
      <w:lvlJc w:val="left"/>
      <w:pPr>
        <w:ind w:left="2318" w:hanging="360"/>
      </w:pPr>
      <w:rPr>
        <w:rFonts w:hint="default" w:ascii="Courier New" w:hAnsi="Courier New" w:eastAsia="Courier New" w:cs="Courier New"/>
        <w:w w:val="100"/>
        <w:sz w:val="24"/>
        <w:szCs w:val="24"/>
      </w:rPr>
    </w:lvl>
    <w:lvl w:ilvl="2">
      <w:start w:val="1"/>
      <w:numFmt w:val="bullet"/>
      <w:lvlText w:val="•"/>
      <w:lvlJc w:val="left"/>
      <w:pPr>
        <w:ind w:left="3240" w:hanging="360"/>
      </w:pPr>
      <w:rPr>
        <w:rFonts w:hint="default"/>
      </w:rPr>
    </w:lvl>
    <w:lvl w:ilvl="3">
      <w:start w:val="1"/>
      <w:numFmt w:val="bullet"/>
      <w:lvlText w:val="•"/>
      <w:lvlJc w:val="left"/>
      <w:pPr>
        <w:ind w:left="4160" w:hanging="360"/>
      </w:pPr>
      <w:rPr>
        <w:rFonts w:hint="default"/>
      </w:rPr>
    </w:lvl>
    <w:lvl w:ilvl="4">
      <w:start w:val="1"/>
      <w:numFmt w:val="bullet"/>
      <w:lvlText w:val="•"/>
      <w:lvlJc w:val="left"/>
      <w:pPr>
        <w:ind w:left="5080" w:hanging="360"/>
      </w:pPr>
      <w:rPr>
        <w:rFonts w:hint="default"/>
      </w:rPr>
    </w:lvl>
    <w:lvl w:ilvl="5">
      <w:start w:val="1"/>
      <w:numFmt w:val="bullet"/>
      <w:lvlText w:val="•"/>
      <w:lvlJc w:val="left"/>
      <w:pPr>
        <w:ind w:left="6000" w:hanging="360"/>
      </w:pPr>
      <w:rPr>
        <w:rFonts w:hint="default"/>
      </w:rPr>
    </w:lvl>
    <w:lvl w:ilvl="6">
      <w:start w:val="1"/>
      <w:numFmt w:val="bullet"/>
      <w:lvlText w:val="•"/>
      <w:lvlJc w:val="left"/>
      <w:pPr>
        <w:ind w:left="6920" w:hanging="360"/>
      </w:pPr>
      <w:rPr>
        <w:rFonts w:hint="default"/>
      </w:rPr>
    </w:lvl>
    <w:lvl w:ilvl="7">
      <w:start w:val="1"/>
      <w:numFmt w:val="bullet"/>
      <w:lvlText w:val="•"/>
      <w:lvlJc w:val="left"/>
      <w:pPr>
        <w:ind w:left="7840" w:hanging="360"/>
      </w:pPr>
      <w:rPr>
        <w:rFonts w:hint="default"/>
      </w:rPr>
    </w:lvl>
    <w:lvl w:ilvl="8">
      <w:start w:val="1"/>
      <w:numFmt w:val="bullet"/>
      <w:lvlText w:val="•"/>
      <w:lvlJc w:val="left"/>
      <w:pPr>
        <w:ind w:left="8760" w:hanging="360"/>
      </w:pPr>
      <w:rPr>
        <w:rFonts w:hint="default"/>
      </w:rPr>
    </w:lvl>
  </w:abstractNum>
  <w:abstractNum w:abstractNumId="3">
    <w:multiLevelType w:val="hybridMultilevel"/>
    <w:lvl w:ilvl="0">
      <w:start w:val="1"/>
      <w:numFmt w:val="bullet"/>
      <w:lvlText w:val=""/>
      <w:lvlJc w:val="left"/>
      <w:pPr>
        <w:ind w:left="1238" w:hanging="360"/>
      </w:pPr>
      <w:rPr>
        <w:rFonts w:hint="default" w:ascii="Symbol" w:hAnsi="Symbol" w:eastAsia="Symbol" w:cs="Symbol"/>
        <w:w w:val="100"/>
        <w:sz w:val="24"/>
        <w:szCs w:val="24"/>
      </w:rPr>
    </w:lvl>
    <w:lvl w:ilvl="1">
      <w:start w:val="1"/>
      <w:numFmt w:val="bullet"/>
      <w:lvlText w:val="•"/>
      <w:lvlJc w:val="left"/>
      <w:pPr>
        <w:ind w:left="2176" w:hanging="360"/>
      </w:pPr>
      <w:rPr>
        <w:rFonts w:hint="default"/>
      </w:rPr>
    </w:lvl>
    <w:lvl w:ilvl="2">
      <w:start w:val="1"/>
      <w:numFmt w:val="bullet"/>
      <w:lvlText w:val="•"/>
      <w:lvlJc w:val="left"/>
      <w:pPr>
        <w:ind w:left="3112" w:hanging="360"/>
      </w:pPr>
      <w:rPr>
        <w:rFonts w:hint="default"/>
      </w:rPr>
    </w:lvl>
    <w:lvl w:ilvl="3">
      <w:start w:val="1"/>
      <w:numFmt w:val="bullet"/>
      <w:lvlText w:val="•"/>
      <w:lvlJc w:val="left"/>
      <w:pPr>
        <w:ind w:left="4048" w:hanging="360"/>
      </w:pPr>
      <w:rPr>
        <w:rFonts w:hint="default"/>
      </w:rPr>
    </w:lvl>
    <w:lvl w:ilvl="4">
      <w:start w:val="1"/>
      <w:numFmt w:val="bullet"/>
      <w:lvlText w:val="•"/>
      <w:lvlJc w:val="left"/>
      <w:pPr>
        <w:ind w:left="4984" w:hanging="360"/>
      </w:pPr>
      <w:rPr>
        <w:rFonts w:hint="default"/>
      </w:rPr>
    </w:lvl>
    <w:lvl w:ilvl="5">
      <w:start w:val="1"/>
      <w:numFmt w:val="bullet"/>
      <w:lvlText w:val="•"/>
      <w:lvlJc w:val="left"/>
      <w:pPr>
        <w:ind w:left="5920" w:hanging="360"/>
      </w:pPr>
      <w:rPr>
        <w:rFonts w:hint="default"/>
      </w:rPr>
    </w:lvl>
    <w:lvl w:ilvl="6">
      <w:start w:val="1"/>
      <w:numFmt w:val="bullet"/>
      <w:lvlText w:val="•"/>
      <w:lvlJc w:val="left"/>
      <w:pPr>
        <w:ind w:left="6856" w:hanging="360"/>
      </w:pPr>
      <w:rPr>
        <w:rFonts w:hint="default"/>
      </w:rPr>
    </w:lvl>
    <w:lvl w:ilvl="7">
      <w:start w:val="1"/>
      <w:numFmt w:val="bullet"/>
      <w:lvlText w:val="•"/>
      <w:lvlJc w:val="left"/>
      <w:pPr>
        <w:ind w:left="7792" w:hanging="360"/>
      </w:pPr>
      <w:rPr>
        <w:rFonts w:hint="default"/>
      </w:rPr>
    </w:lvl>
    <w:lvl w:ilvl="8">
      <w:start w:val="1"/>
      <w:numFmt w:val="bullet"/>
      <w:lvlText w:val="•"/>
      <w:lvlJc w:val="left"/>
      <w:pPr>
        <w:ind w:left="8728" w:hanging="360"/>
      </w:pPr>
      <w:rPr>
        <w:rFonts w:hint="default"/>
      </w:rPr>
    </w:lvl>
  </w:abstractNum>
  <w:abstractNum w:abstractNumId="2">
    <w:multiLevelType w:val="hybridMultilevel"/>
    <w:lvl w:ilvl="0">
      <w:start w:val="1"/>
      <w:numFmt w:val="decimal"/>
      <w:lvlText w:val="%1."/>
      <w:lvlJc w:val="left"/>
      <w:pPr>
        <w:ind w:left="787" w:hanging="269"/>
        <w:jc w:val="right"/>
      </w:pPr>
      <w:rPr>
        <w:rFonts w:hint="default" w:ascii="Arial" w:hAnsi="Arial" w:eastAsia="Arial" w:cs="Arial"/>
        <w:b/>
        <w:bCs/>
        <w:w w:val="99"/>
        <w:sz w:val="24"/>
        <w:szCs w:val="24"/>
      </w:rPr>
    </w:lvl>
    <w:lvl w:ilvl="1">
      <w:start w:val="1"/>
      <w:numFmt w:val="decimal"/>
      <w:lvlText w:val="%1.%2"/>
      <w:lvlJc w:val="left"/>
      <w:pPr>
        <w:ind w:left="518" w:hanging="403"/>
        <w:jc w:val="left"/>
      </w:pPr>
      <w:rPr>
        <w:rFonts w:hint="default" w:ascii="Arial" w:hAnsi="Arial" w:eastAsia="Arial" w:cs="Arial"/>
        <w:b/>
        <w:bCs/>
        <w:w w:val="99"/>
        <w:sz w:val="24"/>
        <w:szCs w:val="24"/>
      </w:rPr>
    </w:lvl>
    <w:lvl w:ilvl="2">
      <w:start w:val="1"/>
      <w:numFmt w:val="bullet"/>
      <w:lvlText w:val=""/>
      <w:lvlJc w:val="left"/>
      <w:pPr>
        <w:ind w:left="1238" w:hanging="360"/>
      </w:pPr>
      <w:rPr>
        <w:rFonts w:hint="default" w:ascii="Wingdings" w:hAnsi="Wingdings" w:eastAsia="Wingdings" w:cs="Wingdings"/>
        <w:w w:val="99"/>
        <w:sz w:val="24"/>
        <w:szCs w:val="24"/>
      </w:rPr>
    </w:lvl>
    <w:lvl w:ilvl="3">
      <w:start w:val="1"/>
      <w:numFmt w:val="bullet"/>
      <w:lvlText w:val="•"/>
      <w:lvlJc w:val="left"/>
      <w:pPr>
        <w:ind w:left="2410" w:hanging="360"/>
      </w:pPr>
      <w:rPr>
        <w:rFonts w:hint="default"/>
      </w:rPr>
    </w:lvl>
    <w:lvl w:ilvl="4">
      <w:start w:val="1"/>
      <w:numFmt w:val="bullet"/>
      <w:lvlText w:val="•"/>
      <w:lvlJc w:val="left"/>
      <w:pPr>
        <w:ind w:left="3580" w:hanging="360"/>
      </w:pPr>
      <w:rPr>
        <w:rFonts w:hint="default"/>
      </w:rPr>
    </w:lvl>
    <w:lvl w:ilvl="5">
      <w:start w:val="1"/>
      <w:numFmt w:val="bullet"/>
      <w:lvlText w:val="•"/>
      <w:lvlJc w:val="left"/>
      <w:pPr>
        <w:ind w:left="4750" w:hanging="360"/>
      </w:pPr>
      <w:rPr>
        <w:rFonts w:hint="default"/>
      </w:rPr>
    </w:lvl>
    <w:lvl w:ilvl="6">
      <w:start w:val="1"/>
      <w:numFmt w:val="bullet"/>
      <w:lvlText w:val="•"/>
      <w:lvlJc w:val="left"/>
      <w:pPr>
        <w:ind w:left="5920" w:hanging="360"/>
      </w:pPr>
      <w:rPr>
        <w:rFonts w:hint="default"/>
      </w:rPr>
    </w:lvl>
    <w:lvl w:ilvl="7">
      <w:start w:val="1"/>
      <w:numFmt w:val="bullet"/>
      <w:lvlText w:val="•"/>
      <w:lvlJc w:val="left"/>
      <w:pPr>
        <w:ind w:left="7090" w:hanging="360"/>
      </w:pPr>
      <w:rPr>
        <w:rFonts w:hint="default"/>
      </w:rPr>
    </w:lvl>
    <w:lvl w:ilvl="8">
      <w:start w:val="1"/>
      <w:numFmt w:val="bullet"/>
      <w:lvlText w:val="•"/>
      <w:lvlJc w:val="left"/>
      <w:pPr>
        <w:ind w:left="8260" w:hanging="360"/>
      </w:pPr>
      <w:rPr>
        <w:rFonts w:hint="default"/>
      </w:rPr>
    </w:lvl>
  </w:abstractNum>
  <w:abstractNum w:abstractNumId="1">
    <w:multiLevelType w:val="hybridMultilevel"/>
    <w:lvl w:ilvl="0">
      <w:start w:val="3"/>
      <w:numFmt w:val="upperRoman"/>
      <w:lvlText w:val="%1."/>
      <w:lvlJc w:val="left"/>
      <w:pPr>
        <w:ind w:left="614" w:hanging="336"/>
        <w:jc w:val="left"/>
      </w:pPr>
      <w:rPr>
        <w:rFonts w:hint="default" w:ascii="Arial" w:hAnsi="Arial" w:eastAsia="Arial" w:cs="Arial"/>
        <w:w w:val="100"/>
        <w:sz w:val="24"/>
        <w:szCs w:val="24"/>
      </w:rPr>
    </w:lvl>
    <w:lvl w:ilvl="1">
      <w:start w:val="1"/>
      <w:numFmt w:val="upperRoman"/>
      <w:lvlText w:val="%2."/>
      <w:lvlJc w:val="left"/>
      <w:pPr>
        <w:ind w:left="4246" w:hanging="202"/>
        <w:jc w:val="right"/>
      </w:pPr>
      <w:rPr>
        <w:rFonts w:hint="default" w:ascii="Arial" w:hAnsi="Arial" w:eastAsia="Arial" w:cs="Arial"/>
        <w:b/>
        <w:bCs/>
        <w:w w:val="100"/>
        <w:sz w:val="24"/>
        <w:szCs w:val="24"/>
      </w:rPr>
    </w:lvl>
    <w:lvl w:ilvl="2">
      <w:start w:val="1"/>
      <w:numFmt w:val="bullet"/>
      <w:lvlText w:val="•"/>
      <w:lvlJc w:val="left"/>
      <w:pPr>
        <w:ind w:left="4920" w:hanging="202"/>
      </w:pPr>
      <w:rPr>
        <w:rFonts w:hint="default"/>
      </w:rPr>
    </w:lvl>
    <w:lvl w:ilvl="3">
      <w:start w:val="1"/>
      <w:numFmt w:val="bullet"/>
      <w:lvlText w:val="•"/>
      <w:lvlJc w:val="left"/>
      <w:pPr>
        <w:ind w:left="5600" w:hanging="202"/>
      </w:pPr>
      <w:rPr>
        <w:rFonts w:hint="default"/>
      </w:rPr>
    </w:lvl>
    <w:lvl w:ilvl="4">
      <w:start w:val="1"/>
      <w:numFmt w:val="bullet"/>
      <w:lvlText w:val="•"/>
      <w:lvlJc w:val="left"/>
      <w:pPr>
        <w:ind w:left="6280" w:hanging="202"/>
      </w:pPr>
      <w:rPr>
        <w:rFonts w:hint="default"/>
      </w:rPr>
    </w:lvl>
    <w:lvl w:ilvl="5">
      <w:start w:val="1"/>
      <w:numFmt w:val="bullet"/>
      <w:lvlText w:val="•"/>
      <w:lvlJc w:val="left"/>
      <w:pPr>
        <w:ind w:left="6960" w:hanging="202"/>
      </w:pPr>
      <w:rPr>
        <w:rFonts w:hint="default"/>
      </w:rPr>
    </w:lvl>
    <w:lvl w:ilvl="6">
      <w:start w:val="1"/>
      <w:numFmt w:val="bullet"/>
      <w:lvlText w:val="•"/>
      <w:lvlJc w:val="left"/>
      <w:pPr>
        <w:ind w:left="7640" w:hanging="202"/>
      </w:pPr>
      <w:rPr>
        <w:rFonts w:hint="default"/>
      </w:rPr>
    </w:lvl>
    <w:lvl w:ilvl="7">
      <w:start w:val="1"/>
      <w:numFmt w:val="bullet"/>
      <w:lvlText w:val="•"/>
      <w:lvlJc w:val="left"/>
      <w:pPr>
        <w:ind w:left="8320" w:hanging="202"/>
      </w:pPr>
      <w:rPr>
        <w:rFonts w:hint="default"/>
      </w:rPr>
    </w:lvl>
    <w:lvl w:ilvl="8">
      <w:start w:val="1"/>
      <w:numFmt w:val="bullet"/>
      <w:lvlText w:val="•"/>
      <w:lvlJc w:val="left"/>
      <w:pPr>
        <w:ind w:left="9000" w:hanging="202"/>
      </w:pPr>
      <w:rPr>
        <w:rFonts w:hint="default"/>
      </w:rPr>
    </w:lvl>
  </w:abstractNum>
  <w:abstractNum w:abstractNumId="0">
    <w:multiLevelType w:val="hybridMultilevel"/>
    <w:lvl w:ilvl="0">
      <w:start w:val="1"/>
      <w:numFmt w:val="upperRoman"/>
      <w:lvlText w:val="%1."/>
      <w:lvlJc w:val="left"/>
      <w:pPr>
        <w:ind w:left="480" w:hanging="202"/>
        <w:jc w:val="left"/>
      </w:pPr>
      <w:rPr>
        <w:rFonts w:hint="default" w:ascii="Arial" w:hAnsi="Arial" w:eastAsia="Arial" w:cs="Arial"/>
        <w:w w:val="100"/>
        <w:sz w:val="24"/>
        <w:szCs w:val="24"/>
      </w:rPr>
    </w:lvl>
    <w:lvl w:ilvl="1">
      <w:start w:val="1"/>
      <w:numFmt w:val="decimal"/>
      <w:lvlText w:val="%2."/>
      <w:lvlJc w:val="left"/>
      <w:pPr>
        <w:ind w:left="547" w:hanging="269"/>
        <w:jc w:val="left"/>
      </w:pPr>
      <w:rPr>
        <w:rFonts w:hint="default" w:ascii="Arial" w:hAnsi="Arial" w:eastAsia="Arial" w:cs="Arial"/>
        <w:w w:val="99"/>
        <w:sz w:val="24"/>
        <w:szCs w:val="24"/>
      </w:rPr>
    </w:lvl>
    <w:lvl w:ilvl="2">
      <w:start w:val="1"/>
      <w:numFmt w:val="decimal"/>
      <w:lvlText w:val="%2.%3"/>
      <w:lvlJc w:val="left"/>
      <w:pPr>
        <w:ind w:left="682" w:hanging="404"/>
        <w:jc w:val="left"/>
      </w:pPr>
      <w:rPr>
        <w:rFonts w:hint="default" w:ascii="Arial" w:hAnsi="Arial" w:eastAsia="Arial" w:cs="Arial"/>
        <w:w w:val="99"/>
        <w:sz w:val="24"/>
        <w:szCs w:val="24"/>
      </w:rPr>
    </w:lvl>
    <w:lvl w:ilvl="3">
      <w:start w:val="1"/>
      <w:numFmt w:val="decimal"/>
      <w:lvlText w:val="%2.%3.%4"/>
      <w:lvlJc w:val="left"/>
      <w:pPr>
        <w:ind w:left="880" w:hanging="602"/>
        <w:jc w:val="left"/>
      </w:pPr>
      <w:rPr>
        <w:rFonts w:hint="default" w:ascii="Arial" w:hAnsi="Arial" w:eastAsia="Arial" w:cs="Arial"/>
        <w:spacing w:val="-2"/>
        <w:w w:val="99"/>
        <w:sz w:val="24"/>
        <w:szCs w:val="24"/>
      </w:rPr>
    </w:lvl>
    <w:lvl w:ilvl="4">
      <w:start w:val="1"/>
      <w:numFmt w:val="bullet"/>
      <w:lvlText w:val="•"/>
      <w:lvlJc w:val="left"/>
      <w:pPr>
        <w:ind w:left="2254" w:hanging="602"/>
      </w:pPr>
      <w:rPr>
        <w:rFonts w:hint="default"/>
      </w:rPr>
    </w:lvl>
    <w:lvl w:ilvl="5">
      <w:start w:val="1"/>
      <w:numFmt w:val="bullet"/>
      <w:lvlText w:val="•"/>
      <w:lvlJc w:val="left"/>
      <w:pPr>
        <w:ind w:left="3628" w:hanging="602"/>
      </w:pPr>
      <w:rPr>
        <w:rFonts w:hint="default"/>
      </w:rPr>
    </w:lvl>
    <w:lvl w:ilvl="6">
      <w:start w:val="1"/>
      <w:numFmt w:val="bullet"/>
      <w:lvlText w:val="•"/>
      <w:lvlJc w:val="left"/>
      <w:pPr>
        <w:ind w:left="5002" w:hanging="602"/>
      </w:pPr>
      <w:rPr>
        <w:rFonts w:hint="default"/>
      </w:rPr>
    </w:lvl>
    <w:lvl w:ilvl="7">
      <w:start w:val="1"/>
      <w:numFmt w:val="bullet"/>
      <w:lvlText w:val="•"/>
      <w:lvlJc w:val="left"/>
      <w:pPr>
        <w:ind w:left="6377" w:hanging="602"/>
      </w:pPr>
      <w:rPr>
        <w:rFonts w:hint="default"/>
      </w:rPr>
    </w:lvl>
    <w:lvl w:ilvl="8">
      <w:start w:val="1"/>
      <w:numFmt w:val="bullet"/>
      <w:lvlText w:val="•"/>
      <w:lvlJc w:val="left"/>
      <w:pPr>
        <w:ind w:left="7751" w:hanging="602"/>
      </w:pPr>
      <w:rPr>
        <w:rFonts w:hint="default"/>
      </w:rPr>
    </w:lvl>
  </w:abstractNum>
  <w:num w:numId="7">
    <w:abstractNumId w:val="6"/>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37"/>
      <w:ind w:left="681" w:hanging="403"/>
    </w:pPr>
    <w:rPr>
      <w:rFonts w:ascii="Arial" w:hAnsi="Arial" w:eastAsia="Arial" w:cs="Arial"/>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1"/>
      <w:ind w:left="518"/>
      <w:jc w:val="both"/>
      <w:outlineLvl w:val="1"/>
    </w:pPr>
    <w:rPr>
      <w:rFonts w:ascii="Arial" w:hAnsi="Arial" w:eastAsia="Arial" w:cs="Arial"/>
      <w:b/>
      <w:bCs/>
      <w:sz w:val="24"/>
      <w:szCs w:val="24"/>
    </w:rPr>
  </w:style>
  <w:style w:styleId="ListParagraph" w:type="paragraph">
    <w:name w:val="List Paragraph"/>
    <w:basedOn w:val="Normal"/>
    <w:uiPriority w:val="1"/>
    <w:qFormat/>
    <w:pPr>
      <w:spacing w:before="204"/>
      <w:ind w:left="1238" w:hanging="360"/>
    </w:pPr>
    <w:rPr>
      <w:rFonts w:ascii="Arial" w:hAnsi="Arial" w:eastAsia="Arial" w:cs="Arial"/>
    </w:rPr>
  </w:style>
  <w:style w:styleId="TableParagraph" w:type="paragraph">
    <w:name w:val="Table Paragraph"/>
    <w:basedOn w:val="Normal"/>
    <w:uiPriority w:val="1"/>
    <w:qFormat/>
    <w:pPr>
      <w:spacing w:line="274" w:lineRule="exac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header" Target="header1.xml"/><Relationship Id="rId9" Type="http://schemas.openxmlformats.org/officeDocument/2006/relationships/header" Target="header2.xml"/><Relationship Id="rId10" Type="http://schemas.openxmlformats.org/officeDocument/2006/relationships/footer" Target="footer1.xml"/><Relationship Id="rId11" Type="http://schemas.openxmlformats.org/officeDocument/2006/relationships/image" Target="media/image4.jpeg"/><Relationship Id="rId12" Type="http://schemas.openxmlformats.org/officeDocument/2006/relationships/hyperlink" Target="http://lafigurahumanaylaproporcionideal.blogspot.mx/" TargetMode="External"/><Relationship Id="rId13" Type="http://schemas.openxmlformats.org/officeDocument/2006/relationships/image" Target="media/image5.jpeg"/><Relationship Id="rId14" Type="http://schemas.openxmlformats.org/officeDocument/2006/relationships/image" Target="media/image6.jpeg"/><Relationship Id="rId15" Type="http://schemas.openxmlformats.org/officeDocument/2006/relationships/footer" Target="footer2.xml"/><Relationship Id="rId16" Type="http://schemas.openxmlformats.org/officeDocument/2006/relationships/footer" Target="footer3.xml"/><Relationship Id="rId17" Type="http://schemas.openxmlformats.org/officeDocument/2006/relationships/image" Target="media/image7.jpeg"/><Relationship Id="rId18" Type="http://schemas.openxmlformats.org/officeDocument/2006/relationships/image" Target="media/image8.jpeg"/><Relationship Id="rId19" Type="http://schemas.openxmlformats.org/officeDocument/2006/relationships/footer" Target="footer4.xml"/><Relationship Id="rId20" Type="http://schemas.openxmlformats.org/officeDocument/2006/relationships/footer" Target="footer5.xml"/><Relationship Id="rId21" Type="http://schemas.openxmlformats.org/officeDocument/2006/relationships/footer" Target="footer6.xml"/><Relationship Id="rId22" Type="http://schemas.openxmlformats.org/officeDocument/2006/relationships/footer" Target="footer7.xml"/><Relationship Id="rId23" Type="http://schemas.openxmlformats.org/officeDocument/2006/relationships/image" Target="media/image9.png"/><Relationship Id="rId24" Type="http://schemas.openxmlformats.org/officeDocument/2006/relationships/image" Target="media/image10.png"/><Relationship Id="rId25" Type="http://schemas.openxmlformats.org/officeDocument/2006/relationships/image" Target="media/image11.png"/><Relationship Id="rId26" Type="http://schemas.openxmlformats.org/officeDocument/2006/relationships/image" Target="media/image12.png"/><Relationship Id="rId27" Type="http://schemas.openxmlformats.org/officeDocument/2006/relationships/image" Target="media/image13.png"/><Relationship Id="rId28" Type="http://schemas.openxmlformats.org/officeDocument/2006/relationships/image" Target="media/image14.png"/><Relationship Id="rId29" Type="http://schemas.openxmlformats.org/officeDocument/2006/relationships/image" Target="media/image15.png"/><Relationship Id="rId30" Type="http://schemas.openxmlformats.org/officeDocument/2006/relationships/image" Target="media/image16.png"/><Relationship Id="rId31" Type="http://schemas.openxmlformats.org/officeDocument/2006/relationships/image" Target="media/image17.png"/><Relationship Id="rId32" Type="http://schemas.openxmlformats.org/officeDocument/2006/relationships/image" Target="media/image18.png"/><Relationship Id="rId33" Type="http://schemas.openxmlformats.org/officeDocument/2006/relationships/image" Target="media/image19.png"/><Relationship Id="rId34" Type="http://schemas.openxmlformats.org/officeDocument/2006/relationships/image" Target="media/image20.png"/><Relationship Id="rId35" Type="http://schemas.openxmlformats.org/officeDocument/2006/relationships/image" Target="media/image21.png"/><Relationship Id="rId36" Type="http://schemas.openxmlformats.org/officeDocument/2006/relationships/image" Target="media/image22.png"/><Relationship Id="rId37" Type="http://schemas.openxmlformats.org/officeDocument/2006/relationships/image" Target="media/image23.png"/><Relationship Id="rId38" Type="http://schemas.openxmlformats.org/officeDocument/2006/relationships/image" Target="media/image24.png"/><Relationship Id="rId39" Type="http://schemas.openxmlformats.org/officeDocument/2006/relationships/image" Target="media/image25.png"/><Relationship Id="rId40" Type="http://schemas.openxmlformats.org/officeDocument/2006/relationships/image" Target="media/image26.png"/><Relationship Id="rId41" Type="http://schemas.openxmlformats.org/officeDocument/2006/relationships/image" Target="media/image27.png"/><Relationship Id="rId42" Type="http://schemas.openxmlformats.org/officeDocument/2006/relationships/image" Target="media/image28.png"/><Relationship Id="rId43" Type="http://schemas.openxmlformats.org/officeDocument/2006/relationships/image" Target="media/image29.png"/><Relationship Id="rId44" Type="http://schemas.openxmlformats.org/officeDocument/2006/relationships/image" Target="media/image30.png"/><Relationship Id="rId45" Type="http://schemas.openxmlformats.org/officeDocument/2006/relationships/image" Target="media/image31.png"/><Relationship Id="rId46" Type="http://schemas.openxmlformats.org/officeDocument/2006/relationships/image" Target="media/image32.png"/><Relationship Id="rId47" Type="http://schemas.openxmlformats.org/officeDocument/2006/relationships/image" Target="media/image33.png"/><Relationship Id="rId48" Type="http://schemas.openxmlformats.org/officeDocument/2006/relationships/image" Target="media/image34.png"/><Relationship Id="rId49" Type="http://schemas.openxmlformats.org/officeDocument/2006/relationships/image" Target="media/image35.png"/><Relationship Id="rId50" Type="http://schemas.openxmlformats.org/officeDocument/2006/relationships/image" Target="media/image36.png"/><Relationship Id="rId51" Type="http://schemas.openxmlformats.org/officeDocument/2006/relationships/image" Target="media/image37.png"/><Relationship Id="rId52" Type="http://schemas.openxmlformats.org/officeDocument/2006/relationships/image" Target="media/image38.png"/><Relationship Id="rId53" Type="http://schemas.openxmlformats.org/officeDocument/2006/relationships/image" Target="media/image39.png"/><Relationship Id="rId54" Type="http://schemas.openxmlformats.org/officeDocument/2006/relationships/image" Target="media/image40.png"/><Relationship Id="rId55" Type="http://schemas.openxmlformats.org/officeDocument/2006/relationships/image" Target="media/image41.png"/><Relationship Id="rId56" Type="http://schemas.openxmlformats.org/officeDocument/2006/relationships/image" Target="media/image42.png"/><Relationship Id="rId57" Type="http://schemas.openxmlformats.org/officeDocument/2006/relationships/hyperlink" Target="http://www.orthofree.com/cms/assets/pdf/99.pdf" TargetMode="External"/><Relationship Id="rId58" Type="http://schemas.openxmlformats.org/officeDocument/2006/relationships/image" Target="media/image43.png"/><Relationship Id="rId59" Type="http://schemas.openxmlformats.org/officeDocument/2006/relationships/image" Target="media/image44.png"/><Relationship Id="rId60" Type="http://schemas.openxmlformats.org/officeDocument/2006/relationships/image" Target="media/image45.png"/><Relationship Id="rId61" Type="http://schemas.openxmlformats.org/officeDocument/2006/relationships/image" Target="media/image46.png"/><Relationship Id="rId62" Type="http://schemas.openxmlformats.org/officeDocument/2006/relationships/image" Target="media/image47.png"/><Relationship Id="rId63" Type="http://schemas.openxmlformats.org/officeDocument/2006/relationships/image" Target="media/image48.png"/><Relationship Id="rId64" Type="http://schemas.openxmlformats.org/officeDocument/2006/relationships/image" Target="media/image49.png"/><Relationship Id="rId65" Type="http://schemas.openxmlformats.org/officeDocument/2006/relationships/image" Target="media/image50.png"/><Relationship Id="rId66" Type="http://schemas.openxmlformats.org/officeDocument/2006/relationships/image" Target="media/image51.png"/><Relationship Id="rId67" Type="http://schemas.openxmlformats.org/officeDocument/2006/relationships/image" Target="media/image52.png"/><Relationship Id="rId68" Type="http://schemas.openxmlformats.org/officeDocument/2006/relationships/image" Target="media/image53.png"/><Relationship Id="rId69" Type="http://schemas.openxmlformats.org/officeDocument/2006/relationships/image" Target="media/image54.png"/><Relationship Id="rId70" Type="http://schemas.openxmlformats.org/officeDocument/2006/relationships/image" Target="media/image55.png"/><Relationship Id="rId71" Type="http://schemas.openxmlformats.org/officeDocument/2006/relationships/image" Target="media/image56.png"/><Relationship Id="rId72" Type="http://schemas.openxmlformats.org/officeDocument/2006/relationships/image" Target="media/image57.png"/><Relationship Id="rId73" Type="http://schemas.openxmlformats.org/officeDocument/2006/relationships/image" Target="media/image58.png"/><Relationship Id="rId74" Type="http://schemas.openxmlformats.org/officeDocument/2006/relationships/image" Target="media/image59.png"/><Relationship Id="rId75" Type="http://schemas.openxmlformats.org/officeDocument/2006/relationships/image" Target="media/image60.png"/><Relationship Id="rId76" Type="http://schemas.openxmlformats.org/officeDocument/2006/relationships/image" Target="media/image61.png"/><Relationship Id="rId77" Type="http://schemas.openxmlformats.org/officeDocument/2006/relationships/image" Target="media/image62.png"/><Relationship Id="rId78" Type="http://schemas.openxmlformats.org/officeDocument/2006/relationships/image" Target="media/image63.png"/><Relationship Id="rId79" Type="http://schemas.openxmlformats.org/officeDocument/2006/relationships/image" Target="media/image64.png"/><Relationship Id="rId80" Type="http://schemas.openxmlformats.org/officeDocument/2006/relationships/image" Target="media/image65.png"/><Relationship Id="rId81" Type="http://schemas.openxmlformats.org/officeDocument/2006/relationships/image" Target="media/image66.png"/><Relationship Id="rId82" Type="http://schemas.openxmlformats.org/officeDocument/2006/relationships/image" Target="media/image67.png"/><Relationship Id="rId83" Type="http://schemas.openxmlformats.org/officeDocument/2006/relationships/image" Target="media/image68.png"/><Relationship Id="rId84" Type="http://schemas.openxmlformats.org/officeDocument/2006/relationships/image" Target="media/image69.png"/><Relationship Id="rId85" Type="http://schemas.openxmlformats.org/officeDocument/2006/relationships/image" Target="media/image70.png"/><Relationship Id="rId86" Type="http://schemas.openxmlformats.org/officeDocument/2006/relationships/image" Target="media/image71.png"/><Relationship Id="rId87" Type="http://schemas.openxmlformats.org/officeDocument/2006/relationships/image" Target="media/image72.png"/><Relationship Id="rId88" Type="http://schemas.openxmlformats.org/officeDocument/2006/relationships/image" Target="media/image73.png"/><Relationship Id="rId89" Type="http://schemas.openxmlformats.org/officeDocument/2006/relationships/image" Target="media/image74.png"/><Relationship Id="rId90" Type="http://schemas.openxmlformats.org/officeDocument/2006/relationships/image" Target="media/image75.png"/><Relationship Id="rId91" Type="http://schemas.openxmlformats.org/officeDocument/2006/relationships/image" Target="media/image76.png"/><Relationship Id="rId92" Type="http://schemas.openxmlformats.org/officeDocument/2006/relationships/image" Target="media/image77.png"/><Relationship Id="rId93" Type="http://schemas.openxmlformats.org/officeDocument/2006/relationships/image" Target="media/image78.png"/><Relationship Id="rId94" Type="http://schemas.openxmlformats.org/officeDocument/2006/relationships/image" Target="media/image79.png"/><Relationship Id="rId95" Type="http://schemas.openxmlformats.org/officeDocument/2006/relationships/image" Target="media/image80.png"/><Relationship Id="rId96" Type="http://schemas.openxmlformats.org/officeDocument/2006/relationships/image" Target="media/image81.png"/><Relationship Id="rId97" Type="http://schemas.openxmlformats.org/officeDocument/2006/relationships/image" Target="media/image82.png"/><Relationship Id="rId98" Type="http://schemas.openxmlformats.org/officeDocument/2006/relationships/image" Target="media/image83.png"/><Relationship Id="rId99" Type="http://schemas.openxmlformats.org/officeDocument/2006/relationships/image" Target="media/image84.png"/><Relationship Id="rId100" Type="http://schemas.openxmlformats.org/officeDocument/2006/relationships/image" Target="media/image85.png"/><Relationship Id="rId101" Type="http://schemas.openxmlformats.org/officeDocument/2006/relationships/image" Target="media/image86.png"/><Relationship Id="rId102" Type="http://schemas.openxmlformats.org/officeDocument/2006/relationships/image" Target="media/image87.png"/><Relationship Id="rId103" Type="http://schemas.openxmlformats.org/officeDocument/2006/relationships/image" Target="media/image88.png"/><Relationship Id="rId104" Type="http://schemas.openxmlformats.org/officeDocument/2006/relationships/image" Target="media/image89.png"/><Relationship Id="rId105" Type="http://schemas.openxmlformats.org/officeDocument/2006/relationships/image" Target="media/image90.png"/><Relationship Id="rId106" Type="http://schemas.openxmlformats.org/officeDocument/2006/relationships/image" Target="media/image91.png"/><Relationship Id="rId107" Type="http://schemas.openxmlformats.org/officeDocument/2006/relationships/image" Target="media/image92.png"/><Relationship Id="rId108" Type="http://schemas.openxmlformats.org/officeDocument/2006/relationships/image" Target="media/image93.png"/><Relationship Id="rId109" Type="http://schemas.openxmlformats.org/officeDocument/2006/relationships/image" Target="media/image94.png"/><Relationship Id="rId110" Type="http://schemas.openxmlformats.org/officeDocument/2006/relationships/image" Target="media/image95.png"/><Relationship Id="rId111" Type="http://schemas.openxmlformats.org/officeDocument/2006/relationships/image" Target="media/image96.png"/><Relationship Id="rId112" Type="http://schemas.openxmlformats.org/officeDocument/2006/relationships/image" Target="media/image97.png"/><Relationship Id="rId113" Type="http://schemas.openxmlformats.org/officeDocument/2006/relationships/image" Target="media/image98.png"/><Relationship Id="rId114" Type="http://schemas.openxmlformats.org/officeDocument/2006/relationships/image" Target="media/image99.png"/><Relationship Id="rId115" Type="http://schemas.openxmlformats.org/officeDocument/2006/relationships/image" Target="media/image100.png"/><Relationship Id="rId116" Type="http://schemas.openxmlformats.org/officeDocument/2006/relationships/image" Target="media/image101.png"/><Relationship Id="rId117" Type="http://schemas.openxmlformats.org/officeDocument/2006/relationships/image" Target="media/image102.png"/><Relationship Id="rId118" Type="http://schemas.openxmlformats.org/officeDocument/2006/relationships/image" Target="media/image103.png"/><Relationship Id="rId119" Type="http://schemas.openxmlformats.org/officeDocument/2006/relationships/image" Target="media/image104.png"/><Relationship Id="rId120" Type="http://schemas.openxmlformats.org/officeDocument/2006/relationships/image" Target="media/image105.png"/><Relationship Id="rId121" Type="http://schemas.openxmlformats.org/officeDocument/2006/relationships/image" Target="media/image106.png"/><Relationship Id="rId122" Type="http://schemas.openxmlformats.org/officeDocument/2006/relationships/image" Target="media/image107.png"/><Relationship Id="rId123" Type="http://schemas.openxmlformats.org/officeDocument/2006/relationships/image" Target="media/image108.png"/><Relationship Id="rId124" Type="http://schemas.openxmlformats.org/officeDocument/2006/relationships/image" Target="media/image109.png"/><Relationship Id="rId125" Type="http://schemas.openxmlformats.org/officeDocument/2006/relationships/image" Target="media/image110.png"/><Relationship Id="rId126" Type="http://schemas.openxmlformats.org/officeDocument/2006/relationships/image" Target="media/image111.png"/><Relationship Id="rId127" Type="http://schemas.openxmlformats.org/officeDocument/2006/relationships/image" Target="media/image112.png"/><Relationship Id="rId128" Type="http://schemas.openxmlformats.org/officeDocument/2006/relationships/image" Target="media/image113.png"/><Relationship Id="rId129" Type="http://schemas.openxmlformats.org/officeDocument/2006/relationships/image" Target="media/image114.png"/><Relationship Id="rId130" Type="http://schemas.openxmlformats.org/officeDocument/2006/relationships/image" Target="media/image115.png"/><Relationship Id="rId131" Type="http://schemas.openxmlformats.org/officeDocument/2006/relationships/image" Target="media/image116.png"/><Relationship Id="rId132" Type="http://schemas.openxmlformats.org/officeDocument/2006/relationships/image" Target="media/image117.png"/><Relationship Id="rId133" Type="http://schemas.openxmlformats.org/officeDocument/2006/relationships/image" Target="media/image118.png"/><Relationship Id="rId134" Type="http://schemas.openxmlformats.org/officeDocument/2006/relationships/image" Target="media/image119.png"/><Relationship Id="rId135" Type="http://schemas.openxmlformats.org/officeDocument/2006/relationships/image" Target="media/image120.png"/><Relationship Id="rId136" Type="http://schemas.openxmlformats.org/officeDocument/2006/relationships/image" Target="media/image121.png"/><Relationship Id="rId137" Type="http://schemas.openxmlformats.org/officeDocument/2006/relationships/image" Target="media/image122.png"/><Relationship Id="rId138" Type="http://schemas.openxmlformats.org/officeDocument/2006/relationships/image" Target="media/image123.png"/><Relationship Id="rId139" Type="http://schemas.openxmlformats.org/officeDocument/2006/relationships/image" Target="media/image124.png"/><Relationship Id="rId140" Type="http://schemas.openxmlformats.org/officeDocument/2006/relationships/image" Target="media/image125.png"/><Relationship Id="rId141" Type="http://schemas.openxmlformats.org/officeDocument/2006/relationships/image" Target="media/image126.png"/><Relationship Id="rId142" Type="http://schemas.openxmlformats.org/officeDocument/2006/relationships/image" Target="media/image127.png"/><Relationship Id="rId143" Type="http://schemas.openxmlformats.org/officeDocument/2006/relationships/image" Target="media/image128.png"/><Relationship Id="rId144" Type="http://schemas.openxmlformats.org/officeDocument/2006/relationships/image" Target="media/image129.png"/><Relationship Id="rId145" Type="http://schemas.openxmlformats.org/officeDocument/2006/relationships/image" Target="media/image130.png"/><Relationship Id="rId146" Type="http://schemas.openxmlformats.org/officeDocument/2006/relationships/image" Target="media/image131.png"/><Relationship Id="rId147" Type="http://schemas.openxmlformats.org/officeDocument/2006/relationships/image" Target="media/image132.png"/><Relationship Id="rId148" Type="http://schemas.openxmlformats.org/officeDocument/2006/relationships/image" Target="media/image133.png"/><Relationship Id="rId149" Type="http://schemas.openxmlformats.org/officeDocument/2006/relationships/image" Target="media/image134.png"/><Relationship Id="rId150" Type="http://schemas.openxmlformats.org/officeDocument/2006/relationships/image" Target="media/image135.png"/><Relationship Id="rId151" Type="http://schemas.openxmlformats.org/officeDocument/2006/relationships/image" Target="media/image136.png"/><Relationship Id="rId152" Type="http://schemas.openxmlformats.org/officeDocument/2006/relationships/image" Target="media/image137.png"/><Relationship Id="rId153" Type="http://schemas.openxmlformats.org/officeDocument/2006/relationships/image" Target="media/image138.png"/><Relationship Id="rId154" Type="http://schemas.openxmlformats.org/officeDocument/2006/relationships/image" Target="media/image139.png"/><Relationship Id="rId155" Type="http://schemas.openxmlformats.org/officeDocument/2006/relationships/image" Target="media/image140.png"/><Relationship Id="rId156" Type="http://schemas.openxmlformats.org/officeDocument/2006/relationships/image" Target="media/image141.png"/><Relationship Id="rId157" Type="http://schemas.openxmlformats.org/officeDocument/2006/relationships/image" Target="media/image142.png"/><Relationship Id="rId158" Type="http://schemas.openxmlformats.org/officeDocument/2006/relationships/image" Target="media/image143.png"/><Relationship Id="rId159" Type="http://schemas.openxmlformats.org/officeDocument/2006/relationships/image" Target="media/image144.png"/><Relationship Id="rId160" Type="http://schemas.openxmlformats.org/officeDocument/2006/relationships/image" Target="media/image145.png"/><Relationship Id="rId161" Type="http://schemas.openxmlformats.org/officeDocument/2006/relationships/image" Target="media/image146.png"/><Relationship Id="rId162" Type="http://schemas.openxmlformats.org/officeDocument/2006/relationships/image" Target="media/image147.png"/><Relationship Id="rId163" Type="http://schemas.openxmlformats.org/officeDocument/2006/relationships/image" Target="media/image148.png"/><Relationship Id="rId164" Type="http://schemas.openxmlformats.org/officeDocument/2006/relationships/image" Target="media/image149.png"/><Relationship Id="rId165" Type="http://schemas.openxmlformats.org/officeDocument/2006/relationships/image" Target="media/image150.png"/><Relationship Id="rId166" Type="http://schemas.openxmlformats.org/officeDocument/2006/relationships/image" Target="media/image151.png"/><Relationship Id="rId167" Type="http://schemas.openxmlformats.org/officeDocument/2006/relationships/image" Target="media/image152.png"/><Relationship Id="rId168" Type="http://schemas.openxmlformats.org/officeDocument/2006/relationships/image" Target="media/image153.png"/><Relationship Id="rId169" Type="http://schemas.openxmlformats.org/officeDocument/2006/relationships/image" Target="media/image154.png"/><Relationship Id="rId170" Type="http://schemas.openxmlformats.org/officeDocument/2006/relationships/image" Target="media/image155.png"/><Relationship Id="rId171" Type="http://schemas.openxmlformats.org/officeDocument/2006/relationships/image" Target="media/image156.png"/><Relationship Id="rId172" Type="http://schemas.openxmlformats.org/officeDocument/2006/relationships/image" Target="media/image157.png"/><Relationship Id="rId173" Type="http://schemas.openxmlformats.org/officeDocument/2006/relationships/image" Target="media/image158.png"/><Relationship Id="rId174" Type="http://schemas.openxmlformats.org/officeDocument/2006/relationships/image" Target="media/image159.png"/><Relationship Id="rId175" Type="http://schemas.openxmlformats.org/officeDocument/2006/relationships/image" Target="media/image160.png"/><Relationship Id="rId176" Type="http://schemas.openxmlformats.org/officeDocument/2006/relationships/image" Target="media/image161.png"/><Relationship Id="rId177" Type="http://schemas.openxmlformats.org/officeDocument/2006/relationships/image" Target="media/image162.png"/><Relationship Id="rId178" Type="http://schemas.openxmlformats.org/officeDocument/2006/relationships/image" Target="media/image163.png"/><Relationship Id="rId179" Type="http://schemas.openxmlformats.org/officeDocument/2006/relationships/image" Target="media/image164.png"/><Relationship Id="rId180" Type="http://schemas.openxmlformats.org/officeDocument/2006/relationships/image" Target="media/image165.png"/><Relationship Id="rId181" Type="http://schemas.openxmlformats.org/officeDocument/2006/relationships/image" Target="media/image166.png"/><Relationship Id="rId182" Type="http://schemas.openxmlformats.org/officeDocument/2006/relationships/image" Target="media/image167.png"/><Relationship Id="rId183" Type="http://schemas.openxmlformats.org/officeDocument/2006/relationships/image" Target="media/image168.png"/><Relationship Id="rId184" Type="http://schemas.openxmlformats.org/officeDocument/2006/relationships/image" Target="media/image169.png"/><Relationship Id="rId185" Type="http://schemas.openxmlformats.org/officeDocument/2006/relationships/image" Target="media/image170.png"/><Relationship Id="rId186" Type="http://schemas.openxmlformats.org/officeDocument/2006/relationships/image" Target="media/image171.png"/><Relationship Id="rId187" Type="http://schemas.openxmlformats.org/officeDocument/2006/relationships/image" Target="media/image172.png"/><Relationship Id="rId188" Type="http://schemas.openxmlformats.org/officeDocument/2006/relationships/image" Target="media/image173.png"/><Relationship Id="rId189" Type="http://schemas.openxmlformats.org/officeDocument/2006/relationships/image" Target="media/image174.png"/><Relationship Id="rId190" Type="http://schemas.openxmlformats.org/officeDocument/2006/relationships/image" Target="media/image175.png"/><Relationship Id="rId191" Type="http://schemas.openxmlformats.org/officeDocument/2006/relationships/image" Target="media/image176.png"/><Relationship Id="rId192" Type="http://schemas.openxmlformats.org/officeDocument/2006/relationships/image" Target="media/image177.png"/><Relationship Id="rId193" Type="http://schemas.openxmlformats.org/officeDocument/2006/relationships/image" Target="media/image178.png"/><Relationship Id="rId194" Type="http://schemas.openxmlformats.org/officeDocument/2006/relationships/image" Target="media/image179.png"/><Relationship Id="rId195" Type="http://schemas.openxmlformats.org/officeDocument/2006/relationships/image" Target="media/image180.png"/><Relationship Id="rId196" Type="http://schemas.openxmlformats.org/officeDocument/2006/relationships/image" Target="media/image181.png"/><Relationship Id="rId197" Type="http://schemas.openxmlformats.org/officeDocument/2006/relationships/image" Target="media/image182.png"/><Relationship Id="rId198" Type="http://schemas.openxmlformats.org/officeDocument/2006/relationships/image" Target="media/image183.png"/><Relationship Id="rId199" Type="http://schemas.openxmlformats.org/officeDocument/2006/relationships/image" Target="media/image184.png"/><Relationship Id="rId200" Type="http://schemas.openxmlformats.org/officeDocument/2006/relationships/image" Target="media/image185.png"/><Relationship Id="rId201" Type="http://schemas.openxmlformats.org/officeDocument/2006/relationships/image" Target="media/image186.png"/><Relationship Id="rId202" Type="http://schemas.openxmlformats.org/officeDocument/2006/relationships/image" Target="media/image187.png"/><Relationship Id="rId203" Type="http://schemas.openxmlformats.org/officeDocument/2006/relationships/image" Target="media/image188.png"/><Relationship Id="rId204" Type="http://schemas.openxmlformats.org/officeDocument/2006/relationships/image" Target="media/image189.png"/><Relationship Id="rId205" Type="http://schemas.openxmlformats.org/officeDocument/2006/relationships/image" Target="media/image190.png"/><Relationship Id="rId206" Type="http://schemas.openxmlformats.org/officeDocument/2006/relationships/image" Target="media/image191.png"/><Relationship Id="rId207" Type="http://schemas.openxmlformats.org/officeDocument/2006/relationships/image" Target="media/image192.png"/><Relationship Id="rId208" Type="http://schemas.openxmlformats.org/officeDocument/2006/relationships/image" Target="media/image193.png"/><Relationship Id="rId209" Type="http://schemas.openxmlformats.org/officeDocument/2006/relationships/image" Target="media/image194.png"/><Relationship Id="rId210" Type="http://schemas.openxmlformats.org/officeDocument/2006/relationships/image" Target="media/image195.png"/><Relationship Id="rId211" Type="http://schemas.openxmlformats.org/officeDocument/2006/relationships/image" Target="media/image196.png"/><Relationship Id="rId212" Type="http://schemas.openxmlformats.org/officeDocument/2006/relationships/image" Target="media/image197.png"/><Relationship Id="rId213" Type="http://schemas.openxmlformats.org/officeDocument/2006/relationships/image" Target="media/image198.png"/><Relationship Id="rId214" Type="http://schemas.openxmlformats.org/officeDocument/2006/relationships/image" Target="media/image199.png"/><Relationship Id="rId215" Type="http://schemas.openxmlformats.org/officeDocument/2006/relationships/image" Target="media/image200.png"/><Relationship Id="rId216" Type="http://schemas.openxmlformats.org/officeDocument/2006/relationships/image" Target="media/image201.png"/><Relationship Id="rId217" Type="http://schemas.openxmlformats.org/officeDocument/2006/relationships/image" Target="media/image202.png"/><Relationship Id="rId218" Type="http://schemas.openxmlformats.org/officeDocument/2006/relationships/image" Target="media/image203.png"/><Relationship Id="rId219" Type="http://schemas.openxmlformats.org/officeDocument/2006/relationships/image" Target="media/image204.png"/><Relationship Id="rId220" Type="http://schemas.openxmlformats.org/officeDocument/2006/relationships/image" Target="media/image205.png"/><Relationship Id="rId221" Type="http://schemas.openxmlformats.org/officeDocument/2006/relationships/image" Target="media/image206.png"/><Relationship Id="rId222" Type="http://schemas.openxmlformats.org/officeDocument/2006/relationships/image" Target="media/image207.png"/><Relationship Id="rId223" Type="http://schemas.openxmlformats.org/officeDocument/2006/relationships/image" Target="media/image208.png"/><Relationship Id="rId224" Type="http://schemas.openxmlformats.org/officeDocument/2006/relationships/image" Target="media/image209.png"/><Relationship Id="rId225" Type="http://schemas.openxmlformats.org/officeDocument/2006/relationships/image" Target="media/image210.png"/><Relationship Id="rId226" Type="http://schemas.openxmlformats.org/officeDocument/2006/relationships/image" Target="media/image211.png"/><Relationship Id="rId227" Type="http://schemas.openxmlformats.org/officeDocument/2006/relationships/image" Target="media/image212.png"/><Relationship Id="rId228" Type="http://schemas.openxmlformats.org/officeDocument/2006/relationships/image" Target="media/image213.png"/><Relationship Id="rId229" Type="http://schemas.openxmlformats.org/officeDocument/2006/relationships/image" Target="media/image214.png"/><Relationship Id="rId230" Type="http://schemas.openxmlformats.org/officeDocument/2006/relationships/image" Target="media/image215.png"/><Relationship Id="rId231" Type="http://schemas.openxmlformats.org/officeDocument/2006/relationships/image" Target="media/image216.png"/><Relationship Id="rId232" Type="http://schemas.openxmlformats.org/officeDocument/2006/relationships/image" Target="media/image217.png"/><Relationship Id="rId233" Type="http://schemas.openxmlformats.org/officeDocument/2006/relationships/image" Target="media/image218.png"/><Relationship Id="rId234" Type="http://schemas.openxmlformats.org/officeDocument/2006/relationships/image" Target="media/image219.png"/><Relationship Id="rId235" Type="http://schemas.openxmlformats.org/officeDocument/2006/relationships/image" Target="media/image220.png"/><Relationship Id="rId236" Type="http://schemas.openxmlformats.org/officeDocument/2006/relationships/image" Target="media/image221.png"/><Relationship Id="rId237" Type="http://schemas.openxmlformats.org/officeDocument/2006/relationships/image" Target="media/image222.png"/><Relationship Id="rId238" Type="http://schemas.openxmlformats.org/officeDocument/2006/relationships/image" Target="media/image223.png"/><Relationship Id="rId239" Type="http://schemas.openxmlformats.org/officeDocument/2006/relationships/image" Target="media/image224.png"/><Relationship Id="rId240" Type="http://schemas.openxmlformats.org/officeDocument/2006/relationships/image" Target="media/image225.png"/><Relationship Id="rId241" Type="http://schemas.openxmlformats.org/officeDocument/2006/relationships/image" Target="media/image226.png"/><Relationship Id="rId242" Type="http://schemas.openxmlformats.org/officeDocument/2006/relationships/image" Target="media/image227.png"/><Relationship Id="rId243" Type="http://schemas.openxmlformats.org/officeDocument/2006/relationships/image" Target="media/image228.png"/><Relationship Id="rId244" Type="http://schemas.openxmlformats.org/officeDocument/2006/relationships/image" Target="media/image229.png"/><Relationship Id="rId245" Type="http://schemas.openxmlformats.org/officeDocument/2006/relationships/image" Target="media/image230.png"/><Relationship Id="rId246" Type="http://schemas.openxmlformats.org/officeDocument/2006/relationships/image" Target="media/image231.png"/><Relationship Id="rId247" Type="http://schemas.openxmlformats.org/officeDocument/2006/relationships/image" Target="media/image232.png"/><Relationship Id="rId248" Type="http://schemas.openxmlformats.org/officeDocument/2006/relationships/image" Target="media/image233.png"/><Relationship Id="rId249" Type="http://schemas.openxmlformats.org/officeDocument/2006/relationships/image" Target="media/image234.png"/><Relationship Id="rId250" Type="http://schemas.openxmlformats.org/officeDocument/2006/relationships/image" Target="media/image235.png"/><Relationship Id="rId251" Type="http://schemas.openxmlformats.org/officeDocument/2006/relationships/image" Target="media/image236.png"/><Relationship Id="rId252" Type="http://schemas.openxmlformats.org/officeDocument/2006/relationships/image" Target="media/image237.png"/><Relationship Id="rId253" Type="http://schemas.openxmlformats.org/officeDocument/2006/relationships/image" Target="media/image238.png"/><Relationship Id="rId254" Type="http://schemas.openxmlformats.org/officeDocument/2006/relationships/image" Target="media/image239.png"/><Relationship Id="rId255" Type="http://schemas.openxmlformats.org/officeDocument/2006/relationships/image" Target="media/image240.png"/><Relationship Id="rId256" Type="http://schemas.openxmlformats.org/officeDocument/2006/relationships/image" Target="media/image241.png"/><Relationship Id="rId257" Type="http://schemas.openxmlformats.org/officeDocument/2006/relationships/image" Target="media/image242.png"/><Relationship Id="rId258" Type="http://schemas.openxmlformats.org/officeDocument/2006/relationships/image" Target="media/image243.png"/><Relationship Id="rId259" Type="http://schemas.openxmlformats.org/officeDocument/2006/relationships/image" Target="media/image244.png"/><Relationship Id="rId260" Type="http://schemas.openxmlformats.org/officeDocument/2006/relationships/image" Target="media/image245.png"/><Relationship Id="rId261" Type="http://schemas.openxmlformats.org/officeDocument/2006/relationships/image" Target="media/image246.png"/><Relationship Id="rId262" Type="http://schemas.openxmlformats.org/officeDocument/2006/relationships/image" Target="media/image247.png"/><Relationship Id="rId263" Type="http://schemas.openxmlformats.org/officeDocument/2006/relationships/image" Target="media/image248.png"/><Relationship Id="rId264" Type="http://schemas.openxmlformats.org/officeDocument/2006/relationships/image" Target="media/image249.png"/><Relationship Id="rId265" Type="http://schemas.openxmlformats.org/officeDocument/2006/relationships/image" Target="media/image250.png"/><Relationship Id="rId266" Type="http://schemas.openxmlformats.org/officeDocument/2006/relationships/image" Target="media/image251.png"/><Relationship Id="rId267" Type="http://schemas.openxmlformats.org/officeDocument/2006/relationships/image" Target="media/image252.png"/><Relationship Id="rId268" Type="http://schemas.openxmlformats.org/officeDocument/2006/relationships/image" Target="media/image253.png"/><Relationship Id="rId269" Type="http://schemas.openxmlformats.org/officeDocument/2006/relationships/image" Target="media/image254.png"/><Relationship Id="rId270" Type="http://schemas.openxmlformats.org/officeDocument/2006/relationships/image" Target="media/image255.png"/><Relationship Id="rId271" Type="http://schemas.openxmlformats.org/officeDocument/2006/relationships/image" Target="media/image256.png"/><Relationship Id="rId272" Type="http://schemas.openxmlformats.org/officeDocument/2006/relationships/image" Target="media/image257.png"/><Relationship Id="rId273" Type="http://schemas.openxmlformats.org/officeDocument/2006/relationships/image" Target="media/image258.png"/><Relationship Id="rId274" Type="http://schemas.openxmlformats.org/officeDocument/2006/relationships/image" Target="media/image259.png"/><Relationship Id="rId275" Type="http://schemas.openxmlformats.org/officeDocument/2006/relationships/image" Target="media/image260.png"/><Relationship Id="rId276" Type="http://schemas.openxmlformats.org/officeDocument/2006/relationships/image" Target="media/image261.png"/><Relationship Id="rId277" Type="http://schemas.openxmlformats.org/officeDocument/2006/relationships/image" Target="media/image262.png"/><Relationship Id="rId278" Type="http://schemas.openxmlformats.org/officeDocument/2006/relationships/image" Target="media/image263.png"/><Relationship Id="rId279" Type="http://schemas.openxmlformats.org/officeDocument/2006/relationships/image" Target="media/image264.png"/><Relationship Id="rId280" Type="http://schemas.openxmlformats.org/officeDocument/2006/relationships/image" Target="media/image265.png"/><Relationship Id="rId281" Type="http://schemas.openxmlformats.org/officeDocument/2006/relationships/image" Target="media/image266.png"/><Relationship Id="rId282" Type="http://schemas.openxmlformats.org/officeDocument/2006/relationships/image" Target="media/image267.png"/><Relationship Id="rId283" Type="http://schemas.openxmlformats.org/officeDocument/2006/relationships/image" Target="media/image268.png"/><Relationship Id="rId284" Type="http://schemas.openxmlformats.org/officeDocument/2006/relationships/image" Target="media/image269.png"/><Relationship Id="rId285" Type="http://schemas.openxmlformats.org/officeDocument/2006/relationships/image" Target="media/image270.png"/><Relationship Id="rId286" Type="http://schemas.openxmlformats.org/officeDocument/2006/relationships/image" Target="media/image271.png"/><Relationship Id="rId287" Type="http://schemas.openxmlformats.org/officeDocument/2006/relationships/image" Target="media/image272.png"/><Relationship Id="rId288" Type="http://schemas.openxmlformats.org/officeDocument/2006/relationships/image" Target="media/image273.png"/><Relationship Id="rId289" Type="http://schemas.openxmlformats.org/officeDocument/2006/relationships/image" Target="media/image274.png"/><Relationship Id="rId290" Type="http://schemas.openxmlformats.org/officeDocument/2006/relationships/image" Target="media/image275.png"/><Relationship Id="rId291" Type="http://schemas.openxmlformats.org/officeDocument/2006/relationships/image" Target="media/image276.png"/><Relationship Id="rId292" Type="http://schemas.openxmlformats.org/officeDocument/2006/relationships/image" Target="media/image277.png"/><Relationship Id="rId293" Type="http://schemas.openxmlformats.org/officeDocument/2006/relationships/image" Target="media/image278.png"/><Relationship Id="rId294" Type="http://schemas.openxmlformats.org/officeDocument/2006/relationships/image" Target="media/image279.png"/><Relationship Id="rId295" Type="http://schemas.openxmlformats.org/officeDocument/2006/relationships/image" Target="media/image280.png"/><Relationship Id="rId296" Type="http://schemas.openxmlformats.org/officeDocument/2006/relationships/image" Target="media/image281.png"/><Relationship Id="rId297" Type="http://schemas.openxmlformats.org/officeDocument/2006/relationships/image" Target="media/image282.png"/><Relationship Id="rId298" Type="http://schemas.openxmlformats.org/officeDocument/2006/relationships/image" Target="media/image283.png"/><Relationship Id="rId299" Type="http://schemas.openxmlformats.org/officeDocument/2006/relationships/image" Target="media/image284.png"/><Relationship Id="rId300" Type="http://schemas.openxmlformats.org/officeDocument/2006/relationships/image" Target="media/image285.png"/><Relationship Id="rId301" Type="http://schemas.openxmlformats.org/officeDocument/2006/relationships/image" Target="media/image286.png"/><Relationship Id="rId302" Type="http://schemas.openxmlformats.org/officeDocument/2006/relationships/image" Target="media/image287.png"/><Relationship Id="rId303" Type="http://schemas.openxmlformats.org/officeDocument/2006/relationships/image" Target="media/image288.png"/><Relationship Id="rId304" Type="http://schemas.openxmlformats.org/officeDocument/2006/relationships/image" Target="media/image289.png"/><Relationship Id="rId305" Type="http://schemas.openxmlformats.org/officeDocument/2006/relationships/image" Target="media/image290.png"/><Relationship Id="rId306" Type="http://schemas.openxmlformats.org/officeDocument/2006/relationships/image" Target="media/image291.png"/><Relationship Id="rId307" Type="http://schemas.openxmlformats.org/officeDocument/2006/relationships/image" Target="media/image292.png"/><Relationship Id="rId308" Type="http://schemas.openxmlformats.org/officeDocument/2006/relationships/image" Target="media/image293.png"/><Relationship Id="rId309" Type="http://schemas.openxmlformats.org/officeDocument/2006/relationships/image" Target="media/image294.png"/><Relationship Id="rId310" Type="http://schemas.openxmlformats.org/officeDocument/2006/relationships/image" Target="media/image295.png"/><Relationship Id="rId311" Type="http://schemas.openxmlformats.org/officeDocument/2006/relationships/image" Target="media/image296.png"/><Relationship Id="rId312" Type="http://schemas.openxmlformats.org/officeDocument/2006/relationships/image" Target="media/image297.png"/><Relationship Id="rId313" Type="http://schemas.openxmlformats.org/officeDocument/2006/relationships/image" Target="media/image298.png"/><Relationship Id="rId314" Type="http://schemas.openxmlformats.org/officeDocument/2006/relationships/image" Target="media/image299.png"/><Relationship Id="rId315" Type="http://schemas.openxmlformats.org/officeDocument/2006/relationships/image" Target="media/image300.png"/><Relationship Id="rId316" Type="http://schemas.openxmlformats.org/officeDocument/2006/relationships/footer" Target="footer8.xml"/><Relationship Id="rId317" Type="http://schemas.openxmlformats.org/officeDocument/2006/relationships/image" Target="media/image301.png"/><Relationship Id="rId318" Type="http://schemas.openxmlformats.org/officeDocument/2006/relationships/image" Target="media/image302.png"/><Relationship Id="rId319" Type="http://schemas.openxmlformats.org/officeDocument/2006/relationships/image" Target="media/image303.png"/><Relationship Id="rId320" Type="http://schemas.openxmlformats.org/officeDocument/2006/relationships/image" Target="media/image304.png"/><Relationship Id="rId321" Type="http://schemas.openxmlformats.org/officeDocument/2006/relationships/image" Target="media/image305.png"/><Relationship Id="rId322" Type="http://schemas.openxmlformats.org/officeDocument/2006/relationships/image" Target="media/image306.png"/><Relationship Id="rId323" Type="http://schemas.openxmlformats.org/officeDocument/2006/relationships/image" Target="media/image307.png"/><Relationship Id="rId324" Type="http://schemas.openxmlformats.org/officeDocument/2006/relationships/image" Target="media/image308.png"/><Relationship Id="rId325" Type="http://schemas.openxmlformats.org/officeDocument/2006/relationships/image" Target="media/image309.png"/><Relationship Id="rId326" Type="http://schemas.openxmlformats.org/officeDocument/2006/relationships/image" Target="media/image310.png"/><Relationship Id="rId327" Type="http://schemas.openxmlformats.org/officeDocument/2006/relationships/image" Target="media/image311.png"/><Relationship Id="rId328" Type="http://schemas.openxmlformats.org/officeDocument/2006/relationships/image" Target="media/image312.png"/><Relationship Id="rId329" Type="http://schemas.openxmlformats.org/officeDocument/2006/relationships/image" Target="media/image313.png"/><Relationship Id="rId330" Type="http://schemas.openxmlformats.org/officeDocument/2006/relationships/image" Target="media/image314.png"/><Relationship Id="rId331" Type="http://schemas.openxmlformats.org/officeDocument/2006/relationships/image" Target="media/image315.png"/><Relationship Id="rId332" Type="http://schemas.openxmlformats.org/officeDocument/2006/relationships/image" Target="media/image316.png"/><Relationship Id="rId333" Type="http://schemas.openxmlformats.org/officeDocument/2006/relationships/image" Target="media/image317.png"/><Relationship Id="rId334" Type="http://schemas.openxmlformats.org/officeDocument/2006/relationships/image" Target="media/image318.png"/><Relationship Id="rId335" Type="http://schemas.openxmlformats.org/officeDocument/2006/relationships/image" Target="media/image319.png"/><Relationship Id="rId336" Type="http://schemas.openxmlformats.org/officeDocument/2006/relationships/image" Target="media/image320.png"/><Relationship Id="rId337" Type="http://schemas.openxmlformats.org/officeDocument/2006/relationships/footer" Target="footer9.xml"/><Relationship Id="rId338" Type="http://schemas.openxmlformats.org/officeDocument/2006/relationships/image" Target="media/image321.png"/><Relationship Id="rId339" Type="http://schemas.openxmlformats.org/officeDocument/2006/relationships/image" Target="media/image322.png"/><Relationship Id="rId340" Type="http://schemas.openxmlformats.org/officeDocument/2006/relationships/image" Target="media/image323.png"/><Relationship Id="rId341" Type="http://schemas.openxmlformats.org/officeDocument/2006/relationships/image" Target="media/image324.png"/><Relationship Id="rId342" Type="http://schemas.openxmlformats.org/officeDocument/2006/relationships/image" Target="media/image325.png"/><Relationship Id="rId343" Type="http://schemas.openxmlformats.org/officeDocument/2006/relationships/image" Target="media/image326.png"/><Relationship Id="rId344" Type="http://schemas.openxmlformats.org/officeDocument/2006/relationships/image" Target="media/image327.png"/><Relationship Id="rId345" Type="http://schemas.openxmlformats.org/officeDocument/2006/relationships/image" Target="media/image328.png"/><Relationship Id="rId346" Type="http://schemas.openxmlformats.org/officeDocument/2006/relationships/image" Target="media/image329.png"/><Relationship Id="rId347" Type="http://schemas.openxmlformats.org/officeDocument/2006/relationships/image" Target="media/image330.png"/><Relationship Id="rId348" Type="http://schemas.openxmlformats.org/officeDocument/2006/relationships/image" Target="media/image331.png"/><Relationship Id="rId349" Type="http://schemas.openxmlformats.org/officeDocument/2006/relationships/image" Target="media/image332.png"/><Relationship Id="rId350" Type="http://schemas.openxmlformats.org/officeDocument/2006/relationships/image" Target="media/image333.png"/><Relationship Id="rId351" Type="http://schemas.openxmlformats.org/officeDocument/2006/relationships/image" Target="media/image334.png"/><Relationship Id="rId352" Type="http://schemas.openxmlformats.org/officeDocument/2006/relationships/image" Target="media/image335.png"/><Relationship Id="rId353" Type="http://schemas.openxmlformats.org/officeDocument/2006/relationships/image" Target="media/image336.png"/><Relationship Id="rId354" Type="http://schemas.openxmlformats.org/officeDocument/2006/relationships/image" Target="media/image337.png"/><Relationship Id="rId355" Type="http://schemas.openxmlformats.org/officeDocument/2006/relationships/image" Target="media/image338.png"/><Relationship Id="rId356" Type="http://schemas.openxmlformats.org/officeDocument/2006/relationships/image" Target="media/image339.png"/><Relationship Id="rId357" Type="http://schemas.openxmlformats.org/officeDocument/2006/relationships/image" Target="media/image340.png"/><Relationship Id="rId358" Type="http://schemas.openxmlformats.org/officeDocument/2006/relationships/image" Target="media/image341.jpeg"/><Relationship Id="rId359" Type="http://schemas.openxmlformats.org/officeDocument/2006/relationships/footer" Target="footer10.xml"/><Relationship Id="rId360" Type="http://schemas.openxmlformats.org/officeDocument/2006/relationships/footer" Target="footer11.xml"/><Relationship Id="rId361" Type="http://schemas.openxmlformats.org/officeDocument/2006/relationships/image" Target="media/image342.png"/><Relationship Id="rId362" Type="http://schemas.openxmlformats.org/officeDocument/2006/relationships/image" Target="media/image343.jpeg"/><Relationship Id="rId363" Type="http://schemas.openxmlformats.org/officeDocument/2006/relationships/image" Target="media/image344.png"/><Relationship Id="rId364" Type="http://schemas.openxmlformats.org/officeDocument/2006/relationships/image" Target="media/image345.jpeg"/><Relationship Id="rId365" Type="http://schemas.openxmlformats.org/officeDocument/2006/relationships/image" Target="media/image346.png"/><Relationship Id="rId366" Type="http://schemas.openxmlformats.org/officeDocument/2006/relationships/image" Target="media/image347.jpeg"/><Relationship Id="rId367" Type="http://schemas.openxmlformats.org/officeDocument/2006/relationships/image" Target="media/image348.png"/><Relationship Id="rId368" Type="http://schemas.openxmlformats.org/officeDocument/2006/relationships/image" Target="media/image349.jpeg"/><Relationship Id="rId369" Type="http://schemas.openxmlformats.org/officeDocument/2006/relationships/image" Target="media/image350.png"/><Relationship Id="rId370" Type="http://schemas.openxmlformats.org/officeDocument/2006/relationships/image" Target="media/image351.png"/><Relationship Id="rId371" Type="http://schemas.openxmlformats.org/officeDocument/2006/relationships/image" Target="media/image352.png"/><Relationship Id="rId372" Type="http://schemas.openxmlformats.org/officeDocument/2006/relationships/image" Target="media/image353.png"/><Relationship Id="rId373" Type="http://schemas.openxmlformats.org/officeDocument/2006/relationships/image" Target="media/image354.png"/><Relationship Id="rId374" Type="http://schemas.openxmlformats.org/officeDocument/2006/relationships/image" Target="media/image355.png"/><Relationship Id="rId375" Type="http://schemas.openxmlformats.org/officeDocument/2006/relationships/image" Target="media/image356.png"/><Relationship Id="rId376" Type="http://schemas.openxmlformats.org/officeDocument/2006/relationships/image" Target="media/image357.png"/><Relationship Id="rId377" Type="http://schemas.openxmlformats.org/officeDocument/2006/relationships/image" Target="media/image358.png"/><Relationship Id="rId378" Type="http://schemas.openxmlformats.org/officeDocument/2006/relationships/image" Target="media/image359.png"/><Relationship Id="rId379" Type="http://schemas.openxmlformats.org/officeDocument/2006/relationships/image" Target="media/image360.png"/><Relationship Id="rId380" Type="http://schemas.openxmlformats.org/officeDocument/2006/relationships/image" Target="media/image361.png"/><Relationship Id="rId381" Type="http://schemas.openxmlformats.org/officeDocument/2006/relationships/footer" Target="footer12.xml"/><Relationship Id="rId382" Type="http://schemas.openxmlformats.org/officeDocument/2006/relationships/image" Target="media/image362.png"/><Relationship Id="rId383" Type="http://schemas.openxmlformats.org/officeDocument/2006/relationships/image" Target="media/image363.png"/><Relationship Id="rId384" Type="http://schemas.openxmlformats.org/officeDocument/2006/relationships/image" Target="media/image364.png"/><Relationship Id="rId385" Type="http://schemas.openxmlformats.org/officeDocument/2006/relationships/image" Target="media/image365.png"/><Relationship Id="rId386" Type="http://schemas.openxmlformats.org/officeDocument/2006/relationships/footer" Target="footer13.xml"/><Relationship Id="rId387" Type="http://schemas.openxmlformats.org/officeDocument/2006/relationships/image" Target="media/image366.png"/><Relationship Id="rId388" Type="http://schemas.openxmlformats.org/officeDocument/2006/relationships/image" Target="media/image367.jpeg"/><Relationship Id="rId389" Type="http://schemas.openxmlformats.org/officeDocument/2006/relationships/image" Target="media/image368.png"/><Relationship Id="rId390" Type="http://schemas.openxmlformats.org/officeDocument/2006/relationships/image" Target="media/image369.jpeg"/><Relationship Id="rId391" Type="http://schemas.openxmlformats.org/officeDocument/2006/relationships/footer" Target="footer14.xml"/><Relationship Id="rId392" Type="http://schemas.openxmlformats.org/officeDocument/2006/relationships/footer" Target="footer15.xml"/><Relationship Id="rId393" Type="http://schemas.openxmlformats.org/officeDocument/2006/relationships/hyperlink" Target="http://orthocj.com/2004/02/indicadores-de-profundidad-de-sobre-mordida-vertical-" TargetMode="External"/><Relationship Id="rId394" Type="http://schemas.openxmlformats.org/officeDocument/2006/relationships/footer" Target="footer16.xml"/><Relationship Id="rId395" Type="http://schemas.openxmlformats.org/officeDocument/2006/relationships/footer" Target="footer17.xml"/><Relationship Id="rId396" Type="http://schemas.openxmlformats.org/officeDocument/2006/relationships/hyperlink" Target="http://www.ulacit.ac.cr/.../suplemento%20Ortodoncia/ID02.pdf" TargetMode="External"/><Relationship Id="rId397" Type="http://schemas.openxmlformats.org/officeDocument/2006/relationships/image" Target="media/image370.png"/><Relationship Id="rId398" Type="http://schemas.openxmlformats.org/officeDocument/2006/relationships/image" Target="media/image371.jpeg"/><Relationship Id="rId399" Type="http://schemas.openxmlformats.org/officeDocument/2006/relationships/image" Target="media/image372.jpeg"/><Relationship Id="rId400" Type="http://schemas.openxmlformats.org/officeDocument/2006/relationships/footer" Target="footer18.xml"/><Relationship Id="rId401" Type="http://schemas.openxmlformats.org/officeDocument/2006/relationships/image" Target="media/image373.jpeg"/><Relationship Id="rId402" Type="http://schemas.openxmlformats.org/officeDocument/2006/relationships/footer" Target="footer19.xml"/><Relationship Id="rId403" Type="http://schemas.openxmlformats.org/officeDocument/2006/relationships/image" Target="media/image374.jpeg"/><Relationship Id="rId404" Type="http://schemas.openxmlformats.org/officeDocument/2006/relationships/image" Target="media/image375.jpeg"/><Relationship Id="rId405" Type="http://schemas.openxmlformats.org/officeDocument/2006/relationships/image" Target="media/image376.jpeg"/><Relationship Id="rId406" Type="http://schemas.openxmlformats.org/officeDocument/2006/relationships/image" Target="media/image377.jpeg"/><Relationship Id="rId407" Type="http://schemas.openxmlformats.org/officeDocument/2006/relationships/image" Target="media/image378.jpeg"/><Relationship Id="rId40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dfff</dc:creator>
  <dc:title>Implementación del análisis de Kim en población de 9-14 años de edad para el Departamento de Ortodoncia, UAEM.</dc:title>
  <dcterms:created xsi:type="dcterms:W3CDTF">2017-05-25T23:09:09Z</dcterms:created>
  <dcterms:modified xsi:type="dcterms:W3CDTF">2017-05-25T23:09:09Z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2015-03-22T00:00:00Z</vt:filetime>
  </property>
  <property fmtid="{D5CDD505-2E9C-101B-9397-08002B2CF9AE}" pid="3" name="Creator">
    <vt:lpwstr>Microsoft® Word 2010</vt:lpwstr>
  </property>
  <property fmtid="{D5CDD505-2E9C-101B-9397-08002B2CF9AE}" pid="4" name="LastSaved">
    <vt:filetime>2017-05-25T00:00:00Z</vt:filetime>
  </property>
</Properties>
</file>