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rPr>
          <w:rFonts w:ascii="Times New Roman"/>
          <w:sz w:val="20"/>
        </w:rPr>
      </w:pPr>
    </w:p>
    <w:p>
      <w:pPr>
        <w:pStyle w:val="Heading2"/>
        <w:spacing w:before="69"/>
        <w:ind w:left="1043" w:right="137"/>
      </w:pPr>
      <w:r>
        <w:rPr/>
        <w:drawing>
          <wp:anchor distT="0" distB="0" distL="0" distR="0" allowOverlap="1" layoutInCell="1" locked="0" behindDoc="0" simplePos="0" relativeHeight="0">
            <wp:simplePos x="0" y="0"/>
            <wp:positionH relativeFrom="page">
              <wp:posOffset>699134</wp:posOffset>
            </wp:positionH>
            <wp:positionV relativeFrom="paragraph">
              <wp:posOffset>-149657</wp:posOffset>
            </wp:positionV>
            <wp:extent cx="1073149" cy="96773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73149" cy="967738"/>
                    </a:xfrm>
                    <a:prstGeom prst="rect">
                      <a:avLst/>
                    </a:prstGeom>
                  </pic:spPr>
                </pic:pic>
              </a:graphicData>
            </a:graphic>
          </wp:anchor>
        </w:drawing>
      </w:r>
      <w:r>
        <w:rPr/>
        <w:t>UNIVERSIDAD AUTÓNOMA DEL ESTADO DE MÉXICO</w:t>
      </w:r>
    </w:p>
    <w:p>
      <w:pPr>
        <w:pStyle w:val="BodyText"/>
        <w:rPr>
          <w:b/>
          <w:sz w:val="21"/>
        </w:rPr>
      </w:pPr>
    </w:p>
    <w:p>
      <w:pPr>
        <w:spacing w:before="1"/>
        <w:ind w:left="3199" w:right="0" w:firstLine="0"/>
        <w:jc w:val="left"/>
        <w:rPr>
          <w:b/>
          <w:i/>
          <w:sz w:val="24"/>
        </w:rPr>
      </w:pPr>
      <w:r>
        <w:rPr>
          <w:b/>
          <w:i/>
          <w:sz w:val="24"/>
        </w:rPr>
        <w:t>FACULTAD DE ODONTOLOGÍA</w:t>
      </w:r>
    </w:p>
    <w:p>
      <w:pPr>
        <w:pStyle w:val="BodyText"/>
        <w:spacing w:before="4"/>
        <w:rPr>
          <w:b/>
          <w:i/>
          <w:sz w:val="29"/>
        </w:rPr>
      </w:pPr>
    </w:p>
    <w:p>
      <w:pPr>
        <w:pStyle w:val="Heading2"/>
        <w:spacing w:before="1"/>
        <w:ind w:left="4049"/>
        <w:jc w:val="left"/>
      </w:pPr>
      <w:r>
        <w:rPr/>
        <w:t>CENTRO DE INVESTIGACIÓN</w:t>
      </w:r>
    </w:p>
    <w:p>
      <w:pPr>
        <w:spacing w:line="360" w:lineRule="auto" w:before="137"/>
        <w:ind w:left="2457" w:right="1739" w:firstLine="0"/>
        <w:jc w:val="center"/>
        <w:rPr>
          <w:b/>
          <w:sz w:val="24"/>
        </w:rPr>
      </w:pPr>
      <w:r>
        <w:rPr/>
        <w:pict>
          <v:line style="position:absolute;mso-position-horizontal-relative:page;mso-position-vertical-relative:paragraph;z-index:1072" from="94.050003pt,7.985864pt" to="94.050079pt,442.235883pt" stroked="true" strokeweight="2.25pt" strokecolor="#000000">
            <w10:wrap type="none"/>
          </v:line>
        </w:pict>
      </w:r>
      <w:r>
        <w:rPr>
          <w:b/>
          <w:sz w:val="24"/>
        </w:rPr>
        <w:t>Y ESTUDIOS AVANZADOS EN ODONTOLOGÍA “DR. KEISABURO MIYATA”</w:t>
      </w:r>
    </w:p>
    <w:p>
      <w:pPr>
        <w:pStyle w:val="BodyText"/>
        <w:rPr>
          <w:b/>
          <w:sz w:val="20"/>
        </w:rPr>
      </w:pPr>
    </w:p>
    <w:p>
      <w:pPr>
        <w:spacing w:line="360" w:lineRule="auto" w:before="190"/>
        <w:ind w:left="1043" w:right="324" w:firstLine="0"/>
        <w:jc w:val="center"/>
        <w:rPr>
          <w:b/>
          <w:sz w:val="21"/>
        </w:rPr>
      </w:pPr>
      <w:r>
        <w:rPr>
          <w:b/>
          <w:sz w:val="24"/>
        </w:rPr>
        <w:t>“Estudio Clínico Comparativo de la Retención de Tres Selladores en un Grupo de Niños de la Ciudad de Toluca</w:t>
      </w:r>
      <w:r>
        <w:rPr>
          <w:b/>
          <w:sz w:val="21"/>
        </w:rPr>
        <w:t>”</w:t>
      </w:r>
    </w:p>
    <w:p>
      <w:pPr>
        <w:pStyle w:val="BodyText"/>
        <w:rPr>
          <w:b/>
        </w:rPr>
      </w:pPr>
    </w:p>
    <w:p>
      <w:pPr>
        <w:spacing w:before="144"/>
        <w:ind w:left="1040" w:right="324" w:firstLine="0"/>
        <w:jc w:val="center"/>
        <w:rPr>
          <w:b/>
          <w:sz w:val="24"/>
        </w:rPr>
      </w:pPr>
      <w:r>
        <w:rPr>
          <w:b/>
          <w:sz w:val="24"/>
        </w:rPr>
        <w:t>PROYECTO TERMINAL</w:t>
      </w:r>
    </w:p>
    <w:p>
      <w:pPr>
        <w:pStyle w:val="BodyText"/>
        <w:rPr>
          <w:b/>
        </w:rPr>
      </w:pPr>
    </w:p>
    <w:p>
      <w:pPr>
        <w:pStyle w:val="BodyText"/>
        <w:spacing w:before="9"/>
        <w:rPr>
          <w:b/>
          <w:sz w:val="23"/>
        </w:rPr>
      </w:pPr>
    </w:p>
    <w:p>
      <w:pPr>
        <w:spacing w:line="360" w:lineRule="auto" w:before="0"/>
        <w:ind w:left="2457" w:right="1739" w:firstLine="0"/>
        <w:jc w:val="center"/>
        <w:rPr>
          <w:b/>
          <w:sz w:val="24"/>
        </w:rPr>
      </w:pPr>
      <w:r>
        <w:rPr>
          <w:b/>
          <w:sz w:val="24"/>
        </w:rPr>
        <w:t>QUE PARA OBTENER EL DIPLOMA DE: ESPECIALISTA EN ODONTOPEDIATRÍA</w:t>
      </w:r>
    </w:p>
    <w:p>
      <w:pPr>
        <w:pStyle w:val="BodyText"/>
        <w:rPr>
          <w:b/>
        </w:rPr>
      </w:pPr>
    </w:p>
    <w:p>
      <w:pPr>
        <w:pStyle w:val="BodyText"/>
        <w:rPr>
          <w:b/>
        </w:rPr>
      </w:pPr>
    </w:p>
    <w:p>
      <w:pPr>
        <w:pStyle w:val="BodyText"/>
        <w:spacing w:before="5"/>
        <w:rPr>
          <w:b/>
        </w:rPr>
      </w:pPr>
    </w:p>
    <w:p>
      <w:pPr>
        <w:spacing w:before="0"/>
        <w:ind w:left="1040" w:right="324" w:firstLine="0"/>
        <w:jc w:val="center"/>
        <w:rPr>
          <w:b/>
          <w:sz w:val="24"/>
        </w:rPr>
      </w:pPr>
      <w:r>
        <w:rPr>
          <w:b/>
          <w:sz w:val="24"/>
        </w:rPr>
        <w:t>PRESENTA:</w:t>
      </w:r>
    </w:p>
    <w:p>
      <w:pPr>
        <w:spacing w:before="137"/>
        <w:ind w:left="3550" w:right="0" w:firstLine="0"/>
        <w:jc w:val="left"/>
        <w:rPr>
          <w:b/>
          <w:sz w:val="24"/>
        </w:rPr>
      </w:pPr>
      <w:r>
        <w:rPr>
          <w:b/>
          <w:sz w:val="24"/>
        </w:rPr>
        <w:t>C.D. Amalia Rojas Reynoso</w:t>
      </w:r>
    </w:p>
    <w:p>
      <w:pPr>
        <w:pStyle w:val="BodyText"/>
        <w:rPr>
          <w:b/>
        </w:rPr>
      </w:pPr>
    </w:p>
    <w:p>
      <w:pPr>
        <w:pStyle w:val="BodyText"/>
        <w:rPr>
          <w:b/>
        </w:rPr>
      </w:pPr>
    </w:p>
    <w:p>
      <w:pPr>
        <w:pStyle w:val="BodyText"/>
        <w:rPr>
          <w:b/>
        </w:rPr>
      </w:pPr>
    </w:p>
    <w:p>
      <w:pPr>
        <w:spacing w:before="139"/>
        <w:ind w:left="1040" w:right="324" w:firstLine="0"/>
        <w:jc w:val="center"/>
        <w:rPr>
          <w:b/>
          <w:sz w:val="24"/>
        </w:rPr>
      </w:pPr>
      <w:r>
        <w:rPr>
          <w:b/>
          <w:sz w:val="24"/>
        </w:rPr>
        <w:t>DIRECTOR:</w:t>
      </w:r>
    </w:p>
    <w:p>
      <w:pPr>
        <w:spacing w:before="137"/>
        <w:ind w:left="2970" w:right="0" w:firstLine="0"/>
        <w:jc w:val="left"/>
        <w:rPr>
          <w:b/>
          <w:sz w:val="24"/>
        </w:rPr>
      </w:pPr>
      <w:r>
        <w:rPr>
          <w:b/>
          <w:sz w:val="24"/>
        </w:rPr>
        <w:t>Dra. en O Blanca Silvia González López</w:t>
      </w:r>
    </w:p>
    <w:p>
      <w:pPr>
        <w:pStyle w:val="BodyText"/>
        <w:rPr>
          <w:b/>
        </w:rPr>
      </w:pPr>
    </w:p>
    <w:p>
      <w:pPr>
        <w:pStyle w:val="BodyText"/>
        <w:spacing w:before="2"/>
        <w:rPr>
          <w:b/>
        </w:rPr>
      </w:pPr>
    </w:p>
    <w:p>
      <w:pPr>
        <w:spacing w:before="0"/>
        <w:ind w:left="1040" w:right="324" w:firstLine="0"/>
        <w:jc w:val="center"/>
        <w:rPr>
          <w:b/>
          <w:sz w:val="24"/>
        </w:rPr>
      </w:pPr>
      <w:r>
        <w:rPr>
          <w:b/>
          <w:sz w:val="24"/>
        </w:rPr>
        <w:t>ASESOR:</w:t>
      </w:r>
    </w:p>
    <w:p>
      <w:pPr>
        <w:spacing w:before="137"/>
        <w:ind w:left="3004" w:right="0" w:firstLine="0"/>
        <w:jc w:val="left"/>
        <w:rPr>
          <w:b/>
          <w:sz w:val="24"/>
        </w:rPr>
      </w:pPr>
      <w:r>
        <w:rPr/>
        <w:drawing>
          <wp:anchor distT="0" distB="0" distL="0" distR="0" allowOverlap="1" layoutInCell="1" locked="0" behindDoc="0" simplePos="0" relativeHeight="1048">
            <wp:simplePos x="0" y="0"/>
            <wp:positionH relativeFrom="page">
              <wp:posOffset>923925</wp:posOffset>
            </wp:positionH>
            <wp:positionV relativeFrom="paragraph">
              <wp:posOffset>498295</wp:posOffset>
            </wp:positionV>
            <wp:extent cx="605790" cy="103314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05790" cy="1033144"/>
                    </a:xfrm>
                    <a:prstGeom prst="rect">
                      <a:avLst/>
                    </a:prstGeom>
                  </pic:spPr>
                </pic:pic>
              </a:graphicData>
            </a:graphic>
          </wp:anchor>
        </w:drawing>
      </w:r>
      <w:r>
        <w:rPr>
          <w:b/>
          <w:sz w:val="24"/>
        </w:rPr>
        <w:t>E. EP. María Antonieta Monter García</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2924" w:right="0" w:firstLine="0"/>
        <w:jc w:val="left"/>
        <w:rPr>
          <w:b/>
          <w:sz w:val="24"/>
        </w:rPr>
      </w:pPr>
      <w:r>
        <w:rPr>
          <w:b/>
          <w:sz w:val="24"/>
        </w:rPr>
        <w:t>TOLUCA, ESTADO DE MÉXICO, JULIO 2013</w:t>
      </w:r>
    </w:p>
    <w:p>
      <w:pPr>
        <w:spacing w:after="0"/>
        <w:jc w:val="left"/>
        <w:rPr>
          <w:sz w:val="24"/>
        </w:rPr>
        <w:sectPr>
          <w:type w:val="continuous"/>
          <w:pgSz w:w="12240" w:h="15840"/>
          <w:pgMar w:top="1200" w:bottom="280" w:left="1000" w:right="1720"/>
        </w:sectPr>
      </w:pPr>
    </w:p>
    <w:p>
      <w:pPr>
        <w:pStyle w:val="Heading1"/>
        <w:spacing w:before="50"/>
        <w:ind w:left="3272" w:right="3289"/>
      </w:pPr>
      <w:r>
        <w:rPr/>
        <w:t>AGRADECIMIENTOS</w:t>
      </w:r>
    </w:p>
    <w:p>
      <w:pPr>
        <w:pStyle w:val="BodyText"/>
        <w:rPr>
          <w:b/>
          <w:sz w:val="28"/>
        </w:rPr>
      </w:pPr>
    </w:p>
    <w:p>
      <w:pPr>
        <w:pStyle w:val="BodyText"/>
        <w:rPr>
          <w:b/>
          <w:sz w:val="28"/>
        </w:rPr>
      </w:pPr>
    </w:p>
    <w:p>
      <w:pPr>
        <w:pStyle w:val="BodyText"/>
        <w:rPr>
          <w:b/>
          <w:sz w:val="28"/>
        </w:rPr>
      </w:pPr>
    </w:p>
    <w:p>
      <w:pPr>
        <w:pStyle w:val="BodyText"/>
        <w:rPr>
          <w:b/>
          <w:sz w:val="38"/>
        </w:rPr>
      </w:pPr>
    </w:p>
    <w:p>
      <w:pPr>
        <w:pStyle w:val="BodyText"/>
        <w:spacing w:line="360" w:lineRule="auto"/>
        <w:ind w:left="100" w:right="113"/>
        <w:jc w:val="both"/>
      </w:pPr>
      <w:r>
        <w:rPr/>
        <w:t>Agradezco infinitamente a Dios que me permita finalizar una etapa más en mi vida, en la que Jesús camino siempre a mi lado y en los momentos más difíciles me llevo en sus brazos.</w:t>
      </w:r>
    </w:p>
    <w:p>
      <w:pPr>
        <w:pStyle w:val="BodyText"/>
      </w:pPr>
    </w:p>
    <w:p>
      <w:pPr>
        <w:pStyle w:val="BodyText"/>
        <w:spacing w:line="360" w:lineRule="auto" w:before="142"/>
        <w:ind w:left="100" w:right="127"/>
        <w:jc w:val="both"/>
      </w:pPr>
      <w:r>
        <w:rPr/>
        <w:t>Gracias a mi familia, maestros y amigos que con su apoyo fueron parte importante para poder lograr finalizar este proyecto.</w:t>
      </w:r>
    </w:p>
    <w:p>
      <w:pPr>
        <w:pStyle w:val="BodyText"/>
      </w:pPr>
    </w:p>
    <w:p>
      <w:pPr>
        <w:pStyle w:val="BodyText"/>
        <w:spacing w:line="360" w:lineRule="auto" w:before="142"/>
        <w:ind w:left="100" w:right="119"/>
        <w:jc w:val="both"/>
      </w:pPr>
      <w:r>
        <w:rPr/>
        <w:t>Quiero dedicar especialmente este trabajo a la persona que Dios eligió para ser mi Madre; gracias por darme la vida, por tu apoyo incondicional, por tus regaños, por tu ejemplo, amor y confianza. Porque mi sueño se convirtió en tuyo, pero sobre todo por tu amor y tu enseñanza de lucha hasta el último momento, los cuales fueron el impulso que me ayudó a cumplir la promesa que te hice, y que ahora te digo  que aunque ya no estés conmigo este logro es también tuyo.</w:t>
      </w:r>
    </w:p>
    <w:p>
      <w:pPr>
        <w:pStyle w:val="BodyText"/>
      </w:pPr>
    </w:p>
    <w:p>
      <w:pPr>
        <w:pStyle w:val="BodyText"/>
      </w:pPr>
    </w:p>
    <w:p>
      <w:pPr>
        <w:pStyle w:val="BodyText"/>
        <w:spacing w:before="5"/>
      </w:pPr>
    </w:p>
    <w:p>
      <w:pPr>
        <w:pStyle w:val="BodyText"/>
        <w:ind w:left="3272" w:right="3292"/>
        <w:jc w:val="center"/>
      </w:pPr>
      <w:r>
        <w:rPr/>
        <w:t>Por lo que ha sido, es y será…… Gracias</w:t>
      </w:r>
    </w:p>
    <w:p>
      <w:pPr>
        <w:pStyle w:val="BodyText"/>
      </w:pPr>
    </w:p>
    <w:p>
      <w:pPr>
        <w:pStyle w:val="BodyText"/>
      </w:pPr>
    </w:p>
    <w:p>
      <w:pPr>
        <w:pStyle w:val="Heading2"/>
        <w:ind w:left="3272" w:right="3290"/>
      </w:pPr>
      <w:r>
        <w:rPr/>
        <w:t>Con amor a Dios y Humildad.</w:t>
      </w:r>
    </w:p>
    <w:p>
      <w:pPr>
        <w:pStyle w:val="BodyText"/>
        <w:rPr>
          <w:b/>
        </w:rPr>
      </w:pPr>
    </w:p>
    <w:p>
      <w:pPr>
        <w:pStyle w:val="BodyText"/>
        <w:rPr>
          <w:b/>
        </w:rPr>
      </w:pPr>
    </w:p>
    <w:p>
      <w:pPr>
        <w:pStyle w:val="BodyText"/>
        <w:rPr>
          <w:b/>
        </w:rPr>
      </w:pPr>
    </w:p>
    <w:p>
      <w:pPr>
        <w:spacing w:before="139"/>
        <w:ind w:left="3272" w:right="3289" w:firstLine="0"/>
        <w:jc w:val="center"/>
        <w:rPr>
          <w:rFonts w:ascii="Palatino Linotype"/>
          <w:b/>
          <w:i/>
          <w:sz w:val="32"/>
        </w:rPr>
      </w:pPr>
      <w:r>
        <w:rPr>
          <w:rFonts w:ascii="Palatino Linotype"/>
          <w:b/>
          <w:i/>
          <w:w w:val="105"/>
          <w:sz w:val="32"/>
        </w:rPr>
        <w:t>AMALIA ROJAS</w:t>
      </w:r>
      <w:r>
        <w:rPr>
          <w:rFonts w:ascii="Palatino Linotype"/>
          <w:b/>
          <w:i/>
          <w:spacing w:val="81"/>
          <w:w w:val="105"/>
          <w:sz w:val="32"/>
        </w:rPr>
        <w:t> </w:t>
      </w:r>
      <w:r>
        <w:rPr>
          <w:rFonts w:ascii="Palatino Linotype"/>
          <w:b/>
          <w:i/>
          <w:w w:val="105"/>
          <w:sz w:val="32"/>
        </w:rPr>
        <w:t>REYNOSO</w:t>
      </w:r>
    </w:p>
    <w:p>
      <w:pPr>
        <w:spacing w:after="0"/>
        <w:jc w:val="center"/>
        <w:rPr>
          <w:rFonts w:ascii="Palatino Linotype"/>
          <w:sz w:val="32"/>
        </w:rPr>
        <w:sectPr>
          <w:footerReference w:type="default" r:id="rId7"/>
          <w:pgSz w:w="12240" w:h="15840"/>
          <w:pgMar w:footer="1017" w:header="0" w:top="1180" w:bottom="1200" w:left="620" w:right="600"/>
          <w:pgNumType w:start="2"/>
        </w:sectPr>
      </w:pPr>
    </w:p>
    <w:p>
      <w:pPr>
        <w:pStyle w:val="BodyText"/>
        <w:spacing w:before="5"/>
        <w:rPr>
          <w:rFonts w:ascii="Palatino Linotype"/>
          <w:b/>
          <w:i/>
          <w:sz w:val="15"/>
        </w:rPr>
      </w:pPr>
    </w:p>
    <w:p>
      <w:pPr>
        <w:pStyle w:val="Heading1"/>
        <w:ind w:right="329"/>
      </w:pPr>
      <w:r>
        <w:rPr/>
        <w:t>ÍNDICE</w:t>
      </w:r>
    </w:p>
    <w:p>
      <w:pPr>
        <w:pStyle w:val="BodyText"/>
        <w:rPr>
          <w:b/>
          <w:sz w:val="20"/>
        </w:rPr>
      </w:pPr>
    </w:p>
    <w:p>
      <w:pPr>
        <w:pStyle w:val="BodyText"/>
        <w:rPr>
          <w:b/>
          <w:sz w:val="20"/>
        </w:rPr>
      </w:pPr>
    </w:p>
    <w:p>
      <w:pPr>
        <w:pStyle w:val="BodyText"/>
        <w:spacing w:before="7"/>
        <w:rPr>
          <w:b/>
          <w:sz w:val="25"/>
        </w:rPr>
      </w:pPr>
    </w:p>
    <w:tbl>
      <w:tblPr>
        <w:tblW w:w="0" w:type="auto"/>
        <w:jc w:val="left"/>
        <w:tblInd w:w="1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24"/>
        <w:gridCol w:w="3526"/>
      </w:tblGrid>
      <w:tr>
        <w:trPr>
          <w:trHeight w:val="840" w:hRule="exact"/>
        </w:trPr>
        <w:tc>
          <w:tcPr>
            <w:tcW w:w="5424" w:type="dxa"/>
          </w:tcPr>
          <w:p>
            <w:pPr>
              <w:pStyle w:val="TableParagraph"/>
              <w:spacing w:before="69"/>
              <w:ind w:left="35"/>
              <w:rPr>
                <w:rFonts w:ascii="Arial"/>
                <w:b/>
                <w:sz w:val="24"/>
              </w:rPr>
            </w:pPr>
            <w:r>
              <w:rPr>
                <w:rFonts w:ascii="Arial"/>
                <w:b/>
                <w:sz w:val="24"/>
              </w:rPr>
              <w:t>CONTENIDO</w:t>
            </w:r>
          </w:p>
          <w:p>
            <w:pPr>
              <w:pStyle w:val="TableParagraph"/>
              <w:spacing w:before="137"/>
              <w:ind w:left="35"/>
              <w:rPr>
                <w:rFonts w:ascii="Arial"/>
                <w:sz w:val="24"/>
              </w:rPr>
            </w:pPr>
            <w:r>
              <w:rPr>
                <w:rFonts w:ascii="Arial"/>
                <w:sz w:val="24"/>
              </w:rPr>
              <w:t>Resumen</w:t>
            </w:r>
          </w:p>
        </w:tc>
        <w:tc>
          <w:tcPr>
            <w:tcW w:w="3526" w:type="dxa"/>
          </w:tcPr>
          <w:p>
            <w:pPr>
              <w:pStyle w:val="TableParagraph"/>
              <w:spacing w:before="69"/>
              <w:ind w:right="33"/>
              <w:jc w:val="right"/>
              <w:rPr>
                <w:rFonts w:ascii="Arial" w:hAnsi="Arial"/>
                <w:b/>
                <w:sz w:val="24"/>
              </w:rPr>
            </w:pPr>
            <w:r>
              <w:rPr>
                <w:rFonts w:ascii="Arial" w:hAnsi="Arial"/>
                <w:b/>
                <w:sz w:val="24"/>
              </w:rPr>
              <w:t>PÁGINAS</w:t>
            </w:r>
          </w:p>
          <w:p>
            <w:pPr>
              <w:pStyle w:val="TableParagraph"/>
              <w:spacing w:before="137"/>
              <w:ind w:right="990"/>
              <w:jc w:val="right"/>
              <w:rPr>
                <w:rFonts w:ascii="Arial"/>
                <w:sz w:val="24"/>
              </w:rPr>
            </w:pPr>
            <w:r>
              <w:rPr>
                <w:rFonts w:ascii="Arial"/>
                <w:w w:val="99"/>
                <w:sz w:val="24"/>
              </w:rPr>
              <w:t>4</w:t>
            </w:r>
          </w:p>
        </w:tc>
      </w:tr>
      <w:tr>
        <w:trPr>
          <w:trHeight w:val="414" w:hRule="exact"/>
        </w:trPr>
        <w:tc>
          <w:tcPr>
            <w:tcW w:w="5424" w:type="dxa"/>
          </w:tcPr>
          <w:p>
            <w:pPr>
              <w:pStyle w:val="TableParagraph"/>
              <w:spacing w:before="57"/>
              <w:ind w:left="35"/>
              <w:rPr>
                <w:rFonts w:ascii="Arial" w:hAnsi="Arial"/>
                <w:sz w:val="24"/>
              </w:rPr>
            </w:pPr>
            <w:r>
              <w:rPr>
                <w:rFonts w:ascii="Arial" w:hAnsi="Arial"/>
                <w:sz w:val="24"/>
              </w:rPr>
              <w:t>Introducción</w:t>
            </w:r>
          </w:p>
        </w:tc>
        <w:tc>
          <w:tcPr>
            <w:tcW w:w="3526" w:type="dxa"/>
          </w:tcPr>
          <w:p>
            <w:pPr>
              <w:pStyle w:val="TableParagraph"/>
              <w:spacing w:before="57"/>
              <w:ind w:left="2400"/>
              <w:rPr>
                <w:rFonts w:ascii="Arial"/>
                <w:sz w:val="24"/>
              </w:rPr>
            </w:pPr>
            <w:r>
              <w:rPr>
                <w:rFonts w:ascii="Arial"/>
                <w:w w:val="99"/>
                <w:sz w:val="24"/>
              </w:rPr>
              <w:t>4</w:t>
            </w:r>
          </w:p>
        </w:tc>
      </w:tr>
      <w:tr>
        <w:trPr>
          <w:trHeight w:val="414" w:hRule="exact"/>
        </w:trPr>
        <w:tc>
          <w:tcPr>
            <w:tcW w:w="5424" w:type="dxa"/>
          </w:tcPr>
          <w:p>
            <w:pPr>
              <w:pStyle w:val="TableParagraph"/>
              <w:spacing w:before="55"/>
              <w:ind w:left="35"/>
              <w:rPr>
                <w:rFonts w:ascii="Arial" w:hAnsi="Arial"/>
                <w:sz w:val="24"/>
              </w:rPr>
            </w:pPr>
            <w:r>
              <w:rPr>
                <w:rFonts w:ascii="Arial" w:hAnsi="Arial"/>
                <w:sz w:val="24"/>
              </w:rPr>
              <w:t>Marco teórico</w:t>
            </w:r>
          </w:p>
        </w:tc>
        <w:tc>
          <w:tcPr>
            <w:tcW w:w="3526" w:type="dxa"/>
          </w:tcPr>
          <w:p>
            <w:pPr>
              <w:pStyle w:val="TableParagraph"/>
              <w:spacing w:before="55"/>
              <w:ind w:left="2400"/>
              <w:rPr>
                <w:rFonts w:ascii="Arial"/>
                <w:sz w:val="24"/>
              </w:rPr>
            </w:pPr>
            <w:r>
              <w:rPr>
                <w:rFonts w:ascii="Arial"/>
                <w:w w:val="99"/>
                <w:sz w:val="24"/>
              </w:rPr>
              <w:t>7</w:t>
            </w:r>
          </w:p>
        </w:tc>
      </w:tr>
      <w:tr>
        <w:trPr>
          <w:trHeight w:val="414" w:hRule="exact"/>
        </w:trPr>
        <w:tc>
          <w:tcPr>
            <w:tcW w:w="5424" w:type="dxa"/>
          </w:tcPr>
          <w:p>
            <w:pPr>
              <w:pStyle w:val="TableParagraph"/>
              <w:spacing w:before="57"/>
              <w:ind w:left="35"/>
              <w:rPr>
                <w:rFonts w:ascii="Arial"/>
                <w:sz w:val="24"/>
              </w:rPr>
            </w:pPr>
            <w:r>
              <w:rPr>
                <w:rFonts w:ascii="Arial"/>
                <w:sz w:val="24"/>
              </w:rPr>
              <w:t>Antecedentes</w:t>
            </w:r>
          </w:p>
        </w:tc>
        <w:tc>
          <w:tcPr>
            <w:tcW w:w="3526" w:type="dxa"/>
          </w:tcPr>
          <w:p>
            <w:pPr>
              <w:pStyle w:val="TableParagraph"/>
              <w:spacing w:before="57"/>
              <w:ind w:left="2400"/>
              <w:rPr>
                <w:rFonts w:ascii="Arial"/>
                <w:sz w:val="24"/>
              </w:rPr>
            </w:pPr>
            <w:r>
              <w:rPr>
                <w:rFonts w:ascii="Arial"/>
                <w:sz w:val="24"/>
              </w:rPr>
              <w:t>11</w:t>
            </w:r>
          </w:p>
        </w:tc>
      </w:tr>
      <w:tr>
        <w:trPr>
          <w:trHeight w:val="414" w:hRule="exact"/>
        </w:trPr>
        <w:tc>
          <w:tcPr>
            <w:tcW w:w="5424" w:type="dxa"/>
          </w:tcPr>
          <w:p>
            <w:pPr>
              <w:pStyle w:val="TableParagraph"/>
              <w:spacing w:before="55"/>
              <w:ind w:left="35"/>
              <w:rPr>
                <w:rFonts w:ascii="Arial"/>
                <w:sz w:val="24"/>
              </w:rPr>
            </w:pPr>
            <w:r>
              <w:rPr>
                <w:rFonts w:ascii="Arial"/>
                <w:sz w:val="24"/>
              </w:rPr>
              <w:t>Planteamiento del problema</w:t>
            </w:r>
          </w:p>
        </w:tc>
        <w:tc>
          <w:tcPr>
            <w:tcW w:w="3526" w:type="dxa"/>
          </w:tcPr>
          <w:p>
            <w:pPr>
              <w:pStyle w:val="TableParagraph"/>
              <w:spacing w:before="55"/>
              <w:ind w:left="2400"/>
              <w:rPr>
                <w:rFonts w:ascii="Arial"/>
                <w:sz w:val="24"/>
              </w:rPr>
            </w:pPr>
            <w:r>
              <w:rPr>
                <w:rFonts w:ascii="Arial"/>
                <w:sz w:val="24"/>
              </w:rPr>
              <w:t>12</w:t>
            </w:r>
          </w:p>
        </w:tc>
      </w:tr>
      <w:tr>
        <w:trPr>
          <w:trHeight w:val="414" w:hRule="exact"/>
        </w:trPr>
        <w:tc>
          <w:tcPr>
            <w:tcW w:w="5424" w:type="dxa"/>
          </w:tcPr>
          <w:p>
            <w:pPr>
              <w:pStyle w:val="TableParagraph"/>
              <w:spacing w:before="57"/>
              <w:ind w:left="35"/>
              <w:rPr>
                <w:rFonts w:ascii="Arial" w:hAnsi="Arial"/>
                <w:sz w:val="24"/>
              </w:rPr>
            </w:pPr>
            <w:r>
              <w:rPr>
                <w:rFonts w:ascii="Arial" w:hAnsi="Arial"/>
                <w:sz w:val="24"/>
              </w:rPr>
              <w:t>Justificación</w:t>
            </w:r>
          </w:p>
        </w:tc>
        <w:tc>
          <w:tcPr>
            <w:tcW w:w="3526" w:type="dxa"/>
          </w:tcPr>
          <w:p>
            <w:pPr>
              <w:pStyle w:val="TableParagraph"/>
              <w:spacing w:before="57"/>
              <w:ind w:left="2400"/>
              <w:rPr>
                <w:rFonts w:ascii="Arial"/>
                <w:sz w:val="24"/>
              </w:rPr>
            </w:pPr>
            <w:r>
              <w:rPr>
                <w:rFonts w:ascii="Arial"/>
                <w:sz w:val="24"/>
              </w:rPr>
              <w:t>14</w:t>
            </w:r>
          </w:p>
        </w:tc>
      </w:tr>
      <w:tr>
        <w:trPr>
          <w:trHeight w:val="414" w:hRule="exact"/>
        </w:trPr>
        <w:tc>
          <w:tcPr>
            <w:tcW w:w="5424" w:type="dxa"/>
          </w:tcPr>
          <w:p>
            <w:pPr>
              <w:pStyle w:val="TableParagraph"/>
              <w:spacing w:before="55"/>
              <w:ind w:left="35"/>
              <w:rPr>
                <w:rFonts w:ascii="Arial"/>
                <w:sz w:val="24"/>
              </w:rPr>
            </w:pPr>
            <w:r>
              <w:rPr>
                <w:rFonts w:ascii="Arial"/>
                <w:sz w:val="24"/>
              </w:rPr>
              <w:t>Objetivo</w:t>
            </w:r>
          </w:p>
        </w:tc>
        <w:tc>
          <w:tcPr>
            <w:tcW w:w="3526" w:type="dxa"/>
          </w:tcPr>
          <w:p>
            <w:pPr>
              <w:pStyle w:val="TableParagraph"/>
              <w:spacing w:before="55"/>
              <w:ind w:left="2400"/>
              <w:rPr>
                <w:rFonts w:ascii="Arial"/>
                <w:sz w:val="24"/>
              </w:rPr>
            </w:pPr>
            <w:r>
              <w:rPr>
                <w:rFonts w:ascii="Arial"/>
                <w:sz w:val="24"/>
              </w:rPr>
              <w:t>16</w:t>
            </w:r>
          </w:p>
        </w:tc>
      </w:tr>
      <w:tr>
        <w:trPr>
          <w:trHeight w:val="414" w:hRule="exact"/>
        </w:trPr>
        <w:tc>
          <w:tcPr>
            <w:tcW w:w="5424" w:type="dxa"/>
          </w:tcPr>
          <w:p>
            <w:pPr>
              <w:pStyle w:val="TableParagraph"/>
              <w:spacing w:before="57"/>
              <w:ind w:left="35"/>
              <w:rPr>
                <w:rFonts w:ascii="Arial" w:hAnsi="Arial"/>
                <w:sz w:val="24"/>
              </w:rPr>
            </w:pPr>
            <w:r>
              <w:rPr>
                <w:rFonts w:ascii="Arial" w:hAnsi="Arial"/>
                <w:sz w:val="24"/>
              </w:rPr>
              <w:t>Marco metodológico</w:t>
            </w:r>
          </w:p>
        </w:tc>
        <w:tc>
          <w:tcPr>
            <w:tcW w:w="3526" w:type="dxa"/>
          </w:tcPr>
          <w:p>
            <w:pPr>
              <w:pStyle w:val="TableParagraph"/>
              <w:spacing w:before="57"/>
              <w:ind w:left="2400"/>
              <w:rPr>
                <w:rFonts w:ascii="Arial"/>
                <w:sz w:val="24"/>
              </w:rPr>
            </w:pPr>
            <w:r>
              <w:rPr>
                <w:rFonts w:ascii="Arial"/>
                <w:sz w:val="24"/>
              </w:rPr>
              <w:t>17</w:t>
            </w:r>
          </w:p>
        </w:tc>
      </w:tr>
      <w:tr>
        <w:trPr>
          <w:trHeight w:val="414" w:hRule="exact"/>
        </w:trPr>
        <w:tc>
          <w:tcPr>
            <w:tcW w:w="5424" w:type="dxa"/>
          </w:tcPr>
          <w:p>
            <w:pPr>
              <w:pStyle w:val="TableParagraph"/>
              <w:spacing w:before="55"/>
              <w:ind w:left="35"/>
              <w:rPr>
                <w:rFonts w:ascii="Arial" w:hAnsi="Arial"/>
                <w:sz w:val="24"/>
              </w:rPr>
            </w:pPr>
            <w:r>
              <w:rPr>
                <w:rFonts w:ascii="Arial" w:hAnsi="Arial"/>
                <w:sz w:val="24"/>
              </w:rPr>
              <w:t>Materiales y métodos</w:t>
            </w:r>
          </w:p>
        </w:tc>
        <w:tc>
          <w:tcPr>
            <w:tcW w:w="3526" w:type="dxa"/>
          </w:tcPr>
          <w:p>
            <w:pPr>
              <w:pStyle w:val="TableParagraph"/>
              <w:spacing w:before="55"/>
              <w:ind w:left="2400"/>
              <w:rPr>
                <w:rFonts w:ascii="Arial"/>
                <w:sz w:val="24"/>
              </w:rPr>
            </w:pPr>
            <w:r>
              <w:rPr>
                <w:rFonts w:ascii="Arial"/>
                <w:sz w:val="24"/>
              </w:rPr>
              <w:t>17</w:t>
            </w:r>
          </w:p>
        </w:tc>
      </w:tr>
      <w:tr>
        <w:trPr>
          <w:trHeight w:val="414" w:hRule="exact"/>
        </w:trPr>
        <w:tc>
          <w:tcPr>
            <w:tcW w:w="5424" w:type="dxa"/>
          </w:tcPr>
          <w:p>
            <w:pPr>
              <w:pStyle w:val="TableParagraph"/>
              <w:spacing w:before="57"/>
              <w:ind w:left="35"/>
              <w:rPr>
                <w:rFonts w:ascii="Arial" w:hAnsi="Arial"/>
                <w:sz w:val="24"/>
              </w:rPr>
            </w:pPr>
            <w:r>
              <w:rPr>
                <w:rFonts w:ascii="Arial" w:hAnsi="Arial"/>
                <w:sz w:val="24"/>
              </w:rPr>
              <w:t>Diseño de la investigación</w:t>
            </w:r>
          </w:p>
        </w:tc>
        <w:tc>
          <w:tcPr>
            <w:tcW w:w="3526" w:type="dxa"/>
          </w:tcPr>
          <w:p>
            <w:pPr>
              <w:pStyle w:val="TableParagraph"/>
              <w:spacing w:before="57"/>
              <w:ind w:left="2400"/>
              <w:rPr>
                <w:rFonts w:ascii="Arial"/>
                <w:sz w:val="24"/>
              </w:rPr>
            </w:pPr>
            <w:r>
              <w:rPr>
                <w:rFonts w:ascii="Arial"/>
                <w:sz w:val="24"/>
              </w:rPr>
              <w:t>21</w:t>
            </w:r>
          </w:p>
        </w:tc>
      </w:tr>
      <w:tr>
        <w:trPr>
          <w:trHeight w:val="414" w:hRule="exact"/>
        </w:trPr>
        <w:tc>
          <w:tcPr>
            <w:tcW w:w="5424" w:type="dxa"/>
          </w:tcPr>
          <w:p>
            <w:pPr>
              <w:pStyle w:val="TableParagraph"/>
              <w:spacing w:before="55"/>
              <w:ind w:left="35"/>
              <w:rPr>
                <w:rFonts w:ascii="Arial" w:hAnsi="Arial"/>
                <w:sz w:val="24"/>
              </w:rPr>
            </w:pPr>
            <w:r>
              <w:rPr>
                <w:rFonts w:ascii="Arial" w:hAnsi="Arial"/>
                <w:sz w:val="24"/>
              </w:rPr>
              <w:t>Consideraciones Bioéticas</w:t>
            </w:r>
          </w:p>
        </w:tc>
        <w:tc>
          <w:tcPr>
            <w:tcW w:w="3526" w:type="dxa"/>
          </w:tcPr>
          <w:p>
            <w:pPr>
              <w:pStyle w:val="TableParagraph"/>
              <w:spacing w:before="55"/>
              <w:ind w:left="2400"/>
              <w:rPr>
                <w:rFonts w:ascii="Arial"/>
                <w:sz w:val="24"/>
              </w:rPr>
            </w:pPr>
            <w:r>
              <w:rPr>
                <w:rFonts w:ascii="Arial"/>
                <w:sz w:val="24"/>
              </w:rPr>
              <w:t>25</w:t>
            </w:r>
          </w:p>
        </w:tc>
      </w:tr>
      <w:tr>
        <w:trPr>
          <w:trHeight w:val="414" w:hRule="exact"/>
        </w:trPr>
        <w:tc>
          <w:tcPr>
            <w:tcW w:w="5424" w:type="dxa"/>
          </w:tcPr>
          <w:p>
            <w:pPr>
              <w:pStyle w:val="TableParagraph"/>
              <w:spacing w:before="57"/>
              <w:ind w:left="35"/>
              <w:rPr>
                <w:rFonts w:ascii="Arial"/>
                <w:sz w:val="24"/>
              </w:rPr>
            </w:pPr>
            <w:r>
              <w:rPr>
                <w:rFonts w:ascii="Arial"/>
                <w:sz w:val="24"/>
              </w:rPr>
              <w:t>Resultados</w:t>
            </w:r>
          </w:p>
        </w:tc>
        <w:tc>
          <w:tcPr>
            <w:tcW w:w="3526" w:type="dxa"/>
          </w:tcPr>
          <w:p>
            <w:pPr>
              <w:pStyle w:val="TableParagraph"/>
              <w:spacing w:before="57"/>
              <w:ind w:left="2400"/>
              <w:rPr>
                <w:rFonts w:ascii="Arial"/>
                <w:sz w:val="24"/>
              </w:rPr>
            </w:pPr>
            <w:r>
              <w:rPr>
                <w:rFonts w:ascii="Arial"/>
                <w:sz w:val="24"/>
              </w:rPr>
              <w:t>26</w:t>
            </w:r>
          </w:p>
        </w:tc>
      </w:tr>
      <w:tr>
        <w:trPr>
          <w:trHeight w:val="414" w:hRule="exact"/>
        </w:trPr>
        <w:tc>
          <w:tcPr>
            <w:tcW w:w="5424" w:type="dxa"/>
          </w:tcPr>
          <w:p>
            <w:pPr>
              <w:pStyle w:val="TableParagraph"/>
              <w:spacing w:before="55"/>
              <w:ind w:left="35"/>
              <w:rPr>
                <w:rFonts w:ascii="Arial" w:hAnsi="Arial"/>
                <w:sz w:val="24"/>
              </w:rPr>
            </w:pPr>
            <w:r>
              <w:rPr>
                <w:rFonts w:ascii="Arial" w:hAnsi="Arial"/>
                <w:sz w:val="24"/>
              </w:rPr>
              <w:t>Discusión</w:t>
            </w:r>
          </w:p>
        </w:tc>
        <w:tc>
          <w:tcPr>
            <w:tcW w:w="3526" w:type="dxa"/>
          </w:tcPr>
          <w:p>
            <w:pPr>
              <w:pStyle w:val="TableParagraph"/>
              <w:spacing w:before="55"/>
              <w:ind w:left="2400"/>
              <w:rPr>
                <w:rFonts w:ascii="Arial"/>
                <w:sz w:val="24"/>
              </w:rPr>
            </w:pPr>
            <w:r>
              <w:rPr>
                <w:rFonts w:ascii="Arial"/>
                <w:sz w:val="24"/>
              </w:rPr>
              <w:t>37</w:t>
            </w:r>
          </w:p>
        </w:tc>
      </w:tr>
      <w:tr>
        <w:trPr>
          <w:trHeight w:val="414" w:hRule="exact"/>
        </w:trPr>
        <w:tc>
          <w:tcPr>
            <w:tcW w:w="5424" w:type="dxa"/>
          </w:tcPr>
          <w:p>
            <w:pPr>
              <w:pStyle w:val="TableParagraph"/>
              <w:spacing w:before="57"/>
              <w:ind w:left="35"/>
              <w:rPr>
                <w:rFonts w:ascii="Arial"/>
                <w:sz w:val="24"/>
              </w:rPr>
            </w:pPr>
            <w:r>
              <w:rPr>
                <w:rFonts w:ascii="Arial"/>
                <w:sz w:val="24"/>
              </w:rPr>
              <w:t>Conclusiones</w:t>
            </w:r>
          </w:p>
        </w:tc>
        <w:tc>
          <w:tcPr>
            <w:tcW w:w="3526" w:type="dxa"/>
          </w:tcPr>
          <w:p>
            <w:pPr>
              <w:pStyle w:val="TableParagraph"/>
              <w:spacing w:before="57"/>
              <w:ind w:left="2400"/>
              <w:rPr>
                <w:rFonts w:ascii="Arial"/>
                <w:sz w:val="24"/>
              </w:rPr>
            </w:pPr>
            <w:r>
              <w:rPr>
                <w:rFonts w:ascii="Arial"/>
                <w:sz w:val="24"/>
              </w:rPr>
              <w:t>41</w:t>
            </w:r>
          </w:p>
        </w:tc>
      </w:tr>
      <w:tr>
        <w:trPr>
          <w:trHeight w:val="414" w:hRule="exact"/>
        </w:trPr>
        <w:tc>
          <w:tcPr>
            <w:tcW w:w="5424" w:type="dxa"/>
          </w:tcPr>
          <w:p>
            <w:pPr>
              <w:pStyle w:val="TableParagraph"/>
              <w:spacing w:before="55"/>
              <w:ind w:left="35"/>
              <w:rPr>
                <w:rFonts w:ascii="Arial"/>
                <w:sz w:val="24"/>
              </w:rPr>
            </w:pPr>
            <w:r>
              <w:rPr>
                <w:rFonts w:ascii="Arial"/>
                <w:sz w:val="24"/>
              </w:rPr>
              <w:t>Anexo I</w:t>
            </w:r>
          </w:p>
        </w:tc>
        <w:tc>
          <w:tcPr>
            <w:tcW w:w="3526" w:type="dxa"/>
          </w:tcPr>
          <w:p>
            <w:pPr>
              <w:pStyle w:val="TableParagraph"/>
              <w:spacing w:before="55"/>
              <w:ind w:left="2400"/>
              <w:rPr>
                <w:rFonts w:ascii="Arial"/>
                <w:sz w:val="24"/>
              </w:rPr>
            </w:pPr>
            <w:r>
              <w:rPr>
                <w:rFonts w:ascii="Arial"/>
                <w:sz w:val="24"/>
              </w:rPr>
              <w:t>42</w:t>
            </w:r>
          </w:p>
        </w:tc>
      </w:tr>
      <w:tr>
        <w:trPr>
          <w:trHeight w:val="414" w:hRule="exact"/>
        </w:trPr>
        <w:tc>
          <w:tcPr>
            <w:tcW w:w="5424" w:type="dxa"/>
          </w:tcPr>
          <w:p>
            <w:pPr>
              <w:pStyle w:val="TableParagraph"/>
              <w:spacing w:before="57"/>
              <w:ind w:left="35"/>
              <w:rPr>
                <w:rFonts w:ascii="Arial"/>
                <w:sz w:val="24"/>
              </w:rPr>
            </w:pPr>
            <w:r>
              <w:rPr>
                <w:rFonts w:ascii="Arial"/>
                <w:sz w:val="24"/>
              </w:rPr>
              <w:t>Anexo II</w:t>
            </w:r>
          </w:p>
        </w:tc>
        <w:tc>
          <w:tcPr>
            <w:tcW w:w="3526" w:type="dxa"/>
          </w:tcPr>
          <w:p>
            <w:pPr>
              <w:pStyle w:val="TableParagraph"/>
              <w:spacing w:before="57"/>
              <w:ind w:left="2400"/>
              <w:rPr>
                <w:rFonts w:ascii="Arial"/>
                <w:sz w:val="24"/>
              </w:rPr>
            </w:pPr>
            <w:r>
              <w:rPr>
                <w:rFonts w:ascii="Arial"/>
                <w:sz w:val="24"/>
              </w:rPr>
              <w:t>43</w:t>
            </w:r>
          </w:p>
        </w:tc>
      </w:tr>
      <w:tr>
        <w:trPr>
          <w:trHeight w:val="414" w:hRule="exact"/>
        </w:trPr>
        <w:tc>
          <w:tcPr>
            <w:tcW w:w="5424" w:type="dxa"/>
          </w:tcPr>
          <w:p>
            <w:pPr>
              <w:pStyle w:val="TableParagraph"/>
              <w:spacing w:before="55"/>
              <w:ind w:left="35"/>
              <w:rPr>
                <w:rFonts w:ascii="Arial"/>
                <w:sz w:val="24"/>
              </w:rPr>
            </w:pPr>
            <w:r>
              <w:rPr>
                <w:rFonts w:ascii="Arial"/>
                <w:sz w:val="24"/>
              </w:rPr>
              <w:t>Anexo III</w:t>
            </w:r>
          </w:p>
        </w:tc>
        <w:tc>
          <w:tcPr>
            <w:tcW w:w="3526" w:type="dxa"/>
          </w:tcPr>
          <w:p>
            <w:pPr>
              <w:pStyle w:val="TableParagraph"/>
              <w:spacing w:before="55"/>
              <w:ind w:left="2400"/>
              <w:rPr>
                <w:rFonts w:ascii="Arial"/>
                <w:sz w:val="24"/>
              </w:rPr>
            </w:pPr>
            <w:r>
              <w:rPr>
                <w:rFonts w:ascii="Arial"/>
                <w:sz w:val="24"/>
              </w:rPr>
              <w:t>44</w:t>
            </w:r>
          </w:p>
        </w:tc>
      </w:tr>
      <w:tr>
        <w:trPr>
          <w:trHeight w:val="414" w:hRule="exact"/>
        </w:trPr>
        <w:tc>
          <w:tcPr>
            <w:tcW w:w="5424" w:type="dxa"/>
          </w:tcPr>
          <w:p>
            <w:pPr>
              <w:pStyle w:val="TableParagraph"/>
              <w:spacing w:before="57"/>
              <w:ind w:left="35"/>
              <w:rPr>
                <w:rFonts w:ascii="Arial"/>
                <w:sz w:val="24"/>
              </w:rPr>
            </w:pPr>
            <w:r>
              <w:rPr>
                <w:rFonts w:ascii="Arial"/>
                <w:sz w:val="24"/>
              </w:rPr>
              <w:t>Anexo IV</w:t>
            </w:r>
          </w:p>
        </w:tc>
        <w:tc>
          <w:tcPr>
            <w:tcW w:w="3526" w:type="dxa"/>
          </w:tcPr>
          <w:p>
            <w:pPr>
              <w:pStyle w:val="TableParagraph"/>
              <w:spacing w:before="57"/>
              <w:ind w:left="2400"/>
              <w:rPr>
                <w:rFonts w:ascii="Arial"/>
                <w:sz w:val="24"/>
              </w:rPr>
            </w:pPr>
            <w:r>
              <w:rPr>
                <w:rFonts w:ascii="Arial"/>
                <w:sz w:val="24"/>
              </w:rPr>
              <w:t>45</w:t>
            </w:r>
          </w:p>
        </w:tc>
      </w:tr>
      <w:tr>
        <w:trPr>
          <w:trHeight w:val="414" w:hRule="exact"/>
        </w:trPr>
        <w:tc>
          <w:tcPr>
            <w:tcW w:w="5424" w:type="dxa"/>
          </w:tcPr>
          <w:p>
            <w:pPr>
              <w:pStyle w:val="TableParagraph"/>
              <w:spacing w:before="55"/>
              <w:ind w:left="35"/>
              <w:rPr>
                <w:rFonts w:ascii="Arial"/>
                <w:sz w:val="24"/>
              </w:rPr>
            </w:pPr>
            <w:r>
              <w:rPr>
                <w:rFonts w:ascii="Arial"/>
                <w:sz w:val="24"/>
              </w:rPr>
              <w:t>Anexo V</w:t>
            </w:r>
          </w:p>
        </w:tc>
        <w:tc>
          <w:tcPr>
            <w:tcW w:w="3526" w:type="dxa"/>
          </w:tcPr>
          <w:p>
            <w:pPr>
              <w:pStyle w:val="TableParagraph"/>
              <w:spacing w:before="55"/>
              <w:ind w:left="2400"/>
              <w:rPr>
                <w:rFonts w:ascii="Arial"/>
                <w:sz w:val="24"/>
              </w:rPr>
            </w:pPr>
            <w:r>
              <w:rPr>
                <w:rFonts w:ascii="Arial"/>
                <w:sz w:val="24"/>
              </w:rPr>
              <w:t>46</w:t>
            </w:r>
          </w:p>
        </w:tc>
      </w:tr>
      <w:tr>
        <w:trPr>
          <w:trHeight w:val="414" w:hRule="exact"/>
        </w:trPr>
        <w:tc>
          <w:tcPr>
            <w:tcW w:w="5424" w:type="dxa"/>
          </w:tcPr>
          <w:p>
            <w:pPr>
              <w:pStyle w:val="TableParagraph"/>
              <w:spacing w:before="57"/>
              <w:ind w:left="35"/>
              <w:rPr>
                <w:rFonts w:ascii="Arial"/>
                <w:sz w:val="24"/>
              </w:rPr>
            </w:pPr>
            <w:r>
              <w:rPr>
                <w:rFonts w:ascii="Arial"/>
                <w:sz w:val="24"/>
              </w:rPr>
              <w:t>Anexo VI</w:t>
            </w:r>
          </w:p>
        </w:tc>
        <w:tc>
          <w:tcPr>
            <w:tcW w:w="3526" w:type="dxa"/>
          </w:tcPr>
          <w:p>
            <w:pPr>
              <w:pStyle w:val="TableParagraph"/>
              <w:spacing w:before="57"/>
              <w:ind w:left="2400"/>
              <w:rPr>
                <w:rFonts w:ascii="Arial"/>
                <w:sz w:val="24"/>
              </w:rPr>
            </w:pPr>
            <w:r>
              <w:rPr>
                <w:rFonts w:ascii="Arial"/>
                <w:sz w:val="24"/>
              </w:rPr>
              <w:t>47</w:t>
            </w:r>
          </w:p>
        </w:tc>
      </w:tr>
      <w:tr>
        <w:trPr>
          <w:trHeight w:val="414" w:hRule="exact"/>
        </w:trPr>
        <w:tc>
          <w:tcPr>
            <w:tcW w:w="5424" w:type="dxa"/>
          </w:tcPr>
          <w:p>
            <w:pPr>
              <w:pStyle w:val="TableParagraph"/>
              <w:spacing w:before="55"/>
              <w:ind w:left="35"/>
              <w:rPr>
                <w:rFonts w:ascii="Arial" w:hAnsi="Arial"/>
                <w:sz w:val="24"/>
              </w:rPr>
            </w:pPr>
            <w:r>
              <w:rPr>
                <w:rFonts w:ascii="Arial" w:hAnsi="Arial"/>
                <w:sz w:val="24"/>
              </w:rPr>
              <w:t>Memoria de participación</w:t>
            </w:r>
          </w:p>
        </w:tc>
        <w:tc>
          <w:tcPr>
            <w:tcW w:w="3526" w:type="dxa"/>
          </w:tcPr>
          <w:p>
            <w:pPr>
              <w:pStyle w:val="TableParagraph"/>
              <w:spacing w:before="55"/>
              <w:ind w:left="2400"/>
              <w:rPr>
                <w:rFonts w:ascii="Arial"/>
                <w:sz w:val="24"/>
              </w:rPr>
            </w:pPr>
            <w:r>
              <w:rPr>
                <w:rFonts w:ascii="Arial"/>
                <w:sz w:val="24"/>
              </w:rPr>
              <w:t>48</w:t>
            </w:r>
          </w:p>
        </w:tc>
      </w:tr>
      <w:tr>
        <w:trPr>
          <w:trHeight w:val="428" w:hRule="exact"/>
        </w:trPr>
        <w:tc>
          <w:tcPr>
            <w:tcW w:w="5424" w:type="dxa"/>
          </w:tcPr>
          <w:p>
            <w:pPr>
              <w:pStyle w:val="TableParagraph"/>
              <w:spacing w:before="57"/>
              <w:ind w:left="35"/>
              <w:rPr>
                <w:rFonts w:ascii="Arial" w:hAnsi="Arial"/>
                <w:sz w:val="24"/>
              </w:rPr>
            </w:pPr>
            <w:r>
              <w:rPr>
                <w:rFonts w:ascii="Arial" w:hAnsi="Arial"/>
                <w:sz w:val="24"/>
              </w:rPr>
              <w:t>Bibliografía</w:t>
            </w:r>
          </w:p>
        </w:tc>
        <w:tc>
          <w:tcPr>
            <w:tcW w:w="3526" w:type="dxa"/>
          </w:tcPr>
          <w:p>
            <w:pPr>
              <w:pStyle w:val="TableParagraph"/>
              <w:spacing w:before="57"/>
              <w:ind w:left="2400"/>
              <w:rPr>
                <w:rFonts w:ascii="Arial"/>
                <w:sz w:val="24"/>
              </w:rPr>
            </w:pPr>
            <w:r>
              <w:rPr>
                <w:rFonts w:ascii="Arial"/>
                <w:sz w:val="24"/>
              </w:rPr>
              <w:t>49</w:t>
            </w:r>
          </w:p>
        </w:tc>
      </w:tr>
    </w:tbl>
    <w:p>
      <w:pPr>
        <w:spacing w:after="0"/>
        <w:rPr>
          <w:rFonts w:ascii="Arial"/>
          <w:sz w:val="24"/>
        </w:rPr>
        <w:sectPr>
          <w:headerReference w:type="default" r:id="rId8"/>
          <w:pgSz w:w="12240" w:h="15840"/>
          <w:pgMar w:header="731" w:footer="1017" w:top="1360" w:bottom="1220" w:left="560" w:right="540"/>
        </w:sectPr>
      </w:pPr>
    </w:p>
    <w:p>
      <w:pPr>
        <w:pStyle w:val="BodyText"/>
        <w:spacing w:before="1"/>
        <w:rPr>
          <w:b/>
          <w:sz w:val="18"/>
        </w:rPr>
      </w:pPr>
    </w:p>
    <w:p>
      <w:pPr>
        <w:spacing w:before="65"/>
        <w:ind w:left="313" w:right="328" w:firstLine="0"/>
        <w:jc w:val="center"/>
        <w:rPr>
          <w:b/>
          <w:sz w:val="28"/>
        </w:rPr>
      </w:pPr>
      <w:r>
        <w:rPr>
          <w:b/>
          <w:sz w:val="28"/>
        </w:rPr>
        <w:t>RESUMEN</w:t>
      </w:r>
    </w:p>
    <w:p>
      <w:pPr>
        <w:pStyle w:val="BodyText"/>
        <w:rPr>
          <w:b/>
          <w:sz w:val="28"/>
        </w:rPr>
      </w:pPr>
    </w:p>
    <w:p>
      <w:pPr>
        <w:pStyle w:val="BodyText"/>
        <w:spacing w:before="9"/>
        <w:rPr>
          <w:b/>
          <w:sz w:val="27"/>
        </w:rPr>
      </w:pPr>
    </w:p>
    <w:p>
      <w:pPr>
        <w:pStyle w:val="BodyText"/>
        <w:spacing w:line="460" w:lineRule="auto"/>
        <w:ind w:left="160" w:right="175"/>
        <w:jc w:val="both"/>
        <w:rPr>
          <w:sz w:val="16"/>
        </w:rPr>
      </w:pPr>
      <w:r>
        <w:rPr/>
        <w:t>La caries dental es un problema de salud pública que afecta los tejidos calcificados de los dientes disolviendo la estructura inorgánica.</w:t>
      </w:r>
      <w:r>
        <w:rPr>
          <w:position w:val="11"/>
          <w:sz w:val="16"/>
        </w:rPr>
        <w:t>1 </w:t>
      </w:r>
      <w:r>
        <w:rPr/>
        <w:t>La población con mayor riesgo de adquirir esta patología está constituida por niños, las superficies oclusales son las más afectadas en los dientes posteriores permanentes.</w:t>
      </w:r>
      <w:r>
        <w:rPr>
          <w:position w:val="11"/>
          <w:sz w:val="16"/>
        </w:rPr>
        <w:t>2 </w:t>
      </w:r>
      <w:r>
        <w:rPr/>
        <w:t>Para prevenir la impactación de alimentos y bacterias que crean condiciones ácidas que resultan en lesiones de caries, se han utilizado selladores de fosetas y fisuras, para prevenir la caries en la región de fosetas y fisuras con buenos resultados. </w:t>
      </w:r>
      <w:r>
        <w:rPr>
          <w:position w:val="11"/>
          <w:sz w:val="16"/>
        </w:rPr>
        <w:t>3,4,5</w:t>
      </w:r>
    </w:p>
    <w:p>
      <w:pPr>
        <w:pStyle w:val="BodyText"/>
        <w:rPr>
          <w:sz w:val="28"/>
        </w:rPr>
      </w:pPr>
    </w:p>
    <w:p>
      <w:pPr>
        <w:pStyle w:val="BodyText"/>
        <w:spacing w:line="448" w:lineRule="auto" w:before="225"/>
        <w:ind w:left="160" w:right="179"/>
        <w:jc w:val="both"/>
        <w:rPr>
          <w:sz w:val="16"/>
        </w:rPr>
      </w:pPr>
      <w:r>
        <w:rPr/>
        <w:t>La aplicación de los selladores es una técnica indolora y no invasiva, que evita la pérdida innecesaria de la estructura del diente. </w:t>
      </w:r>
      <w:r>
        <w:rPr>
          <w:position w:val="11"/>
          <w:sz w:val="16"/>
        </w:rPr>
        <w:t>6</w:t>
      </w:r>
    </w:p>
    <w:p>
      <w:pPr>
        <w:pStyle w:val="BodyText"/>
        <w:rPr>
          <w:sz w:val="28"/>
        </w:rPr>
      </w:pPr>
    </w:p>
    <w:p>
      <w:pPr>
        <w:pStyle w:val="BodyText"/>
        <w:spacing w:before="6"/>
        <w:rPr>
          <w:sz w:val="31"/>
        </w:rPr>
      </w:pPr>
    </w:p>
    <w:p>
      <w:pPr>
        <w:pStyle w:val="Heading2"/>
        <w:jc w:val="both"/>
      </w:pPr>
      <w:r>
        <w:rPr/>
        <w:t>INTRODUCCIÓN</w:t>
      </w:r>
    </w:p>
    <w:p>
      <w:pPr>
        <w:pStyle w:val="BodyText"/>
        <w:rPr>
          <w:b/>
        </w:rPr>
      </w:pPr>
    </w:p>
    <w:p>
      <w:pPr>
        <w:pStyle w:val="BodyText"/>
        <w:spacing w:line="448" w:lineRule="auto"/>
        <w:ind w:left="160" w:right="187"/>
        <w:jc w:val="both"/>
        <w:rPr>
          <w:sz w:val="16"/>
        </w:rPr>
      </w:pPr>
      <w:r>
        <w:rPr/>
        <w:t>La caries dental es un problema de salud pública que afecta los tejidos calcificados de los dientes disolviendo la estructura inorgánica.</w:t>
      </w:r>
      <w:r>
        <w:rPr>
          <w:position w:val="11"/>
          <w:sz w:val="16"/>
        </w:rPr>
        <w:t>1</w:t>
      </w:r>
    </w:p>
    <w:p>
      <w:pPr>
        <w:pStyle w:val="BodyText"/>
        <w:spacing w:line="470" w:lineRule="auto" w:before="10"/>
        <w:ind w:left="160" w:right="179"/>
        <w:jc w:val="both"/>
      </w:pPr>
      <w:r>
        <w:rPr/>
        <w:t>La población con mayor riesgo de adquirir esta patología está constituida por niños, las superficies oclusales son las más afectadas en los dientes posteriores permanentes.</w:t>
      </w:r>
      <w:r>
        <w:rPr>
          <w:position w:val="11"/>
          <w:sz w:val="16"/>
        </w:rPr>
        <w:t>2 </w:t>
      </w:r>
      <w:r>
        <w:rPr/>
        <w:t>Se han utilizado varias medidas para prevenir la impactación de alimentos y bacterias, lo que crea condiciones ácidas que resultan en lesiones de caries,  uno de los métodos más aceptados son los  selladores de fosetas   y</w:t>
      </w:r>
    </w:p>
    <w:p>
      <w:pPr>
        <w:pStyle w:val="BodyText"/>
        <w:spacing w:line="465" w:lineRule="auto" w:before="19"/>
        <w:ind w:left="160" w:right="180"/>
        <w:jc w:val="both"/>
        <w:rPr>
          <w:sz w:val="16"/>
        </w:rPr>
      </w:pPr>
      <w:r>
        <w:rPr/>
        <w:t>fisuras, los cuales fueron desarrollados por Cueto y Buonocore (1965) específicamente para prevenir la caries en la región de fosetas y fisuras varios tipos de sellantes han estado en uso durante más de 30 años y han sido eficaces. </w:t>
      </w:r>
      <w:r>
        <w:rPr>
          <w:position w:val="11"/>
          <w:sz w:val="16"/>
        </w:rPr>
        <w:t>3,4,5</w:t>
      </w:r>
    </w:p>
    <w:p>
      <w:pPr>
        <w:spacing w:after="0" w:line="465" w:lineRule="auto"/>
        <w:jc w:val="both"/>
        <w:rPr>
          <w:sz w:val="16"/>
        </w:rPr>
        <w:sectPr>
          <w:pgSz w:w="12240" w:h="15840"/>
          <w:pgMar w:header="731" w:footer="1017" w:top="1360" w:bottom="1220" w:left="560" w:right="540"/>
        </w:sectPr>
      </w:pPr>
    </w:p>
    <w:p>
      <w:pPr>
        <w:pStyle w:val="BodyText"/>
        <w:spacing w:before="7"/>
        <w:rPr>
          <w:sz w:val="17"/>
        </w:rPr>
      </w:pPr>
    </w:p>
    <w:p>
      <w:pPr>
        <w:pStyle w:val="BodyText"/>
        <w:spacing w:line="448" w:lineRule="auto" w:before="69"/>
        <w:ind w:left="160" w:right="184"/>
        <w:jc w:val="both"/>
        <w:rPr>
          <w:sz w:val="16"/>
        </w:rPr>
      </w:pPr>
      <w:r>
        <w:rPr/>
        <w:t>La aplicación de los selladores es una técnica indolora y no invasiva, que evita la pérdida innecesaria de la estructura del diente. </w:t>
      </w:r>
      <w:r>
        <w:rPr>
          <w:position w:val="11"/>
          <w:sz w:val="16"/>
        </w:rPr>
        <w:t>6</w:t>
      </w:r>
    </w:p>
    <w:p>
      <w:pPr>
        <w:pStyle w:val="BodyText"/>
        <w:rPr>
          <w:sz w:val="28"/>
        </w:rPr>
      </w:pPr>
    </w:p>
    <w:p>
      <w:pPr>
        <w:pStyle w:val="Heading2"/>
        <w:spacing w:before="240"/>
        <w:jc w:val="both"/>
      </w:pPr>
      <w:r>
        <w:rPr/>
        <w:t>PROPÓSITO:</w:t>
      </w:r>
    </w:p>
    <w:p>
      <w:pPr>
        <w:pStyle w:val="BodyText"/>
        <w:rPr>
          <w:b/>
        </w:rPr>
      </w:pPr>
    </w:p>
    <w:p>
      <w:pPr>
        <w:pStyle w:val="BodyText"/>
        <w:spacing w:line="480" w:lineRule="auto"/>
        <w:ind w:left="160" w:right="173"/>
        <w:jc w:val="both"/>
      </w:pPr>
      <w:r>
        <w:rPr/>
        <w:t>Comparar la retención de tres tipos de selladores (Helioseal®F (Vivadent – Ivoclar), Clinpro TM Sealant ( 3M ESPE ), UltraSeal XT® plus (Ultradent) ,en primeros molares permanentes en un grupo de niños de la ciudad de Toluca, en un periodo de 6 meses.</w:t>
      </w:r>
    </w:p>
    <w:p>
      <w:pPr>
        <w:pStyle w:val="BodyText"/>
      </w:pPr>
    </w:p>
    <w:p>
      <w:pPr>
        <w:pStyle w:val="BodyText"/>
        <w:spacing w:before="8"/>
      </w:pPr>
    </w:p>
    <w:p>
      <w:pPr>
        <w:pStyle w:val="Heading2"/>
        <w:jc w:val="both"/>
      </w:pPr>
      <w:r>
        <w:rPr/>
        <w:t>MATERIALES Y MÉTODOS.</w:t>
      </w:r>
    </w:p>
    <w:p>
      <w:pPr>
        <w:pStyle w:val="BodyText"/>
        <w:rPr>
          <w:b/>
        </w:rPr>
      </w:pPr>
    </w:p>
    <w:p>
      <w:pPr>
        <w:pStyle w:val="BodyText"/>
        <w:spacing w:line="480" w:lineRule="auto"/>
        <w:ind w:left="160" w:right="173"/>
        <w:jc w:val="both"/>
      </w:pPr>
      <w:r>
        <w:rPr/>
        <w:t>Se colocaron 59 selladores de fosetas y fisuras en primeros molares permanentes, de un grupo de niños de la ciudad de Toluca de tres marcas diferentes Helioseal®F (Vivadent– Ivoclar), Clinpro TM Sealant ( 3M ESPE ), UltraSeal XT® plus (Ultradent) siguiendo las indicaciones de cada fabricante para su colocación. Se realizaron dos evaluaciones  posteriores a su colocación (3 y 6 meses).</w:t>
      </w:r>
    </w:p>
    <w:p>
      <w:pPr>
        <w:pStyle w:val="BodyText"/>
        <w:spacing w:before="1"/>
        <w:rPr>
          <w:sz w:val="25"/>
        </w:rPr>
      </w:pPr>
    </w:p>
    <w:p>
      <w:pPr>
        <w:pStyle w:val="Heading2"/>
        <w:jc w:val="both"/>
      </w:pPr>
      <w:r>
        <w:rPr/>
        <w:t>RESULTADOS:</w:t>
      </w:r>
    </w:p>
    <w:p>
      <w:pPr>
        <w:pStyle w:val="BodyText"/>
        <w:rPr>
          <w:b/>
        </w:rPr>
      </w:pPr>
    </w:p>
    <w:p>
      <w:pPr>
        <w:pStyle w:val="BodyText"/>
        <w:spacing w:before="2"/>
        <w:rPr>
          <w:b/>
        </w:rPr>
      </w:pPr>
    </w:p>
    <w:p>
      <w:pPr>
        <w:pStyle w:val="BodyText"/>
        <w:spacing w:line="480" w:lineRule="auto"/>
        <w:ind w:left="160" w:right="226"/>
        <w:jc w:val="both"/>
      </w:pPr>
      <w:r>
        <w:rPr/>
        <w:t>Se incluyeron en el estudio 10 niños y 9 niñas que cumplieron con los criterios de inclusión, con un total de 19 niños. El rango de edad de los niños que se incluyeron en el presente estudio fue de 7 a 8 años de edad de los cuales se atendieron 7 de 7 años de edad y 12 de 8 años de edad. La marca de sellador que menos reporta desalojos totales es UltraSeal XT, aunque en los registros por molar de cada marca no existe diferencia significativa entre las tres marcas. El método estadístico utilizado fue SPSS vs</w:t>
      </w:r>
      <w:r>
        <w:rPr>
          <w:spacing w:val="-4"/>
        </w:rPr>
        <w:t> </w:t>
      </w:r>
      <w:r>
        <w:rPr/>
        <w:t>16.</w:t>
      </w:r>
    </w:p>
    <w:p>
      <w:pPr>
        <w:spacing w:after="0" w:line="480" w:lineRule="auto"/>
        <w:jc w:val="both"/>
        <w:sectPr>
          <w:pgSz w:w="12240" w:h="15840"/>
          <w:pgMar w:header="731" w:footer="1017" w:top="1360" w:bottom="1220" w:left="560" w:right="540"/>
        </w:sectPr>
      </w:pPr>
    </w:p>
    <w:p>
      <w:pPr>
        <w:pStyle w:val="BodyText"/>
        <w:spacing w:before="1"/>
        <w:rPr>
          <w:sz w:val="18"/>
        </w:rPr>
      </w:pPr>
    </w:p>
    <w:p>
      <w:pPr>
        <w:pStyle w:val="Heading1"/>
        <w:ind w:right="327"/>
      </w:pPr>
      <w:r>
        <w:rPr/>
        <w:t>CONCLUSIONES.</w:t>
      </w:r>
    </w:p>
    <w:p>
      <w:pPr>
        <w:pStyle w:val="BodyText"/>
        <w:spacing w:before="9"/>
        <w:rPr>
          <w:b/>
          <w:sz w:val="27"/>
        </w:rPr>
      </w:pPr>
    </w:p>
    <w:p>
      <w:pPr>
        <w:pStyle w:val="BodyText"/>
        <w:spacing w:line="480" w:lineRule="auto" w:before="1"/>
        <w:ind w:left="160" w:right="187"/>
        <w:jc w:val="both"/>
      </w:pPr>
      <w:r>
        <w:rPr/>
        <w:t>Los resultados de este estudio indican la necesidad de evaluar los selladores a los tres meses, independientemente del tipo de sellador utilizado.</w:t>
      </w:r>
    </w:p>
    <w:p>
      <w:pPr>
        <w:pStyle w:val="BodyText"/>
      </w:pPr>
    </w:p>
    <w:p>
      <w:pPr>
        <w:pStyle w:val="BodyText"/>
        <w:spacing w:before="7"/>
      </w:pPr>
    </w:p>
    <w:p>
      <w:pPr>
        <w:pStyle w:val="BodyText"/>
        <w:spacing w:line="480" w:lineRule="auto" w:before="1"/>
        <w:ind w:left="160" w:right="178"/>
        <w:jc w:val="both"/>
      </w:pPr>
      <w:r>
        <w:rPr/>
        <w:t>En el análisis comparativo de este estudio no se observaron diferencias significativas, no obstante el sellador UltraSeal XT presenta menos desalojos totales, probablemente debido al uso de un desecante.</w:t>
      </w:r>
    </w:p>
    <w:p>
      <w:pPr>
        <w:spacing w:after="0" w:line="480" w:lineRule="auto"/>
        <w:jc w:val="both"/>
        <w:sectPr>
          <w:pgSz w:w="12240" w:h="15840"/>
          <w:pgMar w:header="731" w:footer="1017" w:top="1360" w:bottom="1220" w:left="560" w:right="540"/>
        </w:sectPr>
      </w:pPr>
    </w:p>
    <w:p>
      <w:pPr>
        <w:pStyle w:val="BodyText"/>
        <w:spacing w:before="1"/>
        <w:rPr>
          <w:sz w:val="18"/>
        </w:rPr>
      </w:pPr>
    </w:p>
    <w:p>
      <w:pPr>
        <w:pStyle w:val="Heading1"/>
        <w:ind w:right="330"/>
      </w:pPr>
      <w:r>
        <w:rPr/>
        <w:t>MARCO TEÓRICO.</w:t>
      </w:r>
    </w:p>
    <w:p>
      <w:pPr>
        <w:pStyle w:val="BodyText"/>
        <w:rPr>
          <w:b/>
          <w:sz w:val="28"/>
        </w:rPr>
      </w:pPr>
    </w:p>
    <w:p>
      <w:pPr>
        <w:pStyle w:val="BodyText"/>
        <w:rPr>
          <w:b/>
          <w:sz w:val="28"/>
        </w:rPr>
      </w:pPr>
    </w:p>
    <w:p>
      <w:pPr>
        <w:pStyle w:val="BodyText"/>
        <w:spacing w:before="9"/>
        <w:rPr>
          <w:b/>
          <w:sz w:val="22"/>
        </w:rPr>
      </w:pPr>
    </w:p>
    <w:p>
      <w:pPr>
        <w:pStyle w:val="BodyText"/>
        <w:spacing w:line="480" w:lineRule="auto"/>
        <w:ind w:left="160" w:right="178"/>
        <w:jc w:val="both"/>
      </w:pPr>
      <w:r>
        <w:rPr/>
        <w:t>Entre las principales enfermedades que afectan la cavidad bucal figuran la caries dental, que se define como la enfermedad infecciosa de origen multifactorial caracterizada por el reblandecimiento del tejido duro del diente que evoluciona hasta formar una cavidad. Los datos de estudios realizados en algunos grupos de población de nuestro país y la información sobre la demanda de atención odontológica en los servicios de salud en México indican que se trata de un padecimiento de alta</w:t>
      </w:r>
    </w:p>
    <w:p>
      <w:pPr>
        <w:pStyle w:val="BodyText"/>
        <w:spacing w:line="284" w:lineRule="exact"/>
        <w:ind w:left="160"/>
        <w:jc w:val="both"/>
        <w:rPr>
          <w:sz w:val="16"/>
        </w:rPr>
      </w:pPr>
      <w:r>
        <w:rPr/>
        <w:t>prevalencia. </w:t>
      </w:r>
      <w:r>
        <w:rPr>
          <w:position w:val="11"/>
          <w:sz w:val="16"/>
        </w:rPr>
        <w:t>7,8</w:t>
      </w:r>
    </w:p>
    <w:p>
      <w:pPr>
        <w:pStyle w:val="BodyText"/>
        <w:rPr>
          <w:sz w:val="28"/>
        </w:rPr>
      </w:pPr>
    </w:p>
    <w:p>
      <w:pPr>
        <w:pStyle w:val="BodyText"/>
        <w:rPr>
          <w:sz w:val="28"/>
        </w:rPr>
      </w:pPr>
    </w:p>
    <w:p>
      <w:pPr>
        <w:pStyle w:val="BodyText"/>
        <w:spacing w:line="465" w:lineRule="auto" w:before="184"/>
        <w:ind w:left="160" w:right="183"/>
        <w:jc w:val="both"/>
        <w:rPr>
          <w:sz w:val="16"/>
        </w:rPr>
      </w:pPr>
      <w:r>
        <w:rPr/>
        <w:t>Los problemas de morbilidad bucal ocupan un papel importante en el panorama de salud pública, toda vez que demandan conductas personales para su control más eficaz y, en buena medida, se trata de problemas que pueden prevenirse con mínimas conductas de protección a la salud.</w:t>
      </w:r>
      <w:r>
        <w:rPr>
          <w:position w:val="11"/>
          <w:sz w:val="16"/>
        </w:rPr>
        <w:t>7</w:t>
      </w:r>
    </w:p>
    <w:p>
      <w:pPr>
        <w:pStyle w:val="BodyText"/>
        <w:rPr>
          <w:sz w:val="28"/>
        </w:rPr>
      </w:pPr>
    </w:p>
    <w:p>
      <w:pPr>
        <w:pStyle w:val="BodyText"/>
        <w:spacing w:line="480" w:lineRule="auto" w:before="219"/>
        <w:ind w:left="160" w:right="172"/>
        <w:jc w:val="both"/>
      </w:pPr>
      <w:r>
        <w:rPr/>
        <w:t>La caries puede ser controlada con medidas preventivas relativamente simples, de probada eficacia  y de fácil aplicación como son: educación sanitaria, control mecánico de la placa bacteriana  mediante el cepillado dental y el uso de la seda, aplicación de selladores de fosas y fisuras, administración de fluor por vía sistémica y tópica, control de </w:t>
      </w:r>
      <w:r>
        <w:rPr>
          <w:spacing w:val="4"/>
        </w:rPr>
        <w:t>la </w:t>
      </w:r>
      <w:r>
        <w:rPr/>
        <w:t>dieta evitando el exceso de hidratos de carbono fermentables y revisión periódica por el odontólogo. De hecho, la conjugación de todas estas medidas preventivas, con mención especial al fluor, es la responsable de la disminución progresiva de la prevalencia de caries en las superficies libres, lo que ha provocado un incremento relativo en la proporción de caries de fosas y fisuras. La caries de superficies oclusales representa</w:t>
      </w:r>
      <w:r>
        <w:rPr>
          <w:spacing w:val="31"/>
        </w:rPr>
        <w:t> </w:t>
      </w:r>
      <w:r>
        <w:rPr/>
        <w:t>la</w:t>
      </w:r>
    </w:p>
    <w:p>
      <w:pPr>
        <w:pStyle w:val="BodyText"/>
        <w:spacing w:line="448" w:lineRule="auto" w:before="8"/>
        <w:ind w:left="160" w:right="172"/>
        <w:jc w:val="both"/>
        <w:rPr>
          <w:sz w:val="16"/>
        </w:rPr>
      </w:pPr>
      <w:r>
        <w:rPr/>
        <w:t>mayor parte de las nuevas lesiones que se detectan en la dentición de la generación «post- fluoruros». </w:t>
      </w:r>
      <w:r>
        <w:rPr>
          <w:position w:val="11"/>
          <w:sz w:val="16"/>
        </w:rPr>
        <w:t>9</w:t>
      </w:r>
    </w:p>
    <w:p>
      <w:pPr>
        <w:spacing w:after="0" w:line="448" w:lineRule="auto"/>
        <w:jc w:val="both"/>
        <w:rPr>
          <w:sz w:val="16"/>
        </w:rPr>
        <w:sectPr>
          <w:pgSz w:w="12240" w:h="15840"/>
          <w:pgMar w:header="731" w:footer="1017" w:top="1360" w:bottom="1220" w:left="560" w:right="540"/>
        </w:sectPr>
      </w:pPr>
    </w:p>
    <w:p>
      <w:pPr>
        <w:pStyle w:val="BodyText"/>
        <w:rPr>
          <w:sz w:val="20"/>
        </w:rPr>
      </w:pPr>
    </w:p>
    <w:p>
      <w:pPr>
        <w:pStyle w:val="BodyText"/>
        <w:rPr>
          <w:sz w:val="20"/>
        </w:rPr>
      </w:pPr>
    </w:p>
    <w:p>
      <w:pPr>
        <w:pStyle w:val="BodyText"/>
        <w:spacing w:before="7"/>
        <w:rPr>
          <w:sz w:val="25"/>
        </w:rPr>
      </w:pPr>
    </w:p>
    <w:p>
      <w:pPr>
        <w:pStyle w:val="BodyText"/>
        <w:spacing w:line="480" w:lineRule="auto" w:before="69"/>
        <w:ind w:left="160" w:right="232"/>
        <w:jc w:val="both"/>
        <w:rPr>
          <w:sz w:val="13"/>
        </w:rPr>
      </w:pPr>
      <w:r>
        <w:rPr/>
        <w:t>El método que ha revelado ser más efectivo en la prevención de caries oclusal son los selladores de fosas y fisuras; la mayoría  de estos materiales están basados en  resinas Bis-GMA</w:t>
      </w:r>
      <w:r>
        <w:rPr>
          <w:spacing w:val="-50"/>
        </w:rPr>
        <w:t> </w:t>
      </w:r>
      <w:r>
        <w:rPr>
          <w:position w:val="10"/>
          <w:sz w:val="13"/>
        </w:rPr>
        <w:t>5</w:t>
      </w:r>
    </w:p>
    <w:p>
      <w:pPr>
        <w:pStyle w:val="BodyText"/>
      </w:pPr>
    </w:p>
    <w:p>
      <w:pPr>
        <w:pStyle w:val="BodyText"/>
        <w:spacing w:line="470" w:lineRule="auto" w:before="190"/>
        <w:ind w:left="160" w:right="178"/>
        <w:jc w:val="both"/>
        <w:rPr>
          <w:sz w:val="16"/>
        </w:rPr>
      </w:pPr>
      <w:r>
        <w:rPr/>
        <w:t>Los sellantes tienen 3 efectos preventivos fundamentales: 1) obturan mecánicamente las fosas y fisuras con una resina resistente a los ácidos; 2) al obturar la fosas y fisuras suprimen el hábitat de los streptococcus mutans y otros microorganismos y 3) facilita la limpieza de la fosas y fisuras mediante métodos físicos como el cepillado dental y la masticación. </w:t>
      </w:r>
      <w:r>
        <w:rPr>
          <w:position w:val="11"/>
          <w:sz w:val="16"/>
        </w:rPr>
        <w:t>12</w:t>
      </w:r>
    </w:p>
    <w:p>
      <w:pPr>
        <w:pStyle w:val="BodyText"/>
        <w:spacing w:line="259" w:lineRule="exact"/>
        <w:ind w:left="160"/>
        <w:jc w:val="both"/>
      </w:pPr>
      <w:r>
        <w:rPr/>
        <w:t>Las condiciones de un sellador deben ser: biocompatibilidad, fácil manipulación, tiempo de  fraguado</w:t>
      </w:r>
    </w:p>
    <w:p>
      <w:pPr>
        <w:pStyle w:val="BodyText"/>
      </w:pPr>
    </w:p>
    <w:p>
      <w:pPr>
        <w:pStyle w:val="BodyText"/>
        <w:spacing w:line="448" w:lineRule="auto"/>
        <w:ind w:left="160" w:right="179"/>
        <w:jc w:val="both"/>
        <w:rPr>
          <w:sz w:val="16"/>
        </w:rPr>
      </w:pPr>
      <w:r>
        <w:rPr/>
        <w:t>que permita un manejo cómodo, capacidad de retención sin manipulación irreversible del esmalte, buena penetración en el surco, estabilidad dimensional y deseable acción cariostática</w:t>
      </w:r>
      <w:r>
        <w:rPr>
          <w:position w:val="11"/>
          <w:sz w:val="16"/>
        </w:rPr>
        <w:t>13</w:t>
      </w:r>
    </w:p>
    <w:p>
      <w:pPr>
        <w:pStyle w:val="BodyText"/>
        <w:rPr>
          <w:sz w:val="28"/>
        </w:rPr>
      </w:pPr>
    </w:p>
    <w:p>
      <w:pPr>
        <w:pStyle w:val="BodyText"/>
        <w:spacing w:line="448" w:lineRule="auto" w:before="240"/>
        <w:ind w:left="160" w:right="5423"/>
        <w:rPr>
          <w:sz w:val="16"/>
        </w:rPr>
      </w:pPr>
      <w:r>
        <w:rPr/>
        <w:t>Los sellladores de fosetas y fisuras están indicados: 1.- En pacientes con alto riesgo de caries. </w:t>
      </w:r>
      <w:r>
        <w:rPr>
          <w:position w:val="11"/>
          <w:sz w:val="16"/>
        </w:rPr>
        <w:t>13</w:t>
      </w:r>
    </w:p>
    <w:p>
      <w:pPr>
        <w:pStyle w:val="BodyText"/>
        <w:spacing w:line="286" w:lineRule="exact"/>
        <w:ind w:left="160"/>
        <w:jc w:val="both"/>
        <w:rPr>
          <w:sz w:val="16"/>
        </w:rPr>
      </w:pPr>
      <w:r>
        <w:rPr/>
        <w:t>2.- En molares y premolares con fosas y fisuras  pronunciadas </w:t>
      </w:r>
      <w:r>
        <w:rPr>
          <w:position w:val="11"/>
          <w:sz w:val="16"/>
        </w:rPr>
        <w:t>15,16</w:t>
      </w:r>
    </w:p>
    <w:p>
      <w:pPr>
        <w:pStyle w:val="BodyText"/>
        <w:spacing w:before="241"/>
        <w:ind w:left="160"/>
        <w:jc w:val="both"/>
        <w:rPr>
          <w:sz w:val="16"/>
        </w:rPr>
      </w:pPr>
      <w:r>
        <w:rPr/>
        <w:t>3.- Una vez descartada la existencia de caries interproximales </w:t>
      </w:r>
      <w:r>
        <w:rPr>
          <w:position w:val="11"/>
          <w:sz w:val="16"/>
        </w:rPr>
        <w:t>16</w:t>
      </w:r>
    </w:p>
    <w:p>
      <w:pPr>
        <w:pStyle w:val="BodyText"/>
        <w:rPr>
          <w:sz w:val="28"/>
        </w:rPr>
      </w:pPr>
    </w:p>
    <w:p>
      <w:pPr>
        <w:pStyle w:val="BodyText"/>
        <w:rPr>
          <w:sz w:val="28"/>
        </w:rPr>
      </w:pPr>
    </w:p>
    <w:p>
      <w:pPr>
        <w:pStyle w:val="BodyText"/>
        <w:spacing w:line="480" w:lineRule="auto" w:before="184"/>
        <w:ind w:left="160" w:right="185"/>
        <w:jc w:val="both"/>
      </w:pPr>
      <w:r>
        <w:rPr/>
        <w:t>El diagnóstico clínico del estado de salud de las fosas y fisuras es difícil de realizar, porque el diámetro de las fisuras en su porción profunda es de 25 mm a 50 mm, por lo que queda fuera del alcance de la exploración del diente con un explorador, cuyo diámetro en la punta, en el mejor de los casos, es de 75 µm a 100 µm. Además, existen varios tipos de surcos: en forma de U, de V, de Y</w:t>
      </w:r>
    </w:p>
    <w:p>
      <w:pPr>
        <w:pStyle w:val="BodyText"/>
        <w:spacing w:line="448" w:lineRule="auto" w:before="8"/>
        <w:ind w:left="160" w:right="188"/>
        <w:jc w:val="both"/>
        <w:rPr>
          <w:sz w:val="16"/>
        </w:rPr>
      </w:pPr>
      <w:r>
        <w:rPr/>
        <w:t>o de T invertida. En algunos casos, la aplicación de colorantes que detectan la presencia de tejido cariado puede ayudar a establecer el diagnóstico correcto. </w:t>
      </w:r>
      <w:r>
        <w:rPr>
          <w:position w:val="11"/>
          <w:sz w:val="16"/>
        </w:rPr>
        <w:t>14</w:t>
      </w:r>
    </w:p>
    <w:p>
      <w:pPr>
        <w:spacing w:after="0" w:line="448" w:lineRule="auto"/>
        <w:jc w:val="both"/>
        <w:rPr>
          <w:sz w:val="16"/>
        </w:rPr>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Heading2"/>
        <w:spacing w:before="70"/>
        <w:jc w:val="both"/>
        <w:rPr>
          <w:b w:val="0"/>
        </w:rPr>
      </w:pPr>
      <w:r>
        <w:rPr/>
        <w:t>COMPOSICIÓN DE LOS SELLADORES Bis-GMA</w:t>
      </w:r>
      <w:r>
        <w:rPr>
          <w:b w:val="0"/>
        </w:rPr>
        <w:t>:</w:t>
      </w:r>
    </w:p>
    <w:p>
      <w:pPr>
        <w:pStyle w:val="BodyText"/>
      </w:pPr>
    </w:p>
    <w:p>
      <w:pPr>
        <w:pStyle w:val="BodyText"/>
        <w:spacing w:before="10"/>
        <w:rPr>
          <w:sz w:val="20"/>
        </w:rPr>
      </w:pPr>
    </w:p>
    <w:p>
      <w:pPr>
        <w:pStyle w:val="BodyText"/>
        <w:ind w:left="160"/>
        <w:jc w:val="both"/>
      </w:pPr>
      <w:r>
        <w:rPr/>
        <w:t>- Matriz Orgánica:</w:t>
      </w:r>
    </w:p>
    <w:p>
      <w:pPr>
        <w:pStyle w:val="BodyText"/>
      </w:pPr>
    </w:p>
    <w:p>
      <w:pPr>
        <w:pStyle w:val="BodyText"/>
        <w:spacing w:before="10"/>
        <w:rPr>
          <w:sz w:val="20"/>
        </w:rPr>
      </w:pPr>
    </w:p>
    <w:p>
      <w:pPr>
        <w:pStyle w:val="BodyText"/>
        <w:spacing w:line="448" w:lineRule="auto"/>
        <w:ind w:left="160" w:right="4"/>
        <w:rPr>
          <w:sz w:val="16"/>
        </w:rPr>
      </w:pPr>
      <w:r>
        <w:rPr/>
        <w:t>El sellante en su composición, tiene una matriz orgánica (Bis-GMA, UDMA) y una matriz inorgánica (porcelana, vidrio y cuarzo). </w:t>
      </w:r>
      <w:r>
        <w:rPr>
          <w:position w:val="11"/>
          <w:sz w:val="16"/>
        </w:rPr>
        <w:t>2</w:t>
      </w:r>
    </w:p>
    <w:p>
      <w:pPr>
        <w:pStyle w:val="BodyText"/>
        <w:rPr>
          <w:sz w:val="28"/>
        </w:rPr>
      </w:pPr>
    </w:p>
    <w:p>
      <w:pPr>
        <w:pStyle w:val="BodyText"/>
        <w:spacing w:before="240"/>
        <w:ind w:left="160"/>
        <w:jc w:val="both"/>
      </w:pPr>
      <w:r>
        <w:rPr/>
        <w:t>Relleno Inorgánico:</w:t>
      </w:r>
    </w:p>
    <w:p>
      <w:pPr>
        <w:pStyle w:val="BodyText"/>
      </w:pPr>
    </w:p>
    <w:p>
      <w:pPr>
        <w:pStyle w:val="BodyText"/>
        <w:spacing w:line="472" w:lineRule="auto"/>
        <w:ind w:left="160" w:right="172"/>
        <w:jc w:val="both"/>
        <w:rPr>
          <w:sz w:val="16"/>
        </w:rPr>
      </w:pPr>
      <w:r>
        <w:rPr/>
        <w:t>Las partículas de relleno son incorporadas a la fase orgánica para mejorar las propiedades físico- mecánicas de la matriz orgánica, de ahí que la incorporaración del mayor porcentaje de relleno posible, sea un objetivo fundamental. Gracias al relleno se consigue reducir el coeficiente de expansión térmica, disminuir la contracción final de la polimerización, proporcionar radioopacidad, mejorar la manipulación e incrementar la estética.</w:t>
      </w:r>
      <w:r>
        <w:rPr>
          <w:position w:val="11"/>
          <w:sz w:val="16"/>
        </w:rPr>
        <w:t>27</w:t>
      </w:r>
    </w:p>
    <w:p>
      <w:pPr>
        <w:pStyle w:val="BodyText"/>
        <w:rPr>
          <w:sz w:val="28"/>
        </w:rPr>
      </w:pPr>
    </w:p>
    <w:p>
      <w:pPr>
        <w:pStyle w:val="BodyText"/>
        <w:spacing w:before="210"/>
        <w:ind w:left="160"/>
        <w:jc w:val="both"/>
      </w:pPr>
      <w:r>
        <w:rPr/>
        <w:t>Tipos de sellantes de fosas y fisuras:</w:t>
      </w:r>
    </w:p>
    <w:p>
      <w:pPr>
        <w:pStyle w:val="BodyText"/>
      </w:pPr>
    </w:p>
    <w:p>
      <w:pPr>
        <w:pStyle w:val="BodyText"/>
        <w:spacing w:line="472" w:lineRule="auto"/>
        <w:ind w:left="160" w:right="178"/>
        <w:jc w:val="both"/>
        <w:rPr>
          <w:sz w:val="16"/>
        </w:rPr>
      </w:pPr>
      <w:r>
        <w:rPr/>
        <w:t>Actualmente existen dos formas de presentación o tipos de selladores de fosas y fisuras comercialmente disponibles, los curados químicamente y los fotocurados. Los clínicos prefieren el sellante fotocurado visible porque éste requiere menor tiempo de curado, el tiempo de curado puede ser controlado por el clínico y el procedimiento puede ser rápido si el comportamiento del paciente  es</w:t>
      </w:r>
      <w:r>
        <w:rPr>
          <w:spacing w:val="-2"/>
        </w:rPr>
        <w:t> </w:t>
      </w:r>
      <w:r>
        <w:rPr/>
        <w:t>satisfactorio.</w:t>
      </w:r>
      <w:r>
        <w:rPr>
          <w:position w:val="11"/>
          <w:sz w:val="16"/>
        </w:rPr>
        <w:t>17</w:t>
      </w:r>
    </w:p>
    <w:p>
      <w:pPr>
        <w:pStyle w:val="BodyText"/>
        <w:spacing w:line="255" w:lineRule="exact"/>
        <w:ind w:left="160"/>
        <w:jc w:val="both"/>
      </w:pPr>
      <w:r>
        <w:rPr/>
        <w:t>Selladores de fotocurado:</w:t>
      </w:r>
    </w:p>
    <w:p>
      <w:pPr>
        <w:pStyle w:val="BodyText"/>
      </w:pPr>
    </w:p>
    <w:p>
      <w:pPr>
        <w:pStyle w:val="BodyText"/>
        <w:ind w:left="160"/>
        <w:jc w:val="both"/>
      </w:pPr>
      <w:r>
        <w:rPr/>
        <w:t>1.- Sellante de resina convencional sin flúor</w:t>
      </w:r>
    </w:p>
    <w:p>
      <w:pPr>
        <w:pStyle w:val="BodyText"/>
        <w:spacing w:before="11"/>
        <w:rPr>
          <w:sz w:val="23"/>
        </w:rPr>
      </w:pPr>
    </w:p>
    <w:p>
      <w:pPr>
        <w:pStyle w:val="ListParagraph"/>
        <w:numPr>
          <w:ilvl w:val="0"/>
          <w:numId w:val="1"/>
        </w:numPr>
        <w:tabs>
          <w:tab w:pos="513" w:val="left" w:leader="none"/>
        </w:tabs>
        <w:spacing w:line="240" w:lineRule="auto" w:before="0" w:after="0"/>
        <w:ind w:left="160" w:right="0" w:firstLine="0"/>
        <w:jc w:val="both"/>
        <w:rPr>
          <w:sz w:val="24"/>
        </w:rPr>
      </w:pPr>
      <w:r>
        <w:rPr>
          <w:sz w:val="24"/>
        </w:rPr>
        <w:t>Concise® (3M</w:t>
      </w:r>
      <w:r>
        <w:rPr>
          <w:spacing w:val="-7"/>
          <w:sz w:val="24"/>
        </w:rPr>
        <w:t> </w:t>
      </w:r>
      <w:r>
        <w:rPr>
          <w:sz w:val="24"/>
        </w:rPr>
        <w:t>ESPE)</w:t>
      </w:r>
    </w:p>
    <w:p>
      <w:pPr>
        <w:spacing w:after="0" w:line="240" w:lineRule="auto"/>
        <w:jc w:val="both"/>
        <w:rPr>
          <w:sz w:val="24"/>
        </w:rPr>
        <w:sectPr>
          <w:pgSz w:w="12240" w:h="15840"/>
          <w:pgMar w:header="731" w:footer="1017" w:top="1360" w:bottom="1220" w:left="560" w:right="540"/>
        </w:sectPr>
      </w:pPr>
    </w:p>
    <w:p>
      <w:pPr>
        <w:pStyle w:val="BodyText"/>
        <w:spacing w:before="7"/>
        <w:rPr>
          <w:sz w:val="17"/>
        </w:rPr>
      </w:pPr>
    </w:p>
    <w:p>
      <w:pPr>
        <w:pStyle w:val="ListParagraph"/>
        <w:numPr>
          <w:ilvl w:val="0"/>
          <w:numId w:val="1"/>
        </w:numPr>
        <w:tabs>
          <w:tab w:pos="512" w:val="left" w:leader="none"/>
          <w:tab w:pos="513" w:val="left" w:leader="none"/>
        </w:tabs>
        <w:spacing w:line="240" w:lineRule="auto" w:before="69" w:after="0"/>
        <w:ind w:left="512" w:right="0" w:hanging="352"/>
        <w:jc w:val="left"/>
        <w:rPr>
          <w:sz w:val="24"/>
        </w:rPr>
      </w:pPr>
      <w:r>
        <w:rPr>
          <w:sz w:val="24"/>
        </w:rPr>
        <w:t>Fissurit F® (Voco</w:t>
      </w:r>
      <w:r>
        <w:rPr>
          <w:spacing w:val="-5"/>
          <w:sz w:val="24"/>
        </w:rPr>
        <w:t> </w:t>
      </w:r>
      <w:r>
        <w:rPr>
          <w:sz w:val="24"/>
        </w:rPr>
        <w:t>)</w:t>
      </w:r>
    </w:p>
    <w:p>
      <w:pPr>
        <w:pStyle w:val="BodyText"/>
      </w:pPr>
    </w:p>
    <w:p>
      <w:pPr>
        <w:pStyle w:val="BodyText"/>
        <w:spacing w:line="480" w:lineRule="auto"/>
        <w:ind w:left="160" w:right="4"/>
      </w:pPr>
      <w:r>
        <w:rPr/>
        <w:t>2.- Sellante de resina convencional con liberación prolongada de flúor que permita una protección a largo tiempo:</w:t>
      </w:r>
    </w:p>
    <w:p>
      <w:pPr>
        <w:pStyle w:val="ListParagraph"/>
        <w:numPr>
          <w:ilvl w:val="0"/>
          <w:numId w:val="1"/>
        </w:numPr>
        <w:tabs>
          <w:tab w:pos="512" w:val="left" w:leader="none"/>
          <w:tab w:pos="513" w:val="left" w:leader="none"/>
        </w:tabs>
        <w:spacing w:line="240" w:lineRule="auto" w:before="8" w:after="0"/>
        <w:ind w:left="512" w:right="0" w:hanging="352"/>
        <w:jc w:val="left"/>
        <w:rPr>
          <w:sz w:val="24"/>
        </w:rPr>
      </w:pPr>
      <w:r>
        <w:rPr>
          <w:sz w:val="24"/>
        </w:rPr>
        <w:t>Helioseal®F (Vivadent –</w:t>
      </w:r>
      <w:r>
        <w:rPr>
          <w:spacing w:val="-6"/>
          <w:sz w:val="24"/>
        </w:rPr>
        <w:t> </w:t>
      </w:r>
      <w:r>
        <w:rPr>
          <w:sz w:val="24"/>
        </w:rPr>
        <w:t>Ivoclar)</w:t>
      </w:r>
    </w:p>
    <w:p>
      <w:pPr>
        <w:pStyle w:val="BodyText"/>
      </w:pPr>
    </w:p>
    <w:p>
      <w:pPr>
        <w:pStyle w:val="ListParagraph"/>
        <w:numPr>
          <w:ilvl w:val="0"/>
          <w:numId w:val="1"/>
        </w:numPr>
        <w:tabs>
          <w:tab w:pos="512" w:val="left" w:leader="none"/>
          <w:tab w:pos="513" w:val="left" w:leader="none"/>
        </w:tabs>
        <w:spacing w:line="240" w:lineRule="auto" w:before="0" w:after="0"/>
        <w:ind w:left="512" w:right="0" w:hanging="352"/>
        <w:jc w:val="left"/>
        <w:rPr>
          <w:sz w:val="24"/>
        </w:rPr>
      </w:pPr>
      <w:r>
        <w:rPr>
          <w:sz w:val="24"/>
        </w:rPr>
        <w:t>LuxaFlow®</w:t>
      </w:r>
    </w:p>
    <w:p>
      <w:pPr>
        <w:pStyle w:val="BodyText"/>
      </w:pPr>
    </w:p>
    <w:p>
      <w:pPr>
        <w:pStyle w:val="ListParagraph"/>
        <w:numPr>
          <w:ilvl w:val="0"/>
          <w:numId w:val="1"/>
        </w:numPr>
        <w:tabs>
          <w:tab w:pos="512" w:val="left" w:leader="none"/>
          <w:tab w:pos="513" w:val="left" w:leader="none"/>
        </w:tabs>
        <w:spacing w:line="240" w:lineRule="auto" w:before="0" w:after="0"/>
        <w:ind w:left="512" w:right="0" w:hanging="352"/>
        <w:jc w:val="left"/>
        <w:rPr>
          <w:sz w:val="24"/>
        </w:rPr>
      </w:pPr>
      <w:r>
        <w:rPr>
          <w:sz w:val="24"/>
        </w:rPr>
        <w:t>Delton®</w:t>
      </w:r>
      <w:r>
        <w:rPr>
          <w:spacing w:val="-7"/>
          <w:sz w:val="24"/>
        </w:rPr>
        <w:t> </w:t>
      </w:r>
      <w:r>
        <w:rPr>
          <w:sz w:val="24"/>
        </w:rPr>
        <w:t>(Dentsply)</w:t>
      </w:r>
    </w:p>
    <w:p>
      <w:pPr>
        <w:pStyle w:val="BodyText"/>
      </w:pPr>
    </w:p>
    <w:p>
      <w:pPr>
        <w:pStyle w:val="ListParagraph"/>
        <w:numPr>
          <w:ilvl w:val="0"/>
          <w:numId w:val="1"/>
        </w:numPr>
        <w:tabs>
          <w:tab w:pos="512" w:val="left" w:leader="none"/>
          <w:tab w:pos="513" w:val="left" w:leader="none"/>
        </w:tabs>
        <w:spacing w:line="240" w:lineRule="auto" w:before="0" w:after="0"/>
        <w:ind w:left="512" w:right="0" w:hanging="352"/>
        <w:jc w:val="left"/>
        <w:rPr>
          <w:sz w:val="24"/>
        </w:rPr>
      </w:pPr>
      <w:r>
        <w:rPr>
          <w:sz w:val="24"/>
        </w:rPr>
        <w:t>Delton®Plus</w:t>
      </w:r>
      <w:r>
        <w:rPr>
          <w:spacing w:val="-11"/>
          <w:sz w:val="24"/>
        </w:rPr>
        <w:t> </w:t>
      </w:r>
      <w:r>
        <w:rPr>
          <w:sz w:val="24"/>
        </w:rPr>
        <w:t>(Dentsply)</w:t>
      </w:r>
    </w:p>
    <w:p>
      <w:pPr>
        <w:pStyle w:val="BodyText"/>
      </w:pPr>
    </w:p>
    <w:p>
      <w:pPr>
        <w:pStyle w:val="ListParagraph"/>
        <w:numPr>
          <w:ilvl w:val="0"/>
          <w:numId w:val="1"/>
        </w:numPr>
        <w:tabs>
          <w:tab w:pos="512" w:val="left" w:leader="none"/>
          <w:tab w:pos="513" w:val="left" w:leader="none"/>
        </w:tabs>
        <w:spacing w:line="240" w:lineRule="auto" w:before="0" w:after="0"/>
        <w:ind w:left="512" w:right="0" w:hanging="352"/>
        <w:jc w:val="left"/>
        <w:rPr>
          <w:sz w:val="24"/>
        </w:rPr>
      </w:pPr>
      <w:r>
        <w:rPr>
          <w:sz w:val="24"/>
        </w:rPr>
        <w:t>Dyract Seal® (</w:t>
      </w:r>
      <w:r>
        <w:rPr>
          <w:spacing w:val="-7"/>
          <w:sz w:val="24"/>
        </w:rPr>
        <w:t> </w:t>
      </w:r>
      <w:r>
        <w:rPr>
          <w:sz w:val="24"/>
        </w:rPr>
        <w:t>Dentsply</w:t>
      </w:r>
    </w:p>
    <w:p>
      <w:pPr>
        <w:pStyle w:val="BodyText"/>
      </w:pPr>
    </w:p>
    <w:p>
      <w:pPr>
        <w:pStyle w:val="ListParagraph"/>
        <w:numPr>
          <w:ilvl w:val="0"/>
          <w:numId w:val="1"/>
        </w:numPr>
        <w:tabs>
          <w:tab w:pos="512" w:val="left" w:leader="none"/>
          <w:tab w:pos="513" w:val="left" w:leader="none"/>
        </w:tabs>
        <w:spacing w:line="480" w:lineRule="auto" w:before="0" w:after="0"/>
        <w:ind w:left="160" w:right="7173" w:firstLine="0"/>
        <w:jc w:val="left"/>
        <w:rPr>
          <w:sz w:val="24"/>
        </w:rPr>
      </w:pPr>
      <w:r>
        <w:rPr>
          <w:sz w:val="24"/>
        </w:rPr>
        <w:t>Clinpro TM Sealant ( 3M ESPE</w:t>
      </w:r>
      <w:r>
        <w:rPr>
          <w:spacing w:val="-12"/>
          <w:sz w:val="24"/>
        </w:rPr>
        <w:t> </w:t>
      </w:r>
      <w:r>
        <w:rPr>
          <w:sz w:val="24"/>
        </w:rPr>
        <w:t>) 3.- Sellante con Ionómero de</w:t>
      </w:r>
      <w:r>
        <w:rPr>
          <w:spacing w:val="-14"/>
          <w:sz w:val="24"/>
        </w:rPr>
        <w:t> </w:t>
      </w:r>
      <w:r>
        <w:rPr>
          <w:sz w:val="24"/>
        </w:rPr>
        <w:t>vidrio:</w:t>
      </w:r>
    </w:p>
    <w:p>
      <w:pPr>
        <w:pStyle w:val="ListParagraph"/>
        <w:numPr>
          <w:ilvl w:val="0"/>
          <w:numId w:val="1"/>
        </w:numPr>
        <w:tabs>
          <w:tab w:pos="512" w:val="left" w:leader="none"/>
          <w:tab w:pos="513" w:val="left" w:leader="none"/>
        </w:tabs>
        <w:spacing w:line="240" w:lineRule="auto" w:before="8" w:after="0"/>
        <w:ind w:left="512" w:right="0" w:hanging="352"/>
        <w:jc w:val="left"/>
        <w:rPr>
          <w:sz w:val="24"/>
        </w:rPr>
      </w:pPr>
      <w:r>
        <w:rPr>
          <w:sz w:val="24"/>
        </w:rPr>
        <w:t>GC Fuji Triage® ( GC America, Alsip,</w:t>
      </w:r>
      <w:r>
        <w:rPr>
          <w:spacing w:val="-16"/>
          <w:sz w:val="24"/>
        </w:rPr>
        <w:t> </w:t>
      </w:r>
      <w:r>
        <w:rPr>
          <w:sz w:val="24"/>
        </w:rPr>
        <w:t>III</w:t>
      </w:r>
    </w:p>
    <w:p>
      <w:pPr>
        <w:pStyle w:val="BodyText"/>
      </w:pPr>
    </w:p>
    <w:p>
      <w:pPr>
        <w:pStyle w:val="ListParagraph"/>
        <w:numPr>
          <w:ilvl w:val="0"/>
          <w:numId w:val="1"/>
        </w:numPr>
        <w:tabs>
          <w:tab w:pos="512" w:val="left" w:leader="none"/>
          <w:tab w:pos="513" w:val="left" w:leader="none"/>
        </w:tabs>
        <w:spacing w:line="240" w:lineRule="auto" w:before="0" w:after="0"/>
        <w:ind w:left="512" w:right="0" w:hanging="352"/>
        <w:jc w:val="left"/>
        <w:rPr>
          <w:sz w:val="24"/>
        </w:rPr>
      </w:pPr>
      <w:r>
        <w:rPr>
          <w:sz w:val="24"/>
        </w:rPr>
        <w:t>Fuji VII® ( GC America, Alsip, III</w:t>
      </w:r>
      <w:r>
        <w:rPr>
          <w:spacing w:val="-11"/>
          <w:sz w:val="24"/>
        </w:rPr>
        <w:t> </w:t>
      </w:r>
      <w:r>
        <w:rPr>
          <w:sz w:val="24"/>
        </w:rPr>
        <w:t>)</w:t>
      </w:r>
    </w:p>
    <w:p>
      <w:pPr>
        <w:pStyle w:val="BodyText"/>
      </w:pPr>
    </w:p>
    <w:p>
      <w:pPr>
        <w:pStyle w:val="ListParagraph"/>
        <w:numPr>
          <w:ilvl w:val="0"/>
          <w:numId w:val="1"/>
        </w:numPr>
        <w:tabs>
          <w:tab w:pos="512" w:val="left" w:leader="none"/>
          <w:tab w:pos="513" w:val="left" w:leader="none"/>
        </w:tabs>
        <w:spacing w:line="480" w:lineRule="auto" w:before="0" w:after="0"/>
        <w:ind w:left="160" w:right="8463" w:firstLine="0"/>
        <w:jc w:val="left"/>
        <w:rPr>
          <w:sz w:val="24"/>
        </w:rPr>
      </w:pPr>
      <w:r>
        <w:rPr>
          <w:sz w:val="24"/>
        </w:rPr>
        <w:t>ProSeal®</w:t>
      </w:r>
      <w:r>
        <w:rPr>
          <w:spacing w:val="-9"/>
          <w:sz w:val="24"/>
        </w:rPr>
        <w:t> </w:t>
      </w:r>
      <w:r>
        <w:rPr>
          <w:sz w:val="24"/>
        </w:rPr>
        <w:t>(Itasca,III) 4.- Resinas</w:t>
      </w:r>
      <w:r>
        <w:rPr>
          <w:spacing w:val="-7"/>
          <w:sz w:val="24"/>
        </w:rPr>
        <w:t> </w:t>
      </w:r>
      <w:r>
        <w:rPr>
          <w:sz w:val="24"/>
        </w:rPr>
        <w:t>fluidas:</w:t>
      </w:r>
    </w:p>
    <w:p>
      <w:pPr>
        <w:pStyle w:val="ListParagraph"/>
        <w:numPr>
          <w:ilvl w:val="0"/>
          <w:numId w:val="1"/>
        </w:numPr>
        <w:tabs>
          <w:tab w:pos="510" w:val="left" w:leader="none"/>
          <w:tab w:pos="511" w:val="left" w:leader="none"/>
        </w:tabs>
        <w:spacing w:line="240" w:lineRule="auto" w:before="8" w:after="0"/>
        <w:ind w:left="510" w:right="0" w:hanging="350"/>
        <w:jc w:val="left"/>
        <w:rPr>
          <w:sz w:val="24"/>
        </w:rPr>
      </w:pPr>
      <w:r>
        <w:rPr>
          <w:sz w:val="24"/>
        </w:rPr>
        <w:t>Tetric Flow® ( Vivadent -  Ivoclar</w:t>
      </w:r>
      <w:r>
        <w:rPr>
          <w:spacing w:val="-8"/>
          <w:sz w:val="24"/>
        </w:rPr>
        <w:t> </w:t>
      </w:r>
      <w:r>
        <w:rPr>
          <w:sz w:val="24"/>
        </w:rPr>
        <w:t>)</w:t>
      </w:r>
    </w:p>
    <w:p>
      <w:pPr>
        <w:pStyle w:val="BodyText"/>
      </w:pPr>
    </w:p>
    <w:p>
      <w:pPr>
        <w:pStyle w:val="BodyText"/>
      </w:pPr>
    </w:p>
    <w:p>
      <w:pPr>
        <w:pStyle w:val="BodyText"/>
        <w:spacing w:before="9"/>
        <w:rPr>
          <w:sz w:val="23"/>
        </w:rPr>
      </w:pPr>
    </w:p>
    <w:p>
      <w:pPr>
        <w:pStyle w:val="BodyText"/>
        <w:ind w:left="160" w:right="5423"/>
      </w:pPr>
      <w:r>
        <w:rPr/>
        <w:t>Técnicas de aplicación:</w:t>
      </w:r>
    </w:p>
    <w:p>
      <w:pPr>
        <w:pStyle w:val="BodyText"/>
      </w:pPr>
    </w:p>
    <w:p>
      <w:pPr>
        <w:pStyle w:val="BodyText"/>
        <w:spacing w:line="480" w:lineRule="auto"/>
        <w:ind w:left="160" w:right="4"/>
      </w:pPr>
      <w:r>
        <w:rPr/>
        <w:t>En general, las distintas técnicas de aplicación de selladores de fosetas y fisuras, comprenden los siguientes procedimientos:</w:t>
      </w:r>
    </w:p>
    <w:p>
      <w:pPr>
        <w:pStyle w:val="BodyText"/>
        <w:spacing w:line="480" w:lineRule="auto" w:before="8"/>
        <w:ind w:left="160" w:right="7264"/>
        <w:rPr>
          <w:sz w:val="16"/>
        </w:rPr>
      </w:pPr>
      <w:r>
        <w:rPr/>
        <w:t>Preparación de la superficie dental Aislamiento del campo operatorio Grabado ácido del esmalte Comprobación de la oclusión</w:t>
      </w:r>
      <w:r>
        <w:rPr>
          <w:position w:val="-2"/>
          <w:sz w:val="16"/>
        </w:rPr>
        <w:t>1.</w:t>
      </w:r>
    </w:p>
    <w:p>
      <w:pPr>
        <w:spacing w:after="0" w:line="480" w:lineRule="auto"/>
        <w:rPr>
          <w:sz w:val="16"/>
        </w:rPr>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Heading1"/>
        <w:spacing w:before="226"/>
        <w:ind w:right="333"/>
      </w:pPr>
      <w:r>
        <w:rPr/>
        <w:t>ANTECEDENTES</w:t>
      </w:r>
    </w:p>
    <w:p>
      <w:pPr>
        <w:pStyle w:val="BodyText"/>
        <w:rPr>
          <w:b/>
          <w:sz w:val="28"/>
        </w:rPr>
      </w:pPr>
    </w:p>
    <w:p>
      <w:pPr>
        <w:pStyle w:val="BodyText"/>
        <w:spacing w:before="3"/>
        <w:rPr>
          <w:b/>
        </w:rPr>
      </w:pPr>
    </w:p>
    <w:p>
      <w:pPr>
        <w:pStyle w:val="BodyText"/>
        <w:spacing w:line="448" w:lineRule="auto"/>
        <w:ind w:left="160" w:right="213"/>
        <w:jc w:val="both"/>
        <w:rPr>
          <w:sz w:val="16"/>
        </w:rPr>
      </w:pPr>
      <w:r>
        <w:rPr/>
        <w:t>Desde origen los selladores han demostrado ser una estrategia efectiva en la prevención de la caries.</w:t>
      </w:r>
      <w:r>
        <w:rPr>
          <w:position w:val="11"/>
          <w:sz w:val="16"/>
        </w:rPr>
        <w:t>2</w:t>
      </w:r>
    </w:p>
    <w:p>
      <w:pPr>
        <w:pStyle w:val="BodyText"/>
        <w:spacing w:before="3"/>
        <w:rPr>
          <w:sz w:val="25"/>
        </w:rPr>
      </w:pPr>
    </w:p>
    <w:p>
      <w:pPr>
        <w:pStyle w:val="BodyText"/>
        <w:spacing w:line="465" w:lineRule="auto"/>
        <w:ind w:left="160" w:right="202"/>
        <w:jc w:val="both"/>
        <w:rPr>
          <w:sz w:val="16"/>
        </w:rPr>
      </w:pPr>
      <w:r>
        <w:rPr/>
        <w:t>La efectividad del sellador se incrementa cuando el sellador es repuesto cuando se pierde total o parcialmente, por lo que el control periódico es indispensable. </w:t>
      </w:r>
      <w:r>
        <w:rPr>
          <w:position w:val="11"/>
          <w:sz w:val="16"/>
        </w:rPr>
        <w:t>15 </w:t>
      </w:r>
      <w:r>
        <w:rPr/>
        <w:t>Si la pérdida del sellador se produce particularmente en los seis primeros meses, se debe a errores en la técnica de aplicación. Pasado ese tiempo, la pérdida del sellador puede deberse al desgaste oclusal o a un fracaso marginal. La duración de los selladores se calcula entre 10 y 15 años tras la colocación de los mismos.</w:t>
      </w:r>
      <w:r>
        <w:rPr>
          <w:position w:val="11"/>
          <w:sz w:val="16"/>
        </w:rPr>
        <w:t>17</w:t>
      </w:r>
    </w:p>
    <w:p>
      <w:pPr>
        <w:pStyle w:val="BodyText"/>
        <w:spacing w:before="2"/>
        <w:rPr>
          <w:sz w:val="23"/>
        </w:rPr>
      </w:pPr>
    </w:p>
    <w:p>
      <w:pPr>
        <w:pStyle w:val="BodyText"/>
        <w:spacing w:line="472" w:lineRule="auto"/>
        <w:ind w:left="160" w:right="174"/>
        <w:jc w:val="both"/>
        <w:rPr>
          <w:sz w:val="16"/>
        </w:rPr>
      </w:pPr>
      <w:r>
        <w:rPr/>
        <w:t>Debido a sus desventajas de manipulación de los selladores autopolimerizables, </w:t>
      </w:r>
      <w:r>
        <w:rPr>
          <w:spacing w:val="3"/>
        </w:rPr>
        <w:t>se </w:t>
      </w:r>
      <w:r>
        <w:rPr/>
        <w:t>desarrollaron selladores fotopolimerizables que dan ventaja de manipulación al operador, estudios realizados con los selladores autopolimerizables demostraron porcentajes elevados de éxito, con escasos  desalojos, pocos casos de caries o necesidad de restauraciones oclusales a 6, 12, 24 meses e incluso a 10 años</w:t>
      </w:r>
      <w:r>
        <w:rPr>
          <w:spacing w:val="-29"/>
        </w:rPr>
        <w:t> </w:t>
      </w:r>
      <w:r>
        <w:rPr>
          <w:position w:val="11"/>
          <w:sz w:val="16"/>
        </w:rPr>
        <w:t>5,10,11</w:t>
      </w:r>
    </w:p>
    <w:p>
      <w:pPr>
        <w:spacing w:after="0" w:line="472" w:lineRule="auto"/>
        <w:jc w:val="both"/>
        <w:rPr>
          <w:sz w:val="16"/>
        </w:rPr>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Heading1"/>
        <w:ind w:right="332"/>
      </w:pPr>
      <w:r>
        <w:rPr/>
        <w:t>PLANTEAMIENTO DEL PROBLEMA.</w:t>
      </w:r>
    </w:p>
    <w:p>
      <w:pPr>
        <w:pStyle w:val="BodyText"/>
        <w:rPr>
          <w:b/>
          <w:sz w:val="28"/>
        </w:rPr>
      </w:pPr>
    </w:p>
    <w:p>
      <w:pPr>
        <w:pStyle w:val="BodyText"/>
        <w:rPr>
          <w:b/>
          <w:sz w:val="28"/>
        </w:rPr>
      </w:pPr>
    </w:p>
    <w:p>
      <w:pPr>
        <w:pStyle w:val="BodyText"/>
        <w:spacing w:line="480" w:lineRule="auto" w:before="228"/>
        <w:ind w:left="160" w:right="180"/>
        <w:jc w:val="both"/>
      </w:pPr>
      <w:r>
        <w:rPr/>
        <w:t>En la Clínica de la Especialidad de la Facultad de odontología de la ciudad de Toluca, se realizan actividades en Odontología preventiva, entre ellas la colocación de selladores de fosetas y fisuras ya que esta acción es de suma importancia para la prevención de caries en primeros molares permanentes.</w:t>
      </w:r>
    </w:p>
    <w:p>
      <w:pPr>
        <w:pStyle w:val="BodyText"/>
      </w:pPr>
    </w:p>
    <w:p>
      <w:pPr>
        <w:pStyle w:val="BodyText"/>
        <w:spacing w:before="8"/>
      </w:pPr>
    </w:p>
    <w:p>
      <w:pPr>
        <w:pStyle w:val="BodyText"/>
        <w:spacing w:line="470" w:lineRule="auto"/>
        <w:ind w:left="160" w:right="173"/>
        <w:jc w:val="both"/>
        <w:rPr>
          <w:sz w:val="16"/>
        </w:rPr>
      </w:pPr>
      <w:r>
        <w:rPr/>
        <w:t>Los selladores comerciales en general ofrecen ventajas como: requieren menor tiempo de polimerización y puede ser controlado por el operador, no se necesita ninguna mezcla, el riesgo de incorporar burbujas de aire es disminuido y el procedimiento puede ser integrado con el comportamiento del paciente.</w:t>
      </w:r>
      <w:r>
        <w:rPr>
          <w:position w:val="11"/>
          <w:sz w:val="16"/>
        </w:rPr>
        <w:t>13</w:t>
      </w:r>
    </w:p>
    <w:p>
      <w:pPr>
        <w:pStyle w:val="BodyText"/>
        <w:rPr>
          <w:sz w:val="28"/>
        </w:rPr>
      </w:pPr>
    </w:p>
    <w:p>
      <w:pPr>
        <w:pStyle w:val="BodyText"/>
        <w:spacing w:line="472" w:lineRule="auto" w:before="244"/>
        <w:ind w:left="160" w:right="175"/>
        <w:jc w:val="both"/>
        <w:rPr>
          <w:sz w:val="16"/>
        </w:rPr>
      </w:pPr>
      <w:r>
        <w:rPr/>
        <w:t>Las marcas comerciales más utilizadas son: Helioseal®F (Vivadent – Ivoclar), Clinpro TM Sealant (3M ESPE ), UltraSeal XT® plus (Ultradent), que son las mismas que se aplican a los pacientes de  la Clínica de Odontoediatría, aunque en la literatura se reporta que el sellador Helioseal F tiene un nivel aceptable de retención, que al igual que Clinpro TM también tiene la propiedad de liberar fluoruro, por otro lado UltraSeal XT cuenta con un material desecante</w:t>
      </w:r>
      <w:r>
        <w:rPr>
          <w:spacing w:val="-37"/>
        </w:rPr>
        <w:t> </w:t>
      </w:r>
      <w:r>
        <w:rPr>
          <w:position w:val="11"/>
          <w:sz w:val="16"/>
        </w:rPr>
        <w:t>12</w:t>
      </w:r>
    </w:p>
    <w:p>
      <w:pPr>
        <w:pStyle w:val="BodyText"/>
        <w:spacing w:line="255" w:lineRule="exact"/>
        <w:ind w:left="160"/>
        <w:jc w:val="both"/>
      </w:pPr>
      <w:r>
        <w:rPr/>
        <w:t>No se han realizado estudios en nuestro medio para identificar cuál de los selladores presenta mayor</w:t>
      </w:r>
    </w:p>
    <w:p>
      <w:pPr>
        <w:pStyle w:val="BodyText"/>
      </w:pPr>
    </w:p>
    <w:p>
      <w:pPr>
        <w:pStyle w:val="BodyText"/>
        <w:spacing w:line="480" w:lineRule="auto"/>
        <w:ind w:left="160" w:right="172"/>
        <w:jc w:val="both"/>
      </w:pPr>
      <w:r>
        <w:rPr/>
        <w:t>capacidad de retención. Es imprescindible asegurar el éxito clínico, si el sellador se pierde y es sustituido, implica un nuevo gasto económico para los padres del paciente. Pero es probable que en un porcentaje alto de pacientes los selladores no sean suplidos, ya sea por cuestiones económicas o porque ni el paciente ni los padres perciben la fractura o pérdida del sellador, en esos casos el</w:t>
      </w:r>
    </w:p>
    <w:p>
      <w:pPr>
        <w:spacing w:after="0" w:line="480" w:lineRule="auto"/>
        <w:jc w:val="both"/>
        <w:sectPr>
          <w:pgSz w:w="12240" w:h="15840"/>
          <w:pgMar w:header="731" w:footer="1017" w:top="1360" w:bottom="1220" w:left="560" w:right="540"/>
        </w:sectPr>
      </w:pPr>
    </w:p>
    <w:p>
      <w:pPr>
        <w:pStyle w:val="BodyText"/>
        <w:spacing w:before="7"/>
        <w:rPr>
          <w:sz w:val="17"/>
        </w:rPr>
      </w:pPr>
    </w:p>
    <w:p>
      <w:pPr>
        <w:pStyle w:val="BodyText"/>
        <w:spacing w:line="480" w:lineRule="auto" w:before="69"/>
        <w:ind w:left="160" w:right="4"/>
      </w:pPr>
      <w:r>
        <w:rPr/>
        <w:t>objetivo de prevención de caries en las fosetas y fisuras no se cumple ya que quedan descubiertas y son de nuevo retentivas.</w:t>
      </w:r>
    </w:p>
    <w:p>
      <w:pPr>
        <w:pStyle w:val="BodyText"/>
      </w:pPr>
    </w:p>
    <w:p>
      <w:pPr>
        <w:pStyle w:val="BodyText"/>
        <w:spacing w:before="5"/>
      </w:pPr>
    </w:p>
    <w:p>
      <w:pPr>
        <w:spacing w:before="0"/>
        <w:ind w:left="160" w:right="5423" w:firstLine="0"/>
        <w:jc w:val="left"/>
        <w:rPr>
          <w:i/>
          <w:sz w:val="24"/>
        </w:rPr>
      </w:pPr>
      <w:r>
        <w:rPr>
          <w:i/>
          <w:sz w:val="24"/>
        </w:rPr>
        <w:t>PREGUNTA DE INVESTIGACIÓN</w:t>
      </w:r>
    </w:p>
    <w:p>
      <w:pPr>
        <w:pStyle w:val="BodyText"/>
        <w:rPr>
          <w:i/>
        </w:rPr>
      </w:pPr>
    </w:p>
    <w:p>
      <w:pPr>
        <w:pStyle w:val="BodyText"/>
        <w:rPr>
          <w:i/>
        </w:rPr>
      </w:pPr>
    </w:p>
    <w:p>
      <w:pPr>
        <w:pStyle w:val="BodyText"/>
        <w:spacing w:before="2"/>
        <w:rPr>
          <w:i/>
        </w:rPr>
      </w:pPr>
    </w:p>
    <w:p>
      <w:pPr>
        <w:pStyle w:val="BodyText"/>
        <w:spacing w:line="480" w:lineRule="auto"/>
        <w:ind w:left="160" w:right="4"/>
      </w:pPr>
      <w:r>
        <w:rPr/>
        <w:t>¿Cuál de los selladores Helioseal®F (Vivadent – Ivoclar, Clinpro TM Sealant ( 3M ESPE ), UltraSeal XT® plus  (Ultradent)  presenta mayor retención?</w:t>
      </w:r>
    </w:p>
    <w:p>
      <w:pPr>
        <w:spacing w:after="0" w:line="480" w:lineRule="auto"/>
        <w:sectPr>
          <w:pgSz w:w="12240" w:h="15840"/>
          <w:pgMar w:header="731" w:footer="1017" w:top="1360" w:bottom="1220" w:left="560" w:right="540"/>
        </w:sectPr>
      </w:pPr>
    </w:p>
    <w:p>
      <w:pPr>
        <w:pStyle w:val="BodyText"/>
        <w:spacing w:before="1"/>
        <w:rPr>
          <w:sz w:val="18"/>
        </w:rPr>
      </w:pPr>
    </w:p>
    <w:p>
      <w:pPr>
        <w:pStyle w:val="Heading1"/>
        <w:ind w:right="333"/>
      </w:pPr>
      <w:r>
        <w:rPr/>
        <w:t>JUSTIFICACION.</w:t>
      </w:r>
    </w:p>
    <w:p>
      <w:pPr>
        <w:pStyle w:val="BodyText"/>
        <w:rPr>
          <w:b/>
          <w:sz w:val="28"/>
        </w:rPr>
      </w:pPr>
    </w:p>
    <w:p>
      <w:pPr>
        <w:pStyle w:val="BodyText"/>
        <w:spacing w:before="11"/>
        <w:rPr>
          <w:b/>
          <w:sz w:val="21"/>
        </w:rPr>
      </w:pPr>
    </w:p>
    <w:p>
      <w:pPr>
        <w:pStyle w:val="BodyText"/>
        <w:spacing w:line="480" w:lineRule="auto"/>
        <w:ind w:left="160" w:right="179" w:firstLine="708"/>
        <w:jc w:val="both"/>
      </w:pPr>
      <w:r>
        <w:rPr/>
        <w:t>La caries es un problema de salud pública, a pesar de los programas de prevención sigue afectando a un núcleo importante de la población. En niños es un problema común que puede fácilmente ser controlado. Una de las técnicas más eficientes en la prevención de la caries es el uso de selladores.</w:t>
      </w:r>
    </w:p>
    <w:p>
      <w:pPr>
        <w:pStyle w:val="BodyText"/>
      </w:pPr>
    </w:p>
    <w:p>
      <w:pPr>
        <w:pStyle w:val="BodyText"/>
        <w:spacing w:before="8"/>
      </w:pPr>
    </w:p>
    <w:p>
      <w:pPr>
        <w:pStyle w:val="BodyText"/>
        <w:spacing w:line="480" w:lineRule="auto"/>
        <w:ind w:left="160" w:right="175" w:firstLine="708"/>
        <w:jc w:val="both"/>
      </w:pPr>
      <w:r>
        <w:rPr/>
        <w:t>Los selladores de fisuras deben ser colocados en un consultorio dental y requieren de instrumental y material especializado por lo no se trata de una medida de prevención de atención epidemiológica.</w:t>
      </w:r>
    </w:p>
    <w:p>
      <w:pPr>
        <w:pStyle w:val="BodyText"/>
      </w:pPr>
    </w:p>
    <w:p>
      <w:pPr>
        <w:pStyle w:val="BodyText"/>
        <w:spacing w:before="7"/>
      </w:pPr>
    </w:p>
    <w:p>
      <w:pPr>
        <w:pStyle w:val="BodyText"/>
        <w:spacing w:line="448" w:lineRule="auto" w:before="1"/>
        <w:ind w:left="160" w:right="185" w:firstLine="708"/>
        <w:jc w:val="both"/>
        <w:rPr>
          <w:sz w:val="16"/>
        </w:rPr>
      </w:pPr>
      <w:r>
        <w:rPr/>
        <w:t>Además, las propiedades preventivas de los selladores de fosetas y fisuras se mantienen siempre y cuando el material se conserve intacto y adherido a la superficie dental. </w:t>
      </w:r>
      <w:r>
        <w:rPr>
          <w:position w:val="11"/>
          <w:sz w:val="16"/>
        </w:rPr>
        <w:t>2</w:t>
      </w:r>
    </w:p>
    <w:p>
      <w:pPr>
        <w:pStyle w:val="BodyText"/>
        <w:rPr>
          <w:sz w:val="28"/>
        </w:rPr>
      </w:pPr>
    </w:p>
    <w:p>
      <w:pPr>
        <w:pStyle w:val="BodyText"/>
        <w:spacing w:line="480" w:lineRule="auto" w:before="240"/>
        <w:ind w:left="160" w:right="176" w:firstLine="708"/>
        <w:jc w:val="both"/>
      </w:pPr>
      <w:r>
        <w:rPr/>
        <w:t>La evaluación periódica de los selladores es fundamental para asegurar su éxito clínico. La pérdida total o parcial del sellador por una retención inadecuada o deficiente, implica que no se cumplirá con el objetivo de prevención en los molares.</w:t>
      </w:r>
    </w:p>
    <w:p>
      <w:pPr>
        <w:pStyle w:val="BodyText"/>
      </w:pPr>
    </w:p>
    <w:p>
      <w:pPr>
        <w:pStyle w:val="BodyText"/>
        <w:spacing w:before="7"/>
      </w:pPr>
    </w:p>
    <w:p>
      <w:pPr>
        <w:pStyle w:val="BodyText"/>
        <w:spacing w:line="465" w:lineRule="auto" w:before="1"/>
        <w:ind w:left="160" w:right="175" w:firstLine="708"/>
        <w:jc w:val="both"/>
        <w:rPr>
          <w:sz w:val="16"/>
        </w:rPr>
      </w:pPr>
      <w:r>
        <w:rPr/>
        <w:t>Por otra parte, la pérdida total o parcial del sellador, tiene un costo social y financiero, porque la colocación de nuevo del sellador implica un costo adicional, usualmente los pacientes de bajos recursos no cuentan con el dinero para pagar el la sustitución del sellador. </w:t>
      </w:r>
      <w:r>
        <w:rPr>
          <w:position w:val="11"/>
          <w:sz w:val="16"/>
        </w:rPr>
        <w:t>2</w:t>
      </w:r>
    </w:p>
    <w:p>
      <w:pPr>
        <w:spacing w:after="0" w:line="465" w:lineRule="auto"/>
        <w:jc w:val="both"/>
        <w:rPr>
          <w:sz w:val="16"/>
        </w:rPr>
        <w:sectPr>
          <w:pgSz w:w="12240" w:h="15840"/>
          <w:pgMar w:header="731" w:footer="1017" w:top="1360" w:bottom="1220" w:left="560" w:right="540"/>
        </w:sectPr>
      </w:pPr>
    </w:p>
    <w:p>
      <w:pPr>
        <w:pStyle w:val="BodyText"/>
        <w:spacing w:before="7"/>
        <w:rPr>
          <w:sz w:val="17"/>
        </w:rPr>
      </w:pPr>
    </w:p>
    <w:p>
      <w:pPr>
        <w:pStyle w:val="BodyText"/>
        <w:spacing w:line="465" w:lineRule="auto" w:before="69"/>
        <w:ind w:left="160" w:right="173" w:firstLine="708"/>
        <w:jc w:val="both"/>
        <w:rPr>
          <w:sz w:val="16"/>
        </w:rPr>
      </w:pPr>
      <w:r>
        <w:rPr/>
        <w:t>También es posible que el paciente o los padres no perciban la pérdida total o parcial del sellador quedando expuestas las superficies dentales a la acción de los microorganismos y al desarrollo de la caries.</w:t>
      </w:r>
      <w:r>
        <w:rPr>
          <w:position w:val="11"/>
          <w:sz w:val="16"/>
        </w:rPr>
        <w:t>13</w:t>
      </w:r>
    </w:p>
    <w:p>
      <w:pPr>
        <w:pStyle w:val="BodyText"/>
        <w:rPr>
          <w:sz w:val="28"/>
        </w:rPr>
      </w:pPr>
    </w:p>
    <w:p>
      <w:pPr>
        <w:pStyle w:val="BodyText"/>
        <w:spacing w:before="10"/>
        <w:rPr>
          <w:sz w:val="21"/>
        </w:rPr>
      </w:pPr>
    </w:p>
    <w:p>
      <w:pPr>
        <w:pStyle w:val="BodyText"/>
        <w:spacing w:line="480" w:lineRule="auto" w:before="1"/>
        <w:ind w:left="160" w:right="187" w:firstLine="67"/>
        <w:jc w:val="both"/>
      </w:pPr>
      <w:r>
        <w:rPr/>
        <w:t>Por las razones antes expuestas es necesario evaluar los selladores utilizados en la Clínica de Odontopediatría, para identificar el sellador con más ventajas; retención, costo, y facilidad de manipulación.</w:t>
      </w:r>
    </w:p>
    <w:p>
      <w:pPr>
        <w:spacing w:after="0" w:line="480" w:lineRule="auto"/>
        <w:jc w:val="both"/>
        <w:sectPr>
          <w:pgSz w:w="12240" w:h="15840"/>
          <w:pgMar w:header="731" w:footer="1017" w:top="1360" w:bottom="1220" w:left="560" w:right="540"/>
        </w:sectPr>
      </w:pPr>
    </w:p>
    <w:p>
      <w:pPr>
        <w:pStyle w:val="BodyText"/>
        <w:spacing w:before="1"/>
        <w:rPr>
          <w:sz w:val="18"/>
        </w:rPr>
      </w:pPr>
    </w:p>
    <w:p>
      <w:pPr>
        <w:pStyle w:val="Heading1"/>
        <w:ind w:right="329"/>
      </w:pPr>
      <w:r>
        <w:rPr/>
        <w:t>OBJETIVO.</w:t>
      </w:r>
    </w:p>
    <w:p>
      <w:pPr>
        <w:pStyle w:val="BodyText"/>
        <w:rPr>
          <w:b/>
          <w:sz w:val="28"/>
        </w:rPr>
      </w:pPr>
    </w:p>
    <w:p>
      <w:pPr>
        <w:pStyle w:val="BodyText"/>
        <w:rPr>
          <w:b/>
          <w:sz w:val="28"/>
        </w:rPr>
      </w:pPr>
    </w:p>
    <w:p>
      <w:pPr>
        <w:pStyle w:val="BodyText"/>
        <w:spacing w:before="10"/>
        <w:rPr>
          <w:b/>
          <w:sz w:val="39"/>
        </w:rPr>
      </w:pPr>
    </w:p>
    <w:p>
      <w:pPr>
        <w:pStyle w:val="BodyText"/>
        <w:spacing w:line="480" w:lineRule="auto"/>
        <w:ind w:left="160" w:right="173"/>
        <w:jc w:val="both"/>
      </w:pPr>
      <w:r>
        <w:rPr/>
        <w:t>Comparar la retención de tres tipos de selladores con características diferentes (Helioseal®F (Vivadent – Ivoclar, Clinpro TM Sealant ( 3M ESPE ), UltraSeal XT® plus (Ultradent) en primeros molares permanentes en un grupo de niños de la ciudad de Toluca, en un periodo de seis meses.</w:t>
      </w:r>
    </w:p>
    <w:p>
      <w:pPr>
        <w:pStyle w:val="BodyText"/>
      </w:pPr>
    </w:p>
    <w:p>
      <w:pPr>
        <w:pStyle w:val="BodyText"/>
        <w:spacing w:before="8"/>
      </w:pPr>
    </w:p>
    <w:p>
      <w:pPr>
        <w:pStyle w:val="Heading2"/>
        <w:jc w:val="both"/>
      </w:pPr>
      <w:r>
        <w:rPr/>
        <w:t>OBJETIVOS ESPECÍFICOS:</w:t>
      </w:r>
    </w:p>
    <w:p>
      <w:pPr>
        <w:pStyle w:val="BodyText"/>
        <w:rPr>
          <w:b/>
        </w:rPr>
      </w:pPr>
    </w:p>
    <w:p>
      <w:pPr>
        <w:pStyle w:val="BodyText"/>
        <w:rPr>
          <w:b/>
        </w:rPr>
      </w:pPr>
    </w:p>
    <w:p>
      <w:pPr>
        <w:pStyle w:val="BodyText"/>
        <w:rPr>
          <w:b/>
        </w:rPr>
      </w:pPr>
    </w:p>
    <w:p>
      <w:pPr>
        <w:pStyle w:val="ListParagraph"/>
        <w:numPr>
          <w:ilvl w:val="0"/>
          <w:numId w:val="2"/>
        </w:numPr>
        <w:tabs>
          <w:tab w:pos="881" w:val="left" w:leader="none"/>
        </w:tabs>
        <w:spacing w:line="240" w:lineRule="auto" w:before="0" w:after="0"/>
        <w:ind w:left="880" w:right="0" w:hanging="360"/>
        <w:jc w:val="left"/>
        <w:rPr>
          <w:sz w:val="24"/>
        </w:rPr>
      </w:pPr>
      <w:r>
        <w:rPr>
          <w:sz w:val="24"/>
        </w:rPr>
        <w:t>Evaluar la retención del sellador Helioseal®F (Vivadent-Ivoclar)  a tres y seis</w:t>
      </w:r>
      <w:r>
        <w:rPr>
          <w:spacing w:val="-21"/>
          <w:sz w:val="24"/>
        </w:rPr>
        <w:t> </w:t>
      </w:r>
      <w:r>
        <w:rPr>
          <w:sz w:val="24"/>
        </w:rPr>
        <w:t>meses</w:t>
      </w:r>
    </w:p>
    <w:p>
      <w:pPr>
        <w:pStyle w:val="BodyText"/>
        <w:spacing w:before="9"/>
        <w:rPr>
          <w:sz w:val="23"/>
        </w:rPr>
      </w:pPr>
    </w:p>
    <w:p>
      <w:pPr>
        <w:pStyle w:val="ListParagraph"/>
        <w:numPr>
          <w:ilvl w:val="0"/>
          <w:numId w:val="2"/>
        </w:numPr>
        <w:tabs>
          <w:tab w:pos="881" w:val="left" w:leader="none"/>
        </w:tabs>
        <w:spacing w:line="240" w:lineRule="auto" w:before="0" w:after="0"/>
        <w:ind w:left="880" w:right="0" w:hanging="360"/>
        <w:jc w:val="left"/>
        <w:rPr>
          <w:sz w:val="24"/>
        </w:rPr>
      </w:pPr>
      <w:r>
        <w:rPr>
          <w:sz w:val="24"/>
        </w:rPr>
        <w:t>Evaluar la retención  del sellador Clinpro TM Sealant (3M ESPE)  a tres y seis</w:t>
      </w:r>
      <w:r>
        <w:rPr>
          <w:spacing w:val="-23"/>
          <w:sz w:val="24"/>
        </w:rPr>
        <w:t> </w:t>
      </w:r>
      <w:r>
        <w:rPr>
          <w:sz w:val="24"/>
        </w:rPr>
        <w:t>meses</w:t>
      </w:r>
    </w:p>
    <w:p>
      <w:pPr>
        <w:pStyle w:val="BodyText"/>
      </w:pPr>
    </w:p>
    <w:p>
      <w:pPr>
        <w:pStyle w:val="ListParagraph"/>
        <w:numPr>
          <w:ilvl w:val="0"/>
          <w:numId w:val="2"/>
        </w:numPr>
        <w:tabs>
          <w:tab w:pos="881" w:val="left" w:leader="none"/>
        </w:tabs>
        <w:spacing w:line="240" w:lineRule="auto" w:before="0" w:after="0"/>
        <w:ind w:left="880" w:right="0" w:hanging="360"/>
        <w:jc w:val="left"/>
        <w:rPr>
          <w:sz w:val="24"/>
        </w:rPr>
      </w:pPr>
      <w:r>
        <w:rPr>
          <w:sz w:val="24"/>
        </w:rPr>
        <w:t>Evaluarla retención  el sellador UltraSeal XT® plus  (Ultradent)  a tres y seis</w:t>
      </w:r>
      <w:r>
        <w:rPr>
          <w:spacing w:val="-37"/>
          <w:sz w:val="24"/>
        </w:rPr>
        <w:t> </w:t>
      </w:r>
      <w:r>
        <w:rPr>
          <w:sz w:val="24"/>
        </w:rPr>
        <w:t>meses</w:t>
      </w:r>
    </w:p>
    <w:p>
      <w:pPr>
        <w:pStyle w:val="BodyText"/>
      </w:pPr>
    </w:p>
    <w:p>
      <w:pPr>
        <w:pStyle w:val="ListParagraph"/>
        <w:numPr>
          <w:ilvl w:val="0"/>
          <w:numId w:val="2"/>
        </w:numPr>
        <w:tabs>
          <w:tab w:pos="881" w:val="left" w:leader="none"/>
        </w:tabs>
        <w:spacing w:line="240" w:lineRule="auto" w:before="0" w:after="0"/>
        <w:ind w:left="880" w:right="0" w:hanging="360"/>
        <w:jc w:val="left"/>
        <w:rPr>
          <w:sz w:val="24"/>
        </w:rPr>
      </w:pPr>
      <w:r>
        <w:rPr>
          <w:sz w:val="24"/>
        </w:rPr>
        <w:t>Comparar los resultados obtenidos durante la evaluación de la retención de los</w:t>
      </w:r>
      <w:r>
        <w:rPr>
          <w:spacing w:val="-31"/>
          <w:sz w:val="24"/>
        </w:rPr>
        <w:t> </w:t>
      </w:r>
      <w:r>
        <w:rPr>
          <w:sz w:val="24"/>
        </w:rPr>
        <w:t>selladores.</w:t>
      </w:r>
    </w:p>
    <w:p>
      <w:pPr>
        <w:spacing w:after="0" w:line="240" w:lineRule="auto"/>
        <w:jc w:val="left"/>
        <w:rPr>
          <w:sz w:val="24"/>
        </w:rPr>
        <w:sectPr>
          <w:pgSz w:w="12240" w:h="15840"/>
          <w:pgMar w:header="731" w:footer="1017" w:top="1360" w:bottom="1220" w:left="560" w:right="540"/>
        </w:sectPr>
      </w:pPr>
    </w:p>
    <w:p>
      <w:pPr>
        <w:pStyle w:val="BodyText"/>
        <w:rPr>
          <w:sz w:val="20"/>
        </w:rPr>
      </w:pPr>
    </w:p>
    <w:p>
      <w:pPr>
        <w:pStyle w:val="BodyText"/>
        <w:spacing w:before="3"/>
        <w:rPr>
          <w:sz w:val="27"/>
        </w:rPr>
      </w:pPr>
    </w:p>
    <w:p>
      <w:pPr>
        <w:pStyle w:val="Heading1"/>
        <w:ind w:right="329"/>
      </w:pPr>
      <w:r>
        <w:rPr/>
        <w:t>MATERIAL Y MÉTODO</w:t>
      </w:r>
    </w:p>
    <w:p>
      <w:pPr>
        <w:pStyle w:val="BodyText"/>
        <w:rPr>
          <w:b/>
          <w:sz w:val="28"/>
        </w:rPr>
      </w:pPr>
    </w:p>
    <w:p>
      <w:pPr>
        <w:pStyle w:val="BodyText"/>
        <w:rPr>
          <w:b/>
          <w:sz w:val="28"/>
        </w:rPr>
      </w:pPr>
    </w:p>
    <w:p>
      <w:pPr>
        <w:pStyle w:val="BodyText"/>
        <w:spacing w:before="11"/>
        <w:rPr>
          <w:b/>
          <w:sz w:val="22"/>
        </w:rPr>
      </w:pPr>
    </w:p>
    <w:p>
      <w:pPr>
        <w:pStyle w:val="BodyText"/>
        <w:spacing w:line="480" w:lineRule="auto"/>
        <w:ind w:left="520" w:right="185"/>
        <w:jc w:val="both"/>
      </w:pPr>
      <w:r>
        <w:rPr/>
        <w:t>El estudio se llevó a cabo en la Clínica de Odontopediatría de la Universidad Autónoma del Estado de México y la Escuela Primaria “Juan Fernández Albarrán” en el periodo comprendido de marzo- junio de 2012.</w:t>
      </w:r>
    </w:p>
    <w:p>
      <w:pPr>
        <w:pStyle w:val="BodyText"/>
      </w:pPr>
    </w:p>
    <w:p>
      <w:pPr>
        <w:pStyle w:val="BodyText"/>
        <w:spacing w:before="8"/>
      </w:pPr>
    </w:p>
    <w:p>
      <w:pPr>
        <w:pStyle w:val="BodyText"/>
        <w:spacing w:line="480" w:lineRule="auto"/>
        <w:ind w:left="520" w:right="174"/>
        <w:jc w:val="both"/>
      </w:pPr>
      <w:r>
        <w:rPr/>
        <w:t>Se realizó una plática informativa para invitar a los niños y padres a participar en el estudio,  previa firma del consentimiento informado por los padres y de asentimiento de los niños de la Clínica de la Especialidad en Odontopediatría y los alumnos de 2° D, 2° E y 3° D de la Escuela Primaria Juan Fernández Albarrán, se procedió a realizar el examen de la cavidad bucal, del total de las familias invitadas solo 74</w:t>
      </w:r>
      <w:r>
        <w:rPr>
          <w:spacing w:val="-11"/>
        </w:rPr>
        <w:t> </w:t>
      </w:r>
      <w:r>
        <w:rPr/>
        <w:t>aceptaron.</w:t>
      </w:r>
    </w:p>
    <w:p>
      <w:pPr>
        <w:pStyle w:val="BodyText"/>
      </w:pPr>
    </w:p>
    <w:p>
      <w:pPr>
        <w:pStyle w:val="BodyText"/>
        <w:spacing w:before="8"/>
      </w:pPr>
    </w:p>
    <w:p>
      <w:pPr>
        <w:pStyle w:val="BodyText"/>
        <w:spacing w:line="480" w:lineRule="auto"/>
        <w:ind w:left="520" w:right="174"/>
        <w:jc w:val="both"/>
      </w:pPr>
      <w:r>
        <w:rPr/>
        <w:t>El diagnóstico clínico se realizó utilizando una tinción de placa dentobacteriana para observar la profundidad de las fisuras de los molares. Posteriormente se realizó la profilaxis con cepillo de profilaxis y pasta profiláctica usando la pieza de mano de baja velocidad. A continuación se observaron los primeros molares permanentes de ambas arcadas, de manera sistemática empezando por el cuadrante superior derecho, seguido del superior izquierdo posteriormente el inferior izquierdo y por último el inferior derecho.</w:t>
      </w:r>
    </w:p>
    <w:p>
      <w:pPr>
        <w:pStyle w:val="BodyText"/>
        <w:spacing w:before="10"/>
      </w:pPr>
    </w:p>
    <w:p>
      <w:pPr>
        <w:pStyle w:val="BodyText"/>
        <w:spacing w:line="550" w:lineRule="atLeast"/>
        <w:ind w:left="520" w:right="175"/>
        <w:jc w:val="both"/>
      </w:pPr>
      <w:r>
        <w:rPr/>
        <w:t>Se realizó una lista de registro de los niños que cumplieron con las características para el  estudio, se entregó a los padres de los niños candidatos para el estudio un consentimiento informado y a los niño se solicitó su firma de asentimiento, para la colocación de los selladores, explicándoles la técnica que se llevaría a cabo y     </w:t>
      </w:r>
      <w:r>
        <w:rPr>
          <w:spacing w:val="60"/>
        </w:rPr>
        <w:t> </w:t>
      </w:r>
      <w:r>
        <w:rPr/>
        <w:t>los materiales que se utilizarían, así como un</w:t>
      </w:r>
    </w:p>
    <w:p>
      <w:pPr>
        <w:spacing w:after="0" w:line="550" w:lineRule="atLeast"/>
        <w:jc w:val="both"/>
        <w:sectPr>
          <w:pgSz w:w="12240" w:h="15840"/>
          <w:pgMar w:header="731" w:footer="1017" w:top="1360" w:bottom="1220" w:left="560" w:right="540"/>
        </w:sectPr>
      </w:pPr>
    </w:p>
    <w:p>
      <w:pPr>
        <w:pStyle w:val="BodyText"/>
        <w:spacing w:before="7"/>
        <w:rPr>
          <w:sz w:val="17"/>
        </w:rPr>
      </w:pPr>
    </w:p>
    <w:p>
      <w:pPr>
        <w:pStyle w:val="BodyText"/>
        <w:spacing w:line="480" w:lineRule="auto" w:before="69"/>
        <w:ind w:left="520" w:right="178"/>
        <w:jc w:val="both"/>
      </w:pPr>
      <w:r>
        <w:rPr/>
        <w:t>pequeño cuestionario con antecedentes de alergias y antecedentes odontológicos. Se obtuvieron 26 consentimientos informados firmados por los padres y niños de autorización para la colocación de los selladores de fosetas y fisuras, así como los cuestionarios.</w:t>
      </w:r>
    </w:p>
    <w:p>
      <w:pPr>
        <w:pStyle w:val="BodyText"/>
      </w:pPr>
    </w:p>
    <w:p>
      <w:pPr>
        <w:pStyle w:val="BodyText"/>
        <w:spacing w:before="7"/>
        <w:rPr>
          <w:sz w:val="27"/>
        </w:rPr>
      </w:pPr>
    </w:p>
    <w:p>
      <w:pPr>
        <w:pStyle w:val="BodyText"/>
        <w:spacing w:line="480" w:lineRule="auto"/>
        <w:ind w:left="520" w:right="174"/>
        <w:jc w:val="both"/>
      </w:pPr>
      <w:r>
        <w:rPr/>
        <w:t>En cada molar que cumplió con los criterios de inclusión se colocó un sellador de distinta marca, con la excepción de los pacientes que tuvieron los cuatro primeros molares erupcionados ya que los selladores que estudiamos son tres se repitió una marca de sellador (Helioseal®F (Vivadent – Ivoclar) ya que es el que contiene flúor y es de mayor beneficio para los órganos dentarios, se repitió  el sellador en los molares inferiores ya que es donde se reporta mayor perdida.</w:t>
      </w:r>
    </w:p>
    <w:p>
      <w:pPr>
        <w:pStyle w:val="BodyText"/>
      </w:pPr>
    </w:p>
    <w:p>
      <w:pPr>
        <w:pStyle w:val="BodyText"/>
        <w:spacing w:before="7"/>
      </w:pPr>
    </w:p>
    <w:p>
      <w:pPr>
        <w:pStyle w:val="BodyText"/>
        <w:spacing w:line="480" w:lineRule="auto" w:before="1"/>
        <w:ind w:left="520" w:right="178"/>
        <w:jc w:val="both"/>
      </w:pPr>
      <w:r>
        <w:rPr/>
        <w:t>Durante el procedimiento de colocación de selladores, se utilizaron guantes de exploración, cubrebocas, espejo dental del #3, explorador infantil, dique de hule, arco de plástico, grapa del # correspondiente al molar, jeringa carpule, Lidocaina al 2% con epeinefrina 1:100,000, aguja extra corta, algodón, campos, baberos desechables para cada paciente y cronómetro.</w:t>
      </w:r>
    </w:p>
    <w:p>
      <w:pPr>
        <w:pStyle w:val="BodyText"/>
      </w:pPr>
    </w:p>
    <w:p>
      <w:pPr>
        <w:pStyle w:val="BodyText"/>
        <w:spacing w:before="7"/>
      </w:pPr>
    </w:p>
    <w:p>
      <w:pPr>
        <w:pStyle w:val="BodyText"/>
        <w:spacing w:line="480" w:lineRule="auto" w:before="1"/>
        <w:ind w:left="520" w:right="181"/>
        <w:jc w:val="both"/>
      </w:pPr>
      <w:r>
        <w:rPr/>
        <w:t>El procedimiento a seguir fue: Aplicación de anestesia en fondo de saco de cada molar con Lidocaina al 2% con epeinefrina 1:100,000 utilizando una  aguja extra corta.</w:t>
      </w:r>
    </w:p>
    <w:p>
      <w:pPr>
        <w:pStyle w:val="BodyText"/>
      </w:pPr>
    </w:p>
    <w:p>
      <w:pPr>
        <w:pStyle w:val="BodyText"/>
        <w:spacing w:before="7"/>
      </w:pPr>
    </w:p>
    <w:p>
      <w:pPr>
        <w:pStyle w:val="BodyText"/>
        <w:spacing w:line="480" w:lineRule="auto" w:before="1"/>
        <w:ind w:left="520" w:right="177"/>
        <w:jc w:val="both"/>
      </w:pPr>
      <w:r>
        <w:rPr/>
        <w:t>Bajo aislamiento absoluto mediante una grapa del número correspondiente a cada molar, y dique de hule, y arco de plástico, se realizó la profilaxis de cada molar con cepillo de profilaxis y agua oxigenada con pieza de baja velocidad, posteriormente se realizó secado  con jeringa triple.</w:t>
      </w:r>
    </w:p>
    <w:p>
      <w:pPr>
        <w:spacing w:after="0" w:line="480" w:lineRule="auto"/>
        <w:jc w:val="both"/>
        <w:sectPr>
          <w:pgSz w:w="12240" w:h="15840"/>
          <w:pgMar w:header="731" w:footer="1017" w:top="1360" w:bottom="1220" w:left="560" w:right="540"/>
        </w:sectPr>
      </w:pPr>
    </w:p>
    <w:p>
      <w:pPr>
        <w:pStyle w:val="BodyText"/>
        <w:spacing w:before="7"/>
        <w:rPr>
          <w:sz w:val="17"/>
        </w:rPr>
      </w:pPr>
    </w:p>
    <w:p>
      <w:pPr>
        <w:pStyle w:val="BodyText"/>
        <w:spacing w:line="480" w:lineRule="auto" w:before="69"/>
        <w:ind w:left="520" w:right="179"/>
        <w:jc w:val="both"/>
      </w:pPr>
      <w:r>
        <w:rPr/>
        <w:t>Para la colocación del sellador de fisuras se siguieron las indicaciones del fabricante para cada marca, cronometrando los tiempos. Se colocaron un total de 59 selladores de fosetas y fisuras a 19 niños, la colocación de selladores fue realizada por el mismo solo operador.</w:t>
      </w:r>
    </w:p>
    <w:p>
      <w:pPr>
        <w:pStyle w:val="BodyText"/>
      </w:pPr>
    </w:p>
    <w:p>
      <w:pPr>
        <w:pStyle w:val="BodyText"/>
        <w:spacing w:before="7"/>
      </w:pPr>
    </w:p>
    <w:p>
      <w:pPr>
        <w:pStyle w:val="BodyText"/>
        <w:spacing w:line="480" w:lineRule="auto" w:before="1"/>
        <w:ind w:left="520" w:right="179"/>
        <w:jc w:val="both"/>
      </w:pPr>
      <w:r>
        <w:rPr/>
        <w:t>En una cédula se registró la siguiente información: nombre del paciente, fecha de colocación, órgano dentario, el código de numeración para el cada marca del sellador, resultado de evaluación a 3 meses y resultado de evaluación a 6 meses.</w:t>
      </w:r>
    </w:p>
    <w:p>
      <w:pPr>
        <w:pStyle w:val="BodyText"/>
      </w:pPr>
    </w:p>
    <w:p>
      <w:pPr>
        <w:pStyle w:val="BodyText"/>
        <w:spacing w:before="8"/>
      </w:pPr>
    </w:p>
    <w:p>
      <w:pPr>
        <w:pStyle w:val="BodyText"/>
        <w:spacing w:line="480" w:lineRule="auto"/>
        <w:ind w:left="520" w:right="188"/>
        <w:jc w:val="both"/>
      </w:pPr>
      <w:r>
        <w:rPr/>
        <w:t>La evaluación de los selladores la realizó el operador a los tres y seis meses visualmente, y con ayuda de un explorador, espejo dental del #3 y luz de la lámpara de unidad dental.</w:t>
      </w:r>
    </w:p>
    <w:p>
      <w:pPr>
        <w:pStyle w:val="BodyText"/>
      </w:pPr>
    </w:p>
    <w:p>
      <w:pPr>
        <w:pStyle w:val="BodyText"/>
        <w:spacing w:before="7"/>
      </w:pPr>
    </w:p>
    <w:p>
      <w:pPr>
        <w:pStyle w:val="BodyText"/>
        <w:spacing w:line="480" w:lineRule="auto" w:before="1"/>
        <w:ind w:left="880" w:right="3770" w:hanging="361"/>
      </w:pPr>
      <w:r>
        <w:rPr/>
        <w:t>Los criterios a revisar en la evaluación a los 3 y 6 meses fueron: Sellador integro</w:t>
      </w:r>
    </w:p>
    <w:p>
      <w:pPr>
        <w:pStyle w:val="BodyText"/>
        <w:spacing w:line="480" w:lineRule="auto" w:before="8"/>
        <w:ind w:left="880" w:right="7238"/>
      </w:pPr>
      <w:r>
        <w:rPr/>
        <w:t>Desalojo total del sellador Desalojo parcial del sellador</w:t>
      </w:r>
    </w:p>
    <w:p>
      <w:pPr>
        <w:pStyle w:val="BodyText"/>
      </w:pPr>
    </w:p>
    <w:p>
      <w:pPr>
        <w:pStyle w:val="BodyText"/>
        <w:spacing w:before="5"/>
      </w:pPr>
    </w:p>
    <w:p>
      <w:pPr>
        <w:pStyle w:val="BodyText"/>
        <w:spacing w:line="480" w:lineRule="auto"/>
        <w:ind w:left="520" w:right="180"/>
        <w:jc w:val="both"/>
      </w:pPr>
      <w:r>
        <w:rPr/>
        <w:t>Se realizaron las evaluaciones de 19 niños y 59 selladores.Se comparó la retención a 3 y 6 meses mediante evaluación</w:t>
      </w:r>
      <w:r>
        <w:rPr>
          <w:spacing w:val="-7"/>
        </w:rPr>
        <w:t> </w:t>
      </w:r>
      <w:r>
        <w:rPr/>
        <w:t>visual.</w:t>
      </w:r>
    </w:p>
    <w:p>
      <w:pPr>
        <w:spacing w:after="0" w:line="480" w:lineRule="auto"/>
        <w:jc w:val="both"/>
        <w:sectPr>
          <w:pgSz w:w="12240" w:h="15840"/>
          <w:pgMar w:header="731" w:footer="1017" w:top="1360" w:bottom="1220" w:left="560" w:right="540"/>
        </w:sectPr>
      </w:pPr>
    </w:p>
    <w:p>
      <w:pPr>
        <w:pStyle w:val="BodyText"/>
        <w:rPr>
          <w:sz w:val="20"/>
        </w:rPr>
      </w:pPr>
    </w:p>
    <w:p>
      <w:pPr>
        <w:pStyle w:val="BodyText"/>
        <w:rPr>
          <w:sz w:val="20"/>
        </w:rPr>
      </w:pPr>
    </w:p>
    <w:p>
      <w:pPr>
        <w:pStyle w:val="BodyText"/>
        <w:spacing w:before="6"/>
        <w:rPr>
          <w:sz w:val="19"/>
        </w:rPr>
      </w:pPr>
    </w:p>
    <w:p>
      <w:pPr>
        <w:pStyle w:val="Heading2"/>
        <w:ind w:left="4793" w:hanging="3927"/>
        <w:jc w:val="left"/>
      </w:pPr>
      <w:r>
        <w:rPr/>
        <w:t>INDICACIONES DEL FABRICANTE PARA LA COLOCACIÓN DE LOS SELLADORES ESTUDIADOS</w:t>
      </w:r>
    </w:p>
    <w:p>
      <w:pPr>
        <w:pStyle w:val="BodyText"/>
        <w:spacing w:before="1"/>
        <w:rPr>
          <w:b/>
          <w:sz w:val="9"/>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4112"/>
        <w:gridCol w:w="3886"/>
      </w:tblGrid>
      <w:tr>
        <w:trPr>
          <w:trHeight w:val="230" w:hRule="exact"/>
        </w:trPr>
        <w:tc>
          <w:tcPr>
            <w:tcW w:w="2943" w:type="dxa"/>
          </w:tcPr>
          <w:p>
            <w:pPr>
              <w:pStyle w:val="TableParagraph"/>
              <w:spacing w:before="1"/>
              <w:ind w:left="103"/>
              <w:rPr>
                <w:sz w:val="18"/>
              </w:rPr>
            </w:pPr>
            <w:r>
              <w:rPr>
                <w:sz w:val="18"/>
              </w:rPr>
              <w:t>MATERIAL</w:t>
            </w:r>
          </w:p>
        </w:tc>
        <w:tc>
          <w:tcPr>
            <w:tcW w:w="4112" w:type="dxa"/>
          </w:tcPr>
          <w:p>
            <w:pPr>
              <w:pStyle w:val="TableParagraph"/>
              <w:spacing w:before="1"/>
              <w:ind w:left="103" w:right="121"/>
              <w:rPr>
                <w:sz w:val="18"/>
              </w:rPr>
            </w:pPr>
            <w:r>
              <w:rPr>
                <w:sz w:val="18"/>
              </w:rPr>
              <w:t>COMPOSICIÓN</w:t>
            </w:r>
          </w:p>
        </w:tc>
        <w:tc>
          <w:tcPr>
            <w:tcW w:w="3886" w:type="dxa"/>
          </w:tcPr>
          <w:p>
            <w:pPr>
              <w:pStyle w:val="TableParagraph"/>
              <w:spacing w:before="1"/>
              <w:ind w:left="103" w:right="83"/>
              <w:rPr>
                <w:sz w:val="18"/>
              </w:rPr>
            </w:pPr>
            <w:r>
              <w:rPr>
                <w:sz w:val="18"/>
              </w:rPr>
              <w:t>INDICACIONES DEL FABRICANTES</w:t>
            </w:r>
          </w:p>
        </w:tc>
      </w:tr>
      <w:tr>
        <w:trPr>
          <w:trHeight w:val="1548" w:hRule="exact"/>
        </w:trPr>
        <w:tc>
          <w:tcPr>
            <w:tcW w:w="2943" w:type="dxa"/>
          </w:tcPr>
          <w:p>
            <w:pPr>
              <w:pStyle w:val="TableParagraph"/>
              <w:spacing w:line="219" w:lineRule="exact"/>
              <w:ind w:left="184"/>
              <w:rPr>
                <w:sz w:val="18"/>
              </w:rPr>
            </w:pPr>
            <w:r>
              <w:rPr>
                <w:sz w:val="18"/>
              </w:rPr>
              <w:t>Helioseal®F (Vivadent – Ivoclar):</w:t>
            </w:r>
          </w:p>
        </w:tc>
        <w:tc>
          <w:tcPr>
            <w:tcW w:w="4112" w:type="dxa"/>
          </w:tcPr>
          <w:p>
            <w:pPr>
              <w:pStyle w:val="TableParagraph"/>
              <w:ind w:left="103" w:right="104"/>
              <w:jc w:val="both"/>
              <w:rPr>
                <w:sz w:val="18"/>
              </w:rPr>
            </w:pPr>
            <w:r>
              <w:rPr>
                <w:sz w:val="18"/>
              </w:rPr>
              <w:t>Matriz del monómero: Bis-GMA, dimetacrilato de uretano y trientilenglicoldimetacrilato. (58.6% en peso)</w:t>
            </w:r>
          </w:p>
          <w:p>
            <w:pPr>
              <w:pStyle w:val="TableParagraph"/>
              <w:tabs>
                <w:tab w:pos="1132" w:val="left" w:leader="none"/>
                <w:tab w:pos="1803" w:val="left" w:leader="none"/>
                <w:tab w:pos="2820" w:val="left" w:leader="none"/>
              </w:tabs>
              <w:spacing w:before="1"/>
              <w:ind w:left="103" w:right="106"/>
              <w:jc w:val="both"/>
              <w:rPr>
                <w:sz w:val="18"/>
              </w:rPr>
            </w:pPr>
            <w:r>
              <w:rPr>
                <w:sz w:val="18"/>
              </w:rPr>
              <w:t>Material de relleno: dióxido de silicio altamente disperso, vidrio de fluorosilicato(40.8% en peso), dióxido</w:t>
              <w:tab/>
              <w:t>de</w:t>
              <w:tab/>
              <w:t>titanio,</w:t>
              <w:tab/>
            </w:r>
            <w:r>
              <w:rPr>
                <w:spacing w:val="-1"/>
                <w:sz w:val="18"/>
              </w:rPr>
              <w:t>estabilizadoresy </w:t>
            </w:r>
            <w:r>
              <w:rPr>
                <w:sz w:val="18"/>
              </w:rPr>
              <w:t>catalizadores(menos el 1% en</w:t>
            </w:r>
            <w:r>
              <w:rPr>
                <w:spacing w:val="-12"/>
                <w:sz w:val="18"/>
              </w:rPr>
              <w:t> </w:t>
            </w:r>
            <w:r>
              <w:rPr>
                <w:sz w:val="18"/>
              </w:rPr>
              <w:t>peso)</w:t>
            </w:r>
          </w:p>
        </w:tc>
        <w:tc>
          <w:tcPr>
            <w:tcW w:w="3886" w:type="dxa"/>
          </w:tcPr>
          <w:p>
            <w:pPr>
              <w:pStyle w:val="TableParagraph"/>
              <w:ind w:left="103" w:right="1474"/>
              <w:rPr>
                <w:sz w:val="18"/>
              </w:rPr>
            </w:pPr>
            <w:r>
              <w:rPr>
                <w:sz w:val="18"/>
              </w:rPr>
              <w:t>Limpie la superficie del</w:t>
            </w:r>
            <w:r>
              <w:rPr>
                <w:spacing w:val="-9"/>
                <w:sz w:val="18"/>
              </w:rPr>
              <w:t> </w:t>
            </w:r>
            <w:r>
              <w:rPr>
                <w:sz w:val="18"/>
              </w:rPr>
              <w:t>esmalte Aisle el campo de trabajo Grabe por 15</w:t>
            </w:r>
            <w:r>
              <w:rPr>
                <w:spacing w:val="-5"/>
                <w:sz w:val="18"/>
              </w:rPr>
              <w:t> </w:t>
            </w:r>
            <w:r>
              <w:rPr>
                <w:sz w:val="18"/>
              </w:rPr>
              <w:t>seg</w:t>
            </w:r>
          </w:p>
          <w:p>
            <w:pPr>
              <w:pStyle w:val="TableParagraph"/>
              <w:spacing w:before="1"/>
              <w:ind w:left="103" w:right="83"/>
              <w:rPr>
                <w:sz w:val="18"/>
              </w:rPr>
            </w:pPr>
            <w:r>
              <w:rPr>
                <w:sz w:val="18"/>
              </w:rPr>
              <w:t>Aclare bien y seque con aire sin aceite o grasa Aplique helioseal F</w:t>
            </w:r>
          </w:p>
          <w:p>
            <w:pPr>
              <w:pStyle w:val="TableParagraph"/>
              <w:spacing w:before="1"/>
              <w:ind w:left="103" w:right="83"/>
              <w:rPr>
                <w:sz w:val="12"/>
              </w:rPr>
            </w:pPr>
            <w:r>
              <w:rPr>
                <w:sz w:val="18"/>
              </w:rPr>
              <w:t>Espero por 15 seg y fotopolimerize por  20 seg.</w:t>
            </w:r>
            <w:r>
              <w:rPr>
                <w:position w:val="-2"/>
                <w:sz w:val="12"/>
              </w:rPr>
              <w:t>(17)</w:t>
            </w:r>
          </w:p>
        </w:tc>
      </w:tr>
      <w:tr>
        <w:trPr>
          <w:trHeight w:val="2427" w:hRule="exact"/>
        </w:trPr>
        <w:tc>
          <w:tcPr>
            <w:tcW w:w="2943" w:type="dxa"/>
          </w:tcPr>
          <w:p>
            <w:pPr>
              <w:pStyle w:val="TableParagraph"/>
              <w:spacing w:line="219" w:lineRule="exact"/>
              <w:ind w:left="103"/>
              <w:rPr>
                <w:sz w:val="18"/>
              </w:rPr>
            </w:pPr>
            <w:r>
              <w:rPr>
                <w:sz w:val="18"/>
              </w:rPr>
              <w:t>Clinpro TM Sealant ( 3M ESPE ):</w:t>
            </w:r>
          </w:p>
        </w:tc>
        <w:tc>
          <w:tcPr>
            <w:tcW w:w="4112" w:type="dxa"/>
          </w:tcPr>
          <w:p>
            <w:pPr>
              <w:pStyle w:val="TableParagraph"/>
              <w:ind w:left="103" w:right="121"/>
              <w:rPr>
                <w:sz w:val="18"/>
              </w:rPr>
            </w:pPr>
            <w:r>
              <w:rPr>
                <w:sz w:val="18"/>
              </w:rPr>
              <w:t>Matriz de resina: Bisfenol A Diglicidil Metacrilato Bis- GMA, Triethylen glycol</w:t>
            </w:r>
          </w:p>
          <w:p>
            <w:pPr>
              <w:pStyle w:val="TableParagraph"/>
              <w:spacing w:line="218" w:lineRule="exact"/>
              <w:ind w:left="103" w:right="121"/>
              <w:rPr>
                <w:sz w:val="18"/>
              </w:rPr>
            </w:pPr>
            <w:r>
              <w:rPr>
                <w:sz w:val="18"/>
              </w:rPr>
              <w:t>Dimetacrilato TEGDMA</w:t>
            </w:r>
          </w:p>
          <w:p>
            <w:pPr>
              <w:pStyle w:val="TableParagraph"/>
              <w:spacing w:before="1"/>
              <w:rPr>
                <w:rFonts w:ascii="Arial"/>
                <w:b/>
                <w:sz w:val="19"/>
              </w:rPr>
            </w:pPr>
          </w:p>
          <w:p>
            <w:pPr>
              <w:pStyle w:val="TableParagraph"/>
              <w:ind w:left="103" w:right="121"/>
              <w:rPr>
                <w:sz w:val="18"/>
              </w:rPr>
            </w:pPr>
            <w:r>
              <w:rPr>
                <w:sz w:val="18"/>
              </w:rPr>
              <w:t>Materual de relleno: Dicrodimethylsilano</w:t>
            </w:r>
          </w:p>
        </w:tc>
        <w:tc>
          <w:tcPr>
            <w:tcW w:w="3886" w:type="dxa"/>
          </w:tcPr>
          <w:p>
            <w:pPr>
              <w:pStyle w:val="TableParagraph"/>
              <w:ind w:left="103" w:right="1397"/>
              <w:rPr>
                <w:sz w:val="18"/>
              </w:rPr>
            </w:pPr>
            <w:r>
              <w:rPr>
                <w:sz w:val="18"/>
              </w:rPr>
              <w:t>Limpie profusamente el esmalte Aísle los dientes y seque.</w:t>
            </w:r>
          </w:p>
          <w:p>
            <w:pPr>
              <w:pStyle w:val="TableParagraph"/>
              <w:ind w:left="103" w:right="83"/>
              <w:rPr>
                <w:sz w:val="18"/>
              </w:rPr>
            </w:pPr>
            <w:r>
              <w:rPr>
                <w:sz w:val="18"/>
              </w:rPr>
              <w:t>Grabe por un mínimo de 15 segundos, pero no más de 60 segundos.</w:t>
            </w:r>
          </w:p>
          <w:p>
            <w:pPr>
              <w:pStyle w:val="TableParagraph"/>
              <w:ind w:left="103" w:right="206"/>
              <w:rPr>
                <w:sz w:val="18"/>
              </w:rPr>
            </w:pPr>
            <w:r>
              <w:rPr>
                <w:sz w:val="18"/>
              </w:rPr>
              <w:t>Enjuague profusamente los dientes con spray de aire/agua para</w:t>
            </w:r>
          </w:p>
          <w:p>
            <w:pPr>
              <w:pStyle w:val="TableParagraph"/>
              <w:spacing w:line="219" w:lineRule="exact" w:before="1"/>
              <w:ind w:left="103" w:right="83"/>
              <w:rPr>
                <w:sz w:val="18"/>
              </w:rPr>
            </w:pPr>
            <w:r>
              <w:rPr>
                <w:sz w:val="18"/>
              </w:rPr>
              <w:t>remover el grabador.</w:t>
            </w:r>
          </w:p>
          <w:p>
            <w:pPr>
              <w:pStyle w:val="TableParagraph"/>
              <w:ind w:left="103" w:right="409"/>
              <w:rPr>
                <w:sz w:val="18"/>
              </w:rPr>
            </w:pPr>
            <w:r>
              <w:rPr>
                <w:sz w:val="18"/>
              </w:rPr>
              <w:t>Seque profusamente las superficies grabadas. Aplique el Sellador</w:t>
            </w:r>
          </w:p>
          <w:p>
            <w:pPr>
              <w:pStyle w:val="TableParagraph"/>
              <w:ind w:left="103" w:right="83"/>
              <w:rPr>
                <w:sz w:val="12"/>
              </w:rPr>
            </w:pPr>
            <w:r>
              <w:rPr>
                <w:sz w:val="18"/>
              </w:rPr>
              <w:t>Se necesita 20 segundos de exposición por cada superficie.</w:t>
            </w:r>
            <w:r>
              <w:rPr>
                <w:position w:val="-2"/>
                <w:sz w:val="12"/>
              </w:rPr>
              <w:t>(19)</w:t>
            </w:r>
          </w:p>
        </w:tc>
      </w:tr>
      <w:tr>
        <w:trPr>
          <w:trHeight w:val="1330" w:hRule="exact"/>
        </w:trPr>
        <w:tc>
          <w:tcPr>
            <w:tcW w:w="2943" w:type="dxa"/>
          </w:tcPr>
          <w:p>
            <w:pPr>
              <w:pStyle w:val="TableParagraph"/>
              <w:spacing w:before="1"/>
              <w:ind w:left="103"/>
              <w:rPr>
                <w:sz w:val="18"/>
              </w:rPr>
            </w:pPr>
            <w:r>
              <w:rPr>
                <w:sz w:val="18"/>
              </w:rPr>
              <w:t>UltraSeal XT® plus  (Ultradent)</w:t>
            </w:r>
          </w:p>
        </w:tc>
        <w:tc>
          <w:tcPr>
            <w:tcW w:w="4112" w:type="dxa"/>
          </w:tcPr>
          <w:p>
            <w:pPr>
              <w:pStyle w:val="TableParagraph"/>
              <w:spacing w:before="1"/>
              <w:ind w:left="103" w:right="2327"/>
              <w:rPr>
                <w:sz w:val="18"/>
              </w:rPr>
            </w:pPr>
            <w:r>
              <w:rPr>
                <w:sz w:val="18"/>
              </w:rPr>
              <w:t>relleno inorgánico (58% en peso)</w:t>
            </w:r>
          </w:p>
        </w:tc>
        <w:tc>
          <w:tcPr>
            <w:tcW w:w="3886" w:type="dxa"/>
          </w:tcPr>
          <w:p>
            <w:pPr>
              <w:pStyle w:val="TableParagraph"/>
              <w:spacing w:before="1"/>
              <w:ind w:left="103" w:right="1011" w:firstLine="26"/>
              <w:rPr>
                <w:sz w:val="18"/>
              </w:rPr>
            </w:pPr>
            <w:r>
              <w:rPr>
                <w:sz w:val="18"/>
              </w:rPr>
              <w:t>Aislar los dientes con dique de goma. Limpie los dientes antes de grabar.</w:t>
            </w:r>
          </w:p>
          <w:p>
            <w:pPr>
              <w:pStyle w:val="TableParagraph"/>
              <w:spacing w:before="1"/>
              <w:ind w:left="103" w:right="83"/>
              <w:rPr>
                <w:sz w:val="18"/>
              </w:rPr>
            </w:pPr>
            <w:r>
              <w:rPr>
                <w:sz w:val="18"/>
              </w:rPr>
              <w:t>Grabe el esmalte durante 15-20 seg, enjuague y seque</w:t>
            </w:r>
          </w:p>
          <w:p>
            <w:pPr>
              <w:pStyle w:val="TableParagraph"/>
              <w:spacing w:before="1"/>
              <w:ind w:left="103" w:right="83"/>
              <w:rPr>
                <w:sz w:val="12"/>
              </w:rPr>
            </w:pPr>
            <w:r>
              <w:rPr>
                <w:sz w:val="18"/>
              </w:rPr>
              <w:t>Aplique primaDry y deje 5 seg y seque con aire Coloque el sellador y fotocure por 20 seg.</w:t>
            </w:r>
            <w:r>
              <w:rPr>
                <w:position w:val="-2"/>
                <w:sz w:val="12"/>
              </w:rPr>
              <w:t>(21)</w:t>
            </w:r>
          </w:p>
        </w:tc>
      </w:tr>
    </w:tbl>
    <w:p>
      <w:pPr>
        <w:pStyle w:val="BodyText"/>
        <w:rPr>
          <w:b/>
        </w:rPr>
      </w:pPr>
    </w:p>
    <w:p>
      <w:pPr>
        <w:pStyle w:val="BodyText"/>
        <w:rPr>
          <w:b/>
        </w:rPr>
      </w:pPr>
    </w:p>
    <w:p>
      <w:pPr>
        <w:pStyle w:val="BodyText"/>
        <w:spacing w:line="480" w:lineRule="auto" w:before="152"/>
        <w:ind w:left="540" w:right="209"/>
        <w:jc w:val="both"/>
      </w:pPr>
      <w:r>
        <w:rPr/>
        <w:t>La presentación gráfica y tabular de la información se llevó a cabo mediante cuadros y graficas  de</w:t>
      </w:r>
      <w:r>
        <w:rPr>
          <w:spacing w:val="-5"/>
        </w:rPr>
        <w:t> </w:t>
      </w:r>
      <w:r>
        <w:rPr/>
        <w:t>asociación.</w:t>
      </w:r>
    </w:p>
    <w:p>
      <w:pPr>
        <w:pStyle w:val="BodyText"/>
      </w:pPr>
    </w:p>
    <w:p>
      <w:pPr>
        <w:pStyle w:val="BodyText"/>
      </w:pPr>
    </w:p>
    <w:p>
      <w:pPr>
        <w:pStyle w:val="BodyText"/>
      </w:pPr>
    </w:p>
    <w:p>
      <w:pPr>
        <w:pStyle w:val="BodyText"/>
        <w:spacing w:before="7"/>
        <w:rPr>
          <w:sz w:val="27"/>
        </w:rPr>
      </w:pPr>
    </w:p>
    <w:p>
      <w:pPr>
        <w:pStyle w:val="BodyText"/>
        <w:spacing w:line="480" w:lineRule="auto"/>
        <w:ind w:left="540" w:right="196"/>
        <w:jc w:val="both"/>
      </w:pPr>
      <w:r>
        <w:rPr>
          <w:b/>
        </w:rPr>
        <w:t>Análisis estadístico: </w:t>
      </w:r>
      <w:r>
        <w:rPr/>
        <w:t>Los datos fueron capturados en el paquete Excel, el análisis estadístico se llevó a cabo utilizando el paquete estadístico SPSS vs 16 Inc Chicago USA, mediante estadística descriptiva (medidas de tendencia central), la asociación de variables nominales mediante Chi cuadrada y las variables cuantitativas mediante T de Student, ambas pruebas con un nivel de significancia de p=0.005.</w:t>
      </w:r>
    </w:p>
    <w:p>
      <w:pPr>
        <w:spacing w:after="0" w:line="480" w:lineRule="auto"/>
        <w:jc w:val="both"/>
        <w:sectPr>
          <w:pgSz w:w="12240" w:h="15840"/>
          <w:pgMar w:header="731" w:footer="1017" w:top="1360" w:bottom="1220" w:left="540" w:right="520"/>
        </w:sectPr>
      </w:pPr>
    </w:p>
    <w:p>
      <w:pPr>
        <w:pStyle w:val="BodyText"/>
        <w:rPr>
          <w:sz w:val="20"/>
        </w:rPr>
      </w:pPr>
    </w:p>
    <w:p>
      <w:pPr>
        <w:pStyle w:val="BodyText"/>
        <w:spacing w:before="7"/>
        <w:rPr>
          <w:sz w:val="25"/>
        </w:rPr>
      </w:pPr>
    </w:p>
    <w:p>
      <w:pPr>
        <w:pStyle w:val="Heading1"/>
        <w:ind w:left="3420"/>
        <w:jc w:val="left"/>
      </w:pPr>
      <w:r>
        <w:rPr/>
        <w:t>DISEÑO DE LA INVESTIGACIÓN</w:t>
      </w:r>
    </w:p>
    <w:p>
      <w:pPr>
        <w:pStyle w:val="BodyText"/>
        <w:spacing w:before="4"/>
        <w:rPr>
          <w:b/>
          <w:sz w:val="36"/>
        </w:rPr>
      </w:pPr>
    </w:p>
    <w:p>
      <w:pPr>
        <w:spacing w:before="0"/>
        <w:ind w:left="520" w:right="0" w:firstLine="0"/>
        <w:jc w:val="both"/>
        <w:rPr>
          <w:sz w:val="24"/>
        </w:rPr>
      </w:pPr>
      <w:r>
        <w:rPr>
          <w:b/>
          <w:sz w:val="24"/>
        </w:rPr>
        <w:t>Tipo de estudio: </w:t>
      </w:r>
      <w:r>
        <w:rPr>
          <w:sz w:val="24"/>
        </w:rPr>
        <w:t>Longitudinal  y prospectivo, observacional y descriptivo.</w:t>
      </w:r>
    </w:p>
    <w:p>
      <w:pPr>
        <w:pStyle w:val="BodyText"/>
      </w:pPr>
    </w:p>
    <w:p>
      <w:pPr>
        <w:pStyle w:val="BodyText"/>
      </w:pPr>
    </w:p>
    <w:p>
      <w:pPr>
        <w:pStyle w:val="BodyText"/>
      </w:pPr>
    </w:p>
    <w:p>
      <w:pPr>
        <w:pStyle w:val="BodyText"/>
        <w:spacing w:line="480" w:lineRule="auto"/>
        <w:ind w:left="520" w:right="183"/>
        <w:jc w:val="both"/>
      </w:pPr>
      <w:r>
        <w:rPr>
          <w:b/>
        </w:rPr>
        <w:t>Universo: </w:t>
      </w:r>
      <w:r>
        <w:rPr/>
        <w:t>Pacientes que acudieron al servicio de la Clínica de la Especialidad de la UAEM, y alumnos de 2° D, 2° E y 3° D de la Escuela Primaria Juan Fernández Albarrán en el periodo comprendido de marzo a junio de 2012 .</w:t>
      </w:r>
    </w:p>
    <w:p>
      <w:pPr>
        <w:pStyle w:val="BodyText"/>
      </w:pPr>
    </w:p>
    <w:p>
      <w:pPr>
        <w:pStyle w:val="BodyText"/>
        <w:spacing w:before="6"/>
      </w:pPr>
    </w:p>
    <w:p>
      <w:pPr>
        <w:spacing w:before="0"/>
        <w:ind w:left="520" w:right="0" w:firstLine="0"/>
        <w:jc w:val="both"/>
        <w:rPr>
          <w:sz w:val="24"/>
        </w:rPr>
      </w:pPr>
      <w:r>
        <w:rPr>
          <w:b/>
          <w:sz w:val="24"/>
        </w:rPr>
        <w:t>Muestra</w:t>
      </w:r>
      <w:r>
        <w:rPr>
          <w:sz w:val="24"/>
        </w:rPr>
        <w:t>: Por cuota y conveniencia.</w:t>
      </w:r>
    </w:p>
    <w:p>
      <w:pPr>
        <w:pStyle w:val="BodyText"/>
      </w:pPr>
    </w:p>
    <w:p>
      <w:pPr>
        <w:pStyle w:val="BodyText"/>
      </w:pPr>
    </w:p>
    <w:p>
      <w:pPr>
        <w:pStyle w:val="BodyText"/>
      </w:pPr>
    </w:p>
    <w:p>
      <w:pPr>
        <w:spacing w:before="0"/>
        <w:ind w:left="520" w:right="0" w:firstLine="0"/>
        <w:jc w:val="both"/>
        <w:rPr>
          <w:sz w:val="24"/>
        </w:rPr>
      </w:pPr>
      <w:r>
        <w:rPr>
          <w:b/>
          <w:sz w:val="24"/>
        </w:rPr>
        <w:t>Unidades de observación: </w:t>
      </w:r>
      <w:r>
        <w:rPr>
          <w:sz w:val="24"/>
        </w:rPr>
        <w:t>Primeros molares permanentes erupcionados</w:t>
      </w:r>
    </w:p>
    <w:p>
      <w:pPr>
        <w:pStyle w:val="BodyText"/>
      </w:pPr>
    </w:p>
    <w:p>
      <w:pPr>
        <w:pStyle w:val="BodyText"/>
      </w:pPr>
    </w:p>
    <w:p>
      <w:pPr>
        <w:pStyle w:val="BodyText"/>
      </w:pPr>
    </w:p>
    <w:p>
      <w:pPr>
        <w:pStyle w:val="Heading2"/>
        <w:ind w:left="520"/>
        <w:jc w:val="both"/>
      </w:pPr>
      <w:r>
        <w:rPr/>
        <w:t>Variables de estudio:</w:t>
      </w:r>
    </w:p>
    <w:p>
      <w:pPr>
        <w:pStyle w:val="BodyText"/>
        <w:rPr>
          <w:b/>
        </w:rPr>
      </w:pPr>
    </w:p>
    <w:p>
      <w:pPr>
        <w:pStyle w:val="ListParagraph"/>
        <w:numPr>
          <w:ilvl w:val="0"/>
          <w:numId w:val="3"/>
        </w:numPr>
        <w:tabs>
          <w:tab w:pos="935" w:val="left" w:leader="none"/>
        </w:tabs>
        <w:spacing w:line="480" w:lineRule="auto" w:before="0" w:after="0"/>
        <w:ind w:left="520" w:right="183" w:firstLine="0"/>
        <w:jc w:val="both"/>
        <w:rPr>
          <w:sz w:val="24"/>
        </w:rPr>
      </w:pPr>
      <w:r>
        <w:rPr>
          <w:b/>
          <w:sz w:val="24"/>
        </w:rPr>
        <w:t>Dependientes: </w:t>
      </w:r>
      <w:r>
        <w:rPr>
          <w:sz w:val="24"/>
        </w:rPr>
        <w:t>retención de los selladores de fosetas y fisuras en primeros molares permanentes.</w:t>
      </w:r>
    </w:p>
    <w:p>
      <w:pPr>
        <w:pStyle w:val="ListParagraph"/>
        <w:numPr>
          <w:ilvl w:val="0"/>
          <w:numId w:val="3"/>
        </w:numPr>
        <w:tabs>
          <w:tab w:pos="909" w:val="left" w:leader="none"/>
        </w:tabs>
        <w:spacing w:line="480" w:lineRule="auto" w:before="8" w:after="0"/>
        <w:ind w:left="520" w:right="175" w:firstLine="0"/>
        <w:jc w:val="both"/>
        <w:rPr>
          <w:sz w:val="24"/>
        </w:rPr>
      </w:pPr>
      <w:r>
        <w:rPr>
          <w:b/>
          <w:sz w:val="24"/>
        </w:rPr>
        <w:t>Independiente: </w:t>
      </w:r>
      <w:r>
        <w:rPr>
          <w:sz w:val="24"/>
        </w:rPr>
        <w:t>Género, edad, primer molar permanente superior derecho, primer molar permanente superior izquierdo, primer molar permanente inferior izquierdo, primer molar permanente inferior derecho. Tipo de fosetas y fisuras en forma de U o de V, de Y y de T</w:t>
      </w:r>
      <w:r>
        <w:rPr>
          <w:spacing w:val="-44"/>
          <w:sz w:val="24"/>
        </w:rPr>
        <w:t> </w:t>
      </w:r>
      <w:r>
        <w:rPr>
          <w:sz w:val="24"/>
        </w:rPr>
        <w:t>invertida</w:t>
      </w:r>
    </w:p>
    <w:p>
      <w:pPr>
        <w:pStyle w:val="BodyText"/>
      </w:pPr>
    </w:p>
    <w:p>
      <w:pPr>
        <w:pStyle w:val="BodyText"/>
        <w:spacing w:before="8"/>
      </w:pPr>
    </w:p>
    <w:p>
      <w:pPr>
        <w:pStyle w:val="Heading2"/>
        <w:ind w:left="520"/>
        <w:jc w:val="both"/>
      </w:pPr>
      <w:r>
        <w:rPr/>
        <w:t>Criterios de inclusión:</w:t>
      </w:r>
    </w:p>
    <w:p>
      <w:pPr>
        <w:pStyle w:val="BodyText"/>
        <w:rPr>
          <w:b/>
        </w:rPr>
      </w:pPr>
    </w:p>
    <w:p>
      <w:pPr>
        <w:pStyle w:val="BodyText"/>
        <w:spacing w:line="480" w:lineRule="auto"/>
        <w:ind w:left="2140" w:right="4"/>
      </w:pPr>
      <w:r>
        <w:rPr/>
        <w:t>Pacientes que por lo menos tuvieron tres o cuatro primeros molares permanentes erupcionados</w:t>
      </w:r>
    </w:p>
    <w:p>
      <w:pPr>
        <w:pStyle w:val="BodyText"/>
        <w:spacing w:before="8"/>
        <w:ind w:left="2140" w:right="4"/>
      </w:pPr>
      <w:r>
        <w:rPr/>
        <w:t>Primeros molares permanentes totalmente erupcionados</w:t>
      </w:r>
    </w:p>
    <w:p>
      <w:pPr>
        <w:pStyle w:val="BodyText"/>
      </w:pPr>
    </w:p>
    <w:p>
      <w:pPr>
        <w:pStyle w:val="BodyText"/>
        <w:ind w:left="2140" w:right="4"/>
      </w:pPr>
      <w:r>
        <w:rPr/>
        <w:t>Primeros molares permanentes libres de caries en superficie oclusal</w:t>
      </w:r>
    </w:p>
    <w:p>
      <w:pPr>
        <w:spacing w:after="0"/>
        <w:sectPr>
          <w:pgSz w:w="12240" w:h="15840"/>
          <w:pgMar w:header="731" w:footer="1017" w:top="1360" w:bottom="1200" w:left="560" w:right="540"/>
        </w:sectPr>
      </w:pPr>
    </w:p>
    <w:p>
      <w:pPr>
        <w:pStyle w:val="BodyText"/>
        <w:spacing w:before="7"/>
        <w:rPr>
          <w:sz w:val="17"/>
        </w:rPr>
      </w:pPr>
    </w:p>
    <w:p>
      <w:pPr>
        <w:pStyle w:val="BodyText"/>
        <w:spacing w:line="480" w:lineRule="auto" w:before="69"/>
        <w:ind w:left="2140" w:right="1510"/>
      </w:pPr>
      <w:r>
        <w:rPr/>
        <w:t>Primeros molares con mancha blanca en superficie vestibular Primeros molares sin alteraciones del esmalte</w:t>
      </w:r>
    </w:p>
    <w:p>
      <w:pPr>
        <w:pStyle w:val="Heading2"/>
        <w:spacing w:before="8"/>
        <w:ind w:right="5423"/>
        <w:jc w:val="left"/>
      </w:pPr>
      <w:r>
        <w:rPr/>
        <w:t>CRITERIOS DE ELIMINACIÓN</w:t>
      </w:r>
    </w:p>
    <w:p>
      <w:pPr>
        <w:pStyle w:val="BodyText"/>
        <w:rPr>
          <w:b/>
        </w:rPr>
      </w:pPr>
    </w:p>
    <w:p>
      <w:pPr>
        <w:pStyle w:val="BodyText"/>
        <w:spacing w:line="480" w:lineRule="auto"/>
        <w:ind w:left="2111" w:right="4"/>
      </w:pPr>
      <w:r>
        <w:rPr/>
        <w:t>Pacientes que solo tuvieran dos o un primer molar permanente erupcionado Primeros molares que no estuvieran totalmente erupcionados</w:t>
      </w:r>
    </w:p>
    <w:p>
      <w:pPr>
        <w:pStyle w:val="BodyText"/>
        <w:spacing w:before="8"/>
        <w:ind w:left="2094" w:right="4"/>
      </w:pPr>
      <w:r>
        <w:rPr/>
        <w:t>Primeros molares con caries en superficie oclusal</w:t>
      </w:r>
    </w:p>
    <w:p>
      <w:pPr>
        <w:pStyle w:val="BodyText"/>
      </w:pPr>
    </w:p>
    <w:p>
      <w:pPr>
        <w:pStyle w:val="BodyText"/>
        <w:spacing w:line="480" w:lineRule="auto"/>
        <w:ind w:left="2094" w:right="2623"/>
      </w:pPr>
      <w:r>
        <w:rPr/>
        <w:t>Primeros molares permanentes con alteraciones de esmalte Pacientes que no regresen a la segunda evaluación.</w:t>
      </w:r>
    </w:p>
    <w:p>
      <w:pPr>
        <w:spacing w:after="0" w:line="480" w:lineRule="auto"/>
        <w:sectPr>
          <w:pgSz w:w="12240" w:h="15840"/>
          <w:pgMar w:header="731" w:footer="1017" w:top="1360" w:bottom="1220" w:left="560" w:right="540"/>
        </w:sectPr>
      </w:pPr>
    </w:p>
    <w:p>
      <w:pPr>
        <w:pStyle w:val="BodyText"/>
        <w:spacing w:before="1"/>
        <w:rPr>
          <w:sz w:val="18"/>
        </w:rPr>
      </w:pPr>
    </w:p>
    <w:p>
      <w:pPr>
        <w:pStyle w:val="Heading1"/>
        <w:ind w:left="2301"/>
        <w:jc w:val="left"/>
      </w:pPr>
      <w:r>
        <w:rPr/>
        <w:t>DEFINICIÓN CONCEPTUAL DE LAS VARIABLES.</w:t>
      </w:r>
    </w:p>
    <w:p>
      <w:pPr>
        <w:pStyle w:val="BodyText"/>
        <w:rPr>
          <w:b/>
          <w:sz w:val="20"/>
        </w:rPr>
      </w:pPr>
    </w:p>
    <w:p>
      <w:pPr>
        <w:pStyle w:val="BodyText"/>
        <w:rPr>
          <w:b/>
          <w:sz w:val="20"/>
        </w:rPr>
      </w:pPr>
    </w:p>
    <w:p>
      <w:pPr>
        <w:pStyle w:val="BodyText"/>
        <w:spacing w:before="4"/>
        <w:rPr>
          <w:b/>
          <w:sz w:val="10"/>
        </w:rPr>
      </w:pPr>
    </w:p>
    <w:tbl>
      <w:tblPr>
        <w:tblW w:w="0" w:type="auto"/>
        <w:jc w:val="left"/>
        <w:tblInd w:w="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5"/>
        <w:gridCol w:w="2837"/>
        <w:gridCol w:w="2410"/>
        <w:gridCol w:w="1558"/>
        <w:gridCol w:w="1560"/>
      </w:tblGrid>
      <w:tr>
        <w:trPr>
          <w:trHeight w:val="840" w:hRule="exact"/>
        </w:trPr>
        <w:tc>
          <w:tcPr>
            <w:tcW w:w="1995" w:type="dxa"/>
          </w:tcPr>
          <w:p>
            <w:pPr>
              <w:pStyle w:val="TableParagraph"/>
              <w:ind w:left="401" w:right="380" w:firstLine="208"/>
              <w:rPr>
                <w:b/>
                <w:sz w:val="22"/>
              </w:rPr>
            </w:pPr>
            <w:r>
              <w:rPr>
                <w:b/>
                <w:sz w:val="22"/>
              </w:rPr>
              <w:t>Variable Dependiente</w:t>
            </w:r>
          </w:p>
        </w:tc>
        <w:tc>
          <w:tcPr>
            <w:tcW w:w="2837" w:type="dxa"/>
          </w:tcPr>
          <w:p>
            <w:pPr>
              <w:pStyle w:val="TableParagraph"/>
              <w:spacing w:line="265" w:lineRule="exact"/>
              <w:ind w:left="408"/>
              <w:rPr>
                <w:b/>
                <w:sz w:val="22"/>
              </w:rPr>
            </w:pPr>
            <w:r>
              <w:rPr>
                <w:b/>
                <w:sz w:val="22"/>
              </w:rPr>
              <w:t>Definición Conceptual</w:t>
            </w:r>
          </w:p>
        </w:tc>
        <w:tc>
          <w:tcPr>
            <w:tcW w:w="2410" w:type="dxa"/>
          </w:tcPr>
          <w:p>
            <w:pPr>
              <w:pStyle w:val="TableParagraph"/>
              <w:spacing w:line="265" w:lineRule="exact"/>
              <w:ind w:left="103"/>
              <w:rPr>
                <w:b/>
                <w:sz w:val="22"/>
              </w:rPr>
            </w:pPr>
            <w:r>
              <w:rPr>
                <w:b/>
                <w:sz w:val="22"/>
              </w:rPr>
              <w:t>Definición Operacional</w:t>
            </w:r>
          </w:p>
        </w:tc>
        <w:tc>
          <w:tcPr>
            <w:tcW w:w="1558" w:type="dxa"/>
          </w:tcPr>
          <w:p>
            <w:pPr>
              <w:pStyle w:val="TableParagraph"/>
              <w:spacing w:line="265" w:lineRule="exact"/>
              <w:ind w:left="103" w:right="436"/>
              <w:rPr>
                <w:b/>
                <w:sz w:val="22"/>
              </w:rPr>
            </w:pPr>
            <w:r>
              <w:rPr>
                <w:b/>
                <w:sz w:val="22"/>
              </w:rPr>
              <w:t>Variables</w:t>
            </w:r>
          </w:p>
        </w:tc>
        <w:tc>
          <w:tcPr>
            <w:tcW w:w="1560" w:type="dxa"/>
          </w:tcPr>
          <w:p>
            <w:pPr>
              <w:pStyle w:val="TableParagraph"/>
              <w:tabs>
                <w:tab w:pos="1218" w:val="left" w:leader="none"/>
              </w:tabs>
              <w:ind w:left="103" w:right="101"/>
              <w:rPr>
                <w:b/>
                <w:sz w:val="22"/>
              </w:rPr>
            </w:pPr>
            <w:r>
              <w:rPr>
                <w:b/>
                <w:sz w:val="22"/>
              </w:rPr>
              <w:t>Escala</w:t>
              <w:tab/>
              <w:t>de medición</w:t>
            </w:r>
          </w:p>
        </w:tc>
      </w:tr>
      <w:tr>
        <w:trPr>
          <w:trHeight w:val="290" w:hRule="exact"/>
        </w:trPr>
        <w:tc>
          <w:tcPr>
            <w:tcW w:w="1995" w:type="dxa"/>
            <w:tcBorders>
              <w:bottom w:val="nil"/>
            </w:tcBorders>
          </w:tcPr>
          <w:p>
            <w:pPr>
              <w:pStyle w:val="TableParagraph"/>
              <w:tabs>
                <w:tab w:pos="1657" w:val="left" w:leader="none"/>
              </w:tabs>
              <w:spacing w:line="265" w:lineRule="exact"/>
              <w:ind w:left="103"/>
              <w:rPr>
                <w:sz w:val="22"/>
              </w:rPr>
            </w:pPr>
            <w:r>
              <w:rPr>
                <w:sz w:val="22"/>
              </w:rPr>
              <w:t>Presencia</w:t>
              <w:tab/>
              <w:t>de</w:t>
            </w:r>
          </w:p>
        </w:tc>
        <w:tc>
          <w:tcPr>
            <w:tcW w:w="2837" w:type="dxa"/>
            <w:tcBorders>
              <w:bottom w:val="nil"/>
            </w:tcBorders>
          </w:tcPr>
          <w:p>
            <w:pPr>
              <w:pStyle w:val="TableParagraph"/>
              <w:tabs>
                <w:tab w:pos="992" w:val="left" w:leader="none"/>
                <w:tab w:pos="1503" w:val="left" w:leader="none"/>
                <w:tab w:pos="2497" w:val="left" w:leader="none"/>
              </w:tabs>
              <w:spacing w:line="265" w:lineRule="exact"/>
              <w:ind w:left="103"/>
              <w:rPr>
                <w:sz w:val="22"/>
              </w:rPr>
            </w:pPr>
            <w:r>
              <w:rPr>
                <w:sz w:val="22"/>
              </w:rPr>
              <w:t>Estado</w:t>
              <w:tab/>
              <w:t>de</w:t>
              <w:tab/>
              <w:t>sellador</w:t>
              <w:tab/>
              <w:t>en</w:t>
            </w:r>
          </w:p>
        </w:tc>
        <w:tc>
          <w:tcPr>
            <w:tcW w:w="2410" w:type="dxa"/>
            <w:tcBorders>
              <w:bottom w:val="nil"/>
            </w:tcBorders>
          </w:tcPr>
          <w:p>
            <w:pPr>
              <w:pStyle w:val="TableParagraph"/>
              <w:tabs>
                <w:tab w:pos="597" w:val="left" w:leader="none"/>
                <w:tab w:pos="1595" w:val="left" w:leader="none"/>
              </w:tabs>
              <w:spacing w:line="265" w:lineRule="exact"/>
              <w:ind w:left="103"/>
              <w:rPr>
                <w:sz w:val="22"/>
              </w:rPr>
            </w:pPr>
            <w:r>
              <w:rPr>
                <w:sz w:val="22"/>
              </w:rPr>
              <w:t>1=</w:t>
              <w:tab/>
              <w:t>Sellador</w:t>
              <w:tab/>
              <w:t>integro:</w:t>
            </w:r>
          </w:p>
        </w:tc>
        <w:tc>
          <w:tcPr>
            <w:tcW w:w="1558" w:type="dxa"/>
            <w:tcBorders>
              <w:bottom w:val="nil"/>
            </w:tcBorders>
          </w:tcPr>
          <w:p>
            <w:pPr>
              <w:pStyle w:val="TableParagraph"/>
              <w:spacing w:line="265" w:lineRule="exact"/>
              <w:ind w:left="103" w:right="436"/>
              <w:rPr>
                <w:sz w:val="22"/>
              </w:rPr>
            </w:pPr>
            <w:r>
              <w:rPr>
                <w:sz w:val="22"/>
              </w:rPr>
              <w:t>Nominal</w:t>
            </w:r>
          </w:p>
        </w:tc>
        <w:tc>
          <w:tcPr>
            <w:tcW w:w="1560" w:type="dxa"/>
            <w:tcBorders>
              <w:bottom w:val="nil"/>
            </w:tcBorders>
          </w:tcPr>
          <w:p>
            <w:pPr>
              <w:pStyle w:val="TableParagraph"/>
              <w:spacing w:line="265" w:lineRule="exact"/>
              <w:ind w:left="103" w:right="101"/>
              <w:rPr>
                <w:sz w:val="22"/>
              </w:rPr>
            </w:pPr>
            <w:r>
              <w:rPr>
                <w:sz w:val="22"/>
              </w:rPr>
              <w:t>1-3</w:t>
            </w:r>
          </w:p>
        </w:tc>
      </w:tr>
      <w:tr>
        <w:trPr>
          <w:trHeight w:val="269" w:hRule="exact"/>
        </w:trPr>
        <w:tc>
          <w:tcPr>
            <w:tcW w:w="1995" w:type="dxa"/>
            <w:tcBorders>
              <w:top w:val="nil"/>
              <w:bottom w:val="nil"/>
            </w:tcBorders>
          </w:tcPr>
          <w:p>
            <w:pPr>
              <w:pStyle w:val="TableParagraph"/>
              <w:spacing w:line="249" w:lineRule="exact"/>
              <w:ind w:left="103"/>
              <w:rPr>
                <w:sz w:val="22"/>
              </w:rPr>
            </w:pPr>
            <w:r>
              <w:rPr>
                <w:sz w:val="22"/>
              </w:rPr>
              <w:t>sellador en molares</w:t>
            </w:r>
          </w:p>
        </w:tc>
        <w:tc>
          <w:tcPr>
            <w:tcW w:w="2837" w:type="dxa"/>
            <w:tcBorders>
              <w:top w:val="nil"/>
              <w:bottom w:val="nil"/>
            </w:tcBorders>
          </w:tcPr>
          <w:p>
            <w:pPr>
              <w:pStyle w:val="TableParagraph"/>
              <w:spacing w:line="249" w:lineRule="exact"/>
              <w:ind w:left="103"/>
              <w:rPr>
                <w:sz w:val="22"/>
              </w:rPr>
            </w:pPr>
            <w:r>
              <w:rPr>
                <w:sz w:val="22"/>
              </w:rPr>
              <w:t>molares.</w:t>
            </w:r>
          </w:p>
        </w:tc>
        <w:tc>
          <w:tcPr>
            <w:tcW w:w="2410" w:type="dxa"/>
            <w:tcBorders>
              <w:top w:val="nil"/>
              <w:bottom w:val="nil"/>
            </w:tcBorders>
          </w:tcPr>
          <w:p>
            <w:pPr>
              <w:pStyle w:val="TableParagraph"/>
              <w:spacing w:line="249" w:lineRule="exact"/>
              <w:ind w:left="103"/>
              <w:rPr>
                <w:sz w:val="22"/>
              </w:rPr>
            </w:pPr>
            <w:r>
              <w:rPr>
                <w:sz w:val="22"/>
              </w:rPr>
              <w:t>sellador completo</w:t>
            </w:r>
          </w:p>
        </w:tc>
        <w:tc>
          <w:tcPr>
            <w:tcW w:w="1558" w:type="dxa"/>
            <w:tcBorders>
              <w:top w:val="nil"/>
              <w:bottom w:val="nil"/>
            </w:tcBorders>
          </w:tcPr>
          <w:p>
            <w:pPr>
              <w:pStyle w:val="TableParagraph"/>
              <w:spacing w:line="249" w:lineRule="exact"/>
              <w:ind w:left="103" w:right="436"/>
              <w:rPr>
                <w:sz w:val="22"/>
              </w:rPr>
            </w:pPr>
            <w:r>
              <w:rPr>
                <w:sz w:val="22"/>
              </w:rPr>
              <w:t>Categórica</w:t>
            </w:r>
          </w:p>
        </w:tc>
        <w:tc>
          <w:tcPr>
            <w:tcW w:w="1560" w:type="dxa"/>
            <w:tcBorders>
              <w:top w:val="nil"/>
              <w:bottom w:val="nil"/>
            </w:tcBorders>
          </w:tcPr>
          <w:p>
            <w:pPr/>
          </w:p>
        </w:tc>
      </w:tr>
      <w:tr>
        <w:trPr>
          <w:trHeight w:val="268"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9" w:lineRule="exact"/>
              <w:ind w:left="103"/>
              <w:rPr>
                <w:sz w:val="22"/>
              </w:rPr>
            </w:pPr>
            <w:r>
              <w:rPr>
                <w:sz w:val="22"/>
              </w:rPr>
              <w:t>2=Desalojo   parcial   del</w:t>
            </w:r>
          </w:p>
        </w:tc>
        <w:tc>
          <w:tcPr>
            <w:tcW w:w="1558" w:type="dxa"/>
            <w:tcBorders>
              <w:top w:val="nil"/>
              <w:bottom w:val="nil"/>
            </w:tcBorders>
          </w:tcPr>
          <w:p>
            <w:pPr/>
          </w:p>
        </w:tc>
        <w:tc>
          <w:tcPr>
            <w:tcW w:w="1560" w:type="dxa"/>
            <w:tcBorders>
              <w:top w:val="nil"/>
              <w:bottom w:val="nil"/>
            </w:tcBorders>
          </w:tcPr>
          <w:p>
            <w:pPr/>
          </w:p>
        </w:tc>
      </w:tr>
      <w:tr>
        <w:trPr>
          <w:trHeight w:val="268"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tabs>
                <w:tab w:pos="1115" w:val="left" w:leader="none"/>
                <w:tab w:pos="2072" w:val="left" w:leader="none"/>
              </w:tabs>
              <w:spacing w:line="247" w:lineRule="exact"/>
              <w:ind w:left="103"/>
              <w:rPr>
                <w:sz w:val="22"/>
              </w:rPr>
            </w:pPr>
            <w:r>
              <w:rPr>
                <w:sz w:val="22"/>
              </w:rPr>
              <w:t>sellador:</w:t>
              <w:tab/>
              <w:t>fractura</w:t>
              <w:tab/>
              <w:t>de</w:t>
            </w:r>
          </w:p>
        </w:tc>
        <w:tc>
          <w:tcPr>
            <w:tcW w:w="1558" w:type="dxa"/>
            <w:tcBorders>
              <w:top w:val="nil"/>
              <w:bottom w:val="nil"/>
            </w:tcBorders>
          </w:tcPr>
          <w:p>
            <w:pPr/>
          </w:p>
        </w:tc>
        <w:tc>
          <w:tcPr>
            <w:tcW w:w="1560" w:type="dxa"/>
            <w:tcBorders>
              <w:top w:val="nil"/>
              <w:bottom w:val="nil"/>
            </w:tcBorders>
          </w:tcPr>
          <w:p>
            <w:pPr/>
          </w:p>
        </w:tc>
      </w:tr>
      <w:tr>
        <w:trPr>
          <w:trHeight w:val="269"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9" w:lineRule="exact"/>
              <w:ind w:left="103"/>
              <w:rPr>
                <w:sz w:val="22"/>
              </w:rPr>
            </w:pPr>
            <w:r>
              <w:rPr>
                <w:sz w:val="22"/>
              </w:rPr>
              <w:t>sellador   o   perdida  de</w:t>
            </w:r>
          </w:p>
        </w:tc>
        <w:tc>
          <w:tcPr>
            <w:tcW w:w="1558" w:type="dxa"/>
            <w:tcBorders>
              <w:top w:val="nil"/>
              <w:bottom w:val="nil"/>
            </w:tcBorders>
          </w:tcPr>
          <w:p>
            <w:pPr/>
          </w:p>
        </w:tc>
        <w:tc>
          <w:tcPr>
            <w:tcW w:w="1560" w:type="dxa"/>
            <w:tcBorders>
              <w:top w:val="nil"/>
              <w:bottom w:val="nil"/>
            </w:tcBorders>
          </w:tcPr>
          <w:p>
            <w:pPr/>
          </w:p>
        </w:tc>
      </w:tr>
      <w:tr>
        <w:trPr>
          <w:trHeight w:val="269"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tabs>
                <w:tab w:pos="1118" w:val="left" w:leader="none"/>
                <w:tab w:pos="2020" w:val="left" w:leader="none"/>
              </w:tabs>
              <w:spacing w:line="249" w:lineRule="exact"/>
              <w:ind w:left="103"/>
              <w:rPr>
                <w:sz w:val="22"/>
              </w:rPr>
            </w:pPr>
            <w:r>
              <w:rPr>
                <w:sz w:val="22"/>
              </w:rPr>
              <w:t>alguna</w:t>
              <w:tab/>
              <w:t>parte</w:t>
              <w:tab/>
              <w:t>del</w:t>
            </w:r>
          </w:p>
        </w:tc>
        <w:tc>
          <w:tcPr>
            <w:tcW w:w="1558" w:type="dxa"/>
            <w:tcBorders>
              <w:top w:val="nil"/>
              <w:bottom w:val="nil"/>
            </w:tcBorders>
          </w:tcPr>
          <w:p>
            <w:pPr/>
          </w:p>
        </w:tc>
        <w:tc>
          <w:tcPr>
            <w:tcW w:w="1560" w:type="dxa"/>
            <w:tcBorders>
              <w:top w:val="nil"/>
              <w:bottom w:val="nil"/>
            </w:tcBorders>
          </w:tcPr>
          <w:p>
            <w:pPr/>
          </w:p>
        </w:tc>
      </w:tr>
      <w:tr>
        <w:trPr>
          <w:trHeight w:val="269"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9" w:lineRule="exact"/>
              <w:ind w:left="103"/>
              <w:rPr>
                <w:sz w:val="22"/>
              </w:rPr>
            </w:pPr>
            <w:r>
              <w:rPr>
                <w:sz w:val="22"/>
              </w:rPr>
              <w:t>sellador</w:t>
            </w:r>
          </w:p>
        </w:tc>
        <w:tc>
          <w:tcPr>
            <w:tcW w:w="1558" w:type="dxa"/>
            <w:tcBorders>
              <w:top w:val="nil"/>
              <w:bottom w:val="nil"/>
            </w:tcBorders>
          </w:tcPr>
          <w:p>
            <w:pPr/>
          </w:p>
        </w:tc>
        <w:tc>
          <w:tcPr>
            <w:tcW w:w="1560" w:type="dxa"/>
            <w:tcBorders>
              <w:top w:val="nil"/>
              <w:bottom w:val="nil"/>
            </w:tcBorders>
          </w:tcPr>
          <w:p>
            <w:pPr/>
          </w:p>
        </w:tc>
      </w:tr>
      <w:tr>
        <w:trPr>
          <w:trHeight w:val="269"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tabs>
                <w:tab w:pos="1350" w:val="left" w:leader="none"/>
                <w:tab w:pos="2022" w:val="left" w:leader="none"/>
              </w:tabs>
              <w:spacing w:line="249" w:lineRule="exact"/>
              <w:ind w:left="103"/>
              <w:rPr>
                <w:sz w:val="22"/>
              </w:rPr>
            </w:pPr>
            <w:r>
              <w:rPr>
                <w:sz w:val="22"/>
              </w:rPr>
              <w:t>3=Desalojo</w:t>
              <w:tab/>
              <w:t>total</w:t>
              <w:tab/>
              <w:t>del</w:t>
            </w:r>
          </w:p>
        </w:tc>
        <w:tc>
          <w:tcPr>
            <w:tcW w:w="1558" w:type="dxa"/>
            <w:tcBorders>
              <w:top w:val="nil"/>
              <w:bottom w:val="nil"/>
            </w:tcBorders>
          </w:tcPr>
          <w:p>
            <w:pPr/>
          </w:p>
        </w:tc>
        <w:tc>
          <w:tcPr>
            <w:tcW w:w="1560" w:type="dxa"/>
            <w:tcBorders>
              <w:top w:val="nil"/>
              <w:bottom w:val="nil"/>
            </w:tcBorders>
          </w:tcPr>
          <w:p>
            <w:pPr/>
          </w:p>
        </w:tc>
      </w:tr>
      <w:tr>
        <w:trPr>
          <w:trHeight w:val="269"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9" w:lineRule="exact"/>
              <w:ind w:left="103"/>
              <w:rPr>
                <w:sz w:val="22"/>
              </w:rPr>
            </w:pPr>
            <w:r>
              <w:rPr>
                <w:sz w:val="22"/>
              </w:rPr>
              <w:t>sellador:  no  se observa</w:t>
            </w:r>
          </w:p>
        </w:tc>
        <w:tc>
          <w:tcPr>
            <w:tcW w:w="1558" w:type="dxa"/>
            <w:tcBorders>
              <w:top w:val="nil"/>
              <w:bottom w:val="nil"/>
            </w:tcBorders>
          </w:tcPr>
          <w:p>
            <w:pPr/>
          </w:p>
        </w:tc>
        <w:tc>
          <w:tcPr>
            <w:tcW w:w="1560" w:type="dxa"/>
            <w:tcBorders>
              <w:top w:val="nil"/>
              <w:bottom w:val="nil"/>
            </w:tcBorders>
          </w:tcPr>
          <w:p>
            <w:pPr/>
          </w:p>
        </w:tc>
      </w:tr>
      <w:tr>
        <w:trPr>
          <w:trHeight w:val="269"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9" w:lineRule="exact"/>
              <w:ind w:left="103"/>
              <w:rPr>
                <w:sz w:val="22"/>
              </w:rPr>
            </w:pPr>
            <w:r>
              <w:rPr>
                <w:sz w:val="22"/>
              </w:rPr>
              <w:t>ni se localiza sellador en</w:t>
            </w:r>
          </w:p>
        </w:tc>
        <w:tc>
          <w:tcPr>
            <w:tcW w:w="1558" w:type="dxa"/>
            <w:tcBorders>
              <w:top w:val="nil"/>
              <w:bottom w:val="nil"/>
            </w:tcBorders>
          </w:tcPr>
          <w:p>
            <w:pPr/>
          </w:p>
        </w:tc>
        <w:tc>
          <w:tcPr>
            <w:tcW w:w="1560" w:type="dxa"/>
            <w:tcBorders>
              <w:top w:val="nil"/>
              <w:bottom w:val="nil"/>
            </w:tcBorders>
          </w:tcPr>
          <w:p>
            <w:pPr/>
          </w:p>
        </w:tc>
      </w:tr>
      <w:tr>
        <w:trPr>
          <w:trHeight w:val="269"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9" w:lineRule="exact"/>
              <w:ind w:left="103"/>
              <w:rPr>
                <w:sz w:val="22"/>
              </w:rPr>
            </w:pPr>
            <w:r>
              <w:rPr>
                <w:sz w:val="22"/>
              </w:rPr>
              <w:t>las  fosetas  y  fisuras de</w:t>
            </w:r>
          </w:p>
        </w:tc>
        <w:tc>
          <w:tcPr>
            <w:tcW w:w="1558" w:type="dxa"/>
            <w:tcBorders>
              <w:top w:val="nil"/>
              <w:bottom w:val="nil"/>
            </w:tcBorders>
          </w:tcPr>
          <w:p>
            <w:pPr/>
          </w:p>
        </w:tc>
        <w:tc>
          <w:tcPr>
            <w:tcW w:w="1560" w:type="dxa"/>
            <w:tcBorders>
              <w:top w:val="nil"/>
              <w:bottom w:val="nil"/>
            </w:tcBorders>
          </w:tcPr>
          <w:p>
            <w:pPr/>
          </w:p>
        </w:tc>
      </w:tr>
      <w:tr>
        <w:trPr>
          <w:trHeight w:val="254" w:hRule="exact"/>
        </w:trPr>
        <w:tc>
          <w:tcPr>
            <w:tcW w:w="1995" w:type="dxa"/>
            <w:tcBorders>
              <w:top w:val="nil"/>
            </w:tcBorders>
          </w:tcPr>
          <w:p>
            <w:pPr/>
          </w:p>
        </w:tc>
        <w:tc>
          <w:tcPr>
            <w:tcW w:w="2837" w:type="dxa"/>
            <w:tcBorders>
              <w:top w:val="nil"/>
            </w:tcBorders>
          </w:tcPr>
          <w:p>
            <w:pPr/>
          </w:p>
        </w:tc>
        <w:tc>
          <w:tcPr>
            <w:tcW w:w="2410" w:type="dxa"/>
            <w:tcBorders>
              <w:top w:val="nil"/>
            </w:tcBorders>
          </w:tcPr>
          <w:p>
            <w:pPr>
              <w:pStyle w:val="TableParagraph"/>
              <w:spacing w:line="249" w:lineRule="exact"/>
              <w:ind w:left="103"/>
              <w:rPr>
                <w:sz w:val="22"/>
              </w:rPr>
            </w:pPr>
            <w:r>
              <w:rPr>
                <w:sz w:val="22"/>
              </w:rPr>
              <w:t>los molares.</w:t>
            </w:r>
          </w:p>
        </w:tc>
        <w:tc>
          <w:tcPr>
            <w:tcW w:w="1558" w:type="dxa"/>
            <w:tcBorders>
              <w:top w:val="nil"/>
            </w:tcBorders>
          </w:tcPr>
          <w:p>
            <w:pPr/>
          </w:p>
        </w:tc>
        <w:tc>
          <w:tcPr>
            <w:tcW w:w="1560" w:type="dxa"/>
            <w:tcBorders>
              <w:top w:val="nil"/>
            </w:tcBorders>
          </w:tcPr>
          <w:p>
            <w:pPr/>
          </w:p>
        </w:tc>
      </w:tr>
      <w:tr>
        <w:trPr>
          <w:trHeight w:val="1939" w:hRule="exact"/>
        </w:trPr>
        <w:tc>
          <w:tcPr>
            <w:tcW w:w="1995" w:type="dxa"/>
          </w:tcPr>
          <w:p>
            <w:pPr>
              <w:pStyle w:val="TableParagraph"/>
              <w:spacing w:line="268" w:lineRule="exact"/>
              <w:ind w:left="103" w:right="380"/>
              <w:rPr>
                <w:sz w:val="22"/>
              </w:rPr>
            </w:pPr>
            <w:r>
              <w:rPr>
                <w:sz w:val="22"/>
              </w:rPr>
              <w:t>Género</w:t>
            </w:r>
          </w:p>
        </w:tc>
        <w:tc>
          <w:tcPr>
            <w:tcW w:w="2837" w:type="dxa"/>
          </w:tcPr>
          <w:p>
            <w:pPr>
              <w:pStyle w:val="TableParagraph"/>
              <w:ind w:left="103" w:right="101"/>
              <w:jc w:val="both"/>
              <w:rPr>
                <w:sz w:val="22"/>
              </w:rPr>
            </w:pPr>
            <w:r>
              <w:rPr>
                <w:sz w:val="22"/>
              </w:rPr>
              <w:t>Lo que diferencia  la identidad </w:t>
            </w:r>
            <w:hyperlink r:id="rId9">
              <w:r>
                <w:rPr>
                  <w:sz w:val="22"/>
                </w:rPr>
                <w:t>femenin</w:t>
              </w:r>
            </w:hyperlink>
            <w:r>
              <w:rPr>
                <w:sz w:val="22"/>
              </w:rPr>
              <w:t>a de </w:t>
            </w:r>
            <w:hyperlink r:id="rId10">
              <w:r>
                <w:rPr>
                  <w:sz w:val="22"/>
                </w:rPr>
                <w:t>masculin</w:t>
              </w:r>
            </w:hyperlink>
            <w:r>
              <w:rPr>
                <w:sz w:val="22"/>
              </w:rPr>
              <w:t>a.</w:t>
            </w:r>
          </w:p>
        </w:tc>
        <w:tc>
          <w:tcPr>
            <w:tcW w:w="2410" w:type="dxa"/>
          </w:tcPr>
          <w:p>
            <w:pPr>
              <w:pStyle w:val="TableParagraph"/>
              <w:spacing w:before="4"/>
              <w:rPr>
                <w:rFonts w:ascii="Arial"/>
                <w:b/>
                <w:sz w:val="25"/>
              </w:rPr>
            </w:pPr>
          </w:p>
          <w:p>
            <w:pPr>
              <w:pStyle w:val="TableParagraph"/>
              <w:ind w:left="103"/>
              <w:rPr>
                <w:sz w:val="22"/>
              </w:rPr>
            </w:pPr>
            <w:r>
              <w:rPr>
                <w:sz w:val="22"/>
              </w:rPr>
              <w:t>1= Masculino</w:t>
            </w:r>
          </w:p>
          <w:p>
            <w:pPr>
              <w:pStyle w:val="TableParagraph"/>
              <w:ind w:left="103"/>
              <w:rPr>
                <w:sz w:val="22"/>
              </w:rPr>
            </w:pPr>
            <w:r>
              <w:rPr>
                <w:sz w:val="22"/>
              </w:rPr>
              <w:t>2 = Femenino</w:t>
            </w:r>
          </w:p>
        </w:tc>
        <w:tc>
          <w:tcPr>
            <w:tcW w:w="1558" w:type="dxa"/>
          </w:tcPr>
          <w:p>
            <w:pPr>
              <w:pStyle w:val="TableParagraph"/>
              <w:ind w:left="103" w:right="436"/>
              <w:rPr>
                <w:sz w:val="22"/>
              </w:rPr>
            </w:pPr>
            <w:r>
              <w:rPr>
                <w:sz w:val="22"/>
              </w:rPr>
              <w:t>Nominal dicotómica</w:t>
            </w:r>
          </w:p>
        </w:tc>
        <w:tc>
          <w:tcPr>
            <w:tcW w:w="1560" w:type="dxa"/>
          </w:tcPr>
          <w:p>
            <w:pPr>
              <w:pStyle w:val="TableParagraph"/>
              <w:spacing w:line="268" w:lineRule="exact"/>
              <w:ind w:left="103" w:right="101"/>
              <w:rPr>
                <w:sz w:val="22"/>
              </w:rPr>
            </w:pPr>
            <w:r>
              <w:rPr>
                <w:sz w:val="22"/>
              </w:rPr>
              <w:t>1-2</w:t>
            </w:r>
          </w:p>
        </w:tc>
      </w:tr>
      <w:tr>
        <w:trPr>
          <w:trHeight w:val="816" w:hRule="exact"/>
        </w:trPr>
        <w:tc>
          <w:tcPr>
            <w:tcW w:w="1995" w:type="dxa"/>
          </w:tcPr>
          <w:p>
            <w:pPr>
              <w:pStyle w:val="TableParagraph"/>
              <w:spacing w:line="268" w:lineRule="exact"/>
              <w:ind w:left="103" w:right="380"/>
              <w:rPr>
                <w:sz w:val="22"/>
              </w:rPr>
            </w:pPr>
            <w:r>
              <w:rPr>
                <w:sz w:val="22"/>
              </w:rPr>
              <w:t>Edad</w:t>
            </w:r>
          </w:p>
        </w:tc>
        <w:tc>
          <w:tcPr>
            <w:tcW w:w="2837" w:type="dxa"/>
          </w:tcPr>
          <w:p>
            <w:pPr>
              <w:pStyle w:val="TableParagraph"/>
              <w:ind w:left="103" w:right="101"/>
              <w:jc w:val="both"/>
              <w:rPr>
                <w:sz w:val="22"/>
              </w:rPr>
            </w:pPr>
            <w:r>
              <w:rPr>
                <w:sz w:val="22"/>
              </w:rPr>
              <w:t>Tiempo transcurrido a partir del nacimiento de un individuo.</w:t>
            </w:r>
          </w:p>
        </w:tc>
        <w:tc>
          <w:tcPr>
            <w:tcW w:w="2410" w:type="dxa"/>
          </w:tcPr>
          <w:p>
            <w:pPr>
              <w:pStyle w:val="TableParagraph"/>
              <w:spacing w:line="268" w:lineRule="exact"/>
              <w:ind w:left="103"/>
              <w:rPr>
                <w:sz w:val="22"/>
              </w:rPr>
            </w:pPr>
            <w:r>
              <w:rPr>
                <w:sz w:val="22"/>
              </w:rPr>
              <w:t>Años cumplidos y meses</w:t>
            </w:r>
          </w:p>
        </w:tc>
        <w:tc>
          <w:tcPr>
            <w:tcW w:w="1558" w:type="dxa"/>
          </w:tcPr>
          <w:p>
            <w:pPr>
              <w:pStyle w:val="TableParagraph"/>
              <w:spacing w:line="268" w:lineRule="exact"/>
              <w:ind w:left="103"/>
              <w:rPr>
                <w:sz w:val="22"/>
              </w:rPr>
            </w:pPr>
            <w:r>
              <w:rPr>
                <w:sz w:val="22"/>
              </w:rPr>
              <w:t>Cuantitativa</w:t>
            </w:r>
          </w:p>
        </w:tc>
        <w:tc>
          <w:tcPr>
            <w:tcW w:w="1560" w:type="dxa"/>
          </w:tcPr>
          <w:p>
            <w:pPr/>
          </w:p>
        </w:tc>
      </w:tr>
      <w:tr>
        <w:trPr>
          <w:trHeight w:val="425" w:hRule="exact"/>
        </w:trPr>
        <w:tc>
          <w:tcPr>
            <w:tcW w:w="1995" w:type="dxa"/>
            <w:tcBorders>
              <w:bottom w:val="nil"/>
            </w:tcBorders>
          </w:tcPr>
          <w:p>
            <w:pPr>
              <w:pStyle w:val="TableParagraph"/>
              <w:spacing w:line="265" w:lineRule="exact"/>
              <w:ind w:left="64"/>
              <w:rPr>
                <w:sz w:val="22"/>
              </w:rPr>
            </w:pPr>
            <w:r>
              <w:rPr>
                <w:sz w:val="22"/>
              </w:rPr>
              <w:t>Molares sin caries</w:t>
            </w:r>
          </w:p>
        </w:tc>
        <w:tc>
          <w:tcPr>
            <w:tcW w:w="2837" w:type="dxa"/>
            <w:tcBorders>
              <w:bottom w:val="nil"/>
            </w:tcBorders>
          </w:tcPr>
          <w:p>
            <w:pPr>
              <w:pStyle w:val="TableParagraph"/>
              <w:tabs>
                <w:tab w:pos="897" w:val="left" w:leader="none"/>
                <w:tab w:pos="1472" w:val="left" w:leader="none"/>
                <w:tab w:pos="1940" w:val="left" w:leader="none"/>
                <w:tab w:pos="2394" w:val="left" w:leader="none"/>
              </w:tabs>
              <w:spacing w:line="265" w:lineRule="exact"/>
              <w:ind w:left="67"/>
              <w:rPr>
                <w:sz w:val="22"/>
              </w:rPr>
            </w:pPr>
            <w:r>
              <w:rPr>
                <w:sz w:val="22"/>
              </w:rPr>
              <w:t>Diente</w:t>
              <w:tab/>
              <w:t>que</w:t>
              <w:tab/>
              <w:t>no</w:t>
              <w:tab/>
              <w:t>ha</w:t>
              <w:tab/>
              <w:t>sido</w:t>
            </w:r>
          </w:p>
        </w:tc>
        <w:tc>
          <w:tcPr>
            <w:tcW w:w="2410" w:type="dxa"/>
            <w:tcBorders>
              <w:bottom w:val="nil"/>
            </w:tcBorders>
          </w:tcPr>
          <w:p>
            <w:pPr>
              <w:pStyle w:val="TableParagraph"/>
              <w:spacing w:line="265" w:lineRule="exact"/>
              <w:ind w:left="64"/>
              <w:rPr>
                <w:sz w:val="22"/>
              </w:rPr>
            </w:pPr>
            <w:r>
              <w:rPr>
                <w:sz w:val="22"/>
              </w:rPr>
              <w:t>1= P.M S.P</w:t>
            </w:r>
          </w:p>
        </w:tc>
        <w:tc>
          <w:tcPr>
            <w:tcW w:w="1558" w:type="dxa"/>
            <w:tcBorders>
              <w:bottom w:val="nil"/>
            </w:tcBorders>
          </w:tcPr>
          <w:p>
            <w:pPr>
              <w:pStyle w:val="TableParagraph"/>
              <w:spacing w:line="265" w:lineRule="exact"/>
              <w:ind w:left="64" w:right="436"/>
              <w:rPr>
                <w:sz w:val="22"/>
              </w:rPr>
            </w:pPr>
            <w:r>
              <w:rPr>
                <w:sz w:val="22"/>
              </w:rPr>
              <w:t>Categórica</w:t>
            </w:r>
          </w:p>
        </w:tc>
        <w:tc>
          <w:tcPr>
            <w:tcW w:w="1560" w:type="dxa"/>
            <w:tcBorders>
              <w:bottom w:val="nil"/>
            </w:tcBorders>
          </w:tcPr>
          <w:p>
            <w:pPr>
              <w:pStyle w:val="TableParagraph"/>
              <w:spacing w:line="265" w:lineRule="exact"/>
              <w:ind w:left="67" w:right="101"/>
              <w:rPr>
                <w:sz w:val="22"/>
              </w:rPr>
            </w:pPr>
            <w:r>
              <w:rPr>
                <w:sz w:val="22"/>
              </w:rPr>
              <w:t>1-4</w:t>
            </w:r>
          </w:p>
        </w:tc>
      </w:tr>
      <w:tr>
        <w:trPr>
          <w:trHeight w:val="538" w:hRule="exact"/>
        </w:trPr>
        <w:tc>
          <w:tcPr>
            <w:tcW w:w="1995" w:type="dxa"/>
            <w:tcBorders>
              <w:top w:val="nil"/>
              <w:bottom w:val="nil"/>
            </w:tcBorders>
          </w:tcPr>
          <w:p>
            <w:pPr/>
          </w:p>
        </w:tc>
        <w:tc>
          <w:tcPr>
            <w:tcW w:w="2837" w:type="dxa"/>
            <w:tcBorders>
              <w:top w:val="nil"/>
              <w:bottom w:val="nil"/>
            </w:tcBorders>
          </w:tcPr>
          <w:p>
            <w:pPr>
              <w:pStyle w:val="TableParagraph"/>
              <w:spacing w:before="114"/>
              <w:ind w:left="67"/>
              <w:rPr>
                <w:sz w:val="22"/>
              </w:rPr>
            </w:pPr>
            <w:r>
              <w:rPr>
                <w:sz w:val="22"/>
              </w:rPr>
              <w:t>afectado por la caries dental.</w:t>
            </w:r>
          </w:p>
        </w:tc>
        <w:tc>
          <w:tcPr>
            <w:tcW w:w="2410" w:type="dxa"/>
            <w:tcBorders>
              <w:top w:val="nil"/>
              <w:bottom w:val="nil"/>
            </w:tcBorders>
          </w:tcPr>
          <w:p>
            <w:pPr>
              <w:pStyle w:val="TableParagraph"/>
              <w:spacing w:before="114"/>
              <w:ind w:left="64"/>
              <w:rPr>
                <w:sz w:val="22"/>
              </w:rPr>
            </w:pPr>
            <w:r>
              <w:rPr>
                <w:sz w:val="22"/>
              </w:rPr>
              <w:t>2= P.M. S.I</w:t>
            </w:r>
          </w:p>
        </w:tc>
        <w:tc>
          <w:tcPr>
            <w:tcW w:w="1558" w:type="dxa"/>
            <w:tcBorders>
              <w:top w:val="nil"/>
              <w:bottom w:val="nil"/>
            </w:tcBorders>
          </w:tcPr>
          <w:p>
            <w:pPr/>
          </w:p>
        </w:tc>
        <w:tc>
          <w:tcPr>
            <w:tcW w:w="1560" w:type="dxa"/>
            <w:tcBorders>
              <w:top w:val="nil"/>
              <w:bottom w:val="nil"/>
            </w:tcBorders>
          </w:tcPr>
          <w:p>
            <w:pPr/>
          </w:p>
        </w:tc>
      </w:tr>
      <w:tr>
        <w:trPr>
          <w:trHeight w:val="538"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before="114"/>
              <w:ind w:left="64"/>
              <w:rPr>
                <w:sz w:val="22"/>
              </w:rPr>
            </w:pPr>
            <w:r>
              <w:rPr>
                <w:sz w:val="22"/>
              </w:rPr>
              <w:t>3= P.M. I.D.</w:t>
            </w:r>
          </w:p>
        </w:tc>
        <w:tc>
          <w:tcPr>
            <w:tcW w:w="1558" w:type="dxa"/>
            <w:tcBorders>
              <w:top w:val="nil"/>
              <w:bottom w:val="nil"/>
            </w:tcBorders>
          </w:tcPr>
          <w:p>
            <w:pPr/>
          </w:p>
        </w:tc>
        <w:tc>
          <w:tcPr>
            <w:tcW w:w="1560" w:type="dxa"/>
            <w:tcBorders>
              <w:top w:val="nil"/>
              <w:bottom w:val="nil"/>
            </w:tcBorders>
          </w:tcPr>
          <w:p>
            <w:pPr/>
          </w:p>
        </w:tc>
      </w:tr>
      <w:tr>
        <w:trPr>
          <w:trHeight w:val="660" w:hRule="exact"/>
        </w:trPr>
        <w:tc>
          <w:tcPr>
            <w:tcW w:w="1995" w:type="dxa"/>
            <w:tcBorders>
              <w:top w:val="nil"/>
            </w:tcBorders>
          </w:tcPr>
          <w:p>
            <w:pPr/>
          </w:p>
        </w:tc>
        <w:tc>
          <w:tcPr>
            <w:tcW w:w="2837" w:type="dxa"/>
            <w:tcBorders>
              <w:top w:val="nil"/>
            </w:tcBorders>
          </w:tcPr>
          <w:p>
            <w:pPr/>
          </w:p>
        </w:tc>
        <w:tc>
          <w:tcPr>
            <w:tcW w:w="2410" w:type="dxa"/>
            <w:tcBorders>
              <w:top w:val="nil"/>
            </w:tcBorders>
          </w:tcPr>
          <w:p>
            <w:pPr>
              <w:pStyle w:val="TableParagraph"/>
              <w:spacing w:before="114"/>
              <w:ind w:left="64"/>
              <w:rPr>
                <w:sz w:val="22"/>
              </w:rPr>
            </w:pPr>
            <w:r>
              <w:rPr>
                <w:sz w:val="22"/>
              </w:rPr>
              <w:t>4= P.M I.I</w:t>
            </w:r>
          </w:p>
        </w:tc>
        <w:tc>
          <w:tcPr>
            <w:tcW w:w="1558" w:type="dxa"/>
            <w:tcBorders>
              <w:top w:val="nil"/>
            </w:tcBorders>
          </w:tcPr>
          <w:p>
            <w:pPr/>
          </w:p>
        </w:tc>
        <w:tc>
          <w:tcPr>
            <w:tcW w:w="1560" w:type="dxa"/>
            <w:tcBorders>
              <w:top w:val="nil"/>
            </w:tcBorders>
          </w:tcPr>
          <w:p>
            <w:pPr/>
          </w:p>
        </w:tc>
      </w:tr>
      <w:tr>
        <w:trPr>
          <w:trHeight w:val="290" w:hRule="exact"/>
        </w:trPr>
        <w:tc>
          <w:tcPr>
            <w:tcW w:w="1995" w:type="dxa"/>
            <w:tcBorders>
              <w:bottom w:val="nil"/>
            </w:tcBorders>
          </w:tcPr>
          <w:p>
            <w:pPr>
              <w:pStyle w:val="TableParagraph"/>
              <w:spacing w:line="265" w:lineRule="exact"/>
              <w:ind w:left="64" w:right="380"/>
              <w:rPr>
                <w:sz w:val="22"/>
              </w:rPr>
            </w:pPr>
            <w:r>
              <w:rPr>
                <w:sz w:val="22"/>
              </w:rPr>
              <w:t>Selladores</w:t>
            </w:r>
          </w:p>
        </w:tc>
        <w:tc>
          <w:tcPr>
            <w:tcW w:w="2837" w:type="dxa"/>
            <w:tcBorders>
              <w:bottom w:val="nil"/>
            </w:tcBorders>
          </w:tcPr>
          <w:p>
            <w:pPr>
              <w:pStyle w:val="TableParagraph"/>
              <w:spacing w:line="265" w:lineRule="exact"/>
              <w:ind w:left="67"/>
              <w:rPr>
                <w:sz w:val="22"/>
              </w:rPr>
            </w:pPr>
            <w:r>
              <w:rPr>
                <w:sz w:val="22"/>
              </w:rPr>
              <w:t>Marcas</w:t>
            </w:r>
          </w:p>
        </w:tc>
        <w:tc>
          <w:tcPr>
            <w:tcW w:w="2410" w:type="dxa"/>
            <w:tcBorders>
              <w:bottom w:val="nil"/>
            </w:tcBorders>
          </w:tcPr>
          <w:p>
            <w:pPr>
              <w:pStyle w:val="TableParagraph"/>
              <w:spacing w:line="265" w:lineRule="exact"/>
              <w:ind w:left="64"/>
              <w:rPr>
                <w:sz w:val="22"/>
              </w:rPr>
            </w:pPr>
            <w:r>
              <w:rPr>
                <w:sz w:val="22"/>
              </w:rPr>
              <w:t>1=  Helioseal®F (Vivadent</w:t>
            </w:r>
          </w:p>
        </w:tc>
        <w:tc>
          <w:tcPr>
            <w:tcW w:w="1558" w:type="dxa"/>
            <w:tcBorders>
              <w:bottom w:val="nil"/>
            </w:tcBorders>
          </w:tcPr>
          <w:p>
            <w:pPr>
              <w:pStyle w:val="TableParagraph"/>
              <w:spacing w:line="265" w:lineRule="exact"/>
              <w:ind w:left="64" w:right="436"/>
              <w:rPr>
                <w:sz w:val="22"/>
              </w:rPr>
            </w:pPr>
            <w:r>
              <w:rPr>
                <w:sz w:val="22"/>
              </w:rPr>
              <w:t>Nominal</w:t>
            </w:r>
          </w:p>
        </w:tc>
        <w:tc>
          <w:tcPr>
            <w:tcW w:w="1560" w:type="dxa"/>
            <w:tcBorders>
              <w:bottom w:val="nil"/>
            </w:tcBorders>
          </w:tcPr>
          <w:p>
            <w:pPr>
              <w:pStyle w:val="TableParagraph"/>
              <w:spacing w:line="265" w:lineRule="exact"/>
              <w:ind w:left="67" w:right="101"/>
              <w:rPr>
                <w:sz w:val="22"/>
              </w:rPr>
            </w:pPr>
            <w:r>
              <w:rPr>
                <w:sz w:val="22"/>
              </w:rPr>
              <w:t>1-3</w:t>
            </w:r>
          </w:p>
        </w:tc>
      </w:tr>
      <w:tr>
        <w:trPr>
          <w:trHeight w:val="269"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9" w:lineRule="exact"/>
              <w:ind w:left="64"/>
              <w:rPr>
                <w:sz w:val="22"/>
              </w:rPr>
            </w:pPr>
            <w:r>
              <w:rPr>
                <w:sz w:val="22"/>
              </w:rPr>
              <w:t>– Ivoclar)</w:t>
            </w:r>
          </w:p>
        </w:tc>
        <w:tc>
          <w:tcPr>
            <w:tcW w:w="1558" w:type="dxa"/>
            <w:tcBorders>
              <w:top w:val="nil"/>
              <w:bottom w:val="nil"/>
            </w:tcBorders>
          </w:tcPr>
          <w:p>
            <w:pPr>
              <w:pStyle w:val="TableParagraph"/>
              <w:spacing w:line="249" w:lineRule="exact"/>
              <w:ind w:left="64" w:right="436"/>
              <w:rPr>
                <w:sz w:val="22"/>
              </w:rPr>
            </w:pPr>
            <w:r>
              <w:rPr>
                <w:sz w:val="22"/>
              </w:rPr>
              <w:t>Categórica</w:t>
            </w:r>
          </w:p>
        </w:tc>
        <w:tc>
          <w:tcPr>
            <w:tcW w:w="1560" w:type="dxa"/>
            <w:tcBorders>
              <w:top w:val="nil"/>
              <w:bottom w:val="nil"/>
            </w:tcBorders>
          </w:tcPr>
          <w:p>
            <w:pPr/>
          </w:p>
        </w:tc>
      </w:tr>
      <w:tr>
        <w:trPr>
          <w:trHeight w:val="268"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9" w:lineRule="exact"/>
              <w:ind w:left="64"/>
              <w:rPr>
                <w:sz w:val="22"/>
              </w:rPr>
            </w:pPr>
            <w:r>
              <w:rPr>
                <w:sz w:val="22"/>
              </w:rPr>
              <w:t>2=  Clinpro  TM  Sealant (</w:t>
            </w:r>
          </w:p>
        </w:tc>
        <w:tc>
          <w:tcPr>
            <w:tcW w:w="1558" w:type="dxa"/>
            <w:tcBorders>
              <w:top w:val="nil"/>
              <w:bottom w:val="nil"/>
            </w:tcBorders>
          </w:tcPr>
          <w:p>
            <w:pPr/>
          </w:p>
        </w:tc>
        <w:tc>
          <w:tcPr>
            <w:tcW w:w="1560" w:type="dxa"/>
            <w:tcBorders>
              <w:top w:val="nil"/>
              <w:bottom w:val="nil"/>
            </w:tcBorders>
          </w:tcPr>
          <w:p>
            <w:pPr/>
          </w:p>
        </w:tc>
      </w:tr>
      <w:tr>
        <w:trPr>
          <w:trHeight w:val="268"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7" w:lineRule="exact"/>
              <w:ind w:left="64"/>
              <w:rPr>
                <w:sz w:val="22"/>
              </w:rPr>
            </w:pPr>
            <w:r>
              <w:rPr>
                <w:sz w:val="22"/>
              </w:rPr>
              <w:t>3M ESPE )</w:t>
            </w:r>
          </w:p>
        </w:tc>
        <w:tc>
          <w:tcPr>
            <w:tcW w:w="1558" w:type="dxa"/>
            <w:tcBorders>
              <w:top w:val="nil"/>
              <w:bottom w:val="nil"/>
            </w:tcBorders>
          </w:tcPr>
          <w:p>
            <w:pPr/>
          </w:p>
        </w:tc>
        <w:tc>
          <w:tcPr>
            <w:tcW w:w="1560" w:type="dxa"/>
            <w:tcBorders>
              <w:top w:val="nil"/>
              <w:bottom w:val="nil"/>
            </w:tcBorders>
          </w:tcPr>
          <w:p>
            <w:pPr/>
          </w:p>
        </w:tc>
      </w:tr>
      <w:tr>
        <w:trPr>
          <w:trHeight w:val="269" w:hRule="exact"/>
        </w:trPr>
        <w:tc>
          <w:tcPr>
            <w:tcW w:w="1995" w:type="dxa"/>
            <w:tcBorders>
              <w:top w:val="nil"/>
              <w:bottom w:val="nil"/>
            </w:tcBorders>
          </w:tcPr>
          <w:p>
            <w:pPr/>
          </w:p>
        </w:tc>
        <w:tc>
          <w:tcPr>
            <w:tcW w:w="2837" w:type="dxa"/>
            <w:tcBorders>
              <w:top w:val="nil"/>
              <w:bottom w:val="nil"/>
            </w:tcBorders>
          </w:tcPr>
          <w:p>
            <w:pPr/>
          </w:p>
        </w:tc>
        <w:tc>
          <w:tcPr>
            <w:tcW w:w="2410" w:type="dxa"/>
            <w:tcBorders>
              <w:top w:val="nil"/>
              <w:bottom w:val="nil"/>
            </w:tcBorders>
          </w:tcPr>
          <w:p>
            <w:pPr>
              <w:pStyle w:val="TableParagraph"/>
              <w:spacing w:line="249" w:lineRule="exact"/>
              <w:ind w:left="64"/>
              <w:rPr>
                <w:sz w:val="22"/>
              </w:rPr>
            </w:pPr>
            <w:r>
              <w:rPr>
                <w:sz w:val="22"/>
              </w:rPr>
              <w:t>3=    UltraSeal    XT®  plus</w:t>
            </w:r>
          </w:p>
        </w:tc>
        <w:tc>
          <w:tcPr>
            <w:tcW w:w="1558" w:type="dxa"/>
            <w:tcBorders>
              <w:top w:val="nil"/>
              <w:bottom w:val="nil"/>
            </w:tcBorders>
          </w:tcPr>
          <w:p>
            <w:pPr/>
          </w:p>
        </w:tc>
        <w:tc>
          <w:tcPr>
            <w:tcW w:w="1560" w:type="dxa"/>
            <w:tcBorders>
              <w:top w:val="nil"/>
              <w:bottom w:val="nil"/>
            </w:tcBorders>
          </w:tcPr>
          <w:p>
            <w:pPr/>
          </w:p>
        </w:tc>
      </w:tr>
      <w:tr>
        <w:trPr>
          <w:trHeight w:val="257" w:hRule="exact"/>
        </w:trPr>
        <w:tc>
          <w:tcPr>
            <w:tcW w:w="1995" w:type="dxa"/>
            <w:tcBorders>
              <w:top w:val="nil"/>
            </w:tcBorders>
          </w:tcPr>
          <w:p>
            <w:pPr/>
          </w:p>
        </w:tc>
        <w:tc>
          <w:tcPr>
            <w:tcW w:w="2837" w:type="dxa"/>
            <w:tcBorders>
              <w:top w:val="nil"/>
            </w:tcBorders>
          </w:tcPr>
          <w:p>
            <w:pPr/>
          </w:p>
        </w:tc>
        <w:tc>
          <w:tcPr>
            <w:tcW w:w="2410" w:type="dxa"/>
            <w:tcBorders>
              <w:top w:val="nil"/>
            </w:tcBorders>
          </w:tcPr>
          <w:p>
            <w:pPr>
              <w:pStyle w:val="TableParagraph"/>
              <w:spacing w:line="249" w:lineRule="exact"/>
              <w:ind w:left="64"/>
              <w:rPr>
                <w:sz w:val="22"/>
              </w:rPr>
            </w:pPr>
            <w:r>
              <w:rPr>
                <w:sz w:val="22"/>
              </w:rPr>
              <w:t>(Ultradent):</w:t>
            </w:r>
          </w:p>
        </w:tc>
        <w:tc>
          <w:tcPr>
            <w:tcW w:w="1558" w:type="dxa"/>
            <w:tcBorders>
              <w:top w:val="nil"/>
            </w:tcBorders>
          </w:tcPr>
          <w:p>
            <w:pPr/>
          </w:p>
        </w:tc>
        <w:tc>
          <w:tcPr>
            <w:tcW w:w="1560" w:type="dxa"/>
            <w:tcBorders>
              <w:top w:val="nil"/>
            </w:tcBorders>
          </w:tcPr>
          <w:p>
            <w:pPr/>
          </w:p>
        </w:tc>
      </w:tr>
      <w:tr>
        <w:trPr>
          <w:trHeight w:val="1106" w:hRule="exact"/>
        </w:trPr>
        <w:tc>
          <w:tcPr>
            <w:tcW w:w="1995" w:type="dxa"/>
          </w:tcPr>
          <w:p>
            <w:pPr>
              <w:pStyle w:val="TableParagraph"/>
              <w:spacing w:line="265" w:lineRule="exact"/>
              <w:ind w:left="64" w:right="380"/>
              <w:rPr>
                <w:sz w:val="22"/>
              </w:rPr>
            </w:pPr>
            <w:r>
              <w:rPr>
                <w:sz w:val="22"/>
              </w:rPr>
              <w:t>Tiempo</w:t>
            </w:r>
          </w:p>
        </w:tc>
        <w:tc>
          <w:tcPr>
            <w:tcW w:w="2837" w:type="dxa"/>
          </w:tcPr>
          <w:p>
            <w:pPr>
              <w:pStyle w:val="TableParagraph"/>
              <w:tabs>
                <w:tab w:pos="959" w:val="left" w:leader="none"/>
                <w:tab w:pos="1515" w:val="left" w:leader="none"/>
                <w:tab w:pos="2600" w:val="left" w:leader="none"/>
              </w:tabs>
              <w:ind w:left="67" w:right="64"/>
              <w:rPr>
                <w:sz w:val="22"/>
              </w:rPr>
            </w:pPr>
            <w:r>
              <w:rPr>
                <w:sz w:val="22"/>
              </w:rPr>
              <w:t>Tiempo</w:t>
              <w:tab/>
              <w:t>que</w:t>
              <w:tab/>
              <w:t>prevalece</w:t>
              <w:tab/>
              <w:t>el sellador</w:t>
            </w:r>
          </w:p>
        </w:tc>
        <w:tc>
          <w:tcPr>
            <w:tcW w:w="2410" w:type="dxa"/>
          </w:tcPr>
          <w:p>
            <w:pPr>
              <w:pStyle w:val="TableParagraph"/>
              <w:spacing w:line="265" w:lineRule="exact"/>
              <w:ind w:left="64"/>
              <w:rPr>
                <w:sz w:val="22"/>
              </w:rPr>
            </w:pPr>
            <w:r>
              <w:rPr>
                <w:sz w:val="22"/>
              </w:rPr>
              <w:t>1=3 meses</w:t>
            </w:r>
          </w:p>
          <w:p>
            <w:pPr>
              <w:pStyle w:val="TableParagraph"/>
              <w:ind w:left="64"/>
              <w:rPr>
                <w:sz w:val="22"/>
              </w:rPr>
            </w:pPr>
            <w:r>
              <w:rPr>
                <w:sz w:val="22"/>
              </w:rPr>
              <w:t>2=6 meses</w:t>
            </w:r>
          </w:p>
        </w:tc>
        <w:tc>
          <w:tcPr>
            <w:tcW w:w="1558" w:type="dxa"/>
          </w:tcPr>
          <w:p>
            <w:pPr>
              <w:pStyle w:val="TableParagraph"/>
              <w:ind w:left="115" w:right="353" w:hanging="51"/>
              <w:rPr>
                <w:sz w:val="22"/>
              </w:rPr>
            </w:pPr>
            <w:r>
              <w:rPr>
                <w:sz w:val="22"/>
              </w:rPr>
              <w:t>Nominal Diciotómica</w:t>
            </w:r>
          </w:p>
        </w:tc>
        <w:tc>
          <w:tcPr>
            <w:tcW w:w="1560" w:type="dxa"/>
          </w:tcPr>
          <w:p>
            <w:pPr>
              <w:pStyle w:val="TableParagraph"/>
              <w:spacing w:line="265" w:lineRule="exact"/>
              <w:ind w:left="67" w:right="101"/>
              <w:rPr>
                <w:sz w:val="22"/>
              </w:rPr>
            </w:pPr>
            <w:r>
              <w:rPr>
                <w:sz w:val="22"/>
              </w:rPr>
              <w:t>1-2</w:t>
            </w:r>
          </w:p>
        </w:tc>
      </w:tr>
    </w:tbl>
    <w:p>
      <w:pPr>
        <w:spacing w:after="0" w:line="265" w:lineRule="exact"/>
        <w:rPr>
          <w:sz w:val="22"/>
        </w:rPr>
        <w:sectPr>
          <w:pgSz w:w="12240" w:h="15840"/>
          <w:pgMar w:header="731" w:footer="1017" w:top="1360" w:bottom="1220" w:left="560" w:right="540"/>
        </w:sectPr>
      </w:pPr>
    </w:p>
    <w:p>
      <w:pPr>
        <w:pStyle w:val="BodyText"/>
        <w:rPr>
          <w:b/>
          <w:sz w:val="20"/>
        </w:rPr>
      </w:pPr>
    </w:p>
    <w:p>
      <w:pPr>
        <w:pStyle w:val="BodyText"/>
        <w:rPr>
          <w:b/>
          <w:sz w:val="20"/>
        </w:rPr>
      </w:pPr>
    </w:p>
    <w:p>
      <w:pPr>
        <w:pStyle w:val="BodyText"/>
        <w:rPr>
          <w:b/>
          <w:sz w:val="20"/>
        </w:rPr>
      </w:pPr>
    </w:p>
    <w:p>
      <w:pPr>
        <w:spacing w:before="240"/>
        <w:ind w:left="3381" w:right="4" w:firstLine="0"/>
        <w:jc w:val="left"/>
        <w:rPr>
          <w:b/>
          <w:sz w:val="28"/>
        </w:rPr>
      </w:pPr>
      <w:r>
        <w:rPr>
          <w:b/>
          <w:sz w:val="28"/>
        </w:rPr>
        <w:t>CONSIDERACIONES BIOÉTICAS</w:t>
      </w:r>
    </w:p>
    <w:p>
      <w:pPr>
        <w:pStyle w:val="BodyText"/>
        <w:rPr>
          <w:b/>
          <w:sz w:val="25"/>
        </w:rPr>
      </w:pPr>
    </w:p>
    <w:p>
      <w:pPr>
        <w:pStyle w:val="BodyText"/>
        <w:spacing w:line="480" w:lineRule="auto"/>
        <w:ind w:left="160" w:right="180"/>
        <w:jc w:val="both"/>
      </w:pPr>
      <w:r>
        <w:rPr/>
        <w:t>Acorde a los principios de Helsinki,</w:t>
      </w:r>
      <w:r>
        <w:rPr>
          <w:position w:val="11"/>
          <w:sz w:val="16"/>
        </w:rPr>
        <w:t>20 </w:t>
      </w:r>
      <w:r>
        <w:rPr/>
        <w:t>el presente estudio incluye información identificable, justificando que los resultados son para beneficio de la población.</w:t>
      </w:r>
    </w:p>
    <w:p>
      <w:pPr>
        <w:pStyle w:val="BodyText"/>
      </w:pPr>
    </w:p>
    <w:p>
      <w:pPr>
        <w:pStyle w:val="BodyText"/>
        <w:spacing w:before="7"/>
      </w:pPr>
    </w:p>
    <w:p>
      <w:pPr>
        <w:pStyle w:val="BodyText"/>
        <w:spacing w:line="472" w:lineRule="auto" w:before="1"/>
        <w:ind w:left="160" w:right="174"/>
        <w:jc w:val="both"/>
        <w:rPr>
          <w:sz w:val="16"/>
        </w:rPr>
      </w:pPr>
      <w:r>
        <w:rPr/>
        <w:t>En relación a la Ley General de la Salud, con fundamento en el Artículo 17, la presente investigación se considera de riesgo mínimo para el sujeto de investigación, ya que se realizaron estudios prospectivos que emplean el riesgo de datos a través de procedimientos comunes en exámenes físicos o psicológicos de diagnósticos o tratamiento rutinarios de los individuos que participan en el estudio, empleando técnicas de diagnóstico, anestesia local, aplicación de materiales dentales.</w:t>
      </w:r>
      <w:r>
        <w:rPr>
          <w:position w:val="11"/>
          <w:sz w:val="16"/>
        </w:rPr>
        <w:t>21</w:t>
      </w:r>
    </w:p>
    <w:p>
      <w:pPr>
        <w:spacing w:after="0" w:line="472" w:lineRule="auto"/>
        <w:jc w:val="both"/>
        <w:rPr>
          <w:sz w:val="16"/>
        </w:rPr>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Heading1"/>
        <w:ind w:right="330"/>
      </w:pPr>
      <w:r>
        <w:rPr/>
        <w:t>RESULTADOS.</w:t>
      </w:r>
    </w:p>
    <w:p>
      <w:pPr>
        <w:pStyle w:val="BodyText"/>
        <w:rPr>
          <w:b/>
          <w:sz w:val="28"/>
        </w:rPr>
      </w:pPr>
    </w:p>
    <w:p>
      <w:pPr>
        <w:pStyle w:val="BodyText"/>
        <w:spacing w:before="10"/>
        <w:rPr>
          <w:b/>
          <w:sz w:val="39"/>
        </w:rPr>
      </w:pPr>
    </w:p>
    <w:p>
      <w:pPr>
        <w:pStyle w:val="BodyText"/>
        <w:spacing w:line="480" w:lineRule="auto"/>
        <w:ind w:left="160" w:right="174"/>
        <w:jc w:val="both"/>
      </w:pPr>
      <w:r>
        <w:rPr/>
        <w:t>De los 77 niños examinados, solo 30 cumplieron con los criterios de inclusión, se reportan los resultados de la aplicación de selladores a 19 pacientes, debido a que los 11 restantes no regresaron a la segunda evaluación. No se colocaron selladores en 17/76 molares por que no cumplieron con los criterios de</w:t>
      </w:r>
      <w:r>
        <w:rPr>
          <w:spacing w:val="-8"/>
        </w:rPr>
        <w:t> </w:t>
      </w:r>
      <w:r>
        <w:rPr/>
        <w:t>inclusión.</w:t>
      </w:r>
    </w:p>
    <w:p>
      <w:pPr>
        <w:pStyle w:val="BodyText"/>
      </w:pPr>
    </w:p>
    <w:p>
      <w:pPr>
        <w:pStyle w:val="BodyText"/>
        <w:spacing w:before="8"/>
      </w:pPr>
    </w:p>
    <w:p>
      <w:pPr>
        <w:pStyle w:val="BodyText"/>
        <w:spacing w:line="480" w:lineRule="auto"/>
        <w:ind w:left="160" w:right="175"/>
        <w:jc w:val="both"/>
      </w:pPr>
      <w:r>
        <w:rPr/>
        <w:t>En el estudio participaron 10 niños y 9 niñas , en edades comprendidas entre los siete y ochos de edad, siete de siete años de edad y 12 de ocho años de edad.</w:t>
      </w:r>
    </w:p>
    <w:p>
      <w:pPr>
        <w:pStyle w:val="BodyText"/>
      </w:pPr>
    </w:p>
    <w:p>
      <w:pPr>
        <w:pStyle w:val="BodyText"/>
        <w:spacing w:before="7"/>
      </w:pPr>
    </w:p>
    <w:p>
      <w:pPr>
        <w:pStyle w:val="BodyText"/>
        <w:spacing w:line="480" w:lineRule="auto" w:before="1"/>
        <w:ind w:left="160" w:right="178"/>
        <w:jc w:val="both"/>
      </w:pPr>
      <w:r>
        <w:rPr/>
        <w:t>De acuerdo a los criterios metodológicos establecidos, el sellador Helioseal F se colocó en los primeros molares superiores e inferiores derechos. Al evaluar el estado del estado del sellador a los tres meses, se notó que el sellador Helioseal F presentó mayor número de selladores completos 15/24, sin embargo, este sellador también presentó 4/24 selladores totalmente desalojados y 5/24 parcialmente desalojados.</w:t>
      </w:r>
    </w:p>
    <w:p>
      <w:pPr>
        <w:pStyle w:val="BodyText"/>
      </w:pPr>
    </w:p>
    <w:p>
      <w:pPr>
        <w:pStyle w:val="BodyText"/>
        <w:spacing w:before="7"/>
      </w:pPr>
    </w:p>
    <w:p>
      <w:pPr>
        <w:pStyle w:val="BodyText"/>
        <w:spacing w:line="480" w:lineRule="auto" w:before="1"/>
        <w:ind w:left="160" w:right="175"/>
        <w:jc w:val="both"/>
      </w:pPr>
      <w:r>
        <w:rPr/>
        <w:t>En tanto los molares en los que se colocó el sellador UltraSeal XT se notaron 6/16 selladores completos, 2/16 parcialmente desalojados y ninguno desalojado.</w:t>
      </w:r>
    </w:p>
    <w:p>
      <w:pPr>
        <w:spacing w:after="0" w:line="480" w:lineRule="auto"/>
        <w:jc w:val="both"/>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pStyle w:val="Heading1"/>
        <w:spacing w:line="276" w:lineRule="auto"/>
        <w:ind w:left="3513" w:right="356" w:hanging="3157"/>
        <w:jc w:val="left"/>
      </w:pPr>
      <w:r>
        <w:rPr/>
        <w:t>Cuadro 1 .RESULTADOS DE ESTADO DE LOS SELLADORES EN LA PRIMERA EVALUACION A TRES MESES.</w:t>
      </w:r>
    </w:p>
    <w:p>
      <w:pPr>
        <w:pStyle w:val="BodyText"/>
        <w:rPr>
          <w:b/>
          <w:sz w:val="20"/>
        </w:rPr>
      </w:pPr>
    </w:p>
    <w:p>
      <w:pPr>
        <w:pStyle w:val="BodyText"/>
        <w:spacing w:before="1"/>
        <w:rPr>
          <w:b/>
        </w:rPr>
      </w:pPr>
    </w:p>
    <w:tbl>
      <w:tblPr>
        <w:tblW w:w="0" w:type="auto"/>
        <w:jc w:val="left"/>
        <w:tblInd w:w="136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337"/>
        <w:gridCol w:w="1355"/>
        <w:gridCol w:w="1216"/>
        <w:gridCol w:w="1385"/>
        <w:gridCol w:w="1050"/>
      </w:tblGrid>
      <w:tr>
        <w:trPr>
          <w:trHeight w:val="529" w:hRule="exact"/>
        </w:trPr>
        <w:tc>
          <w:tcPr>
            <w:tcW w:w="3337" w:type="dxa"/>
            <w:tcBorders>
              <w:left w:val="nil"/>
              <w:bottom w:val="nil"/>
              <w:right w:val="nil"/>
            </w:tcBorders>
            <w:shd w:val="clear" w:color="auto" w:fill="F1F1F1"/>
          </w:tcPr>
          <w:p>
            <w:pPr>
              <w:pStyle w:val="TableParagraph"/>
              <w:spacing w:line="252" w:lineRule="exact" w:before="1"/>
              <w:ind w:left="107" w:right="1193"/>
              <w:rPr>
                <w:rFonts w:ascii="Arial"/>
                <w:b/>
                <w:sz w:val="22"/>
              </w:rPr>
            </w:pPr>
            <w:r>
              <w:rPr>
                <w:rFonts w:ascii="Arial"/>
                <w:b/>
                <w:sz w:val="22"/>
              </w:rPr>
              <w:t>MOLAR SUPERIOR DERECHO</w:t>
            </w:r>
          </w:p>
        </w:tc>
        <w:tc>
          <w:tcPr>
            <w:tcW w:w="1355" w:type="dxa"/>
            <w:tcBorders>
              <w:left w:val="nil"/>
              <w:bottom w:val="nil"/>
              <w:right w:val="nil"/>
            </w:tcBorders>
            <w:shd w:val="clear" w:color="auto" w:fill="F1F1F1"/>
          </w:tcPr>
          <w:p>
            <w:pPr>
              <w:pStyle w:val="TableParagraph"/>
              <w:ind w:left="592" w:right="222" w:hanging="384"/>
              <w:rPr>
                <w:rFonts w:ascii="Arial"/>
                <w:sz w:val="22"/>
              </w:rPr>
            </w:pPr>
            <w:r>
              <w:rPr>
                <w:rFonts w:ascii="Arial"/>
                <w:sz w:val="22"/>
              </w:rPr>
              <w:t>Helioseal F</w:t>
            </w:r>
          </w:p>
        </w:tc>
        <w:tc>
          <w:tcPr>
            <w:tcW w:w="1216" w:type="dxa"/>
            <w:tcBorders>
              <w:left w:val="nil"/>
              <w:bottom w:val="nil"/>
              <w:right w:val="nil"/>
            </w:tcBorders>
            <w:shd w:val="clear" w:color="auto" w:fill="F1F1F1"/>
          </w:tcPr>
          <w:p>
            <w:pPr>
              <w:pStyle w:val="TableParagraph"/>
              <w:ind w:left="432" w:right="257" w:hanging="190"/>
              <w:rPr>
                <w:rFonts w:ascii="Arial"/>
                <w:sz w:val="22"/>
              </w:rPr>
            </w:pPr>
            <w:r>
              <w:rPr>
                <w:rFonts w:ascii="Arial"/>
                <w:sz w:val="22"/>
              </w:rPr>
              <w:t>Clinpro TM</w:t>
            </w:r>
          </w:p>
        </w:tc>
        <w:tc>
          <w:tcPr>
            <w:tcW w:w="1385" w:type="dxa"/>
            <w:tcBorders>
              <w:left w:val="nil"/>
              <w:bottom w:val="nil"/>
              <w:right w:val="nil"/>
            </w:tcBorders>
            <w:shd w:val="clear" w:color="auto" w:fill="F1F1F1"/>
          </w:tcPr>
          <w:p>
            <w:pPr>
              <w:pStyle w:val="TableParagraph"/>
              <w:ind w:left="589" w:right="183" w:hanging="312"/>
              <w:rPr>
                <w:rFonts w:ascii="Arial"/>
                <w:sz w:val="22"/>
              </w:rPr>
            </w:pPr>
            <w:r>
              <w:rPr>
                <w:rFonts w:ascii="Arial"/>
                <w:sz w:val="22"/>
              </w:rPr>
              <w:t>UltraSeal XT</w:t>
            </w:r>
          </w:p>
        </w:tc>
        <w:tc>
          <w:tcPr>
            <w:tcW w:w="1050" w:type="dxa"/>
            <w:tcBorders>
              <w:left w:val="nil"/>
              <w:bottom w:val="nil"/>
              <w:right w:val="nil"/>
            </w:tcBorders>
            <w:shd w:val="clear" w:color="auto" w:fill="F1F1F1"/>
          </w:tcPr>
          <w:p>
            <w:pPr>
              <w:pStyle w:val="TableParagraph"/>
              <w:spacing w:before="9"/>
              <w:rPr>
                <w:rFonts w:ascii="Arial"/>
                <w:b/>
                <w:sz w:val="21"/>
              </w:rPr>
            </w:pPr>
          </w:p>
          <w:p>
            <w:pPr>
              <w:pStyle w:val="TableParagraph"/>
              <w:ind w:left="183" w:right="117"/>
              <w:jc w:val="center"/>
              <w:rPr>
                <w:rFonts w:ascii="Arial"/>
                <w:sz w:val="22"/>
              </w:rPr>
            </w:pPr>
            <w:r>
              <w:rPr>
                <w:rFonts w:ascii="Arial"/>
                <w:sz w:val="22"/>
              </w:rPr>
              <w:t>TOTAL</w:t>
            </w:r>
          </w:p>
        </w:tc>
      </w:tr>
      <w:tr>
        <w:trPr>
          <w:trHeight w:val="296" w:hRule="exact"/>
        </w:trPr>
        <w:tc>
          <w:tcPr>
            <w:tcW w:w="3337" w:type="dxa"/>
            <w:tcBorders>
              <w:top w:val="nil"/>
              <w:left w:val="nil"/>
              <w:bottom w:val="nil"/>
              <w:right w:val="nil"/>
            </w:tcBorders>
          </w:tcPr>
          <w:p>
            <w:pPr>
              <w:pStyle w:val="TableParagraph"/>
              <w:spacing w:line="251" w:lineRule="exact"/>
              <w:ind w:left="107" w:right="1193"/>
              <w:rPr>
                <w:rFonts w:ascii="Arial"/>
                <w:sz w:val="22"/>
              </w:rPr>
            </w:pPr>
            <w:r>
              <w:rPr>
                <w:rFonts w:ascii="Arial"/>
                <w:sz w:val="22"/>
              </w:rPr>
              <w:t>Sellador completo</w:t>
            </w:r>
          </w:p>
        </w:tc>
        <w:tc>
          <w:tcPr>
            <w:tcW w:w="1355" w:type="dxa"/>
            <w:tcBorders>
              <w:top w:val="nil"/>
              <w:left w:val="nil"/>
              <w:bottom w:val="nil"/>
              <w:right w:val="nil"/>
            </w:tcBorders>
          </w:tcPr>
          <w:p>
            <w:pPr>
              <w:pStyle w:val="TableParagraph"/>
              <w:spacing w:line="251" w:lineRule="exact"/>
              <w:ind w:right="633"/>
              <w:jc w:val="right"/>
              <w:rPr>
                <w:rFonts w:ascii="Arial"/>
                <w:sz w:val="22"/>
              </w:rPr>
            </w:pPr>
            <w:r>
              <w:rPr>
                <w:rFonts w:ascii="Arial"/>
                <w:w w:val="100"/>
                <w:sz w:val="22"/>
              </w:rPr>
              <w:t>7</w:t>
            </w:r>
          </w:p>
        </w:tc>
        <w:tc>
          <w:tcPr>
            <w:tcW w:w="1216" w:type="dxa"/>
            <w:tcBorders>
              <w:top w:val="nil"/>
              <w:left w:val="nil"/>
              <w:bottom w:val="nil"/>
              <w:right w:val="nil"/>
            </w:tcBorders>
          </w:tcPr>
          <w:p>
            <w:pPr>
              <w:pStyle w:val="TableParagraph"/>
              <w:spacing w:line="251" w:lineRule="exact"/>
              <w:ind w:right="562"/>
              <w:jc w:val="right"/>
              <w:rPr>
                <w:rFonts w:ascii="Arial"/>
                <w:sz w:val="22"/>
              </w:rPr>
            </w:pPr>
            <w:r>
              <w:rPr>
                <w:rFonts w:ascii="Arial"/>
                <w:w w:val="100"/>
                <w:sz w:val="22"/>
              </w:rPr>
              <w:t>2</w:t>
            </w:r>
          </w:p>
        </w:tc>
        <w:tc>
          <w:tcPr>
            <w:tcW w:w="1385" w:type="dxa"/>
            <w:tcBorders>
              <w:top w:val="nil"/>
              <w:left w:val="nil"/>
              <w:bottom w:val="nil"/>
              <w:right w:val="nil"/>
            </w:tcBorders>
          </w:tcPr>
          <w:p>
            <w:pPr>
              <w:pStyle w:val="TableParagraph"/>
              <w:spacing w:line="251" w:lineRule="exact"/>
              <w:ind w:right="592"/>
              <w:jc w:val="right"/>
              <w:rPr>
                <w:rFonts w:ascii="Arial"/>
                <w:sz w:val="22"/>
              </w:rPr>
            </w:pPr>
            <w:r>
              <w:rPr>
                <w:rFonts w:ascii="Arial"/>
                <w:w w:val="100"/>
                <w:sz w:val="22"/>
              </w:rPr>
              <w:t>1</w:t>
            </w:r>
          </w:p>
        </w:tc>
        <w:tc>
          <w:tcPr>
            <w:tcW w:w="1050" w:type="dxa"/>
            <w:tcBorders>
              <w:top w:val="nil"/>
              <w:left w:val="nil"/>
              <w:bottom w:val="nil"/>
              <w:right w:val="nil"/>
            </w:tcBorders>
          </w:tcPr>
          <w:p>
            <w:pPr>
              <w:pStyle w:val="TableParagraph"/>
              <w:spacing w:line="251" w:lineRule="exact"/>
              <w:ind w:left="183" w:right="117"/>
              <w:jc w:val="center"/>
              <w:rPr>
                <w:rFonts w:ascii="Arial"/>
                <w:sz w:val="22"/>
              </w:rPr>
            </w:pPr>
            <w:r>
              <w:rPr>
                <w:rFonts w:ascii="Arial"/>
                <w:sz w:val="22"/>
              </w:rPr>
              <w:t>10</w:t>
            </w:r>
          </w:p>
        </w:tc>
      </w:tr>
      <w:tr>
        <w:trPr>
          <w:trHeight w:val="776" w:hRule="exact"/>
        </w:trPr>
        <w:tc>
          <w:tcPr>
            <w:tcW w:w="3337" w:type="dxa"/>
            <w:tcBorders>
              <w:top w:val="nil"/>
              <w:left w:val="nil"/>
              <w:bottom w:val="nil"/>
              <w:right w:val="nil"/>
            </w:tcBorders>
          </w:tcPr>
          <w:p>
            <w:pPr>
              <w:pStyle w:val="TableParagraph"/>
              <w:spacing w:before="23"/>
              <w:ind w:left="107" w:right="1082"/>
              <w:rPr>
                <w:rFonts w:ascii="Arial"/>
                <w:sz w:val="22"/>
              </w:rPr>
            </w:pPr>
            <w:r>
              <w:rPr>
                <w:rFonts w:ascii="Arial"/>
                <w:sz w:val="22"/>
              </w:rPr>
              <w:t>Sellador parcialmente desalojado</w:t>
            </w:r>
          </w:p>
          <w:p>
            <w:pPr>
              <w:pStyle w:val="TableParagraph"/>
              <w:spacing w:line="252" w:lineRule="exact"/>
              <w:ind w:left="107"/>
              <w:rPr>
                <w:rFonts w:ascii="Arial"/>
                <w:sz w:val="22"/>
              </w:rPr>
            </w:pPr>
            <w:r>
              <w:rPr>
                <w:rFonts w:ascii="Arial"/>
                <w:sz w:val="22"/>
              </w:rPr>
              <w:t>Sellador totalmente desalojado</w:t>
            </w:r>
          </w:p>
        </w:tc>
        <w:tc>
          <w:tcPr>
            <w:tcW w:w="1355" w:type="dxa"/>
            <w:tcBorders>
              <w:top w:val="nil"/>
              <w:left w:val="nil"/>
              <w:bottom w:val="nil"/>
              <w:right w:val="nil"/>
            </w:tcBorders>
          </w:tcPr>
          <w:p>
            <w:pPr>
              <w:pStyle w:val="TableParagraph"/>
              <w:spacing w:before="23"/>
              <w:ind w:right="36"/>
              <w:jc w:val="center"/>
              <w:rPr>
                <w:rFonts w:ascii="Arial"/>
                <w:sz w:val="22"/>
              </w:rPr>
            </w:pPr>
            <w:r>
              <w:rPr>
                <w:rFonts w:ascii="Arial"/>
                <w:w w:val="100"/>
                <w:sz w:val="22"/>
              </w:rPr>
              <w:t>3</w:t>
            </w:r>
          </w:p>
          <w:p>
            <w:pPr>
              <w:pStyle w:val="TableParagraph"/>
              <w:spacing w:before="10"/>
              <w:rPr>
                <w:rFonts w:ascii="Arial"/>
                <w:b/>
                <w:sz w:val="21"/>
              </w:rPr>
            </w:pPr>
          </w:p>
          <w:p>
            <w:pPr>
              <w:pStyle w:val="TableParagraph"/>
              <w:ind w:right="36"/>
              <w:jc w:val="center"/>
              <w:rPr>
                <w:rFonts w:ascii="Arial"/>
                <w:sz w:val="22"/>
              </w:rPr>
            </w:pPr>
            <w:r>
              <w:rPr>
                <w:rFonts w:ascii="Arial"/>
                <w:w w:val="100"/>
                <w:sz w:val="22"/>
              </w:rPr>
              <w:t>2</w:t>
            </w:r>
          </w:p>
        </w:tc>
        <w:tc>
          <w:tcPr>
            <w:tcW w:w="1216" w:type="dxa"/>
            <w:tcBorders>
              <w:top w:val="nil"/>
              <w:left w:val="nil"/>
              <w:bottom w:val="nil"/>
              <w:right w:val="nil"/>
            </w:tcBorders>
          </w:tcPr>
          <w:p>
            <w:pPr>
              <w:pStyle w:val="TableParagraph"/>
              <w:spacing w:before="23"/>
              <w:ind w:right="34"/>
              <w:jc w:val="center"/>
              <w:rPr>
                <w:rFonts w:ascii="Arial"/>
                <w:sz w:val="22"/>
              </w:rPr>
            </w:pPr>
            <w:r>
              <w:rPr>
                <w:rFonts w:ascii="Arial"/>
                <w:w w:val="100"/>
                <w:sz w:val="22"/>
              </w:rPr>
              <w:t>1</w:t>
            </w:r>
          </w:p>
          <w:p>
            <w:pPr>
              <w:pStyle w:val="TableParagraph"/>
              <w:spacing w:before="10"/>
              <w:rPr>
                <w:rFonts w:ascii="Arial"/>
                <w:b/>
                <w:sz w:val="21"/>
              </w:rPr>
            </w:pPr>
          </w:p>
          <w:p>
            <w:pPr>
              <w:pStyle w:val="TableParagraph"/>
              <w:ind w:right="34"/>
              <w:jc w:val="center"/>
              <w:rPr>
                <w:rFonts w:ascii="Arial"/>
                <w:sz w:val="22"/>
              </w:rPr>
            </w:pPr>
            <w:r>
              <w:rPr>
                <w:rFonts w:ascii="Arial"/>
                <w:w w:val="100"/>
                <w:sz w:val="22"/>
              </w:rPr>
              <w:t>0</w:t>
            </w:r>
          </w:p>
        </w:tc>
        <w:tc>
          <w:tcPr>
            <w:tcW w:w="1385" w:type="dxa"/>
            <w:tcBorders>
              <w:top w:val="nil"/>
              <w:left w:val="nil"/>
              <w:bottom w:val="nil"/>
              <w:right w:val="nil"/>
            </w:tcBorders>
          </w:tcPr>
          <w:p>
            <w:pPr>
              <w:pStyle w:val="TableParagraph"/>
              <w:spacing w:before="23"/>
              <w:ind w:left="74"/>
              <w:jc w:val="center"/>
              <w:rPr>
                <w:rFonts w:ascii="Arial"/>
                <w:sz w:val="22"/>
              </w:rPr>
            </w:pPr>
            <w:r>
              <w:rPr>
                <w:rFonts w:ascii="Arial"/>
                <w:w w:val="100"/>
                <w:sz w:val="22"/>
              </w:rPr>
              <w:t>0</w:t>
            </w:r>
          </w:p>
          <w:p>
            <w:pPr>
              <w:pStyle w:val="TableParagraph"/>
              <w:spacing w:before="10"/>
              <w:rPr>
                <w:rFonts w:ascii="Arial"/>
                <w:b/>
                <w:sz w:val="21"/>
              </w:rPr>
            </w:pPr>
          </w:p>
          <w:p>
            <w:pPr>
              <w:pStyle w:val="TableParagraph"/>
              <w:ind w:left="74"/>
              <w:jc w:val="center"/>
              <w:rPr>
                <w:rFonts w:ascii="Arial"/>
                <w:sz w:val="22"/>
              </w:rPr>
            </w:pPr>
            <w:r>
              <w:rPr>
                <w:rFonts w:ascii="Arial"/>
                <w:w w:val="100"/>
                <w:sz w:val="22"/>
              </w:rPr>
              <w:t>0</w:t>
            </w:r>
          </w:p>
        </w:tc>
        <w:tc>
          <w:tcPr>
            <w:tcW w:w="1050" w:type="dxa"/>
            <w:tcBorders>
              <w:top w:val="nil"/>
              <w:left w:val="nil"/>
              <w:bottom w:val="nil"/>
              <w:right w:val="nil"/>
            </w:tcBorders>
          </w:tcPr>
          <w:p>
            <w:pPr>
              <w:pStyle w:val="TableParagraph"/>
              <w:spacing w:before="23"/>
              <w:ind w:left="64"/>
              <w:jc w:val="center"/>
              <w:rPr>
                <w:rFonts w:ascii="Arial"/>
                <w:sz w:val="22"/>
              </w:rPr>
            </w:pPr>
            <w:r>
              <w:rPr>
                <w:rFonts w:ascii="Arial"/>
                <w:w w:val="100"/>
                <w:sz w:val="22"/>
              </w:rPr>
              <w:t>4</w:t>
            </w:r>
          </w:p>
          <w:p>
            <w:pPr>
              <w:pStyle w:val="TableParagraph"/>
              <w:spacing w:before="10"/>
              <w:rPr>
                <w:rFonts w:ascii="Arial"/>
                <w:b/>
                <w:sz w:val="21"/>
              </w:rPr>
            </w:pPr>
          </w:p>
          <w:p>
            <w:pPr>
              <w:pStyle w:val="TableParagraph"/>
              <w:ind w:left="64"/>
              <w:jc w:val="center"/>
              <w:rPr>
                <w:rFonts w:ascii="Arial"/>
                <w:sz w:val="22"/>
              </w:rPr>
            </w:pPr>
            <w:r>
              <w:rPr>
                <w:rFonts w:ascii="Arial"/>
                <w:w w:val="100"/>
                <w:sz w:val="22"/>
              </w:rPr>
              <w:t>2</w:t>
            </w:r>
          </w:p>
        </w:tc>
      </w:tr>
      <w:tr>
        <w:trPr>
          <w:trHeight w:val="371" w:hRule="exact"/>
        </w:trPr>
        <w:tc>
          <w:tcPr>
            <w:tcW w:w="8344" w:type="dxa"/>
            <w:gridSpan w:val="5"/>
            <w:tcBorders>
              <w:top w:val="nil"/>
              <w:left w:val="nil"/>
              <w:bottom w:val="nil"/>
              <w:right w:val="nil"/>
            </w:tcBorders>
          </w:tcPr>
          <w:p>
            <w:pPr>
              <w:pStyle w:val="TableParagraph"/>
              <w:tabs>
                <w:tab w:pos="8343" w:val="left" w:leader="none"/>
              </w:tabs>
              <w:spacing w:before="71"/>
              <w:rPr>
                <w:rFonts w:ascii="Arial"/>
                <w:b/>
                <w:sz w:val="22"/>
              </w:rPr>
            </w:pPr>
            <w:r>
              <w:rPr>
                <w:rFonts w:ascii="Arial"/>
                <w:b/>
                <w:w w:val="100"/>
                <w:sz w:val="22"/>
                <w:shd w:fill="F1F1F1" w:color="auto" w:val="clear"/>
              </w:rPr>
              <w:t> </w:t>
            </w:r>
            <w:r>
              <w:rPr>
                <w:rFonts w:ascii="Arial"/>
                <w:b/>
                <w:spacing w:val="-15"/>
                <w:sz w:val="22"/>
                <w:shd w:fill="F1F1F1" w:color="auto" w:val="clear"/>
              </w:rPr>
              <w:t> </w:t>
            </w:r>
            <w:r>
              <w:rPr>
                <w:rFonts w:ascii="Arial"/>
                <w:b/>
                <w:sz w:val="22"/>
                <w:shd w:fill="F1F1F1" w:color="auto" w:val="clear"/>
              </w:rPr>
              <w:t>*MOLAR SUPERIOR</w:t>
            </w:r>
            <w:r>
              <w:rPr>
                <w:rFonts w:ascii="Arial"/>
                <w:b/>
                <w:spacing w:val="-13"/>
                <w:sz w:val="22"/>
                <w:shd w:fill="F1F1F1" w:color="auto" w:val="clear"/>
              </w:rPr>
              <w:t> </w:t>
            </w:r>
            <w:r>
              <w:rPr>
                <w:rFonts w:ascii="Arial"/>
                <w:b/>
                <w:sz w:val="22"/>
                <w:shd w:fill="F1F1F1" w:color="auto" w:val="clear"/>
              </w:rPr>
              <w:t>IZQUIERDO</w:t>
              <w:tab/>
            </w:r>
          </w:p>
        </w:tc>
      </w:tr>
      <w:tr>
        <w:trPr>
          <w:trHeight w:val="323" w:hRule="exact"/>
        </w:trPr>
        <w:tc>
          <w:tcPr>
            <w:tcW w:w="3337" w:type="dxa"/>
            <w:tcBorders>
              <w:top w:val="nil"/>
              <w:left w:val="nil"/>
              <w:bottom w:val="nil"/>
              <w:right w:val="nil"/>
            </w:tcBorders>
          </w:tcPr>
          <w:p>
            <w:pPr>
              <w:pStyle w:val="TableParagraph"/>
              <w:spacing w:before="24"/>
              <w:ind w:left="107" w:right="1193"/>
              <w:rPr>
                <w:rFonts w:ascii="Arial"/>
                <w:sz w:val="22"/>
              </w:rPr>
            </w:pPr>
            <w:r>
              <w:rPr>
                <w:rFonts w:ascii="Arial"/>
                <w:sz w:val="22"/>
              </w:rPr>
              <w:t>Sellador completo</w:t>
            </w:r>
          </w:p>
        </w:tc>
        <w:tc>
          <w:tcPr>
            <w:tcW w:w="1355" w:type="dxa"/>
            <w:tcBorders>
              <w:top w:val="nil"/>
              <w:left w:val="nil"/>
              <w:bottom w:val="nil"/>
              <w:right w:val="nil"/>
            </w:tcBorders>
          </w:tcPr>
          <w:p>
            <w:pPr>
              <w:pStyle w:val="TableParagraph"/>
              <w:spacing w:before="24"/>
              <w:ind w:right="633"/>
              <w:jc w:val="right"/>
              <w:rPr>
                <w:rFonts w:ascii="Arial"/>
                <w:sz w:val="22"/>
              </w:rPr>
            </w:pPr>
            <w:r>
              <w:rPr>
                <w:rFonts w:ascii="Arial"/>
                <w:w w:val="100"/>
                <w:sz w:val="22"/>
              </w:rPr>
              <w:t>2</w:t>
            </w:r>
          </w:p>
        </w:tc>
        <w:tc>
          <w:tcPr>
            <w:tcW w:w="1216" w:type="dxa"/>
            <w:tcBorders>
              <w:top w:val="nil"/>
              <w:left w:val="nil"/>
              <w:bottom w:val="nil"/>
              <w:right w:val="nil"/>
            </w:tcBorders>
          </w:tcPr>
          <w:p>
            <w:pPr>
              <w:pStyle w:val="TableParagraph"/>
              <w:spacing w:before="24"/>
              <w:ind w:right="562"/>
              <w:jc w:val="right"/>
              <w:rPr>
                <w:rFonts w:ascii="Arial"/>
                <w:sz w:val="22"/>
              </w:rPr>
            </w:pPr>
            <w:r>
              <w:rPr>
                <w:rFonts w:ascii="Arial"/>
                <w:w w:val="100"/>
                <w:sz w:val="22"/>
              </w:rPr>
              <w:t>2</w:t>
            </w:r>
          </w:p>
        </w:tc>
        <w:tc>
          <w:tcPr>
            <w:tcW w:w="1385" w:type="dxa"/>
            <w:tcBorders>
              <w:top w:val="nil"/>
              <w:left w:val="nil"/>
              <w:bottom w:val="nil"/>
              <w:right w:val="nil"/>
            </w:tcBorders>
          </w:tcPr>
          <w:p>
            <w:pPr>
              <w:pStyle w:val="TableParagraph"/>
              <w:spacing w:before="24"/>
              <w:ind w:right="592"/>
              <w:jc w:val="right"/>
              <w:rPr>
                <w:rFonts w:ascii="Arial"/>
                <w:sz w:val="22"/>
              </w:rPr>
            </w:pPr>
            <w:r>
              <w:rPr>
                <w:rFonts w:ascii="Arial"/>
                <w:w w:val="100"/>
                <w:sz w:val="22"/>
              </w:rPr>
              <w:t>3</w:t>
            </w:r>
          </w:p>
        </w:tc>
        <w:tc>
          <w:tcPr>
            <w:tcW w:w="1050" w:type="dxa"/>
            <w:tcBorders>
              <w:top w:val="nil"/>
              <w:left w:val="nil"/>
              <w:bottom w:val="nil"/>
              <w:right w:val="nil"/>
            </w:tcBorders>
          </w:tcPr>
          <w:p>
            <w:pPr>
              <w:pStyle w:val="TableParagraph"/>
              <w:spacing w:before="24"/>
              <w:ind w:left="64"/>
              <w:jc w:val="center"/>
              <w:rPr>
                <w:rFonts w:ascii="Arial"/>
                <w:sz w:val="22"/>
              </w:rPr>
            </w:pPr>
            <w:r>
              <w:rPr>
                <w:rFonts w:ascii="Arial"/>
                <w:w w:val="100"/>
                <w:sz w:val="22"/>
              </w:rPr>
              <w:t>7</w:t>
            </w:r>
          </w:p>
        </w:tc>
      </w:tr>
      <w:tr>
        <w:trPr>
          <w:trHeight w:val="775" w:hRule="exact"/>
        </w:trPr>
        <w:tc>
          <w:tcPr>
            <w:tcW w:w="3337" w:type="dxa"/>
            <w:tcBorders>
              <w:top w:val="nil"/>
              <w:left w:val="nil"/>
              <w:bottom w:val="nil"/>
              <w:right w:val="nil"/>
            </w:tcBorders>
          </w:tcPr>
          <w:p>
            <w:pPr>
              <w:pStyle w:val="TableParagraph"/>
              <w:spacing w:before="23"/>
              <w:ind w:left="107" w:right="1082"/>
              <w:rPr>
                <w:rFonts w:ascii="Arial"/>
                <w:sz w:val="22"/>
              </w:rPr>
            </w:pPr>
            <w:r>
              <w:rPr>
                <w:rFonts w:ascii="Arial"/>
                <w:sz w:val="22"/>
              </w:rPr>
              <w:t>Sellador parcialmente desalojado</w:t>
            </w:r>
          </w:p>
          <w:p>
            <w:pPr>
              <w:pStyle w:val="TableParagraph"/>
              <w:spacing w:line="252" w:lineRule="exact"/>
              <w:ind w:left="107"/>
              <w:rPr>
                <w:rFonts w:ascii="Arial"/>
                <w:sz w:val="22"/>
              </w:rPr>
            </w:pPr>
            <w:r>
              <w:rPr>
                <w:rFonts w:ascii="Arial"/>
                <w:sz w:val="22"/>
              </w:rPr>
              <w:t>Sellador totalmente desalojado</w:t>
            </w:r>
          </w:p>
        </w:tc>
        <w:tc>
          <w:tcPr>
            <w:tcW w:w="1355" w:type="dxa"/>
            <w:tcBorders>
              <w:top w:val="nil"/>
              <w:left w:val="nil"/>
              <w:bottom w:val="nil"/>
              <w:right w:val="nil"/>
            </w:tcBorders>
          </w:tcPr>
          <w:p>
            <w:pPr>
              <w:pStyle w:val="TableParagraph"/>
              <w:spacing w:before="23"/>
              <w:ind w:right="36"/>
              <w:jc w:val="center"/>
              <w:rPr>
                <w:rFonts w:ascii="Arial"/>
                <w:sz w:val="22"/>
              </w:rPr>
            </w:pPr>
            <w:r>
              <w:rPr>
                <w:rFonts w:ascii="Arial"/>
                <w:w w:val="100"/>
                <w:sz w:val="22"/>
              </w:rPr>
              <w:t>2</w:t>
            </w:r>
          </w:p>
          <w:p>
            <w:pPr>
              <w:pStyle w:val="TableParagraph"/>
              <w:spacing w:before="9"/>
              <w:rPr>
                <w:rFonts w:ascii="Arial"/>
                <w:b/>
                <w:sz w:val="21"/>
              </w:rPr>
            </w:pPr>
          </w:p>
          <w:p>
            <w:pPr>
              <w:pStyle w:val="TableParagraph"/>
              <w:ind w:right="36"/>
              <w:jc w:val="center"/>
              <w:rPr>
                <w:rFonts w:ascii="Arial"/>
                <w:sz w:val="22"/>
              </w:rPr>
            </w:pPr>
            <w:r>
              <w:rPr>
                <w:rFonts w:ascii="Arial"/>
                <w:w w:val="100"/>
                <w:sz w:val="22"/>
              </w:rPr>
              <w:t>0</w:t>
            </w:r>
          </w:p>
        </w:tc>
        <w:tc>
          <w:tcPr>
            <w:tcW w:w="1216" w:type="dxa"/>
            <w:tcBorders>
              <w:top w:val="nil"/>
              <w:left w:val="nil"/>
              <w:bottom w:val="nil"/>
              <w:right w:val="nil"/>
            </w:tcBorders>
          </w:tcPr>
          <w:p>
            <w:pPr>
              <w:pStyle w:val="TableParagraph"/>
              <w:spacing w:before="23"/>
              <w:ind w:right="34"/>
              <w:jc w:val="center"/>
              <w:rPr>
                <w:rFonts w:ascii="Arial"/>
                <w:sz w:val="22"/>
              </w:rPr>
            </w:pPr>
            <w:r>
              <w:rPr>
                <w:rFonts w:ascii="Arial"/>
                <w:w w:val="100"/>
                <w:sz w:val="22"/>
              </w:rPr>
              <w:t>1</w:t>
            </w:r>
          </w:p>
          <w:p>
            <w:pPr>
              <w:pStyle w:val="TableParagraph"/>
              <w:spacing w:before="9"/>
              <w:rPr>
                <w:rFonts w:ascii="Arial"/>
                <w:b/>
                <w:sz w:val="21"/>
              </w:rPr>
            </w:pPr>
          </w:p>
          <w:p>
            <w:pPr>
              <w:pStyle w:val="TableParagraph"/>
              <w:ind w:right="34"/>
              <w:jc w:val="center"/>
              <w:rPr>
                <w:rFonts w:ascii="Arial"/>
                <w:sz w:val="22"/>
              </w:rPr>
            </w:pPr>
            <w:r>
              <w:rPr>
                <w:rFonts w:ascii="Arial"/>
                <w:w w:val="100"/>
                <w:sz w:val="22"/>
              </w:rPr>
              <w:t>2</w:t>
            </w:r>
          </w:p>
        </w:tc>
        <w:tc>
          <w:tcPr>
            <w:tcW w:w="1385" w:type="dxa"/>
            <w:tcBorders>
              <w:top w:val="nil"/>
              <w:left w:val="nil"/>
              <w:bottom w:val="nil"/>
              <w:right w:val="nil"/>
            </w:tcBorders>
          </w:tcPr>
          <w:p>
            <w:pPr>
              <w:pStyle w:val="TableParagraph"/>
              <w:spacing w:before="23"/>
              <w:ind w:left="74"/>
              <w:jc w:val="center"/>
              <w:rPr>
                <w:rFonts w:ascii="Arial"/>
                <w:sz w:val="22"/>
              </w:rPr>
            </w:pPr>
            <w:r>
              <w:rPr>
                <w:rFonts w:ascii="Arial"/>
                <w:w w:val="100"/>
                <w:sz w:val="22"/>
              </w:rPr>
              <w:t>1</w:t>
            </w:r>
          </w:p>
          <w:p>
            <w:pPr>
              <w:pStyle w:val="TableParagraph"/>
              <w:spacing w:before="9"/>
              <w:rPr>
                <w:rFonts w:ascii="Arial"/>
                <w:b/>
                <w:sz w:val="21"/>
              </w:rPr>
            </w:pPr>
          </w:p>
          <w:p>
            <w:pPr>
              <w:pStyle w:val="TableParagraph"/>
              <w:ind w:left="74"/>
              <w:jc w:val="center"/>
              <w:rPr>
                <w:rFonts w:ascii="Arial"/>
                <w:sz w:val="22"/>
              </w:rPr>
            </w:pPr>
            <w:r>
              <w:rPr>
                <w:rFonts w:ascii="Arial"/>
                <w:w w:val="100"/>
                <w:sz w:val="22"/>
              </w:rPr>
              <w:t>0</w:t>
            </w:r>
          </w:p>
        </w:tc>
        <w:tc>
          <w:tcPr>
            <w:tcW w:w="1050" w:type="dxa"/>
            <w:tcBorders>
              <w:top w:val="nil"/>
              <w:left w:val="nil"/>
              <w:bottom w:val="nil"/>
              <w:right w:val="nil"/>
            </w:tcBorders>
          </w:tcPr>
          <w:p>
            <w:pPr>
              <w:pStyle w:val="TableParagraph"/>
              <w:spacing w:before="23"/>
              <w:ind w:left="64"/>
              <w:jc w:val="center"/>
              <w:rPr>
                <w:rFonts w:ascii="Arial"/>
                <w:sz w:val="22"/>
              </w:rPr>
            </w:pPr>
            <w:r>
              <w:rPr>
                <w:rFonts w:ascii="Arial"/>
                <w:w w:val="100"/>
                <w:sz w:val="22"/>
              </w:rPr>
              <w:t>4</w:t>
            </w:r>
          </w:p>
          <w:p>
            <w:pPr>
              <w:pStyle w:val="TableParagraph"/>
              <w:spacing w:before="9"/>
              <w:rPr>
                <w:rFonts w:ascii="Arial"/>
                <w:b/>
                <w:sz w:val="21"/>
              </w:rPr>
            </w:pPr>
          </w:p>
          <w:p>
            <w:pPr>
              <w:pStyle w:val="TableParagraph"/>
              <w:ind w:left="64"/>
              <w:jc w:val="center"/>
              <w:rPr>
                <w:rFonts w:ascii="Arial"/>
                <w:sz w:val="22"/>
              </w:rPr>
            </w:pPr>
            <w:r>
              <w:rPr>
                <w:rFonts w:ascii="Arial"/>
                <w:w w:val="100"/>
                <w:sz w:val="22"/>
              </w:rPr>
              <w:t>2</w:t>
            </w:r>
          </w:p>
        </w:tc>
      </w:tr>
      <w:tr>
        <w:trPr>
          <w:trHeight w:val="371" w:hRule="exact"/>
        </w:trPr>
        <w:tc>
          <w:tcPr>
            <w:tcW w:w="8344" w:type="dxa"/>
            <w:gridSpan w:val="5"/>
            <w:tcBorders>
              <w:top w:val="nil"/>
              <w:left w:val="nil"/>
              <w:bottom w:val="nil"/>
              <w:right w:val="nil"/>
            </w:tcBorders>
          </w:tcPr>
          <w:p>
            <w:pPr>
              <w:pStyle w:val="TableParagraph"/>
              <w:tabs>
                <w:tab w:pos="8343" w:val="left" w:leader="none"/>
              </w:tabs>
              <w:spacing w:before="71"/>
              <w:rPr>
                <w:rFonts w:ascii="Arial"/>
                <w:b/>
                <w:sz w:val="22"/>
              </w:rPr>
            </w:pPr>
            <w:r>
              <w:rPr>
                <w:rFonts w:ascii="Arial"/>
                <w:b/>
                <w:w w:val="100"/>
                <w:sz w:val="22"/>
                <w:shd w:fill="F1F1F1" w:color="auto" w:val="clear"/>
              </w:rPr>
              <w:t> </w:t>
            </w:r>
            <w:r>
              <w:rPr>
                <w:rFonts w:ascii="Arial"/>
                <w:b/>
                <w:spacing w:val="-15"/>
                <w:sz w:val="22"/>
                <w:shd w:fill="F1F1F1" w:color="auto" w:val="clear"/>
              </w:rPr>
              <w:t> </w:t>
            </w:r>
            <w:r>
              <w:rPr>
                <w:rFonts w:ascii="Arial"/>
                <w:b/>
                <w:sz w:val="22"/>
                <w:shd w:fill="F1F1F1" w:color="auto" w:val="clear"/>
              </w:rPr>
              <w:t>MOLAR INFERIOR</w:t>
            </w:r>
            <w:r>
              <w:rPr>
                <w:rFonts w:ascii="Arial"/>
                <w:b/>
                <w:spacing w:val="-14"/>
                <w:sz w:val="22"/>
                <w:shd w:fill="F1F1F1" w:color="auto" w:val="clear"/>
              </w:rPr>
              <w:t> </w:t>
            </w:r>
            <w:r>
              <w:rPr>
                <w:rFonts w:ascii="Arial"/>
                <w:b/>
                <w:sz w:val="22"/>
                <w:shd w:fill="F1F1F1" w:color="auto" w:val="clear"/>
              </w:rPr>
              <w:t>DERECHO</w:t>
              <w:tab/>
            </w:r>
          </w:p>
        </w:tc>
      </w:tr>
      <w:tr>
        <w:trPr>
          <w:trHeight w:val="323" w:hRule="exact"/>
        </w:trPr>
        <w:tc>
          <w:tcPr>
            <w:tcW w:w="3337" w:type="dxa"/>
            <w:tcBorders>
              <w:top w:val="nil"/>
              <w:left w:val="nil"/>
              <w:bottom w:val="nil"/>
              <w:right w:val="nil"/>
            </w:tcBorders>
          </w:tcPr>
          <w:p>
            <w:pPr>
              <w:pStyle w:val="TableParagraph"/>
              <w:spacing w:before="24"/>
              <w:ind w:left="107" w:right="1193"/>
              <w:rPr>
                <w:rFonts w:ascii="Arial"/>
                <w:sz w:val="22"/>
              </w:rPr>
            </w:pPr>
            <w:r>
              <w:rPr>
                <w:rFonts w:ascii="Arial"/>
                <w:sz w:val="22"/>
              </w:rPr>
              <w:t>Sellador completo</w:t>
            </w:r>
          </w:p>
        </w:tc>
        <w:tc>
          <w:tcPr>
            <w:tcW w:w="1355" w:type="dxa"/>
            <w:tcBorders>
              <w:top w:val="nil"/>
              <w:left w:val="nil"/>
              <w:bottom w:val="nil"/>
              <w:right w:val="nil"/>
            </w:tcBorders>
          </w:tcPr>
          <w:p>
            <w:pPr>
              <w:pStyle w:val="TableParagraph"/>
              <w:spacing w:before="24"/>
              <w:ind w:right="633"/>
              <w:jc w:val="right"/>
              <w:rPr>
                <w:rFonts w:ascii="Arial"/>
                <w:sz w:val="22"/>
              </w:rPr>
            </w:pPr>
            <w:r>
              <w:rPr>
                <w:rFonts w:ascii="Arial"/>
                <w:w w:val="100"/>
                <w:sz w:val="22"/>
              </w:rPr>
              <w:t>6</w:t>
            </w:r>
          </w:p>
        </w:tc>
        <w:tc>
          <w:tcPr>
            <w:tcW w:w="1216" w:type="dxa"/>
            <w:tcBorders>
              <w:top w:val="nil"/>
              <w:left w:val="nil"/>
              <w:bottom w:val="nil"/>
              <w:right w:val="nil"/>
            </w:tcBorders>
          </w:tcPr>
          <w:p>
            <w:pPr>
              <w:pStyle w:val="TableParagraph"/>
              <w:spacing w:before="24"/>
              <w:ind w:right="562"/>
              <w:jc w:val="right"/>
              <w:rPr>
                <w:rFonts w:ascii="Arial"/>
                <w:sz w:val="22"/>
              </w:rPr>
            </w:pPr>
            <w:r>
              <w:rPr>
                <w:rFonts w:ascii="Arial"/>
                <w:w w:val="100"/>
                <w:sz w:val="22"/>
              </w:rPr>
              <w:t>3</w:t>
            </w:r>
          </w:p>
        </w:tc>
        <w:tc>
          <w:tcPr>
            <w:tcW w:w="1385" w:type="dxa"/>
            <w:tcBorders>
              <w:top w:val="nil"/>
              <w:left w:val="nil"/>
              <w:bottom w:val="nil"/>
              <w:right w:val="nil"/>
            </w:tcBorders>
          </w:tcPr>
          <w:p>
            <w:pPr>
              <w:pStyle w:val="TableParagraph"/>
              <w:spacing w:before="24"/>
              <w:ind w:right="592"/>
              <w:jc w:val="right"/>
              <w:rPr>
                <w:rFonts w:ascii="Arial"/>
                <w:sz w:val="22"/>
              </w:rPr>
            </w:pPr>
            <w:r>
              <w:rPr>
                <w:rFonts w:ascii="Arial"/>
                <w:w w:val="100"/>
                <w:sz w:val="22"/>
              </w:rPr>
              <w:t>2</w:t>
            </w:r>
          </w:p>
        </w:tc>
        <w:tc>
          <w:tcPr>
            <w:tcW w:w="1050" w:type="dxa"/>
            <w:tcBorders>
              <w:top w:val="nil"/>
              <w:left w:val="nil"/>
              <w:bottom w:val="nil"/>
              <w:right w:val="nil"/>
            </w:tcBorders>
          </w:tcPr>
          <w:p>
            <w:pPr>
              <w:pStyle w:val="TableParagraph"/>
              <w:spacing w:before="24"/>
              <w:ind w:left="183" w:right="117"/>
              <w:jc w:val="center"/>
              <w:rPr>
                <w:rFonts w:ascii="Arial"/>
                <w:sz w:val="22"/>
              </w:rPr>
            </w:pPr>
            <w:r>
              <w:rPr>
                <w:rFonts w:ascii="Arial"/>
                <w:sz w:val="22"/>
              </w:rPr>
              <w:t>11</w:t>
            </w:r>
          </w:p>
        </w:tc>
      </w:tr>
      <w:tr>
        <w:trPr>
          <w:trHeight w:val="851" w:hRule="exact"/>
        </w:trPr>
        <w:tc>
          <w:tcPr>
            <w:tcW w:w="3337" w:type="dxa"/>
            <w:tcBorders>
              <w:top w:val="nil"/>
              <w:left w:val="nil"/>
              <w:bottom w:val="nil"/>
              <w:right w:val="nil"/>
            </w:tcBorders>
          </w:tcPr>
          <w:p>
            <w:pPr>
              <w:pStyle w:val="TableParagraph"/>
              <w:spacing w:before="23"/>
              <w:ind w:left="107" w:right="1082"/>
              <w:rPr>
                <w:rFonts w:ascii="Arial"/>
                <w:sz w:val="22"/>
              </w:rPr>
            </w:pPr>
            <w:r>
              <w:rPr>
                <w:rFonts w:ascii="Arial"/>
                <w:sz w:val="22"/>
              </w:rPr>
              <w:t>Sellador parcialmente desalojado</w:t>
            </w:r>
          </w:p>
          <w:p>
            <w:pPr>
              <w:pStyle w:val="TableParagraph"/>
              <w:spacing w:line="252" w:lineRule="exact"/>
              <w:ind w:left="107"/>
              <w:rPr>
                <w:rFonts w:ascii="Arial"/>
                <w:sz w:val="22"/>
              </w:rPr>
            </w:pPr>
            <w:r>
              <w:rPr>
                <w:rFonts w:ascii="Arial"/>
                <w:sz w:val="22"/>
              </w:rPr>
              <w:t>Sellador totalmente desalojado</w:t>
            </w:r>
          </w:p>
        </w:tc>
        <w:tc>
          <w:tcPr>
            <w:tcW w:w="1355" w:type="dxa"/>
            <w:tcBorders>
              <w:top w:val="nil"/>
              <w:left w:val="nil"/>
              <w:bottom w:val="nil"/>
              <w:right w:val="nil"/>
            </w:tcBorders>
          </w:tcPr>
          <w:p>
            <w:pPr>
              <w:pStyle w:val="TableParagraph"/>
              <w:spacing w:before="23"/>
              <w:ind w:right="36"/>
              <w:jc w:val="center"/>
              <w:rPr>
                <w:rFonts w:ascii="Arial"/>
                <w:sz w:val="22"/>
              </w:rPr>
            </w:pPr>
            <w:r>
              <w:rPr>
                <w:rFonts w:ascii="Arial"/>
                <w:w w:val="100"/>
                <w:sz w:val="22"/>
              </w:rPr>
              <w:t>0</w:t>
            </w:r>
          </w:p>
          <w:p>
            <w:pPr>
              <w:pStyle w:val="TableParagraph"/>
              <w:spacing w:before="9"/>
              <w:rPr>
                <w:rFonts w:ascii="Arial"/>
                <w:b/>
                <w:sz w:val="21"/>
              </w:rPr>
            </w:pPr>
          </w:p>
          <w:p>
            <w:pPr>
              <w:pStyle w:val="TableParagraph"/>
              <w:ind w:right="36"/>
              <w:jc w:val="center"/>
              <w:rPr>
                <w:rFonts w:ascii="Arial"/>
                <w:sz w:val="22"/>
              </w:rPr>
            </w:pPr>
            <w:r>
              <w:rPr>
                <w:rFonts w:ascii="Arial"/>
                <w:w w:val="100"/>
                <w:sz w:val="22"/>
              </w:rPr>
              <w:t>2</w:t>
            </w:r>
          </w:p>
        </w:tc>
        <w:tc>
          <w:tcPr>
            <w:tcW w:w="1216" w:type="dxa"/>
            <w:tcBorders>
              <w:top w:val="nil"/>
              <w:left w:val="nil"/>
              <w:bottom w:val="nil"/>
              <w:right w:val="nil"/>
            </w:tcBorders>
          </w:tcPr>
          <w:p>
            <w:pPr>
              <w:pStyle w:val="TableParagraph"/>
              <w:spacing w:before="23"/>
              <w:ind w:right="34"/>
              <w:jc w:val="center"/>
              <w:rPr>
                <w:rFonts w:ascii="Arial"/>
                <w:sz w:val="22"/>
              </w:rPr>
            </w:pPr>
            <w:r>
              <w:rPr>
                <w:rFonts w:ascii="Arial"/>
                <w:w w:val="100"/>
                <w:sz w:val="22"/>
              </w:rPr>
              <w:t>3</w:t>
            </w:r>
          </w:p>
          <w:p>
            <w:pPr>
              <w:pStyle w:val="TableParagraph"/>
              <w:spacing w:before="9"/>
              <w:rPr>
                <w:rFonts w:ascii="Arial"/>
                <w:b/>
                <w:sz w:val="21"/>
              </w:rPr>
            </w:pPr>
          </w:p>
          <w:p>
            <w:pPr>
              <w:pStyle w:val="TableParagraph"/>
              <w:ind w:right="34"/>
              <w:jc w:val="center"/>
              <w:rPr>
                <w:rFonts w:ascii="Arial"/>
                <w:sz w:val="22"/>
              </w:rPr>
            </w:pPr>
            <w:r>
              <w:rPr>
                <w:rFonts w:ascii="Arial"/>
                <w:w w:val="100"/>
                <w:sz w:val="22"/>
              </w:rPr>
              <w:t>0</w:t>
            </w:r>
          </w:p>
        </w:tc>
        <w:tc>
          <w:tcPr>
            <w:tcW w:w="1385" w:type="dxa"/>
            <w:tcBorders>
              <w:top w:val="nil"/>
              <w:left w:val="nil"/>
              <w:bottom w:val="nil"/>
              <w:right w:val="nil"/>
            </w:tcBorders>
          </w:tcPr>
          <w:p>
            <w:pPr>
              <w:pStyle w:val="TableParagraph"/>
              <w:spacing w:before="23"/>
              <w:ind w:left="74"/>
              <w:jc w:val="center"/>
              <w:rPr>
                <w:rFonts w:ascii="Arial"/>
                <w:sz w:val="22"/>
              </w:rPr>
            </w:pPr>
            <w:r>
              <w:rPr>
                <w:rFonts w:ascii="Arial"/>
                <w:w w:val="100"/>
                <w:sz w:val="22"/>
              </w:rPr>
              <w:t>1</w:t>
            </w:r>
          </w:p>
          <w:p>
            <w:pPr>
              <w:pStyle w:val="TableParagraph"/>
              <w:spacing w:before="9"/>
              <w:rPr>
                <w:rFonts w:ascii="Arial"/>
                <w:b/>
                <w:sz w:val="21"/>
              </w:rPr>
            </w:pPr>
          </w:p>
          <w:p>
            <w:pPr>
              <w:pStyle w:val="TableParagraph"/>
              <w:ind w:left="74"/>
              <w:jc w:val="center"/>
              <w:rPr>
                <w:rFonts w:ascii="Arial"/>
                <w:sz w:val="22"/>
              </w:rPr>
            </w:pPr>
            <w:r>
              <w:rPr>
                <w:rFonts w:ascii="Arial"/>
                <w:w w:val="100"/>
                <w:sz w:val="22"/>
              </w:rPr>
              <w:t>0</w:t>
            </w:r>
          </w:p>
        </w:tc>
        <w:tc>
          <w:tcPr>
            <w:tcW w:w="1050" w:type="dxa"/>
            <w:tcBorders>
              <w:top w:val="nil"/>
              <w:left w:val="nil"/>
              <w:bottom w:val="nil"/>
              <w:right w:val="nil"/>
            </w:tcBorders>
          </w:tcPr>
          <w:p>
            <w:pPr>
              <w:pStyle w:val="TableParagraph"/>
              <w:spacing w:before="23"/>
              <w:ind w:left="64"/>
              <w:jc w:val="center"/>
              <w:rPr>
                <w:rFonts w:ascii="Arial"/>
                <w:sz w:val="22"/>
              </w:rPr>
            </w:pPr>
            <w:r>
              <w:rPr>
                <w:rFonts w:ascii="Arial"/>
                <w:w w:val="100"/>
                <w:sz w:val="22"/>
              </w:rPr>
              <w:t>4</w:t>
            </w:r>
          </w:p>
          <w:p>
            <w:pPr>
              <w:pStyle w:val="TableParagraph"/>
              <w:spacing w:before="9"/>
              <w:rPr>
                <w:rFonts w:ascii="Arial"/>
                <w:b/>
                <w:sz w:val="21"/>
              </w:rPr>
            </w:pPr>
          </w:p>
          <w:p>
            <w:pPr>
              <w:pStyle w:val="TableParagraph"/>
              <w:ind w:left="64"/>
              <w:jc w:val="center"/>
              <w:rPr>
                <w:rFonts w:ascii="Arial"/>
                <w:sz w:val="22"/>
              </w:rPr>
            </w:pPr>
            <w:r>
              <w:rPr>
                <w:rFonts w:ascii="Arial"/>
                <w:w w:val="100"/>
                <w:sz w:val="22"/>
              </w:rPr>
              <w:t>2</w:t>
            </w:r>
          </w:p>
        </w:tc>
      </w:tr>
      <w:tr>
        <w:trPr>
          <w:trHeight w:val="345" w:hRule="exact"/>
        </w:trPr>
        <w:tc>
          <w:tcPr>
            <w:tcW w:w="3337" w:type="dxa"/>
            <w:tcBorders>
              <w:top w:val="nil"/>
              <w:left w:val="nil"/>
              <w:right w:val="nil"/>
            </w:tcBorders>
            <w:shd w:val="clear" w:color="auto" w:fill="F1F1F1"/>
          </w:tcPr>
          <w:p>
            <w:pPr>
              <w:pStyle w:val="TableParagraph"/>
              <w:spacing w:line="251" w:lineRule="exact"/>
              <w:ind w:left="107" w:right="1193"/>
              <w:rPr>
                <w:rFonts w:ascii="Arial"/>
                <w:sz w:val="22"/>
              </w:rPr>
            </w:pPr>
            <w:r>
              <w:rPr>
                <w:rFonts w:ascii="Arial"/>
                <w:sz w:val="22"/>
              </w:rPr>
              <w:t>Total</w:t>
            </w:r>
          </w:p>
        </w:tc>
        <w:tc>
          <w:tcPr>
            <w:tcW w:w="1355" w:type="dxa"/>
            <w:tcBorders>
              <w:top w:val="nil"/>
              <w:left w:val="nil"/>
              <w:right w:val="nil"/>
            </w:tcBorders>
            <w:shd w:val="clear" w:color="auto" w:fill="F1F1F1"/>
          </w:tcPr>
          <w:p>
            <w:pPr>
              <w:pStyle w:val="TableParagraph"/>
              <w:spacing w:line="251" w:lineRule="exact"/>
              <w:ind w:right="571"/>
              <w:jc w:val="right"/>
              <w:rPr>
                <w:rFonts w:ascii="Arial"/>
                <w:sz w:val="22"/>
              </w:rPr>
            </w:pPr>
            <w:r>
              <w:rPr>
                <w:rFonts w:ascii="Arial"/>
                <w:sz w:val="22"/>
              </w:rPr>
              <w:t>24</w:t>
            </w:r>
          </w:p>
        </w:tc>
        <w:tc>
          <w:tcPr>
            <w:tcW w:w="1216" w:type="dxa"/>
            <w:tcBorders>
              <w:top w:val="nil"/>
              <w:left w:val="nil"/>
              <w:right w:val="nil"/>
            </w:tcBorders>
            <w:shd w:val="clear" w:color="auto" w:fill="F1F1F1"/>
          </w:tcPr>
          <w:p>
            <w:pPr>
              <w:pStyle w:val="TableParagraph"/>
              <w:spacing w:line="251" w:lineRule="exact"/>
              <w:ind w:right="500"/>
              <w:jc w:val="right"/>
              <w:rPr>
                <w:rFonts w:ascii="Arial"/>
                <w:sz w:val="22"/>
              </w:rPr>
            </w:pPr>
            <w:r>
              <w:rPr>
                <w:rFonts w:ascii="Arial"/>
                <w:sz w:val="22"/>
              </w:rPr>
              <w:t>14</w:t>
            </w:r>
          </w:p>
        </w:tc>
        <w:tc>
          <w:tcPr>
            <w:tcW w:w="1385" w:type="dxa"/>
            <w:tcBorders>
              <w:top w:val="nil"/>
              <w:left w:val="nil"/>
              <w:right w:val="nil"/>
            </w:tcBorders>
            <w:shd w:val="clear" w:color="auto" w:fill="F1F1F1"/>
          </w:tcPr>
          <w:p>
            <w:pPr>
              <w:pStyle w:val="TableParagraph"/>
              <w:spacing w:line="251" w:lineRule="exact"/>
              <w:ind w:right="592"/>
              <w:jc w:val="right"/>
              <w:rPr>
                <w:rFonts w:ascii="Arial"/>
                <w:sz w:val="22"/>
              </w:rPr>
            </w:pPr>
            <w:r>
              <w:rPr>
                <w:rFonts w:ascii="Arial"/>
                <w:w w:val="100"/>
                <w:sz w:val="22"/>
              </w:rPr>
              <w:t>8</w:t>
            </w:r>
          </w:p>
        </w:tc>
        <w:tc>
          <w:tcPr>
            <w:tcW w:w="1050" w:type="dxa"/>
            <w:tcBorders>
              <w:top w:val="nil"/>
              <w:left w:val="nil"/>
              <w:right w:val="nil"/>
            </w:tcBorders>
            <w:shd w:val="clear" w:color="auto" w:fill="F1F1F1"/>
          </w:tcPr>
          <w:p>
            <w:pPr>
              <w:pStyle w:val="TableParagraph"/>
              <w:spacing w:line="251" w:lineRule="exact"/>
              <w:ind w:left="183" w:right="117"/>
              <w:jc w:val="center"/>
              <w:rPr>
                <w:rFonts w:ascii="Arial"/>
                <w:sz w:val="22"/>
              </w:rPr>
            </w:pPr>
            <w:r>
              <w:rPr>
                <w:rFonts w:ascii="Arial"/>
                <w:sz w:val="22"/>
              </w:rPr>
              <w:t>46</w:t>
            </w:r>
          </w:p>
        </w:tc>
      </w:tr>
    </w:tbl>
    <w:p>
      <w:pPr>
        <w:pStyle w:val="BodyText"/>
        <w:spacing w:before="25"/>
        <w:ind w:left="160"/>
        <w:jc w:val="both"/>
      </w:pPr>
      <w:r>
        <w:rPr/>
        <w:t>*Correlación Pearson (P=0.008).</w:t>
      </w:r>
    </w:p>
    <w:p>
      <w:pPr>
        <w:pStyle w:val="BodyText"/>
      </w:pPr>
    </w:p>
    <w:p>
      <w:pPr>
        <w:pStyle w:val="BodyText"/>
        <w:spacing w:before="9"/>
        <w:rPr>
          <w:sz w:val="23"/>
        </w:rPr>
      </w:pPr>
    </w:p>
    <w:p>
      <w:pPr>
        <w:pStyle w:val="BodyText"/>
        <w:spacing w:line="480" w:lineRule="auto"/>
        <w:ind w:left="160" w:right="178"/>
        <w:jc w:val="both"/>
      </w:pPr>
      <w:r>
        <w:rPr/>
        <w:t>Los molares superior e inferior derechos presentaron en conjunto 4 desalojos totales, mientras que  el molar superior izquierdo solo presentó 2 selladores parcialmente desalojados, en tanto que el molar inferior izquierdo presentó 4 selladores</w:t>
      </w:r>
      <w:r>
        <w:rPr>
          <w:spacing w:val="-14"/>
        </w:rPr>
        <w:t> </w:t>
      </w:r>
      <w:r>
        <w:rPr/>
        <w:t>desalojados.</w:t>
      </w:r>
    </w:p>
    <w:p>
      <w:pPr>
        <w:pStyle w:val="BodyText"/>
      </w:pPr>
    </w:p>
    <w:p>
      <w:pPr>
        <w:pStyle w:val="BodyText"/>
        <w:spacing w:before="8"/>
      </w:pPr>
    </w:p>
    <w:p>
      <w:pPr>
        <w:pStyle w:val="BodyText"/>
        <w:spacing w:line="480" w:lineRule="auto"/>
        <w:ind w:left="160" w:right="180"/>
        <w:jc w:val="both"/>
      </w:pPr>
      <w:r>
        <w:rPr/>
        <w:t>Mientras que en los molares en los que se colocó el sellador Clinpro TM se observaron 7/19 selladores completos, 5/19 selladores parcialmente desalojados y 2/19 desalojados, a los tres meses de su colocación.</w:t>
      </w:r>
    </w:p>
    <w:p>
      <w:pPr>
        <w:pStyle w:val="BodyText"/>
      </w:pPr>
    </w:p>
    <w:p>
      <w:pPr>
        <w:pStyle w:val="BodyText"/>
        <w:spacing w:before="7"/>
      </w:pPr>
    </w:p>
    <w:p>
      <w:pPr>
        <w:pStyle w:val="BodyText"/>
        <w:spacing w:before="1"/>
        <w:ind w:left="160"/>
        <w:jc w:val="both"/>
      </w:pPr>
      <w:r>
        <w:rPr/>
        <w:t>La retención del sellador </w:t>
      </w:r>
      <w:r>
        <w:rPr>
          <w:sz w:val="22"/>
        </w:rPr>
        <w:t>UltraSeal XT </w:t>
      </w:r>
      <w:r>
        <w:rPr/>
        <w:t>resultó significativamente mejor el sellador Clinpro TM.</w:t>
      </w:r>
    </w:p>
    <w:p>
      <w:pPr>
        <w:spacing w:after="0"/>
        <w:jc w:val="both"/>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78" w:lineRule="auto" w:before="244"/>
        <w:ind w:left="3513" w:right="582" w:hanging="2932"/>
        <w:jc w:val="left"/>
      </w:pPr>
      <w:r>
        <w:rPr/>
        <w:t>Cuadro 2. RESULTADOS DE ESTADO DE LOS SELLADORES EN PRIMERA EVALUACION A TRES MESES.</w:t>
      </w:r>
    </w:p>
    <w:p>
      <w:pPr>
        <w:pStyle w:val="BodyText"/>
        <w:rPr>
          <w:b/>
          <w:sz w:val="20"/>
        </w:rPr>
      </w:pPr>
    </w:p>
    <w:p>
      <w:pPr>
        <w:pStyle w:val="BodyText"/>
        <w:spacing w:before="3"/>
        <w:rPr>
          <w:b/>
          <w:sz w:val="16"/>
        </w:rPr>
      </w:pPr>
    </w:p>
    <w:tbl>
      <w:tblPr>
        <w:tblW w:w="0" w:type="auto"/>
        <w:jc w:val="left"/>
        <w:tblInd w:w="1953"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392"/>
        <w:gridCol w:w="1279"/>
        <w:gridCol w:w="1455"/>
        <w:gridCol w:w="1047"/>
      </w:tblGrid>
      <w:tr>
        <w:trPr>
          <w:trHeight w:val="548" w:hRule="exact"/>
        </w:trPr>
        <w:tc>
          <w:tcPr>
            <w:tcW w:w="3392" w:type="dxa"/>
            <w:tcBorders>
              <w:left w:val="nil"/>
              <w:bottom w:val="nil"/>
              <w:right w:val="nil"/>
            </w:tcBorders>
            <w:shd w:val="clear" w:color="auto" w:fill="F1F1F1"/>
          </w:tcPr>
          <w:p>
            <w:pPr>
              <w:pStyle w:val="TableParagraph"/>
              <w:spacing w:line="252" w:lineRule="exact" w:before="1"/>
              <w:ind w:left="107" w:right="1346"/>
              <w:rPr>
                <w:rFonts w:ascii="Arial"/>
                <w:b/>
                <w:sz w:val="22"/>
              </w:rPr>
            </w:pPr>
            <w:r>
              <w:rPr>
                <w:rFonts w:ascii="Arial"/>
                <w:b/>
                <w:sz w:val="22"/>
              </w:rPr>
              <w:t>MOLAR INFERIOR IZQUIERDO</w:t>
            </w:r>
          </w:p>
        </w:tc>
        <w:tc>
          <w:tcPr>
            <w:tcW w:w="1279" w:type="dxa"/>
            <w:tcBorders>
              <w:left w:val="nil"/>
              <w:bottom w:val="nil"/>
              <w:right w:val="nil"/>
            </w:tcBorders>
            <w:shd w:val="clear" w:color="auto" w:fill="F1F1F1"/>
          </w:tcPr>
          <w:p>
            <w:pPr>
              <w:pStyle w:val="TableParagraph"/>
              <w:ind w:left="453" w:right="298" w:hanging="190"/>
              <w:rPr>
                <w:rFonts w:ascii="Arial"/>
                <w:sz w:val="22"/>
              </w:rPr>
            </w:pPr>
            <w:r>
              <w:rPr>
                <w:rFonts w:ascii="Arial"/>
                <w:sz w:val="22"/>
              </w:rPr>
              <w:t>Clinpro TM</w:t>
            </w:r>
          </w:p>
        </w:tc>
        <w:tc>
          <w:tcPr>
            <w:tcW w:w="1455" w:type="dxa"/>
            <w:tcBorders>
              <w:left w:val="nil"/>
              <w:bottom w:val="nil"/>
              <w:right w:val="nil"/>
            </w:tcBorders>
            <w:shd w:val="clear" w:color="auto" w:fill="F1F1F1"/>
          </w:tcPr>
          <w:p>
            <w:pPr>
              <w:pStyle w:val="TableParagraph"/>
              <w:spacing w:line="250" w:lineRule="exact" w:before="5"/>
              <w:ind w:left="547" w:right="211" w:hanging="228"/>
              <w:rPr>
                <w:rFonts w:ascii="Arial"/>
                <w:b/>
                <w:sz w:val="22"/>
              </w:rPr>
            </w:pPr>
            <w:r>
              <w:rPr>
                <w:rFonts w:ascii="Arial"/>
                <w:sz w:val="22"/>
              </w:rPr>
              <w:t>UltraSeal XT</w:t>
            </w:r>
            <w:r>
              <w:rPr>
                <w:rFonts w:ascii="Arial"/>
                <w:b/>
                <w:sz w:val="22"/>
              </w:rPr>
              <w:t>**</w:t>
            </w:r>
          </w:p>
        </w:tc>
        <w:tc>
          <w:tcPr>
            <w:tcW w:w="1047" w:type="dxa"/>
            <w:tcBorders>
              <w:left w:val="nil"/>
              <w:bottom w:val="nil"/>
              <w:right w:val="nil"/>
            </w:tcBorders>
            <w:shd w:val="clear" w:color="auto" w:fill="F1F1F1"/>
          </w:tcPr>
          <w:p>
            <w:pPr>
              <w:pStyle w:val="TableParagraph"/>
              <w:spacing w:line="252" w:lineRule="exact"/>
              <w:ind w:left="210" w:right="86"/>
              <w:jc w:val="center"/>
              <w:rPr>
                <w:rFonts w:ascii="Arial"/>
                <w:sz w:val="22"/>
              </w:rPr>
            </w:pPr>
            <w:r>
              <w:rPr>
                <w:rFonts w:ascii="Arial"/>
                <w:sz w:val="22"/>
              </w:rPr>
              <w:t>TOTAL</w:t>
            </w:r>
          </w:p>
        </w:tc>
      </w:tr>
      <w:tr>
        <w:trPr>
          <w:trHeight w:val="397" w:hRule="exact"/>
        </w:trPr>
        <w:tc>
          <w:tcPr>
            <w:tcW w:w="3392" w:type="dxa"/>
            <w:tcBorders>
              <w:top w:val="nil"/>
              <w:left w:val="nil"/>
              <w:bottom w:val="nil"/>
              <w:right w:val="nil"/>
            </w:tcBorders>
          </w:tcPr>
          <w:p>
            <w:pPr>
              <w:pStyle w:val="TableParagraph"/>
              <w:spacing w:line="251" w:lineRule="exact"/>
              <w:ind w:left="107" w:right="1346"/>
              <w:rPr>
                <w:rFonts w:ascii="Arial"/>
                <w:sz w:val="22"/>
              </w:rPr>
            </w:pPr>
            <w:r>
              <w:rPr>
                <w:rFonts w:ascii="Arial"/>
                <w:sz w:val="22"/>
              </w:rPr>
              <w:t>Sellador completo</w:t>
            </w:r>
          </w:p>
        </w:tc>
        <w:tc>
          <w:tcPr>
            <w:tcW w:w="1279" w:type="dxa"/>
            <w:tcBorders>
              <w:top w:val="nil"/>
              <w:left w:val="nil"/>
              <w:bottom w:val="nil"/>
              <w:right w:val="nil"/>
            </w:tcBorders>
          </w:tcPr>
          <w:p>
            <w:pPr>
              <w:pStyle w:val="TableParagraph"/>
              <w:spacing w:line="251" w:lineRule="exact"/>
              <w:ind w:left="549"/>
              <w:rPr>
                <w:rFonts w:ascii="Arial"/>
                <w:sz w:val="22"/>
              </w:rPr>
            </w:pPr>
            <w:r>
              <w:rPr>
                <w:rFonts w:ascii="Arial"/>
                <w:w w:val="100"/>
                <w:sz w:val="22"/>
              </w:rPr>
              <w:t>2</w:t>
            </w:r>
          </w:p>
        </w:tc>
        <w:tc>
          <w:tcPr>
            <w:tcW w:w="1455" w:type="dxa"/>
            <w:tcBorders>
              <w:top w:val="nil"/>
              <w:left w:val="nil"/>
              <w:bottom w:val="nil"/>
              <w:right w:val="nil"/>
            </w:tcBorders>
          </w:tcPr>
          <w:p>
            <w:pPr>
              <w:pStyle w:val="TableParagraph"/>
              <w:spacing w:line="251" w:lineRule="exact"/>
              <w:ind w:right="619"/>
              <w:jc w:val="right"/>
              <w:rPr>
                <w:rFonts w:ascii="Arial"/>
                <w:sz w:val="22"/>
              </w:rPr>
            </w:pPr>
            <w:r>
              <w:rPr>
                <w:rFonts w:ascii="Arial"/>
                <w:w w:val="100"/>
                <w:sz w:val="22"/>
              </w:rPr>
              <w:t>6</w:t>
            </w:r>
          </w:p>
        </w:tc>
        <w:tc>
          <w:tcPr>
            <w:tcW w:w="1047" w:type="dxa"/>
            <w:tcBorders>
              <w:top w:val="nil"/>
              <w:left w:val="nil"/>
              <w:bottom w:val="nil"/>
              <w:right w:val="nil"/>
            </w:tcBorders>
          </w:tcPr>
          <w:p>
            <w:pPr>
              <w:pStyle w:val="TableParagraph"/>
              <w:spacing w:line="251" w:lineRule="exact"/>
              <w:ind w:left="121"/>
              <w:jc w:val="center"/>
              <w:rPr>
                <w:rFonts w:ascii="Arial"/>
                <w:sz w:val="22"/>
              </w:rPr>
            </w:pPr>
            <w:r>
              <w:rPr>
                <w:rFonts w:ascii="Arial"/>
                <w:w w:val="100"/>
                <w:sz w:val="22"/>
              </w:rPr>
              <w:t>8</w:t>
            </w:r>
          </w:p>
        </w:tc>
      </w:tr>
      <w:tr>
        <w:trPr>
          <w:trHeight w:val="652" w:hRule="exact"/>
        </w:trPr>
        <w:tc>
          <w:tcPr>
            <w:tcW w:w="3392" w:type="dxa"/>
            <w:tcBorders>
              <w:top w:val="nil"/>
              <w:left w:val="nil"/>
              <w:bottom w:val="nil"/>
              <w:right w:val="nil"/>
            </w:tcBorders>
          </w:tcPr>
          <w:p>
            <w:pPr>
              <w:pStyle w:val="TableParagraph"/>
              <w:spacing w:line="242" w:lineRule="auto" w:before="123"/>
              <w:ind w:left="107" w:right="1137"/>
              <w:rPr>
                <w:rFonts w:ascii="Arial"/>
                <w:sz w:val="22"/>
              </w:rPr>
            </w:pPr>
            <w:r>
              <w:rPr>
                <w:rFonts w:ascii="Arial"/>
                <w:sz w:val="22"/>
              </w:rPr>
              <w:t>Sellador parcialmente desalojado</w:t>
            </w:r>
          </w:p>
        </w:tc>
        <w:tc>
          <w:tcPr>
            <w:tcW w:w="1279" w:type="dxa"/>
            <w:tcBorders>
              <w:top w:val="nil"/>
              <w:left w:val="nil"/>
              <w:bottom w:val="nil"/>
              <w:right w:val="nil"/>
            </w:tcBorders>
          </w:tcPr>
          <w:p>
            <w:pPr>
              <w:pStyle w:val="TableParagraph"/>
              <w:spacing w:before="123"/>
              <w:ind w:left="549"/>
              <w:rPr>
                <w:rFonts w:ascii="Arial"/>
                <w:sz w:val="22"/>
              </w:rPr>
            </w:pPr>
            <w:r>
              <w:rPr>
                <w:rFonts w:ascii="Arial"/>
                <w:w w:val="100"/>
                <w:sz w:val="22"/>
              </w:rPr>
              <w:t>1</w:t>
            </w:r>
          </w:p>
        </w:tc>
        <w:tc>
          <w:tcPr>
            <w:tcW w:w="1455" w:type="dxa"/>
            <w:tcBorders>
              <w:top w:val="nil"/>
              <w:left w:val="nil"/>
              <w:bottom w:val="nil"/>
              <w:right w:val="nil"/>
            </w:tcBorders>
          </w:tcPr>
          <w:p>
            <w:pPr>
              <w:pStyle w:val="TableParagraph"/>
              <w:spacing w:before="123"/>
              <w:ind w:right="619"/>
              <w:jc w:val="right"/>
              <w:rPr>
                <w:rFonts w:ascii="Arial"/>
                <w:sz w:val="22"/>
              </w:rPr>
            </w:pPr>
            <w:r>
              <w:rPr>
                <w:rFonts w:ascii="Arial"/>
                <w:w w:val="100"/>
                <w:sz w:val="22"/>
              </w:rPr>
              <w:t>0</w:t>
            </w:r>
          </w:p>
        </w:tc>
        <w:tc>
          <w:tcPr>
            <w:tcW w:w="1047" w:type="dxa"/>
            <w:tcBorders>
              <w:top w:val="nil"/>
              <w:left w:val="nil"/>
              <w:bottom w:val="nil"/>
              <w:right w:val="nil"/>
            </w:tcBorders>
          </w:tcPr>
          <w:p>
            <w:pPr>
              <w:pStyle w:val="TableParagraph"/>
              <w:spacing w:before="123"/>
              <w:ind w:left="121"/>
              <w:jc w:val="center"/>
              <w:rPr>
                <w:rFonts w:ascii="Arial"/>
                <w:sz w:val="22"/>
              </w:rPr>
            </w:pPr>
            <w:r>
              <w:rPr>
                <w:rFonts w:ascii="Arial"/>
                <w:w w:val="100"/>
                <w:sz w:val="22"/>
              </w:rPr>
              <w:t>1</w:t>
            </w:r>
          </w:p>
        </w:tc>
      </w:tr>
      <w:tr>
        <w:trPr>
          <w:trHeight w:val="526" w:hRule="exact"/>
        </w:trPr>
        <w:tc>
          <w:tcPr>
            <w:tcW w:w="3392" w:type="dxa"/>
            <w:tcBorders>
              <w:top w:val="nil"/>
              <w:left w:val="nil"/>
              <w:bottom w:val="nil"/>
              <w:right w:val="nil"/>
            </w:tcBorders>
          </w:tcPr>
          <w:p>
            <w:pPr>
              <w:pStyle w:val="TableParagraph"/>
              <w:spacing w:line="251" w:lineRule="exact"/>
              <w:ind w:left="107"/>
              <w:rPr>
                <w:rFonts w:ascii="Arial"/>
                <w:sz w:val="22"/>
              </w:rPr>
            </w:pPr>
            <w:r>
              <w:rPr>
                <w:rFonts w:ascii="Arial"/>
                <w:sz w:val="22"/>
              </w:rPr>
              <w:t>Sellador totalmente desalojado</w:t>
            </w:r>
          </w:p>
        </w:tc>
        <w:tc>
          <w:tcPr>
            <w:tcW w:w="1279" w:type="dxa"/>
            <w:tcBorders>
              <w:top w:val="nil"/>
              <w:left w:val="nil"/>
              <w:bottom w:val="nil"/>
              <w:right w:val="nil"/>
            </w:tcBorders>
          </w:tcPr>
          <w:p>
            <w:pPr>
              <w:pStyle w:val="TableParagraph"/>
              <w:spacing w:line="251" w:lineRule="exact"/>
              <w:ind w:left="549"/>
              <w:rPr>
                <w:rFonts w:ascii="Arial"/>
                <w:sz w:val="22"/>
              </w:rPr>
            </w:pPr>
            <w:r>
              <w:rPr>
                <w:rFonts w:ascii="Arial"/>
                <w:w w:val="100"/>
                <w:sz w:val="22"/>
              </w:rPr>
              <w:t>2</w:t>
            </w:r>
          </w:p>
        </w:tc>
        <w:tc>
          <w:tcPr>
            <w:tcW w:w="1455" w:type="dxa"/>
            <w:tcBorders>
              <w:top w:val="nil"/>
              <w:left w:val="nil"/>
              <w:bottom w:val="nil"/>
              <w:right w:val="nil"/>
            </w:tcBorders>
          </w:tcPr>
          <w:p>
            <w:pPr>
              <w:pStyle w:val="TableParagraph"/>
              <w:spacing w:line="251" w:lineRule="exact"/>
              <w:ind w:right="619"/>
              <w:jc w:val="right"/>
              <w:rPr>
                <w:rFonts w:ascii="Arial"/>
                <w:sz w:val="22"/>
              </w:rPr>
            </w:pPr>
            <w:r>
              <w:rPr>
                <w:rFonts w:ascii="Arial"/>
                <w:w w:val="100"/>
                <w:sz w:val="22"/>
              </w:rPr>
              <w:t>2</w:t>
            </w:r>
          </w:p>
        </w:tc>
        <w:tc>
          <w:tcPr>
            <w:tcW w:w="1047" w:type="dxa"/>
            <w:tcBorders>
              <w:top w:val="nil"/>
              <w:left w:val="nil"/>
              <w:bottom w:val="nil"/>
              <w:right w:val="nil"/>
            </w:tcBorders>
          </w:tcPr>
          <w:p>
            <w:pPr>
              <w:pStyle w:val="TableParagraph"/>
              <w:spacing w:line="251" w:lineRule="exact"/>
              <w:ind w:left="121"/>
              <w:jc w:val="center"/>
              <w:rPr>
                <w:rFonts w:ascii="Arial"/>
                <w:sz w:val="22"/>
              </w:rPr>
            </w:pPr>
            <w:r>
              <w:rPr>
                <w:rFonts w:ascii="Arial"/>
                <w:w w:val="100"/>
                <w:sz w:val="22"/>
              </w:rPr>
              <w:t>4</w:t>
            </w:r>
          </w:p>
        </w:tc>
      </w:tr>
      <w:tr>
        <w:trPr>
          <w:trHeight w:val="547" w:hRule="exact"/>
        </w:trPr>
        <w:tc>
          <w:tcPr>
            <w:tcW w:w="3392" w:type="dxa"/>
            <w:tcBorders>
              <w:top w:val="nil"/>
              <w:left w:val="nil"/>
              <w:right w:val="nil"/>
            </w:tcBorders>
            <w:shd w:val="clear" w:color="auto" w:fill="F1F1F1"/>
          </w:tcPr>
          <w:p>
            <w:pPr>
              <w:pStyle w:val="TableParagraph"/>
              <w:spacing w:line="251" w:lineRule="exact"/>
              <w:ind w:left="107" w:right="1346"/>
              <w:rPr>
                <w:rFonts w:ascii="Arial"/>
                <w:sz w:val="22"/>
              </w:rPr>
            </w:pPr>
            <w:r>
              <w:rPr>
                <w:rFonts w:ascii="Arial"/>
                <w:sz w:val="22"/>
              </w:rPr>
              <w:t>Total</w:t>
            </w:r>
          </w:p>
        </w:tc>
        <w:tc>
          <w:tcPr>
            <w:tcW w:w="1279" w:type="dxa"/>
            <w:tcBorders>
              <w:top w:val="nil"/>
              <w:left w:val="nil"/>
              <w:right w:val="nil"/>
            </w:tcBorders>
            <w:shd w:val="clear" w:color="auto" w:fill="F1F1F1"/>
          </w:tcPr>
          <w:p>
            <w:pPr>
              <w:pStyle w:val="TableParagraph"/>
              <w:spacing w:line="251" w:lineRule="exact"/>
              <w:ind w:left="549"/>
              <w:rPr>
                <w:rFonts w:ascii="Arial"/>
                <w:sz w:val="22"/>
              </w:rPr>
            </w:pPr>
            <w:r>
              <w:rPr>
                <w:rFonts w:ascii="Arial"/>
                <w:w w:val="100"/>
                <w:sz w:val="22"/>
              </w:rPr>
              <w:t>5</w:t>
            </w:r>
          </w:p>
        </w:tc>
        <w:tc>
          <w:tcPr>
            <w:tcW w:w="1455" w:type="dxa"/>
            <w:tcBorders>
              <w:top w:val="nil"/>
              <w:left w:val="nil"/>
              <w:right w:val="nil"/>
            </w:tcBorders>
            <w:shd w:val="clear" w:color="auto" w:fill="F1F1F1"/>
          </w:tcPr>
          <w:p>
            <w:pPr>
              <w:pStyle w:val="TableParagraph"/>
              <w:spacing w:line="251" w:lineRule="exact"/>
              <w:ind w:right="619"/>
              <w:jc w:val="right"/>
              <w:rPr>
                <w:rFonts w:ascii="Arial"/>
                <w:sz w:val="22"/>
              </w:rPr>
            </w:pPr>
            <w:r>
              <w:rPr>
                <w:rFonts w:ascii="Arial"/>
                <w:w w:val="100"/>
                <w:sz w:val="22"/>
              </w:rPr>
              <w:t>8</w:t>
            </w:r>
          </w:p>
        </w:tc>
        <w:tc>
          <w:tcPr>
            <w:tcW w:w="1047" w:type="dxa"/>
            <w:tcBorders>
              <w:top w:val="nil"/>
              <w:left w:val="nil"/>
              <w:right w:val="nil"/>
            </w:tcBorders>
            <w:shd w:val="clear" w:color="auto" w:fill="F1F1F1"/>
          </w:tcPr>
          <w:p>
            <w:pPr>
              <w:pStyle w:val="TableParagraph"/>
              <w:spacing w:line="251" w:lineRule="exact"/>
              <w:ind w:left="205" w:right="86"/>
              <w:jc w:val="center"/>
              <w:rPr>
                <w:rFonts w:ascii="Arial"/>
                <w:sz w:val="22"/>
              </w:rPr>
            </w:pPr>
            <w:r>
              <w:rPr>
                <w:rFonts w:ascii="Arial"/>
                <w:sz w:val="22"/>
              </w:rPr>
              <w:t>13</w:t>
            </w:r>
          </w:p>
        </w:tc>
      </w:tr>
    </w:tbl>
    <w:p>
      <w:pPr>
        <w:pStyle w:val="BodyText"/>
        <w:rPr>
          <w:b/>
          <w:sz w:val="33"/>
        </w:rPr>
      </w:pPr>
    </w:p>
    <w:p>
      <w:pPr>
        <w:pStyle w:val="BodyText"/>
        <w:ind w:left="160"/>
        <w:jc w:val="both"/>
      </w:pPr>
      <w:r>
        <w:rPr/>
        <w:t>** Correlación Pearson (P=0.004)</w:t>
      </w:r>
    </w:p>
    <w:p>
      <w:pPr>
        <w:pStyle w:val="BodyText"/>
      </w:pPr>
    </w:p>
    <w:p>
      <w:pPr>
        <w:pStyle w:val="BodyText"/>
        <w:spacing w:before="10"/>
        <w:rPr>
          <w:sz w:val="35"/>
        </w:rPr>
      </w:pPr>
    </w:p>
    <w:p>
      <w:pPr>
        <w:pStyle w:val="BodyText"/>
        <w:spacing w:line="480" w:lineRule="auto"/>
        <w:ind w:left="160" w:right="176"/>
        <w:jc w:val="both"/>
      </w:pPr>
      <w:r>
        <w:rPr/>
        <w:t>En el primer molar inferior izquierdo se colocó el sellador UltraSeal XT, notándose 6/16 selladores completos, ningún sellador parcialmente desalojado y 2/16 selladores totalmente desalojados. En el primer molar inferior izquierdo se colocó el sellador Clinpro TM observándose 2/19 selladores completos, 1/19 parcialmente desalojado y 2/19 completamente desalojados..</w:t>
      </w:r>
    </w:p>
    <w:p>
      <w:pPr>
        <w:pStyle w:val="BodyText"/>
      </w:pPr>
    </w:p>
    <w:p>
      <w:pPr>
        <w:pStyle w:val="BodyText"/>
        <w:spacing w:before="7"/>
      </w:pPr>
    </w:p>
    <w:p>
      <w:pPr>
        <w:pStyle w:val="BodyText"/>
        <w:spacing w:line="480" w:lineRule="auto" w:before="1"/>
        <w:ind w:left="160" w:right="180"/>
        <w:jc w:val="both"/>
      </w:pPr>
      <w:r>
        <w:rPr/>
        <w:t>El número de selladores colocados, de cada marca comercial no fue homogéneo, el sellador Helioseal se colocó en más molares, lo que dificulta el análisis de los resultados obtenidos, la prueba de correlación no mostró diferencias estadísticamente significativas, considerando las condiciones de los selladores en la evaluación a tres meses.</w:t>
      </w:r>
    </w:p>
    <w:p>
      <w:pPr>
        <w:spacing w:after="0" w:line="480" w:lineRule="auto"/>
        <w:jc w:val="both"/>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Heading1"/>
        <w:spacing w:line="242" w:lineRule="auto"/>
        <w:ind w:left="3530" w:right="525" w:hanging="3001"/>
        <w:jc w:val="left"/>
      </w:pPr>
      <w:r>
        <w:rPr/>
        <w:t>Cuadro 3. RESULTADOS DE ESTADO DE LOS SELLADORES EN SEGUNDA EVALUACION A SEIS</w:t>
      </w:r>
      <w:r>
        <w:rPr>
          <w:spacing w:val="68"/>
        </w:rPr>
        <w:t> </w:t>
      </w:r>
      <w:r>
        <w:rPr/>
        <w:t>MESES.</w:t>
      </w:r>
    </w:p>
    <w:p>
      <w:pPr>
        <w:pStyle w:val="BodyText"/>
        <w:rPr>
          <w:b/>
          <w:sz w:val="20"/>
        </w:rPr>
      </w:pPr>
    </w:p>
    <w:p>
      <w:pPr>
        <w:pStyle w:val="BodyText"/>
        <w:rPr>
          <w:b/>
          <w:sz w:val="20"/>
        </w:rPr>
      </w:pPr>
    </w:p>
    <w:p>
      <w:pPr>
        <w:pStyle w:val="BodyText"/>
        <w:rPr>
          <w:b/>
          <w:sz w:val="20"/>
        </w:rPr>
      </w:pPr>
    </w:p>
    <w:p>
      <w:pPr>
        <w:pStyle w:val="BodyText"/>
        <w:spacing w:before="4"/>
        <w:rPr>
          <w:b/>
          <w:sz w:val="19"/>
        </w:rPr>
      </w:pPr>
    </w:p>
    <w:tbl>
      <w:tblPr>
        <w:tblW w:w="0" w:type="auto"/>
        <w:jc w:val="left"/>
        <w:tblInd w:w="1355"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491"/>
        <w:gridCol w:w="1359"/>
        <w:gridCol w:w="1157"/>
        <w:gridCol w:w="1358"/>
        <w:gridCol w:w="1001"/>
      </w:tblGrid>
      <w:tr>
        <w:trPr>
          <w:trHeight w:val="527" w:hRule="exact"/>
        </w:trPr>
        <w:tc>
          <w:tcPr>
            <w:tcW w:w="3491" w:type="dxa"/>
            <w:tcBorders>
              <w:left w:val="nil"/>
              <w:bottom w:val="nil"/>
              <w:right w:val="nil"/>
            </w:tcBorders>
            <w:shd w:val="clear" w:color="auto" w:fill="F1F1F1"/>
          </w:tcPr>
          <w:p>
            <w:pPr>
              <w:pStyle w:val="TableParagraph"/>
              <w:spacing w:line="249" w:lineRule="exact"/>
              <w:ind w:left="170"/>
              <w:rPr>
                <w:rFonts w:ascii="Arial"/>
                <w:b/>
                <w:sz w:val="22"/>
              </w:rPr>
            </w:pPr>
            <w:r>
              <w:rPr>
                <w:rFonts w:ascii="Arial"/>
                <w:b/>
                <w:sz w:val="22"/>
              </w:rPr>
              <w:t>MOLAR SUPERIOR DERECHO</w:t>
            </w:r>
          </w:p>
        </w:tc>
        <w:tc>
          <w:tcPr>
            <w:tcW w:w="1359" w:type="dxa"/>
            <w:tcBorders>
              <w:left w:val="nil"/>
              <w:bottom w:val="nil"/>
              <w:right w:val="nil"/>
            </w:tcBorders>
            <w:shd w:val="clear" w:color="auto" w:fill="F1F1F1"/>
          </w:tcPr>
          <w:p>
            <w:pPr>
              <w:pStyle w:val="TableParagraph"/>
              <w:spacing w:line="252" w:lineRule="exact"/>
              <w:ind w:left="109" w:right="171"/>
              <w:jc w:val="center"/>
              <w:rPr>
                <w:rFonts w:ascii="Arial"/>
                <w:sz w:val="22"/>
              </w:rPr>
            </w:pPr>
            <w:r>
              <w:rPr>
                <w:rFonts w:ascii="Arial"/>
                <w:sz w:val="22"/>
              </w:rPr>
              <w:t>HeliosealF</w:t>
            </w:r>
          </w:p>
        </w:tc>
        <w:tc>
          <w:tcPr>
            <w:tcW w:w="1157" w:type="dxa"/>
            <w:tcBorders>
              <w:left w:val="nil"/>
              <w:bottom w:val="nil"/>
              <w:right w:val="nil"/>
            </w:tcBorders>
            <w:shd w:val="clear" w:color="auto" w:fill="F1F1F1"/>
          </w:tcPr>
          <w:p>
            <w:pPr>
              <w:pStyle w:val="TableParagraph"/>
              <w:ind w:left="382" w:right="247" w:hanging="190"/>
              <w:rPr>
                <w:rFonts w:ascii="Arial"/>
                <w:sz w:val="22"/>
              </w:rPr>
            </w:pPr>
            <w:r>
              <w:rPr>
                <w:rFonts w:ascii="Arial"/>
                <w:sz w:val="22"/>
              </w:rPr>
              <w:t>Clinpro TM</w:t>
            </w:r>
          </w:p>
        </w:tc>
        <w:tc>
          <w:tcPr>
            <w:tcW w:w="1358" w:type="dxa"/>
            <w:tcBorders>
              <w:left w:val="nil"/>
              <w:bottom w:val="nil"/>
              <w:right w:val="nil"/>
            </w:tcBorders>
            <w:shd w:val="clear" w:color="auto" w:fill="F1F1F1"/>
          </w:tcPr>
          <w:p>
            <w:pPr>
              <w:pStyle w:val="TableParagraph"/>
              <w:ind w:left="579" w:right="165" w:hanging="312"/>
              <w:rPr>
                <w:rFonts w:ascii="Arial"/>
                <w:sz w:val="22"/>
              </w:rPr>
            </w:pPr>
            <w:r>
              <w:rPr>
                <w:rFonts w:ascii="Arial"/>
                <w:sz w:val="22"/>
              </w:rPr>
              <w:t>UltraSeal XT</w:t>
            </w:r>
          </w:p>
        </w:tc>
        <w:tc>
          <w:tcPr>
            <w:tcW w:w="1001" w:type="dxa"/>
            <w:tcBorders>
              <w:left w:val="nil"/>
              <w:bottom w:val="nil"/>
              <w:right w:val="nil"/>
            </w:tcBorders>
            <w:shd w:val="clear" w:color="auto" w:fill="F1F1F1"/>
          </w:tcPr>
          <w:p>
            <w:pPr>
              <w:pStyle w:val="TableParagraph"/>
              <w:spacing w:line="252" w:lineRule="exact"/>
              <w:ind w:left="165" w:right="86"/>
              <w:jc w:val="center"/>
              <w:rPr>
                <w:rFonts w:ascii="Arial"/>
                <w:sz w:val="22"/>
              </w:rPr>
            </w:pPr>
            <w:r>
              <w:rPr>
                <w:rFonts w:ascii="Arial"/>
                <w:sz w:val="22"/>
              </w:rPr>
              <w:t>TOTAL</w:t>
            </w:r>
          </w:p>
        </w:tc>
      </w:tr>
      <w:tr>
        <w:trPr>
          <w:trHeight w:val="307" w:hRule="exact"/>
        </w:trPr>
        <w:tc>
          <w:tcPr>
            <w:tcW w:w="3491" w:type="dxa"/>
            <w:tcBorders>
              <w:top w:val="nil"/>
              <w:left w:val="nil"/>
              <w:bottom w:val="nil"/>
              <w:right w:val="nil"/>
            </w:tcBorders>
          </w:tcPr>
          <w:p>
            <w:pPr>
              <w:pStyle w:val="TableParagraph"/>
              <w:spacing w:line="251" w:lineRule="exact"/>
              <w:ind w:left="107"/>
              <w:rPr>
                <w:rFonts w:ascii="Arial"/>
                <w:sz w:val="22"/>
              </w:rPr>
            </w:pPr>
            <w:r>
              <w:rPr>
                <w:rFonts w:ascii="Arial"/>
                <w:sz w:val="22"/>
              </w:rPr>
              <w:t>Sellador completo</w:t>
            </w:r>
          </w:p>
        </w:tc>
        <w:tc>
          <w:tcPr>
            <w:tcW w:w="1359" w:type="dxa"/>
            <w:tcBorders>
              <w:top w:val="nil"/>
              <w:left w:val="nil"/>
              <w:bottom w:val="nil"/>
              <w:right w:val="nil"/>
            </w:tcBorders>
          </w:tcPr>
          <w:p>
            <w:pPr>
              <w:pStyle w:val="TableParagraph"/>
              <w:spacing w:line="251" w:lineRule="exact"/>
              <w:ind w:right="59"/>
              <w:jc w:val="center"/>
              <w:rPr>
                <w:rFonts w:ascii="Arial"/>
                <w:sz w:val="22"/>
              </w:rPr>
            </w:pPr>
            <w:r>
              <w:rPr>
                <w:rFonts w:ascii="Arial"/>
                <w:w w:val="100"/>
                <w:sz w:val="22"/>
              </w:rPr>
              <w:t>7</w:t>
            </w:r>
          </w:p>
        </w:tc>
        <w:tc>
          <w:tcPr>
            <w:tcW w:w="1157" w:type="dxa"/>
            <w:tcBorders>
              <w:top w:val="nil"/>
              <w:left w:val="nil"/>
              <w:bottom w:val="nil"/>
              <w:right w:val="nil"/>
            </w:tcBorders>
          </w:tcPr>
          <w:p>
            <w:pPr>
              <w:pStyle w:val="TableParagraph"/>
              <w:spacing w:line="251" w:lineRule="exact"/>
              <w:ind w:left="478"/>
              <w:rPr>
                <w:rFonts w:ascii="Arial"/>
                <w:sz w:val="22"/>
              </w:rPr>
            </w:pPr>
            <w:r>
              <w:rPr>
                <w:rFonts w:ascii="Arial"/>
                <w:w w:val="100"/>
                <w:sz w:val="22"/>
              </w:rPr>
              <w:t>2</w:t>
            </w:r>
          </w:p>
        </w:tc>
        <w:tc>
          <w:tcPr>
            <w:tcW w:w="1358" w:type="dxa"/>
            <w:tcBorders>
              <w:top w:val="nil"/>
              <w:left w:val="nil"/>
              <w:bottom w:val="nil"/>
              <w:right w:val="nil"/>
            </w:tcBorders>
          </w:tcPr>
          <w:p>
            <w:pPr>
              <w:pStyle w:val="TableParagraph"/>
              <w:spacing w:line="251" w:lineRule="exact"/>
              <w:ind w:right="574"/>
              <w:jc w:val="right"/>
              <w:rPr>
                <w:rFonts w:ascii="Arial"/>
                <w:sz w:val="22"/>
              </w:rPr>
            </w:pPr>
            <w:r>
              <w:rPr>
                <w:rFonts w:ascii="Arial"/>
                <w:w w:val="100"/>
                <w:sz w:val="22"/>
              </w:rPr>
              <w:t>1</w:t>
            </w:r>
          </w:p>
        </w:tc>
        <w:tc>
          <w:tcPr>
            <w:tcW w:w="1001" w:type="dxa"/>
            <w:tcBorders>
              <w:top w:val="nil"/>
              <w:left w:val="nil"/>
              <w:bottom w:val="nil"/>
              <w:right w:val="nil"/>
            </w:tcBorders>
          </w:tcPr>
          <w:p>
            <w:pPr>
              <w:pStyle w:val="TableParagraph"/>
              <w:spacing w:line="251" w:lineRule="exact"/>
              <w:ind w:left="160" w:right="86"/>
              <w:jc w:val="center"/>
              <w:rPr>
                <w:rFonts w:ascii="Arial"/>
                <w:sz w:val="22"/>
              </w:rPr>
            </w:pPr>
            <w:r>
              <w:rPr>
                <w:rFonts w:ascii="Arial"/>
                <w:sz w:val="22"/>
              </w:rPr>
              <w:t>10</w:t>
            </w:r>
          </w:p>
        </w:tc>
      </w:tr>
      <w:tr>
        <w:trPr>
          <w:trHeight w:val="342" w:hRule="exact"/>
        </w:trPr>
        <w:tc>
          <w:tcPr>
            <w:tcW w:w="3491" w:type="dxa"/>
            <w:tcBorders>
              <w:top w:val="nil"/>
              <w:left w:val="nil"/>
              <w:bottom w:val="nil"/>
              <w:right w:val="nil"/>
            </w:tcBorders>
          </w:tcPr>
          <w:p>
            <w:pPr>
              <w:pStyle w:val="TableParagraph"/>
              <w:spacing w:before="33"/>
              <w:ind w:left="107"/>
              <w:rPr>
                <w:rFonts w:ascii="Arial"/>
                <w:sz w:val="22"/>
              </w:rPr>
            </w:pPr>
            <w:r>
              <w:rPr>
                <w:rFonts w:ascii="Arial"/>
                <w:sz w:val="22"/>
              </w:rPr>
              <w:t>Sellador parcialmente desalojado</w:t>
            </w:r>
          </w:p>
        </w:tc>
        <w:tc>
          <w:tcPr>
            <w:tcW w:w="1359" w:type="dxa"/>
            <w:tcBorders>
              <w:top w:val="nil"/>
              <w:left w:val="nil"/>
              <w:bottom w:val="nil"/>
              <w:right w:val="nil"/>
            </w:tcBorders>
          </w:tcPr>
          <w:p>
            <w:pPr>
              <w:pStyle w:val="TableParagraph"/>
              <w:spacing w:before="33"/>
              <w:ind w:right="59"/>
              <w:jc w:val="center"/>
              <w:rPr>
                <w:rFonts w:ascii="Arial"/>
                <w:sz w:val="22"/>
              </w:rPr>
            </w:pPr>
            <w:r>
              <w:rPr>
                <w:rFonts w:ascii="Arial"/>
                <w:w w:val="100"/>
                <w:sz w:val="22"/>
              </w:rPr>
              <w:t>2</w:t>
            </w:r>
          </w:p>
        </w:tc>
        <w:tc>
          <w:tcPr>
            <w:tcW w:w="1157" w:type="dxa"/>
            <w:tcBorders>
              <w:top w:val="nil"/>
              <w:left w:val="nil"/>
              <w:bottom w:val="nil"/>
              <w:right w:val="nil"/>
            </w:tcBorders>
          </w:tcPr>
          <w:p>
            <w:pPr>
              <w:pStyle w:val="TableParagraph"/>
              <w:spacing w:before="33"/>
              <w:ind w:left="478"/>
              <w:rPr>
                <w:rFonts w:ascii="Arial"/>
                <w:sz w:val="22"/>
              </w:rPr>
            </w:pPr>
            <w:r>
              <w:rPr>
                <w:rFonts w:ascii="Arial"/>
                <w:w w:val="100"/>
                <w:sz w:val="22"/>
              </w:rPr>
              <w:t>1</w:t>
            </w:r>
          </w:p>
        </w:tc>
        <w:tc>
          <w:tcPr>
            <w:tcW w:w="1358" w:type="dxa"/>
            <w:tcBorders>
              <w:top w:val="nil"/>
              <w:left w:val="nil"/>
              <w:bottom w:val="nil"/>
              <w:right w:val="nil"/>
            </w:tcBorders>
          </w:tcPr>
          <w:p>
            <w:pPr>
              <w:pStyle w:val="TableParagraph"/>
              <w:spacing w:before="33"/>
              <w:ind w:right="574"/>
              <w:jc w:val="right"/>
              <w:rPr>
                <w:rFonts w:ascii="Arial"/>
                <w:sz w:val="22"/>
              </w:rPr>
            </w:pPr>
            <w:r>
              <w:rPr>
                <w:rFonts w:ascii="Arial"/>
                <w:w w:val="100"/>
                <w:sz w:val="22"/>
              </w:rPr>
              <w:t>0</w:t>
            </w:r>
          </w:p>
        </w:tc>
        <w:tc>
          <w:tcPr>
            <w:tcW w:w="1001" w:type="dxa"/>
            <w:tcBorders>
              <w:top w:val="nil"/>
              <w:left w:val="nil"/>
              <w:bottom w:val="nil"/>
              <w:right w:val="nil"/>
            </w:tcBorders>
          </w:tcPr>
          <w:p>
            <w:pPr>
              <w:pStyle w:val="TableParagraph"/>
              <w:spacing w:before="33"/>
              <w:ind w:left="77"/>
              <w:jc w:val="center"/>
              <w:rPr>
                <w:rFonts w:ascii="Arial"/>
                <w:sz w:val="22"/>
              </w:rPr>
            </w:pPr>
            <w:r>
              <w:rPr>
                <w:rFonts w:ascii="Arial"/>
                <w:w w:val="100"/>
                <w:sz w:val="22"/>
              </w:rPr>
              <w:t>3</w:t>
            </w:r>
          </w:p>
        </w:tc>
      </w:tr>
      <w:tr>
        <w:trPr>
          <w:trHeight w:val="378" w:hRule="exact"/>
        </w:trPr>
        <w:tc>
          <w:tcPr>
            <w:tcW w:w="3491" w:type="dxa"/>
            <w:tcBorders>
              <w:top w:val="nil"/>
              <w:left w:val="nil"/>
              <w:bottom w:val="nil"/>
              <w:right w:val="nil"/>
            </w:tcBorders>
          </w:tcPr>
          <w:p>
            <w:pPr>
              <w:pStyle w:val="TableParagraph"/>
              <w:spacing w:before="33"/>
              <w:ind w:left="107"/>
              <w:rPr>
                <w:rFonts w:ascii="Arial"/>
                <w:sz w:val="22"/>
              </w:rPr>
            </w:pPr>
            <w:r>
              <w:rPr>
                <w:rFonts w:ascii="Arial"/>
                <w:sz w:val="22"/>
              </w:rPr>
              <w:t>Sellador totalmente desalojado</w:t>
            </w:r>
          </w:p>
        </w:tc>
        <w:tc>
          <w:tcPr>
            <w:tcW w:w="1359" w:type="dxa"/>
            <w:tcBorders>
              <w:top w:val="nil"/>
              <w:left w:val="nil"/>
              <w:bottom w:val="nil"/>
              <w:right w:val="nil"/>
            </w:tcBorders>
          </w:tcPr>
          <w:p>
            <w:pPr>
              <w:pStyle w:val="TableParagraph"/>
              <w:spacing w:before="33"/>
              <w:ind w:right="59"/>
              <w:jc w:val="center"/>
              <w:rPr>
                <w:rFonts w:ascii="Arial"/>
                <w:sz w:val="22"/>
              </w:rPr>
            </w:pPr>
            <w:r>
              <w:rPr>
                <w:rFonts w:ascii="Arial"/>
                <w:w w:val="100"/>
                <w:sz w:val="22"/>
              </w:rPr>
              <w:t>3</w:t>
            </w:r>
          </w:p>
        </w:tc>
        <w:tc>
          <w:tcPr>
            <w:tcW w:w="1157" w:type="dxa"/>
            <w:tcBorders>
              <w:top w:val="nil"/>
              <w:left w:val="nil"/>
              <w:bottom w:val="nil"/>
              <w:right w:val="nil"/>
            </w:tcBorders>
          </w:tcPr>
          <w:p>
            <w:pPr>
              <w:pStyle w:val="TableParagraph"/>
              <w:spacing w:before="33"/>
              <w:ind w:left="478"/>
              <w:rPr>
                <w:rFonts w:ascii="Arial"/>
                <w:sz w:val="22"/>
              </w:rPr>
            </w:pPr>
            <w:r>
              <w:rPr>
                <w:rFonts w:ascii="Arial"/>
                <w:w w:val="100"/>
                <w:sz w:val="22"/>
              </w:rPr>
              <w:t>0</w:t>
            </w:r>
          </w:p>
        </w:tc>
        <w:tc>
          <w:tcPr>
            <w:tcW w:w="1358" w:type="dxa"/>
            <w:tcBorders>
              <w:top w:val="nil"/>
              <w:left w:val="nil"/>
              <w:bottom w:val="nil"/>
              <w:right w:val="nil"/>
            </w:tcBorders>
          </w:tcPr>
          <w:p>
            <w:pPr>
              <w:pStyle w:val="TableParagraph"/>
              <w:spacing w:before="33"/>
              <w:ind w:right="574"/>
              <w:jc w:val="right"/>
              <w:rPr>
                <w:rFonts w:ascii="Arial"/>
                <w:sz w:val="22"/>
              </w:rPr>
            </w:pPr>
            <w:r>
              <w:rPr>
                <w:rFonts w:ascii="Arial"/>
                <w:w w:val="100"/>
                <w:sz w:val="22"/>
              </w:rPr>
              <w:t>0</w:t>
            </w:r>
          </w:p>
        </w:tc>
        <w:tc>
          <w:tcPr>
            <w:tcW w:w="1001" w:type="dxa"/>
            <w:tcBorders>
              <w:top w:val="nil"/>
              <w:left w:val="nil"/>
              <w:bottom w:val="nil"/>
              <w:right w:val="nil"/>
            </w:tcBorders>
          </w:tcPr>
          <w:p>
            <w:pPr>
              <w:pStyle w:val="TableParagraph"/>
              <w:spacing w:before="33"/>
              <w:ind w:left="77"/>
              <w:jc w:val="center"/>
              <w:rPr>
                <w:rFonts w:ascii="Arial"/>
                <w:sz w:val="22"/>
              </w:rPr>
            </w:pPr>
            <w:r>
              <w:rPr>
                <w:rFonts w:ascii="Arial"/>
                <w:w w:val="100"/>
                <w:sz w:val="22"/>
              </w:rPr>
              <w:t>3</w:t>
            </w:r>
          </w:p>
        </w:tc>
      </w:tr>
      <w:tr>
        <w:trPr>
          <w:trHeight w:val="506" w:hRule="exact"/>
        </w:trPr>
        <w:tc>
          <w:tcPr>
            <w:tcW w:w="3491" w:type="dxa"/>
            <w:tcBorders>
              <w:top w:val="nil"/>
              <w:left w:val="nil"/>
              <w:bottom w:val="nil"/>
              <w:right w:val="nil"/>
            </w:tcBorders>
            <w:shd w:val="clear" w:color="auto" w:fill="F1F1F1"/>
          </w:tcPr>
          <w:p>
            <w:pPr>
              <w:pStyle w:val="TableParagraph"/>
              <w:spacing w:line="252" w:lineRule="exact"/>
              <w:ind w:left="107" w:right="1090"/>
              <w:rPr>
                <w:rFonts w:ascii="Arial"/>
                <w:b/>
                <w:sz w:val="22"/>
              </w:rPr>
            </w:pPr>
            <w:r>
              <w:rPr>
                <w:rFonts w:ascii="Arial"/>
                <w:b/>
                <w:sz w:val="22"/>
              </w:rPr>
              <w:t>***MOLAR SUPERIOR IZQUIERDO</w:t>
            </w:r>
          </w:p>
        </w:tc>
        <w:tc>
          <w:tcPr>
            <w:tcW w:w="1359" w:type="dxa"/>
            <w:tcBorders>
              <w:top w:val="nil"/>
              <w:left w:val="nil"/>
              <w:bottom w:val="nil"/>
              <w:right w:val="nil"/>
            </w:tcBorders>
            <w:shd w:val="clear" w:color="auto" w:fill="F1F1F1"/>
          </w:tcPr>
          <w:p>
            <w:pPr/>
          </w:p>
        </w:tc>
        <w:tc>
          <w:tcPr>
            <w:tcW w:w="1157" w:type="dxa"/>
            <w:tcBorders>
              <w:top w:val="nil"/>
              <w:left w:val="nil"/>
              <w:bottom w:val="nil"/>
              <w:right w:val="nil"/>
            </w:tcBorders>
            <w:shd w:val="clear" w:color="auto" w:fill="F1F1F1"/>
          </w:tcPr>
          <w:p>
            <w:pPr/>
          </w:p>
        </w:tc>
        <w:tc>
          <w:tcPr>
            <w:tcW w:w="1358" w:type="dxa"/>
            <w:tcBorders>
              <w:top w:val="nil"/>
              <w:left w:val="nil"/>
              <w:bottom w:val="nil"/>
              <w:right w:val="nil"/>
            </w:tcBorders>
            <w:shd w:val="clear" w:color="auto" w:fill="F1F1F1"/>
          </w:tcPr>
          <w:p>
            <w:pPr/>
          </w:p>
        </w:tc>
        <w:tc>
          <w:tcPr>
            <w:tcW w:w="1001" w:type="dxa"/>
            <w:tcBorders>
              <w:top w:val="nil"/>
              <w:left w:val="nil"/>
              <w:bottom w:val="nil"/>
              <w:right w:val="nil"/>
            </w:tcBorders>
            <w:shd w:val="clear" w:color="auto" w:fill="F1F1F1"/>
          </w:tcPr>
          <w:p>
            <w:pPr/>
          </w:p>
        </w:tc>
      </w:tr>
      <w:tr>
        <w:trPr>
          <w:trHeight w:val="306" w:hRule="exact"/>
        </w:trPr>
        <w:tc>
          <w:tcPr>
            <w:tcW w:w="3491" w:type="dxa"/>
            <w:tcBorders>
              <w:top w:val="nil"/>
              <w:left w:val="nil"/>
              <w:bottom w:val="nil"/>
              <w:right w:val="nil"/>
            </w:tcBorders>
          </w:tcPr>
          <w:p>
            <w:pPr>
              <w:pStyle w:val="TableParagraph"/>
              <w:spacing w:line="251" w:lineRule="exact"/>
              <w:ind w:left="107"/>
              <w:rPr>
                <w:rFonts w:ascii="Arial"/>
                <w:sz w:val="22"/>
              </w:rPr>
            </w:pPr>
            <w:r>
              <w:rPr>
                <w:rFonts w:ascii="Arial"/>
                <w:sz w:val="22"/>
              </w:rPr>
              <w:t>Sellador completo</w:t>
            </w:r>
          </w:p>
        </w:tc>
        <w:tc>
          <w:tcPr>
            <w:tcW w:w="1359" w:type="dxa"/>
            <w:tcBorders>
              <w:top w:val="nil"/>
              <w:left w:val="nil"/>
              <w:bottom w:val="nil"/>
              <w:right w:val="nil"/>
            </w:tcBorders>
          </w:tcPr>
          <w:p>
            <w:pPr>
              <w:pStyle w:val="TableParagraph"/>
              <w:spacing w:line="251" w:lineRule="exact"/>
              <w:ind w:right="59"/>
              <w:jc w:val="center"/>
              <w:rPr>
                <w:rFonts w:ascii="Arial"/>
                <w:sz w:val="22"/>
              </w:rPr>
            </w:pPr>
            <w:r>
              <w:rPr>
                <w:rFonts w:ascii="Arial"/>
                <w:w w:val="100"/>
                <w:sz w:val="22"/>
              </w:rPr>
              <w:t>1</w:t>
            </w:r>
          </w:p>
        </w:tc>
        <w:tc>
          <w:tcPr>
            <w:tcW w:w="1157" w:type="dxa"/>
            <w:tcBorders>
              <w:top w:val="nil"/>
              <w:left w:val="nil"/>
              <w:bottom w:val="nil"/>
              <w:right w:val="nil"/>
            </w:tcBorders>
          </w:tcPr>
          <w:p>
            <w:pPr>
              <w:pStyle w:val="TableParagraph"/>
              <w:spacing w:line="251" w:lineRule="exact"/>
              <w:ind w:left="478"/>
              <w:rPr>
                <w:rFonts w:ascii="Arial"/>
                <w:sz w:val="22"/>
              </w:rPr>
            </w:pPr>
            <w:r>
              <w:rPr>
                <w:rFonts w:ascii="Arial"/>
                <w:w w:val="100"/>
                <w:sz w:val="22"/>
              </w:rPr>
              <w:t>2</w:t>
            </w:r>
          </w:p>
        </w:tc>
        <w:tc>
          <w:tcPr>
            <w:tcW w:w="1358" w:type="dxa"/>
            <w:tcBorders>
              <w:top w:val="nil"/>
              <w:left w:val="nil"/>
              <w:bottom w:val="nil"/>
              <w:right w:val="nil"/>
            </w:tcBorders>
          </w:tcPr>
          <w:p>
            <w:pPr>
              <w:pStyle w:val="TableParagraph"/>
              <w:spacing w:line="251" w:lineRule="exact"/>
              <w:ind w:right="574"/>
              <w:jc w:val="right"/>
              <w:rPr>
                <w:rFonts w:ascii="Arial"/>
                <w:sz w:val="22"/>
              </w:rPr>
            </w:pPr>
            <w:r>
              <w:rPr>
                <w:rFonts w:ascii="Arial"/>
                <w:w w:val="100"/>
                <w:sz w:val="22"/>
              </w:rPr>
              <w:t>3</w:t>
            </w:r>
          </w:p>
        </w:tc>
        <w:tc>
          <w:tcPr>
            <w:tcW w:w="1001" w:type="dxa"/>
            <w:tcBorders>
              <w:top w:val="nil"/>
              <w:left w:val="nil"/>
              <w:bottom w:val="nil"/>
              <w:right w:val="nil"/>
            </w:tcBorders>
          </w:tcPr>
          <w:p>
            <w:pPr>
              <w:pStyle w:val="TableParagraph"/>
              <w:spacing w:line="251" w:lineRule="exact"/>
              <w:ind w:left="77"/>
              <w:jc w:val="center"/>
              <w:rPr>
                <w:rFonts w:ascii="Arial"/>
                <w:sz w:val="22"/>
              </w:rPr>
            </w:pPr>
            <w:r>
              <w:rPr>
                <w:rFonts w:ascii="Arial"/>
                <w:w w:val="100"/>
                <w:sz w:val="22"/>
              </w:rPr>
              <w:t>6</w:t>
            </w:r>
          </w:p>
        </w:tc>
      </w:tr>
      <w:tr>
        <w:trPr>
          <w:trHeight w:val="342" w:hRule="exact"/>
        </w:trPr>
        <w:tc>
          <w:tcPr>
            <w:tcW w:w="3491" w:type="dxa"/>
            <w:tcBorders>
              <w:top w:val="nil"/>
              <w:left w:val="nil"/>
              <w:bottom w:val="nil"/>
              <w:right w:val="nil"/>
            </w:tcBorders>
          </w:tcPr>
          <w:p>
            <w:pPr>
              <w:pStyle w:val="TableParagraph"/>
              <w:spacing w:before="32"/>
              <w:ind w:left="107"/>
              <w:rPr>
                <w:rFonts w:ascii="Arial"/>
                <w:sz w:val="22"/>
              </w:rPr>
            </w:pPr>
            <w:r>
              <w:rPr>
                <w:rFonts w:ascii="Arial"/>
                <w:sz w:val="22"/>
              </w:rPr>
              <w:t>Sellador parcialmente desalojado</w:t>
            </w:r>
          </w:p>
        </w:tc>
        <w:tc>
          <w:tcPr>
            <w:tcW w:w="1359" w:type="dxa"/>
            <w:tcBorders>
              <w:top w:val="nil"/>
              <w:left w:val="nil"/>
              <w:bottom w:val="nil"/>
              <w:right w:val="nil"/>
            </w:tcBorders>
          </w:tcPr>
          <w:p>
            <w:pPr>
              <w:pStyle w:val="TableParagraph"/>
              <w:spacing w:before="32"/>
              <w:ind w:right="59"/>
              <w:jc w:val="center"/>
              <w:rPr>
                <w:rFonts w:ascii="Arial"/>
                <w:sz w:val="22"/>
              </w:rPr>
            </w:pPr>
            <w:r>
              <w:rPr>
                <w:rFonts w:ascii="Arial"/>
                <w:w w:val="100"/>
                <w:sz w:val="22"/>
              </w:rPr>
              <w:t>1</w:t>
            </w:r>
          </w:p>
        </w:tc>
        <w:tc>
          <w:tcPr>
            <w:tcW w:w="1157" w:type="dxa"/>
            <w:tcBorders>
              <w:top w:val="nil"/>
              <w:left w:val="nil"/>
              <w:bottom w:val="nil"/>
              <w:right w:val="nil"/>
            </w:tcBorders>
          </w:tcPr>
          <w:p>
            <w:pPr>
              <w:pStyle w:val="TableParagraph"/>
              <w:spacing w:before="32"/>
              <w:ind w:left="478"/>
              <w:rPr>
                <w:rFonts w:ascii="Arial"/>
                <w:sz w:val="22"/>
              </w:rPr>
            </w:pPr>
            <w:r>
              <w:rPr>
                <w:rFonts w:ascii="Arial"/>
                <w:w w:val="100"/>
                <w:sz w:val="22"/>
              </w:rPr>
              <w:t>0</w:t>
            </w:r>
          </w:p>
        </w:tc>
        <w:tc>
          <w:tcPr>
            <w:tcW w:w="1358" w:type="dxa"/>
            <w:tcBorders>
              <w:top w:val="nil"/>
              <w:left w:val="nil"/>
              <w:bottom w:val="nil"/>
              <w:right w:val="nil"/>
            </w:tcBorders>
          </w:tcPr>
          <w:p>
            <w:pPr>
              <w:pStyle w:val="TableParagraph"/>
              <w:spacing w:before="32"/>
              <w:ind w:right="574"/>
              <w:jc w:val="right"/>
              <w:rPr>
                <w:rFonts w:ascii="Arial"/>
                <w:sz w:val="22"/>
              </w:rPr>
            </w:pPr>
            <w:r>
              <w:rPr>
                <w:rFonts w:ascii="Arial"/>
                <w:w w:val="100"/>
                <w:sz w:val="22"/>
              </w:rPr>
              <w:t>1</w:t>
            </w:r>
          </w:p>
        </w:tc>
        <w:tc>
          <w:tcPr>
            <w:tcW w:w="1001" w:type="dxa"/>
            <w:tcBorders>
              <w:top w:val="nil"/>
              <w:left w:val="nil"/>
              <w:bottom w:val="nil"/>
              <w:right w:val="nil"/>
            </w:tcBorders>
          </w:tcPr>
          <w:p>
            <w:pPr>
              <w:pStyle w:val="TableParagraph"/>
              <w:spacing w:before="32"/>
              <w:ind w:left="77"/>
              <w:jc w:val="center"/>
              <w:rPr>
                <w:rFonts w:ascii="Arial"/>
                <w:sz w:val="22"/>
              </w:rPr>
            </w:pPr>
            <w:r>
              <w:rPr>
                <w:rFonts w:ascii="Arial"/>
                <w:w w:val="100"/>
                <w:sz w:val="22"/>
              </w:rPr>
              <w:t>2</w:t>
            </w:r>
          </w:p>
        </w:tc>
      </w:tr>
      <w:tr>
        <w:trPr>
          <w:trHeight w:val="282" w:hRule="exact"/>
        </w:trPr>
        <w:tc>
          <w:tcPr>
            <w:tcW w:w="3491" w:type="dxa"/>
            <w:tcBorders>
              <w:top w:val="nil"/>
              <w:left w:val="nil"/>
              <w:bottom w:val="nil"/>
              <w:right w:val="nil"/>
            </w:tcBorders>
          </w:tcPr>
          <w:p>
            <w:pPr>
              <w:pStyle w:val="TableParagraph"/>
              <w:spacing w:before="33"/>
              <w:ind w:left="107"/>
              <w:rPr>
                <w:rFonts w:ascii="Arial"/>
                <w:sz w:val="22"/>
              </w:rPr>
            </w:pPr>
            <w:r>
              <w:rPr>
                <w:rFonts w:ascii="Arial"/>
                <w:sz w:val="22"/>
              </w:rPr>
              <w:t>Sellador totalmente desalojado</w:t>
            </w:r>
          </w:p>
        </w:tc>
        <w:tc>
          <w:tcPr>
            <w:tcW w:w="1359" w:type="dxa"/>
            <w:tcBorders>
              <w:top w:val="nil"/>
              <w:left w:val="nil"/>
              <w:bottom w:val="nil"/>
              <w:right w:val="nil"/>
            </w:tcBorders>
          </w:tcPr>
          <w:p>
            <w:pPr>
              <w:pStyle w:val="TableParagraph"/>
              <w:spacing w:before="33"/>
              <w:ind w:right="59"/>
              <w:jc w:val="center"/>
              <w:rPr>
                <w:rFonts w:ascii="Arial"/>
                <w:sz w:val="22"/>
              </w:rPr>
            </w:pPr>
            <w:r>
              <w:rPr>
                <w:rFonts w:ascii="Arial"/>
                <w:w w:val="100"/>
                <w:sz w:val="22"/>
              </w:rPr>
              <w:t>2</w:t>
            </w:r>
          </w:p>
        </w:tc>
        <w:tc>
          <w:tcPr>
            <w:tcW w:w="1157" w:type="dxa"/>
            <w:tcBorders>
              <w:top w:val="nil"/>
              <w:left w:val="nil"/>
              <w:bottom w:val="nil"/>
              <w:right w:val="nil"/>
            </w:tcBorders>
          </w:tcPr>
          <w:p>
            <w:pPr>
              <w:pStyle w:val="TableParagraph"/>
              <w:spacing w:before="33"/>
              <w:ind w:left="478"/>
              <w:rPr>
                <w:rFonts w:ascii="Arial"/>
                <w:sz w:val="22"/>
              </w:rPr>
            </w:pPr>
            <w:r>
              <w:rPr>
                <w:rFonts w:ascii="Arial"/>
                <w:w w:val="100"/>
                <w:sz w:val="22"/>
              </w:rPr>
              <w:t>3</w:t>
            </w:r>
          </w:p>
        </w:tc>
        <w:tc>
          <w:tcPr>
            <w:tcW w:w="1358" w:type="dxa"/>
            <w:tcBorders>
              <w:top w:val="nil"/>
              <w:left w:val="nil"/>
              <w:bottom w:val="nil"/>
              <w:right w:val="nil"/>
            </w:tcBorders>
          </w:tcPr>
          <w:p>
            <w:pPr>
              <w:pStyle w:val="TableParagraph"/>
              <w:spacing w:before="33"/>
              <w:ind w:right="574"/>
              <w:jc w:val="right"/>
              <w:rPr>
                <w:rFonts w:ascii="Arial"/>
                <w:sz w:val="22"/>
              </w:rPr>
            </w:pPr>
            <w:r>
              <w:rPr>
                <w:rFonts w:ascii="Arial"/>
                <w:w w:val="100"/>
                <w:sz w:val="22"/>
              </w:rPr>
              <w:t>0</w:t>
            </w:r>
          </w:p>
        </w:tc>
        <w:tc>
          <w:tcPr>
            <w:tcW w:w="1001" w:type="dxa"/>
            <w:tcBorders>
              <w:top w:val="nil"/>
              <w:left w:val="nil"/>
              <w:bottom w:val="nil"/>
              <w:right w:val="nil"/>
            </w:tcBorders>
          </w:tcPr>
          <w:p>
            <w:pPr>
              <w:pStyle w:val="TableParagraph"/>
              <w:spacing w:before="33"/>
              <w:ind w:left="77"/>
              <w:jc w:val="center"/>
              <w:rPr>
                <w:rFonts w:ascii="Arial"/>
                <w:sz w:val="22"/>
              </w:rPr>
            </w:pPr>
            <w:r>
              <w:rPr>
                <w:rFonts w:ascii="Arial"/>
                <w:w w:val="100"/>
                <w:sz w:val="22"/>
              </w:rPr>
              <w:t>5</w:t>
            </w:r>
          </w:p>
        </w:tc>
      </w:tr>
      <w:tr>
        <w:trPr>
          <w:trHeight w:val="401" w:hRule="exact"/>
        </w:trPr>
        <w:tc>
          <w:tcPr>
            <w:tcW w:w="8366" w:type="dxa"/>
            <w:gridSpan w:val="5"/>
            <w:tcBorders>
              <w:top w:val="nil"/>
              <w:left w:val="nil"/>
              <w:bottom w:val="nil"/>
              <w:right w:val="nil"/>
            </w:tcBorders>
          </w:tcPr>
          <w:p>
            <w:pPr>
              <w:pStyle w:val="TableParagraph"/>
              <w:tabs>
                <w:tab w:pos="8365" w:val="left" w:leader="none"/>
              </w:tabs>
              <w:spacing w:before="90"/>
              <w:rPr>
                <w:rFonts w:ascii="Arial"/>
                <w:b/>
                <w:sz w:val="22"/>
              </w:rPr>
            </w:pPr>
            <w:r>
              <w:rPr>
                <w:rFonts w:ascii="Arial"/>
                <w:b/>
                <w:w w:val="100"/>
                <w:sz w:val="22"/>
                <w:shd w:fill="F1F1F1" w:color="auto" w:val="clear"/>
              </w:rPr>
              <w:t> </w:t>
            </w:r>
            <w:r>
              <w:rPr>
                <w:rFonts w:ascii="Arial"/>
                <w:b/>
                <w:spacing w:val="-15"/>
                <w:sz w:val="22"/>
                <w:shd w:fill="F1F1F1" w:color="auto" w:val="clear"/>
              </w:rPr>
              <w:t> </w:t>
            </w:r>
            <w:r>
              <w:rPr>
                <w:rFonts w:ascii="Arial"/>
                <w:b/>
                <w:sz w:val="22"/>
                <w:shd w:fill="F1F1F1" w:color="auto" w:val="clear"/>
              </w:rPr>
              <w:t>MOLAR INFERIOR</w:t>
            </w:r>
            <w:r>
              <w:rPr>
                <w:rFonts w:ascii="Arial"/>
                <w:b/>
                <w:spacing w:val="-14"/>
                <w:sz w:val="22"/>
                <w:shd w:fill="F1F1F1" w:color="auto" w:val="clear"/>
              </w:rPr>
              <w:t> </w:t>
            </w:r>
            <w:r>
              <w:rPr>
                <w:rFonts w:ascii="Arial"/>
                <w:b/>
                <w:sz w:val="22"/>
                <w:shd w:fill="F1F1F1" w:color="auto" w:val="clear"/>
              </w:rPr>
              <w:t>DERECHO</w:t>
              <w:tab/>
            </w:r>
          </w:p>
        </w:tc>
      </w:tr>
      <w:tr>
        <w:trPr>
          <w:trHeight w:val="343" w:hRule="exact"/>
        </w:trPr>
        <w:tc>
          <w:tcPr>
            <w:tcW w:w="3491" w:type="dxa"/>
            <w:tcBorders>
              <w:top w:val="nil"/>
              <w:left w:val="nil"/>
              <w:bottom w:val="nil"/>
              <w:right w:val="nil"/>
            </w:tcBorders>
          </w:tcPr>
          <w:p>
            <w:pPr>
              <w:pStyle w:val="TableParagraph"/>
              <w:spacing w:before="35"/>
              <w:ind w:left="107"/>
              <w:rPr>
                <w:rFonts w:ascii="Arial"/>
                <w:sz w:val="22"/>
              </w:rPr>
            </w:pPr>
            <w:r>
              <w:rPr>
                <w:rFonts w:ascii="Arial"/>
                <w:sz w:val="22"/>
              </w:rPr>
              <w:t>Sellador completo</w:t>
            </w:r>
          </w:p>
        </w:tc>
        <w:tc>
          <w:tcPr>
            <w:tcW w:w="1359" w:type="dxa"/>
            <w:tcBorders>
              <w:top w:val="nil"/>
              <w:left w:val="nil"/>
              <w:bottom w:val="nil"/>
              <w:right w:val="nil"/>
            </w:tcBorders>
          </w:tcPr>
          <w:p>
            <w:pPr>
              <w:pStyle w:val="TableParagraph"/>
              <w:spacing w:before="35"/>
              <w:ind w:right="59"/>
              <w:jc w:val="center"/>
              <w:rPr>
                <w:rFonts w:ascii="Arial"/>
                <w:sz w:val="22"/>
              </w:rPr>
            </w:pPr>
            <w:r>
              <w:rPr>
                <w:rFonts w:ascii="Arial"/>
                <w:w w:val="100"/>
                <w:sz w:val="22"/>
              </w:rPr>
              <w:t>6</w:t>
            </w:r>
          </w:p>
        </w:tc>
        <w:tc>
          <w:tcPr>
            <w:tcW w:w="1157" w:type="dxa"/>
            <w:tcBorders>
              <w:top w:val="nil"/>
              <w:left w:val="nil"/>
              <w:bottom w:val="nil"/>
              <w:right w:val="nil"/>
            </w:tcBorders>
          </w:tcPr>
          <w:p>
            <w:pPr>
              <w:pStyle w:val="TableParagraph"/>
              <w:spacing w:before="35"/>
              <w:ind w:left="478"/>
              <w:rPr>
                <w:rFonts w:ascii="Arial"/>
                <w:sz w:val="22"/>
              </w:rPr>
            </w:pPr>
            <w:r>
              <w:rPr>
                <w:rFonts w:ascii="Arial"/>
                <w:w w:val="100"/>
                <w:sz w:val="22"/>
              </w:rPr>
              <w:t>1</w:t>
            </w:r>
          </w:p>
        </w:tc>
        <w:tc>
          <w:tcPr>
            <w:tcW w:w="1358" w:type="dxa"/>
            <w:tcBorders>
              <w:top w:val="nil"/>
              <w:left w:val="nil"/>
              <w:bottom w:val="nil"/>
              <w:right w:val="nil"/>
            </w:tcBorders>
          </w:tcPr>
          <w:p>
            <w:pPr>
              <w:pStyle w:val="TableParagraph"/>
              <w:spacing w:before="35"/>
              <w:ind w:right="574"/>
              <w:jc w:val="right"/>
              <w:rPr>
                <w:rFonts w:ascii="Arial"/>
                <w:sz w:val="22"/>
              </w:rPr>
            </w:pPr>
            <w:r>
              <w:rPr>
                <w:rFonts w:ascii="Arial"/>
                <w:w w:val="100"/>
                <w:sz w:val="22"/>
              </w:rPr>
              <w:t>2</w:t>
            </w:r>
          </w:p>
        </w:tc>
        <w:tc>
          <w:tcPr>
            <w:tcW w:w="1001" w:type="dxa"/>
            <w:tcBorders>
              <w:top w:val="nil"/>
              <w:left w:val="nil"/>
              <w:bottom w:val="nil"/>
              <w:right w:val="nil"/>
            </w:tcBorders>
          </w:tcPr>
          <w:p>
            <w:pPr>
              <w:pStyle w:val="TableParagraph"/>
              <w:spacing w:before="35"/>
              <w:ind w:left="77"/>
              <w:jc w:val="center"/>
              <w:rPr>
                <w:rFonts w:ascii="Arial"/>
                <w:sz w:val="22"/>
              </w:rPr>
            </w:pPr>
            <w:r>
              <w:rPr>
                <w:rFonts w:ascii="Arial"/>
                <w:w w:val="100"/>
                <w:sz w:val="22"/>
              </w:rPr>
              <w:t>9</w:t>
            </w:r>
          </w:p>
        </w:tc>
      </w:tr>
      <w:tr>
        <w:trPr>
          <w:trHeight w:val="342" w:hRule="exact"/>
        </w:trPr>
        <w:tc>
          <w:tcPr>
            <w:tcW w:w="3491" w:type="dxa"/>
            <w:tcBorders>
              <w:top w:val="nil"/>
              <w:left w:val="nil"/>
              <w:bottom w:val="nil"/>
              <w:right w:val="nil"/>
            </w:tcBorders>
          </w:tcPr>
          <w:p>
            <w:pPr>
              <w:pStyle w:val="TableParagraph"/>
              <w:spacing w:before="32"/>
              <w:ind w:left="107"/>
              <w:rPr>
                <w:rFonts w:ascii="Arial"/>
                <w:sz w:val="22"/>
              </w:rPr>
            </w:pPr>
            <w:r>
              <w:rPr>
                <w:rFonts w:ascii="Arial"/>
                <w:sz w:val="22"/>
              </w:rPr>
              <w:t>Sellador parcialmente desalojado</w:t>
            </w:r>
          </w:p>
        </w:tc>
        <w:tc>
          <w:tcPr>
            <w:tcW w:w="1359" w:type="dxa"/>
            <w:tcBorders>
              <w:top w:val="nil"/>
              <w:left w:val="nil"/>
              <w:bottom w:val="nil"/>
              <w:right w:val="nil"/>
            </w:tcBorders>
          </w:tcPr>
          <w:p>
            <w:pPr>
              <w:pStyle w:val="TableParagraph"/>
              <w:spacing w:before="32"/>
              <w:ind w:right="59"/>
              <w:jc w:val="center"/>
              <w:rPr>
                <w:rFonts w:ascii="Arial"/>
                <w:sz w:val="22"/>
              </w:rPr>
            </w:pPr>
            <w:r>
              <w:rPr>
                <w:rFonts w:ascii="Arial"/>
                <w:w w:val="100"/>
                <w:sz w:val="22"/>
              </w:rPr>
              <w:t>0</w:t>
            </w:r>
          </w:p>
        </w:tc>
        <w:tc>
          <w:tcPr>
            <w:tcW w:w="1157" w:type="dxa"/>
            <w:tcBorders>
              <w:top w:val="nil"/>
              <w:left w:val="nil"/>
              <w:bottom w:val="nil"/>
              <w:right w:val="nil"/>
            </w:tcBorders>
          </w:tcPr>
          <w:p>
            <w:pPr>
              <w:pStyle w:val="TableParagraph"/>
              <w:spacing w:before="32"/>
              <w:ind w:left="478"/>
              <w:rPr>
                <w:rFonts w:ascii="Arial"/>
                <w:sz w:val="22"/>
              </w:rPr>
            </w:pPr>
            <w:r>
              <w:rPr>
                <w:rFonts w:ascii="Arial"/>
                <w:w w:val="100"/>
                <w:sz w:val="22"/>
              </w:rPr>
              <w:t>5</w:t>
            </w:r>
          </w:p>
        </w:tc>
        <w:tc>
          <w:tcPr>
            <w:tcW w:w="1358" w:type="dxa"/>
            <w:tcBorders>
              <w:top w:val="nil"/>
              <w:left w:val="nil"/>
              <w:bottom w:val="nil"/>
              <w:right w:val="nil"/>
            </w:tcBorders>
          </w:tcPr>
          <w:p>
            <w:pPr>
              <w:pStyle w:val="TableParagraph"/>
              <w:spacing w:before="32"/>
              <w:ind w:right="574"/>
              <w:jc w:val="right"/>
              <w:rPr>
                <w:rFonts w:ascii="Arial"/>
                <w:sz w:val="22"/>
              </w:rPr>
            </w:pPr>
            <w:r>
              <w:rPr>
                <w:rFonts w:ascii="Arial"/>
                <w:w w:val="100"/>
                <w:sz w:val="22"/>
              </w:rPr>
              <w:t>1</w:t>
            </w:r>
          </w:p>
        </w:tc>
        <w:tc>
          <w:tcPr>
            <w:tcW w:w="1001" w:type="dxa"/>
            <w:tcBorders>
              <w:top w:val="nil"/>
              <w:left w:val="nil"/>
              <w:bottom w:val="nil"/>
              <w:right w:val="nil"/>
            </w:tcBorders>
          </w:tcPr>
          <w:p>
            <w:pPr>
              <w:pStyle w:val="TableParagraph"/>
              <w:spacing w:before="32"/>
              <w:ind w:left="77"/>
              <w:jc w:val="center"/>
              <w:rPr>
                <w:rFonts w:ascii="Arial"/>
                <w:sz w:val="22"/>
              </w:rPr>
            </w:pPr>
            <w:r>
              <w:rPr>
                <w:rFonts w:ascii="Arial"/>
                <w:w w:val="100"/>
                <w:sz w:val="22"/>
              </w:rPr>
              <w:t>6</w:t>
            </w:r>
          </w:p>
        </w:tc>
      </w:tr>
      <w:tr>
        <w:trPr>
          <w:trHeight w:val="377" w:hRule="exact"/>
        </w:trPr>
        <w:tc>
          <w:tcPr>
            <w:tcW w:w="3491" w:type="dxa"/>
            <w:tcBorders>
              <w:top w:val="nil"/>
              <w:left w:val="nil"/>
              <w:bottom w:val="nil"/>
              <w:right w:val="nil"/>
            </w:tcBorders>
          </w:tcPr>
          <w:p>
            <w:pPr>
              <w:pStyle w:val="TableParagraph"/>
              <w:spacing w:before="33"/>
              <w:ind w:left="107"/>
              <w:rPr>
                <w:rFonts w:ascii="Arial"/>
                <w:sz w:val="22"/>
              </w:rPr>
            </w:pPr>
            <w:r>
              <w:rPr>
                <w:rFonts w:ascii="Arial"/>
                <w:sz w:val="22"/>
              </w:rPr>
              <w:t>Sellador totalmente desalojado</w:t>
            </w:r>
          </w:p>
        </w:tc>
        <w:tc>
          <w:tcPr>
            <w:tcW w:w="1359" w:type="dxa"/>
            <w:tcBorders>
              <w:top w:val="nil"/>
              <w:left w:val="nil"/>
              <w:bottom w:val="nil"/>
              <w:right w:val="nil"/>
            </w:tcBorders>
          </w:tcPr>
          <w:p>
            <w:pPr>
              <w:pStyle w:val="TableParagraph"/>
              <w:spacing w:before="33"/>
              <w:ind w:right="59"/>
              <w:jc w:val="center"/>
              <w:rPr>
                <w:rFonts w:ascii="Arial"/>
                <w:sz w:val="22"/>
              </w:rPr>
            </w:pPr>
            <w:r>
              <w:rPr>
                <w:rFonts w:ascii="Arial"/>
                <w:w w:val="100"/>
                <w:sz w:val="22"/>
              </w:rPr>
              <w:t>2</w:t>
            </w:r>
          </w:p>
        </w:tc>
        <w:tc>
          <w:tcPr>
            <w:tcW w:w="1157" w:type="dxa"/>
            <w:tcBorders>
              <w:top w:val="nil"/>
              <w:left w:val="nil"/>
              <w:bottom w:val="nil"/>
              <w:right w:val="nil"/>
            </w:tcBorders>
          </w:tcPr>
          <w:p>
            <w:pPr>
              <w:pStyle w:val="TableParagraph"/>
              <w:spacing w:before="33"/>
              <w:ind w:left="478"/>
              <w:rPr>
                <w:rFonts w:ascii="Arial"/>
                <w:sz w:val="22"/>
              </w:rPr>
            </w:pPr>
            <w:r>
              <w:rPr>
                <w:rFonts w:ascii="Arial"/>
                <w:w w:val="100"/>
                <w:sz w:val="22"/>
              </w:rPr>
              <w:t>0</w:t>
            </w:r>
          </w:p>
        </w:tc>
        <w:tc>
          <w:tcPr>
            <w:tcW w:w="1358" w:type="dxa"/>
            <w:tcBorders>
              <w:top w:val="nil"/>
              <w:left w:val="nil"/>
              <w:bottom w:val="nil"/>
              <w:right w:val="nil"/>
            </w:tcBorders>
          </w:tcPr>
          <w:p>
            <w:pPr>
              <w:pStyle w:val="TableParagraph"/>
              <w:spacing w:before="33"/>
              <w:ind w:right="574"/>
              <w:jc w:val="right"/>
              <w:rPr>
                <w:rFonts w:ascii="Arial"/>
                <w:sz w:val="22"/>
              </w:rPr>
            </w:pPr>
            <w:r>
              <w:rPr>
                <w:rFonts w:ascii="Arial"/>
                <w:w w:val="100"/>
                <w:sz w:val="22"/>
              </w:rPr>
              <w:t>0</w:t>
            </w:r>
          </w:p>
        </w:tc>
        <w:tc>
          <w:tcPr>
            <w:tcW w:w="1001" w:type="dxa"/>
            <w:tcBorders>
              <w:top w:val="nil"/>
              <w:left w:val="nil"/>
              <w:bottom w:val="nil"/>
              <w:right w:val="nil"/>
            </w:tcBorders>
          </w:tcPr>
          <w:p>
            <w:pPr>
              <w:pStyle w:val="TableParagraph"/>
              <w:spacing w:before="33"/>
              <w:ind w:left="77"/>
              <w:jc w:val="center"/>
              <w:rPr>
                <w:rFonts w:ascii="Arial"/>
                <w:sz w:val="22"/>
              </w:rPr>
            </w:pPr>
            <w:r>
              <w:rPr>
                <w:rFonts w:ascii="Arial"/>
                <w:w w:val="100"/>
                <w:sz w:val="22"/>
              </w:rPr>
              <w:t>2</w:t>
            </w:r>
          </w:p>
        </w:tc>
      </w:tr>
      <w:tr>
        <w:trPr>
          <w:trHeight w:val="366" w:hRule="exact"/>
        </w:trPr>
        <w:tc>
          <w:tcPr>
            <w:tcW w:w="3491" w:type="dxa"/>
            <w:tcBorders>
              <w:top w:val="nil"/>
              <w:left w:val="nil"/>
              <w:bottom w:val="single" w:sz="17" w:space="0" w:color="000000"/>
              <w:right w:val="nil"/>
            </w:tcBorders>
            <w:shd w:val="clear" w:color="auto" w:fill="F1F1F1"/>
          </w:tcPr>
          <w:p>
            <w:pPr>
              <w:pStyle w:val="TableParagraph"/>
              <w:spacing w:line="251" w:lineRule="exact"/>
              <w:ind w:left="107"/>
              <w:rPr>
                <w:rFonts w:ascii="Arial"/>
                <w:sz w:val="22"/>
              </w:rPr>
            </w:pPr>
            <w:r>
              <w:rPr>
                <w:rFonts w:ascii="Arial"/>
                <w:sz w:val="22"/>
              </w:rPr>
              <w:t>TOTAL</w:t>
            </w:r>
          </w:p>
        </w:tc>
        <w:tc>
          <w:tcPr>
            <w:tcW w:w="1359" w:type="dxa"/>
            <w:tcBorders>
              <w:top w:val="nil"/>
              <w:left w:val="nil"/>
              <w:bottom w:val="single" w:sz="17" w:space="0" w:color="000000"/>
              <w:right w:val="nil"/>
            </w:tcBorders>
            <w:shd w:val="clear" w:color="auto" w:fill="F1F1F1"/>
          </w:tcPr>
          <w:p>
            <w:pPr>
              <w:pStyle w:val="TableParagraph"/>
              <w:spacing w:line="251" w:lineRule="exact"/>
              <w:ind w:left="109" w:right="171"/>
              <w:jc w:val="center"/>
              <w:rPr>
                <w:rFonts w:ascii="Arial"/>
                <w:sz w:val="22"/>
              </w:rPr>
            </w:pPr>
            <w:r>
              <w:rPr>
                <w:rFonts w:ascii="Arial"/>
                <w:sz w:val="22"/>
              </w:rPr>
              <w:t>24</w:t>
            </w:r>
          </w:p>
        </w:tc>
        <w:tc>
          <w:tcPr>
            <w:tcW w:w="1157" w:type="dxa"/>
            <w:tcBorders>
              <w:top w:val="nil"/>
              <w:left w:val="nil"/>
              <w:bottom w:val="single" w:sz="17" w:space="0" w:color="000000"/>
              <w:right w:val="nil"/>
            </w:tcBorders>
            <w:shd w:val="clear" w:color="auto" w:fill="F1F1F1"/>
          </w:tcPr>
          <w:p>
            <w:pPr>
              <w:pStyle w:val="TableParagraph"/>
              <w:spacing w:line="251" w:lineRule="exact"/>
              <w:ind w:left="418" w:right="247"/>
              <w:rPr>
                <w:rFonts w:ascii="Arial"/>
                <w:sz w:val="22"/>
              </w:rPr>
            </w:pPr>
            <w:r>
              <w:rPr>
                <w:rFonts w:ascii="Arial"/>
                <w:sz w:val="22"/>
              </w:rPr>
              <w:t>14</w:t>
            </w:r>
          </w:p>
        </w:tc>
        <w:tc>
          <w:tcPr>
            <w:tcW w:w="1358" w:type="dxa"/>
            <w:tcBorders>
              <w:top w:val="nil"/>
              <w:left w:val="nil"/>
              <w:bottom w:val="single" w:sz="17" w:space="0" w:color="000000"/>
              <w:right w:val="nil"/>
            </w:tcBorders>
            <w:shd w:val="clear" w:color="auto" w:fill="F1F1F1"/>
          </w:tcPr>
          <w:p>
            <w:pPr>
              <w:pStyle w:val="TableParagraph"/>
              <w:spacing w:line="251" w:lineRule="exact"/>
              <w:ind w:right="574"/>
              <w:jc w:val="right"/>
              <w:rPr>
                <w:rFonts w:ascii="Arial"/>
                <w:sz w:val="22"/>
              </w:rPr>
            </w:pPr>
            <w:r>
              <w:rPr>
                <w:rFonts w:ascii="Arial"/>
                <w:w w:val="100"/>
                <w:sz w:val="22"/>
              </w:rPr>
              <w:t>8</w:t>
            </w:r>
          </w:p>
        </w:tc>
        <w:tc>
          <w:tcPr>
            <w:tcW w:w="1001" w:type="dxa"/>
            <w:tcBorders>
              <w:top w:val="nil"/>
              <w:left w:val="nil"/>
              <w:bottom w:val="single" w:sz="17" w:space="0" w:color="000000"/>
              <w:right w:val="nil"/>
            </w:tcBorders>
            <w:shd w:val="clear" w:color="auto" w:fill="F1F1F1"/>
          </w:tcPr>
          <w:p>
            <w:pPr>
              <w:pStyle w:val="TableParagraph"/>
              <w:spacing w:line="251" w:lineRule="exact"/>
              <w:ind w:left="160" w:right="86"/>
              <w:jc w:val="center"/>
              <w:rPr>
                <w:rFonts w:ascii="Arial"/>
                <w:sz w:val="22"/>
              </w:rPr>
            </w:pPr>
            <w:r>
              <w:rPr>
                <w:rFonts w:ascii="Arial"/>
                <w:sz w:val="22"/>
              </w:rPr>
              <w:t>46</w:t>
            </w:r>
          </w:p>
        </w:tc>
      </w:tr>
    </w:tbl>
    <w:p>
      <w:pPr>
        <w:pStyle w:val="BodyText"/>
        <w:spacing w:line="253" w:lineRule="exact"/>
        <w:ind w:left="160"/>
        <w:jc w:val="both"/>
      </w:pPr>
      <w:r>
        <w:rPr/>
        <w:t>***Correlación Pearson (P=0.044)</w:t>
      </w:r>
    </w:p>
    <w:p>
      <w:pPr>
        <w:pStyle w:val="BodyText"/>
      </w:pPr>
    </w:p>
    <w:p>
      <w:pPr>
        <w:pStyle w:val="BodyText"/>
        <w:spacing w:before="10"/>
        <w:rPr>
          <w:sz w:val="25"/>
        </w:rPr>
      </w:pPr>
    </w:p>
    <w:p>
      <w:pPr>
        <w:pStyle w:val="BodyText"/>
        <w:spacing w:line="480" w:lineRule="auto"/>
        <w:ind w:left="160" w:right="177"/>
        <w:jc w:val="both"/>
      </w:pPr>
      <w:r>
        <w:rPr/>
        <w:t>En la evaluación a seis meses en los molares tratados con el sellador Helioseal F se observaron 14/24 selladores completos, 3/24 parcialmente desalojados y 7/24 totalmente desalojados,  notándose un aumento de estos últimos en comparación con la primera evaluación. Sin embargo, el número de  selladores que desde un inicio se reportaron como completos, no se</w:t>
      </w:r>
      <w:r>
        <w:rPr>
          <w:spacing w:val="-25"/>
        </w:rPr>
        <w:t> </w:t>
      </w:r>
      <w:r>
        <w:rPr/>
        <w:t>modificó</w:t>
      </w:r>
    </w:p>
    <w:p>
      <w:pPr>
        <w:pStyle w:val="BodyText"/>
      </w:pPr>
    </w:p>
    <w:p>
      <w:pPr>
        <w:pStyle w:val="BodyText"/>
        <w:spacing w:before="8"/>
      </w:pPr>
    </w:p>
    <w:p>
      <w:pPr>
        <w:pStyle w:val="BodyText"/>
        <w:spacing w:line="480" w:lineRule="auto"/>
        <w:ind w:left="160" w:right="174"/>
        <w:jc w:val="both"/>
      </w:pPr>
      <w:r>
        <w:rPr/>
        <w:t>El sellador UltraSeal XT presentó 5/16 selladores completos, ningún sellador parcialmente  desalojado y 3/16 selladores completos del total de selladores que se colocaron de esta marca, observándose un aumento no significativo en los selladores totalmente</w:t>
      </w:r>
      <w:r>
        <w:rPr>
          <w:spacing w:val="-30"/>
        </w:rPr>
        <w:t> </w:t>
      </w:r>
      <w:r>
        <w:rPr/>
        <w:t>desalojados.</w:t>
      </w:r>
    </w:p>
    <w:p>
      <w:pPr>
        <w:spacing w:after="0" w:line="480" w:lineRule="auto"/>
        <w:jc w:val="both"/>
        <w:sectPr>
          <w:pgSz w:w="12240" w:h="15840"/>
          <w:pgMar w:header="731" w:footer="1017" w:top="1360" w:bottom="1220" w:left="560" w:right="540"/>
        </w:sectPr>
      </w:pPr>
    </w:p>
    <w:p>
      <w:pPr>
        <w:pStyle w:val="BodyText"/>
        <w:spacing w:before="7"/>
        <w:rPr>
          <w:sz w:val="17"/>
        </w:rPr>
      </w:pPr>
    </w:p>
    <w:p>
      <w:pPr>
        <w:pStyle w:val="BodyText"/>
        <w:spacing w:line="480" w:lineRule="auto" w:before="69"/>
        <w:ind w:left="160" w:right="173"/>
        <w:jc w:val="both"/>
      </w:pPr>
      <w:r>
        <w:rPr/>
        <w:t>Una situación similar se nota en el grupo de molares con sellador Clinpro TM se observaron 5/19 selladores completos, 6/19 parcialmente desalojados y 3/19 totalmente desalojados. En tanto que el sellador UltraSeal XT presentó 7/16 selladores completos, 2/16 selladores parcialmente desalojados y ningún sellador totalmente</w:t>
      </w:r>
      <w:r>
        <w:rPr>
          <w:spacing w:val="-12"/>
        </w:rPr>
        <w:t> </w:t>
      </w:r>
      <w:r>
        <w:rPr/>
        <w:t>desalojado</w:t>
      </w:r>
    </w:p>
    <w:p>
      <w:pPr>
        <w:pStyle w:val="BodyText"/>
      </w:pPr>
    </w:p>
    <w:p>
      <w:pPr>
        <w:pStyle w:val="BodyText"/>
        <w:spacing w:before="7"/>
      </w:pPr>
    </w:p>
    <w:p>
      <w:pPr>
        <w:pStyle w:val="BodyText"/>
        <w:spacing w:line="480" w:lineRule="auto" w:before="1"/>
        <w:ind w:left="160" w:right="188"/>
        <w:jc w:val="both"/>
      </w:pPr>
      <w:r>
        <w:rPr/>
        <w:t>En el molar superior izquierdo no se observan diferencias significativas de la capacidad de retención entre las diferentes marcas.</w:t>
      </w:r>
    </w:p>
    <w:p>
      <w:pPr>
        <w:spacing w:after="0" w:line="480" w:lineRule="auto"/>
        <w:jc w:val="both"/>
        <w:sectPr>
          <w:pgSz w:w="12240" w:h="15840"/>
          <w:pgMar w:header="731" w:footer="1017" w:top="1360" w:bottom="1220" w:left="560" w:right="540"/>
        </w:sectPr>
      </w:pPr>
    </w:p>
    <w:p>
      <w:pPr>
        <w:pStyle w:val="BodyText"/>
        <w:rPr>
          <w:sz w:val="20"/>
        </w:rPr>
      </w:pPr>
    </w:p>
    <w:p>
      <w:pPr>
        <w:pStyle w:val="BodyText"/>
        <w:rPr>
          <w:sz w:val="26"/>
        </w:rPr>
      </w:pPr>
    </w:p>
    <w:p>
      <w:pPr>
        <w:pStyle w:val="Heading1"/>
        <w:ind w:left="3530" w:right="525" w:hanging="3001"/>
        <w:jc w:val="left"/>
      </w:pPr>
      <w:r>
        <w:rPr/>
        <w:t>Cuadro 4. RESULTADOS DE ESTADO DE LOS SELLADORES EN SEGUNDA EVALUACION A SEIS</w:t>
      </w:r>
      <w:r>
        <w:rPr>
          <w:spacing w:val="68"/>
        </w:rPr>
        <w:t> </w:t>
      </w:r>
      <w:r>
        <w:rPr/>
        <w:t>MESES.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1"/>
        </w:rPr>
      </w:pPr>
    </w:p>
    <w:tbl>
      <w:tblPr>
        <w:tblW w:w="0" w:type="auto"/>
        <w:jc w:val="left"/>
        <w:tblInd w:w="1958"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420"/>
        <w:gridCol w:w="1018"/>
        <w:gridCol w:w="365"/>
        <w:gridCol w:w="1159"/>
        <w:gridCol w:w="274"/>
        <w:gridCol w:w="927"/>
      </w:tblGrid>
      <w:tr>
        <w:trPr>
          <w:trHeight w:val="528" w:hRule="exact"/>
        </w:trPr>
        <w:tc>
          <w:tcPr>
            <w:tcW w:w="3420" w:type="dxa"/>
            <w:tcBorders>
              <w:left w:val="nil"/>
              <w:bottom w:val="nil"/>
              <w:right w:val="nil"/>
            </w:tcBorders>
            <w:shd w:val="clear" w:color="auto" w:fill="F1F1F1"/>
          </w:tcPr>
          <w:p>
            <w:pPr>
              <w:pStyle w:val="TableParagraph"/>
              <w:spacing w:line="242" w:lineRule="auto"/>
              <w:ind w:left="107" w:right="1374"/>
              <w:rPr>
                <w:rFonts w:ascii="Arial"/>
                <w:b/>
                <w:sz w:val="22"/>
              </w:rPr>
            </w:pPr>
            <w:r>
              <w:rPr>
                <w:rFonts w:ascii="Arial"/>
                <w:b/>
                <w:sz w:val="22"/>
              </w:rPr>
              <w:t>MOLAR INFERIOR IZQUIERDO</w:t>
            </w:r>
          </w:p>
        </w:tc>
        <w:tc>
          <w:tcPr>
            <w:tcW w:w="1018" w:type="dxa"/>
            <w:tcBorders>
              <w:left w:val="nil"/>
              <w:bottom w:val="nil"/>
              <w:right w:val="nil"/>
            </w:tcBorders>
            <w:shd w:val="clear" w:color="auto" w:fill="F1F1F1"/>
          </w:tcPr>
          <w:p>
            <w:pPr>
              <w:pStyle w:val="TableParagraph"/>
              <w:spacing w:line="242" w:lineRule="auto"/>
              <w:ind w:left="480" w:right="11" w:hanging="190"/>
              <w:rPr>
                <w:rFonts w:ascii="Arial"/>
                <w:sz w:val="22"/>
              </w:rPr>
            </w:pPr>
            <w:r>
              <w:rPr>
                <w:rFonts w:ascii="Arial"/>
                <w:sz w:val="22"/>
              </w:rPr>
              <w:t>Clinpro TM</w:t>
            </w:r>
          </w:p>
        </w:tc>
        <w:tc>
          <w:tcPr>
            <w:tcW w:w="365" w:type="dxa"/>
            <w:tcBorders>
              <w:left w:val="nil"/>
              <w:bottom w:val="nil"/>
              <w:right w:val="nil"/>
            </w:tcBorders>
            <w:shd w:val="clear" w:color="auto" w:fill="F1F1F1"/>
          </w:tcPr>
          <w:p>
            <w:pPr/>
          </w:p>
        </w:tc>
        <w:tc>
          <w:tcPr>
            <w:tcW w:w="1159" w:type="dxa"/>
            <w:tcBorders>
              <w:left w:val="nil"/>
              <w:bottom w:val="nil"/>
              <w:right w:val="nil"/>
            </w:tcBorders>
            <w:shd w:val="clear" w:color="auto" w:fill="F1F1F1"/>
          </w:tcPr>
          <w:p>
            <w:pPr>
              <w:pStyle w:val="TableParagraph"/>
              <w:spacing w:line="242" w:lineRule="auto"/>
              <w:ind w:left="479" w:right="24" w:hanging="269"/>
              <w:rPr>
                <w:rFonts w:ascii="Arial"/>
                <w:sz w:val="22"/>
              </w:rPr>
            </w:pPr>
            <w:r>
              <w:rPr>
                <w:rFonts w:ascii="Arial"/>
                <w:sz w:val="22"/>
              </w:rPr>
              <w:t>UltraSeal XT*</w:t>
            </w:r>
          </w:p>
        </w:tc>
        <w:tc>
          <w:tcPr>
            <w:tcW w:w="274" w:type="dxa"/>
            <w:tcBorders>
              <w:left w:val="nil"/>
              <w:bottom w:val="nil"/>
              <w:right w:val="nil"/>
            </w:tcBorders>
            <w:shd w:val="clear" w:color="auto" w:fill="F1F1F1"/>
          </w:tcPr>
          <w:p>
            <w:pPr/>
          </w:p>
        </w:tc>
        <w:tc>
          <w:tcPr>
            <w:tcW w:w="927" w:type="dxa"/>
            <w:tcBorders>
              <w:left w:val="nil"/>
              <w:bottom w:val="nil"/>
              <w:right w:val="nil"/>
            </w:tcBorders>
            <w:shd w:val="clear" w:color="auto" w:fill="F1F1F1"/>
          </w:tcPr>
          <w:p>
            <w:pPr>
              <w:pStyle w:val="TableParagraph"/>
              <w:spacing w:line="251" w:lineRule="exact"/>
              <w:ind w:right="106"/>
              <w:jc w:val="right"/>
              <w:rPr>
                <w:rFonts w:ascii="Arial"/>
                <w:sz w:val="22"/>
              </w:rPr>
            </w:pPr>
            <w:r>
              <w:rPr>
                <w:rFonts w:ascii="Arial"/>
                <w:sz w:val="22"/>
              </w:rPr>
              <w:t>TOTAL</w:t>
            </w:r>
          </w:p>
        </w:tc>
      </w:tr>
      <w:tr>
        <w:trPr>
          <w:trHeight w:val="339" w:hRule="exact"/>
        </w:trPr>
        <w:tc>
          <w:tcPr>
            <w:tcW w:w="3420" w:type="dxa"/>
            <w:tcBorders>
              <w:top w:val="nil"/>
              <w:left w:val="nil"/>
              <w:bottom w:val="nil"/>
              <w:right w:val="nil"/>
            </w:tcBorders>
          </w:tcPr>
          <w:p>
            <w:pPr>
              <w:pStyle w:val="TableParagraph"/>
              <w:spacing w:line="251" w:lineRule="exact"/>
              <w:ind w:left="107" w:right="1374"/>
              <w:rPr>
                <w:rFonts w:ascii="Arial"/>
                <w:sz w:val="22"/>
              </w:rPr>
            </w:pPr>
            <w:r>
              <w:rPr>
                <w:rFonts w:ascii="Arial"/>
                <w:sz w:val="22"/>
              </w:rPr>
              <w:t>Sellador completo</w:t>
            </w:r>
          </w:p>
        </w:tc>
        <w:tc>
          <w:tcPr>
            <w:tcW w:w="1018" w:type="dxa"/>
            <w:tcBorders>
              <w:top w:val="nil"/>
              <w:left w:val="nil"/>
              <w:bottom w:val="nil"/>
              <w:right w:val="nil"/>
            </w:tcBorders>
          </w:tcPr>
          <w:p>
            <w:pPr/>
          </w:p>
        </w:tc>
        <w:tc>
          <w:tcPr>
            <w:tcW w:w="365" w:type="dxa"/>
            <w:tcBorders>
              <w:top w:val="nil"/>
              <w:left w:val="nil"/>
              <w:bottom w:val="nil"/>
              <w:right w:val="nil"/>
            </w:tcBorders>
          </w:tcPr>
          <w:p>
            <w:pPr>
              <w:pStyle w:val="TableParagraph"/>
              <w:spacing w:line="251" w:lineRule="exact"/>
              <w:ind w:left="31"/>
              <w:rPr>
                <w:rFonts w:ascii="Arial"/>
                <w:sz w:val="22"/>
              </w:rPr>
            </w:pPr>
            <w:r>
              <w:rPr>
                <w:rFonts w:ascii="Arial"/>
                <w:w w:val="100"/>
                <w:sz w:val="22"/>
              </w:rPr>
              <w:t>2</w:t>
            </w:r>
          </w:p>
        </w:tc>
        <w:tc>
          <w:tcPr>
            <w:tcW w:w="1159" w:type="dxa"/>
            <w:tcBorders>
              <w:top w:val="nil"/>
              <w:left w:val="nil"/>
              <w:bottom w:val="nil"/>
              <w:right w:val="nil"/>
            </w:tcBorders>
          </w:tcPr>
          <w:p>
            <w:pPr/>
          </w:p>
        </w:tc>
        <w:tc>
          <w:tcPr>
            <w:tcW w:w="274" w:type="dxa"/>
            <w:tcBorders>
              <w:top w:val="nil"/>
              <w:left w:val="nil"/>
              <w:bottom w:val="nil"/>
              <w:right w:val="nil"/>
            </w:tcBorders>
          </w:tcPr>
          <w:p>
            <w:pPr>
              <w:pStyle w:val="TableParagraph"/>
              <w:spacing w:line="251" w:lineRule="exact"/>
              <w:ind w:left="42"/>
              <w:rPr>
                <w:rFonts w:ascii="Arial"/>
                <w:sz w:val="22"/>
              </w:rPr>
            </w:pPr>
            <w:r>
              <w:rPr>
                <w:rFonts w:ascii="Arial"/>
                <w:w w:val="100"/>
                <w:sz w:val="22"/>
              </w:rPr>
              <w:t>5</w:t>
            </w:r>
          </w:p>
        </w:tc>
        <w:tc>
          <w:tcPr>
            <w:tcW w:w="927" w:type="dxa"/>
            <w:tcBorders>
              <w:top w:val="nil"/>
              <w:left w:val="nil"/>
              <w:bottom w:val="nil"/>
              <w:right w:val="nil"/>
            </w:tcBorders>
          </w:tcPr>
          <w:p>
            <w:pPr>
              <w:pStyle w:val="TableParagraph"/>
              <w:spacing w:line="251" w:lineRule="exact"/>
              <w:ind w:right="108"/>
              <w:jc w:val="right"/>
              <w:rPr>
                <w:rFonts w:ascii="Arial"/>
                <w:sz w:val="22"/>
              </w:rPr>
            </w:pPr>
            <w:r>
              <w:rPr>
                <w:rFonts w:ascii="Arial"/>
                <w:w w:val="100"/>
                <w:sz w:val="22"/>
              </w:rPr>
              <w:t>7</w:t>
            </w:r>
          </w:p>
        </w:tc>
      </w:tr>
      <w:tr>
        <w:trPr>
          <w:trHeight w:val="981" w:hRule="exact"/>
        </w:trPr>
        <w:tc>
          <w:tcPr>
            <w:tcW w:w="3420" w:type="dxa"/>
            <w:tcBorders>
              <w:top w:val="nil"/>
              <w:left w:val="nil"/>
              <w:bottom w:val="nil"/>
              <w:right w:val="nil"/>
            </w:tcBorders>
          </w:tcPr>
          <w:p>
            <w:pPr>
              <w:pStyle w:val="TableParagraph"/>
              <w:spacing w:before="66"/>
              <w:ind w:left="107" w:right="1165"/>
              <w:rPr>
                <w:rFonts w:ascii="Arial"/>
                <w:sz w:val="22"/>
              </w:rPr>
            </w:pPr>
            <w:r>
              <w:rPr>
                <w:rFonts w:ascii="Arial"/>
                <w:sz w:val="22"/>
              </w:rPr>
              <w:t>Sellador parcialmente desalojado</w:t>
            </w:r>
          </w:p>
          <w:p>
            <w:pPr>
              <w:pStyle w:val="TableParagraph"/>
              <w:spacing w:line="253" w:lineRule="exact"/>
              <w:ind w:left="107"/>
              <w:rPr>
                <w:rFonts w:ascii="Arial"/>
                <w:sz w:val="22"/>
              </w:rPr>
            </w:pPr>
            <w:r>
              <w:rPr>
                <w:rFonts w:ascii="Arial"/>
                <w:sz w:val="22"/>
              </w:rPr>
              <w:t>Sellador totalmente desalojado</w:t>
            </w:r>
          </w:p>
        </w:tc>
        <w:tc>
          <w:tcPr>
            <w:tcW w:w="1018" w:type="dxa"/>
            <w:tcBorders>
              <w:top w:val="nil"/>
              <w:left w:val="nil"/>
              <w:bottom w:val="nil"/>
              <w:right w:val="nil"/>
            </w:tcBorders>
          </w:tcPr>
          <w:p>
            <w:pPr/>
          </w:p>
        </w:tc>
        <w:tc>
          <w:tcPr>
            <w:tcW w:w="365" w:type="dxa"/>
            <w:tcBorders>
              <w:top w:val="nil"/>
              <w:left w:val="nil"/>
              <w:bottom w:val="nil"/>
              <w:right w:val="nil"/>
            </w:tcBorders>
          </w:tcPr>
          <w:p>
            <w:pPr>
              <w:pStyle w:val="TableParagraph"/>
              <w:spacing w:before="66"/>
              <w:ind w:left="31"/>
              <w:rPr>
                <w:rFonts w:ascii="Arial"/>
                <w:sz w:val="22"/>
              </w:rPr>
            </w:pPr>
            <w:r>
              <w:rPr>
                <w:rFonts w:ascii="Arial"/>
                <w:w w:val="100"/>
                <w:sz w:val="22"/>
              </w:rPr>
              <w:t>1</w:t>
            </w:r>
          </w:p>
          <w:p>
            <w:pPr>
              <w:pStyle w:val="TableParagraph"/>
              <w:spacing w:before="10"/>
              <w:rPr>
                <w:rFonts w:ascii="Arial"/>
                <w:b/>
                <w:sz w:val="21"/>
              </w:rPr>
            </w:pPr>
          </w:p>
          <w:p>
            <w:pPr>
              <w:pStyle w:val="TableParagraph"/>
              <w:ind w:left="31"/>
              <w:rPr>
                <w:rFonts w:ascii="Arial"/>
                <w:sz w:val="22"/>
              </w:rPr>
            </w:pPr>
            <w:r>
              <w:rPr>
                <w:rFonts w:ascii="Arial"/>
                <w:w w:val="100"/>
                <w:sz w:val="22"/>
              </w:rPr>
              <w:t>2</w:t>
            </w:r>
          </w:p>
        </w:tc>
        <w:tc>
          <w:tcPr>
            <w:tcW w:w="1159" w:type="dxa"/>
            <w:tcBorders>
              <w:top w:val="nil"/>
              <w:left w:val="nil"/>
              <w:bottom w:val="nil"/>
              <w:right w:val="nil"/>
            </w:tcBorders>
          </w:tcPr>
          <w:p>
            <w:pPr/>
          </w:p>
        </w:tc>
        <w:tc>
          <w:tcPr>
            <w:tcW w:w="274" w:type="dxa"/>
            <w:tcBorders>
              <w:top w:val="nil"/>
              <w:left w:val="nil"/>
              <w:bottom w:val="nil"/>
              <w:right w:val="nil"/>
            </w:tcBorders>
          </w:tcPr>
          <w:p>
            <w:pPr>
              <w:pStyle w:val="TableParagraph"/>
              <w:spacing w:before="66"/>
              <w:ind w:left="42"/>
              <w:rPr>
                <w:rFonts w:ascii="Arial"/>
                <w:sz w:val="22"/>
              </w:rPr>
            </w:pPr>
            <w:r>
              <w:rPr>
                <w:rFonts w:ascii="Arial"/>
                <w:w w:val="100"/>
                <w:sz w:val="22"/>
              </w:rPr>
              <w:t>0</w:t>
            </w:r>
          </w:p>
          <w:p>
            <w:pPr>
              <w:pStyle w:val="TableParagraph"/>
              <w:spacing w:before="10"/>
              <w:rPr>
                <w:rFonts w:ascii="Arial"/>
                <w:b/>
                <w:sz w:val="21"/>
              </w:rPr>
            </w:pPr>
          </w:p>
          <w:p>
            <w:pPr>
              <w:pStyle w:val="TableParagraph"/>
              <w:ind w:left="42"/>
              <w:rPr>
                <w:rFonts w:ascii="Arial"/>
                <w:sz w:val="22"/>
              </w:rPr>
            </w:pPr>
            <w:r>
              <w:rPr>
                <w:rFonts w:ascii="Arial"/>
                <w:w w:val="100"/>
                <w:sz w:val="22"/>
              </w:rPr>
              <w:t>3</w:t>
            </w:r>
          </w:p>
        </w:tc>
        <w:tc>
          <w:tcPr>
            <w:tcW w:w="927" w:type="dxa"/>
            <w:tcBorders>
              <w:top w:val="nil"/>
              <w:left w:val="nil"/>
              <w:bottom w:val="nil"/>
              <w:right w:val="nil"/>
            </w:tcBorders>
          </w:tcPr>
          <w:p>
            <w:pPr>
              <w:pStyle w:val="TableParagraph"/>
              <w:spacing w:before="66"/>
              <w:ind w:right="108"/>
              <w:jc w:val="right"/>
              <w:rPr>
                <w:rFonts w:ascii="Arial"/>
                <w:sz w:val="22"/>
              </w:rPr>
            </w:pPr>
            <w:r>
              <w:rPr>
                <w:rFonts w:ascii="Arial"/>
                <w:w w:val="100"/>
                <w:sz w:val="22"/>
              </w:rPr>
              <w:t>1</w:t>
            </w:r>
          </w:p>
          <w:p>
            <w:pPr>
              <w:pStyle w:val="TableParagraph"/>
              <w:spacing w:before="10"/>
              <w:rPr>
                <w:rFonts w:ascii="Arial"/>
                <w:b/>
                <w:sz w:val="21"/>
              </w:rPr>
            </w:pPr>
          </w:p>
          <w:p>
            <w:pPr>
              <w:pStyle w:val="TableParagraph"/>
              <w:ind w:right="108"/>
              <w:jc w:val="right"/>
              <w:rPr>
                <w:rFonts w:ascii="Arial"/>
                <w:sz w:val="22"/>
              </w:rPr>
            </w:pPr>
            <w:r>
              <w:rPr>
                <w:rFonts w:ascii="Arial"/>
                <w:w w:val="100"/>
                <w:sz w:val="22"/>
              </w:rPr>
              <w:t>5</w:t>
            </w:r>
          </w:p>
        </w:tc>
      </w:tr>
      <w:tr>
        <w:trPr>
          <w:trHeight w:val="430" w:hRule="exact"/>
        </w:trPr>
        <w:tc>
          <w:tcPr>
            <w:tcW w:w="3420" w:type="dxa"/>
            <w:tcBorders>
              <w:top w:val="nil"/>
              <w:left w:val="nil"/>
              <w:right w:val="nil"/>
            </w:tcBorders>
            <w:shd w:val="clear" w:color="auto" w:fill="F1F1F1"/>
          </w:tcPr>
          <w:p>
            <w:pPr>
              <w:pStyle w:val="TableParagraph"/>
              <w:spacing w:line="251" w:lineRule="exact"/>
              <w:ind w:left="107" w:right="1374"/>
              <w:rPr>
                <w:rFonts w:ascii="Arial"/>
                <w:sz w:val="22"/>
              </w:rPr>
            </w:pPr>
            <w:r>
              <w:rPr>
                <w:rFonts w:ascii="Arial"/>
                <w:sz w:val="22"/>
              </w:rPr>
              <w:t>Total</w:t>
            </w:r>
          </w:p>
        </w:tc>
        <w:tc>
          <w:tcPr>
            <w:tcW w:w="1018" w:type="dxa"/>
            <w:tcBorders>
              <w:top w:val="nil"/>
              <w:left w:val="nil"/>
              <w:right w:val="nil"/>
            </w:tcBorders>
            <w:shd w:val="clear" w:color="auto" w:fill="F1F1F1"/>
          </w:tcPr>
          <w:p>
            <w:pPr/>
          </w:p>
        </w:tc>
        <w:tc>
          <w:tcPr>
            <w:tcW w:w="365" w:type="dxa"/>
            <w:tcBorders>
              <w:top w:val="nil"/>
              <w:left w:val="nil"/>
              <w:right w:val="nil"/>
            </w:tcBorders>
            <w:shd w:val="clear" w:color="auto" w:fill="F1F1F1"/>
          </w:tcPr>
          <w:p>
            <w:pPr>
              <w:pStyle w:val="TableParagraph"/>
              <w:spacing w:line="251" w:lineRule="exact"/>
              <w:ind w:left="31"/>
              <w:rPr>
                <w:rFonts w:ascii="Arial"/>
                <w:sz w:val="22"/>
              </w:rPr>
            </w:pPr>
            <w:r>
              <w:rPr>
                <w:rFonts w:ascii="Arial"/>
                <w:w w:val="100"/>
                <w:sz w:val="22"/>
              </w:rPr>
              <w:t>5</w:t>
            </w:r>
          </w:p>
        </w:tc>
        <w:tc>
          <w:tcPr>
            <w:tcW w:w="1159" w:type="dxa"/>
            <w:tcBorders>
              <w:top w:val="nil"/>
              <w:left w:val="nil"/>
              <w:right w:val="nil"/>
            </w:tcBorders>
            <w:shd w:val="clear" w:color="auto" w:fill="F1F1F1"/>
          </w:tcPr>
          <w:p>
            <w:pPr/>
          </w:p>
        </w:tc>
        <w:tc>
          <w:tcPr>
            <w:tcW w:w="274" w:type="dxa"/>
            <w:tcBorders>
              <w:top w:val="nil"/>
              <w:left w:val="nil"/>
              <w:right w:val="nil"/>
            </w:tcBorders>
            <w:shd w:val="clear" w:color="auto" w:fill="F1F1F1"/>
          </w:tcPr>
          <w:p>
            <w:pPr>
              <w:pStyle w:val="TableParagraph"/>
              <w:spacing w:line="251" w:lineRule="exact"/>
              <w:ind w:left="42"/>
              <w:rPr>
                <w:rFonts w:ascii="Arial"/>
                <w:sz w:val="22"/>
              </w:rPr>
            </w:pPr>
            <w:r>
              <w:rPr>
                <w:rFonts w:ascii="Arial"/>
                <w:w w:val="100"/>
                <w:sz w:val="22"/>
              </w:rPr>
              <w:t>8</w:t>
            </w:r>
          </w:p>
        </w:tc>
        <w:tc>
          <w:tcPr>
            <w:tcW w:w="927" w:type="dxa"/>
            <w:tcBorders>
              <w:top w:val="nil"/>
              <w:left w:val="nil"/>
              <w:right w:val="nil"/>
            </w:tcBorders>
            <w:shd w:val="clear" w:color="auto" w:fill="F1F1F1"/>
          </w:tcPr>
          <w:p>
            <w:pPr>
              <w:pStyle w:val="TableParagraph"/>
              <w:spacing w:line="251" w:lineRule="exact"/>
              <w:ind w:right="108"/>
              <w:jc w:val="right"/>
              <w:rPr>
                <w:rFonts w:ascii="Arial"/>
                <w:sz w:val="22"/>
              </w:rPr>
            </w:pPr>
            <w:r>
              <w:rPr>
                <w:rFonts w:ascii="Arial"/>
                <w:sz w:val="22"/>
              </w:rPr>
              <w:t>13</w:t>
            </w:r>
          </w:p>
        </w:tc>
      </w:tr>
    </w:tbl>
    <w:p>
      <w:pPr>
        <w:pStyle w:val="BodyText"/>
        <w:spacing w:before="27"/>
        <w:ind w:left="160"/>
        <w:jc w:val="both"/>
      </w:pPr>
      <w:r>
        <w:rPr/>
        <w:t>* Correlación Pearson (P=0.002)</w:t>
      </w:r>
    </w:p>
    <w:p>
      <w:pPr>
        <w:pStyle w:val="BodyText"/>
      </w:pPr>
    </w:p>
    <w:p>
      <w:pPr>
        <w:pStyle w:val="BodyText"/>
      </w:pPr>
    </w:p>
    <w:p>
      <w:pPr>
        <w:pStyle w:val="BodyText"/>
        <w:spacing w:before="10"/>
        <w:rPr>
          <w:sz w:val="35"/>
        </w:rPr>
      </w:pPr>
    </w:p>
    <w:p>
      <w:pPr>
        <w:pStyle w:val="BodyText"/>
        <w:spacing w:line="480" w:lineRule="auto"/>
        <w:ind w:left="160" w:right="186"/>
        <w:jc w:val="both"/>
      </w:pPr>
      <w:r>
        <w:rPr/>
        <w:t>En tanto que en el molar inferior izquierdo en la evaluación a seis meses se observó, que el sellador Clinpro TM presentó 2/19 selladores completos, 1/19 selladores parcialmente desalojados y 2/19 completamente desalojados.</w:t>
      </w:r>
    </w:p>
    <w:p>
      <w:pPr>
        <w:spacing w:after="0" w:line="480" w:lineRule="auto"/>
        <w:jc w:val="both"/>
        <w:sectPr>
          <w:pgSz w:w="12240" w:h="15840"/>
          <w:pgMar w:header="731" w:footer="1017" w:top="1360" w:bottom="1220" w:left="560" w:right="540"/>
        </w:sectPr>
      </w:pPr>
    </w:p>
    <w:p>
      <w:pPr>
        <w:pStyle w:val="BodyText"/>
        <w:rPr>
          <w:sz w:val="20"/>
        </w:rPr>
      </w:pPr>
    </w:p>
    <w:p>
      <w:pPr>
        <w:pStyle w:val="BodyText"/>
        <w:rPr>
          <w:sz w:val="26"/>
        </w:rPr>
      </w:pPr>
    </w:p>
    <w:p>
      <w:pPr>
        <w:pStyle w:val="Heading1"/>
        <w:ind w:left="4082" w:right="846" w:hanging="3236"/>
        <w:jc w:val="left"/>
      </w:pPr>
      <w:r>
        <w:rPr/>
        <w:t>Cuadro 5. EVALUACION DE ESTADO DE SELLADOR SEGUN ÓRGANO DENTARIO Y TIEMPO.</w:t>
      </w:r>
    </w:p>
    <w:p>
      <w:pPr>
        <w:pStyle w:val="BodyText"/>
        <w:rPr>
          <w:b/>
          <w:sz w:val="20"/>
        </w:rPr>
      </w:pPr>
    </w:p>
    <w:p>
      <w:pPr>
        <w:pStyle w:val="BodyText"/>
        <w:spacing w:before="11"/>
        <w:rPr>
          <w:b/>
          <w:sz w:val="25"/>
        </w:rPr>
      </w:pPr>
    </w:p>
    <w:tbl>
      <w:tblPr>
        <w:tblW w:w="0" w:type="auto"/>
        <w:jc w:val="left"/>
        <w:tblInd w:w="11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51"/>
        <w:gridCol w:w="2232"/>
        <w:gridCol w:w="2233"/>
        <w:gridCol w:w="665"/>
      </w:tblGrid>
      <w:tr>
        <w:trPr>
          <w:trHeight w:val="276" w:hRule="exact"/>
        </w:trPr>
        <w:tc>
          <w:tcPr>
            <w:tcW w:w="3651" w:type="dxa"/>
            <w:shd w:val="clear" w:color="auto" w:fill="000000"/>
          </w:tcPr>
          <w:p>
            <w:pPr>
              <w:pStyle w:val="TableParagraph"/>
              <w:spacing w:before="7"/>
              <w:ind w:left="69"/>
              <w:rPr>
                <w:rFonts w:ascii="Arial"/>
                <w:b/>
                <w:sz w:val="22"/>
              </w:rPr>
            </w:pPr>
            <w:r>
              <w:rPr>
                <w:rFonts w:ascii="Arial"/>
                <w:b/>
                <w:color w:val="FFFFFF"/>
                <w:sz w:val="22"/>
              </w:rPr>
              <w:t>Molar superior derecho</w:t>
            </w:r>
          </w:p>
        </w:tc>
        <w:tc>
          <w:tcPr>
            <w:tcW w:w="2232" w:type="dxa"/>
            <w:shd w:val="clear" w:color="auto" w:fill="000000"/>
          </w:tcPr>
          <w:p>
            <w:pPr>
              <w:pStyle w:val="TableParagraph"/>
              <w:spacing w:before="7"/>
              <w:ind w:left="50" w:right="50"/>
              <w:jc w:val="center"/>
              <w:rPr>
                <w:rFonts w:ascii="Arial"/>
                <w:b/>
                <w:sz w:val="22"/>
              </w:rPr>
            </w:pPr>
            <w:r>
              <w:rPr>
                <w:rFonts w:ascii="Arial"/>
                <w:b/>
                <w:color w:val="FFFFFF"/>
                <w:sz w:val="22"/>
              </w:rPr>
              <w:t>Frecuencia 3 meses</w:t>
            </w:r>
          </w:p>
        </w:tc>
        <w:tc>
          <w:tcPr>
            <w:tcW w:w="2233" w:type="dxa"/>
            <w:shd w:val="clear" w:color="auto" w:fill="000000"/>
          </w:tcPr>
          <w:p>
            <w:pPr>
              <w:pStyle w:val="TableParagraph"/>
              <w:spacing w:before="7"/>
              <w:ind w:left="50" w:right="50"/>
              <w:jc w:val="center"/>
              <w:rPr>
                <w:rFonts w:ascii="Arial"/>
                <w:b/>
                <w:sz w:val="22"/>
              </w:rPr>
            </w:pPr>
            <w:r>
              <w:rPr>
                <w:rFonts w:ascii="Arial"/>
                <w:b/>
                <w:color w:val="FFFFFF"/>
                <w:sz w:val="22"/>
              </w:rPr>
              <w:t>Frecuencia 6 meses</w:t>
            </w:r>
          </w:p>
        </w:tc>
        <w:tc>
          <w:tcPr>
            <w:tcW w:w="665" w:type="dxa"/>
            <w:shd w:val="clear" w:color="auto" w:fill="000000"/>
          </w:tcPr>
          <w:p>
            <w:pPr>
              <w:pStyle w:val="TableParagraph"/>
              <w:spacing w:before="7"/>
              <w:ind w:left="49" w:right="49"/>
              <w:jc w:val="center"/>
              <w:rPr>
                <w:rFonts w:ascii="Arial"/>
                <w:b/>
                <w:sz w:val="22"/>
              </w:rPr>
            </w:pPr>
            <w:r>
              <w:rPr>
                <w:rFonts w:ascii="Arial"/>
                <w:b/>
                <w:color w:val="FFFFFF"/>
                <w:sz w:val="22"/>
              </w:rPr>
              <w:t>Total</w:t>
            </w:r>
          </w:p>
        </w:tc>
      </w:tr>
      <w:tr>
        <w:trPr>
          <w:trHeight w:val="288"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spacing w:before="12"/>
              <w:ind w:left="64"/>
              <w:rPr>
                <w:rFonts w:ascii="Arial"/>
                <w:b/>
                <w:sz w:val="22"/>
              </w:rPr>
            </w:pPr>
            <w:r>
              <w:rPr>
                <w:rFonts w:ascii="Arial"/>
                <w:b/>
                <w:sz w:val="22"/>
              </w:rPr>
              <w:t>Sellador completo</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spacing w:before="14"/>
              <w:ind w:left="969" w:right="969"/>
              <w:jc w:val="center"/>
              <w:rPr>
                <w:rFonts w:ascii="Arial"/>
                <w:sz w:val="22"/>
              </w:rPr>
            </w:pPr>
            <w:r>
              <w:rPr>
                <w:rFonts w:ascii="Arial"/>
                <w:sz w:val="22"/>
              </w:rPr>
              <w:t>10</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spacing w:before="14"/>
              <w:ind w:left="969" w:right="969"/>
              <w:jc w:val="center"/>
              <w:rPr>
                <w:rFonts w:ascii="Arial"/>
                <w:sz w:val="22"/>
              </w:rPr>
            </w:pPr>
            <w:r>
              <w:rPr>
                <w:rFonts w:ascii="Arial"/>
                <w:sz w:val="22"/>
              </w:rPr>
              <w:t>10</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14"/>
              <w:ind w:left="185" w:right="185"/>
              <w:jc w:val="center"/>
              <w:rPr>
                <w:rFonts w:ascii="Arial"/>
                <w:sz w:val="22"/>
              </w:rPr>
            </w:pPr>
            <w:r>
              <w:rPr>
                <w:rFonts w:ascii="Arial"/>
                <w:sz w:val="22"/>
              </w:rPr>
              <w:t>20</w:t>
            </w:r>
          </w:p>
        </w:tc>
      </w:tr>
      <w:tr>
        <w:trPr>
          <w:trHeight w:val="274"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ind w:left="64"/>
              <w:rPr>
                <w:rFonts w:ascii="Arial"/>
                <w:b/>
                <w:sz w:val="22"/>
              </w:rPr>
            </w:pPr>
            <w:r>
              <w:rPr>
                <w:rFonts w:ascii="Arial"/>
                <w:b/>
                <w:sz w:val="22"/>
              </w:rPr>
              <w:t>Sellador Parcialmente desalojado</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spacing w:before="2"/>
              <w:jc w:val="center"/>
              <w:rPr>
                <w:rFonts w:ascii="Arial"/>
                <w:sz w:val="22"/>
              </w:rPr>
            </w:pPr>
            <w:r>
              <w:rPr>
                <w:rFonts w:ascii="Arial"/>
                <w:w w:val="100"/>
                <w:sz w:val="22"/>
              </w:rPr>
              <w:t>4</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spacing w:before="2"/>
              <w:jc w:val="center"/>
              <w:rPr>
                <w:rFonts w:ascii="Arial"/>
                <w:sz w:val="22"/>
              </w:rPr>
            </w:pPr>
            <w:r>
              <w:rPr>
                <w:rFonts w:ascii="Arial"/>
                <w:w w:val="100"/>
                <w:sz w:val="22"/>
              </w:rPr>
              <w:t>3</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2"/>
              <w:jc w:val="center"/>
              <w:rPr>
                <w:rFonts w:ascii="Arial"/>
                <w:sz w:val="22"/>
              </w:rPr>
            </w:pPr>
            <w:r>
              <w:rPr>
                <w:rFonts w:ascii="Arial"/>
                <w:w w:val="100"/>
                <w:sz w:val="22"/>
              </w:rPr>
              <w:t>7</w:t>
            </w:r>
          </w:p>
        </w:tc>
      </w:tr>
      <w:tr>
        <w:trPr>
          <w:trHeight w:val="278"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spacing w:before="2"/>
              <w:ind w:left="64"/>
              <w:rPr>
                <w:rFonts w:ascii="Arial"/>
                <w:b/>
                <w:sz w:val="22"/>
              </w:rPr>
            </w:pPr>
            <w:r>
              <w:rPr>
                <w:rFonts w:ascii="Arial"/>
                <w:b/>
                <w:sz w:val="22"/>
              </w:rPr>
              <w:t>Sellador totalmente desalojado.</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spacing w:before="5"/>
              <w:jc w:val="center"/>
              <w:rPr>
                <w:rFonts w:ascii="Arial"/>
                <w:sz w:val="22"/>
              </w:rPr>
            </w:pPr>
            <w:r>
              <w:rPr>
                <w:rFonts w:ascii="Arial"/>
                <w:w w:val="100"/>
                <w:sz w:val="22"/>
              </w:rPr>
              <w:t>2</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spacing w:before="5"/>
              <w:jc w:val="center"/>
              <w:rPr>
                <w:rFonts w:ascii="Arial"/>
                <w:sz w:val="22"/>
              </w:rPr>
            </w:pPr>
            <w:r>
              <w:rPr>
                <w:rFonts w:ascii="Arial"/>
                <w:w w:val="100"/>
                <w:sz w:val="22"/>
              </w:rPr>
              <w:t>3</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5"/>
              <w:jc w:val="center"/>
              <w:rPr>
                <w:rFonts w:ascii="Arial"/>
                <w:sz w:val="22"/>
              </w:rPr>
            </w:pPr>
            <w:r>
              <w:rPr>
                <w:rFonts w:ascii="Arial"/>
                <w:w w:val="100"/>
                <w:sz w:val="22"/>
              </w:rPr>
              <w:t>5</w:t>
            </w:r>
          </w:p>
        </w:tc>
      </w:tr>
      <w:tr>
        <w:trPr>
          <w:trHeight w:val="259" w:hRule="exact"/>
        </w:trPr>
        <w:tc>
          <w:tcPr>
            <w:tcW w:w="3651" w:type="dxa"/>
            <w:tcBorders>
              <w:top w:val="single" w:sz="4" w:space="0" w:color="000000"/>
              <w:left w:val="single" w:sz="4" w:space="0" w:color="000000"/>
              <w:right w:val="single" w:sz="4" w:space="0" w:color="000000"/>
            </w:tcBorders>
          </w:tcPr>
          <w:p>
            <w:pPr>
              <w:pStyle w:val="TableParagraph"/>
              <w:spacing w:line="251" w:lineRule="exact"/>
              <w:ind w:left="64"/>
              <w:rPr>
                <w:rFonts w:ascii="Arial"/>
                <w:b/>
                <w:sz w:val="22"/>
              </w:rPr>
            </w:pPr>
            <w:r>
              <w:rPr>
                <w:rFonts w:ascii="Arial"/>
                <w:b/>
                <w:sz w:val="22"/>
              </w:rPr>
              <w:t>Total</w:t>
            </w:r>
          </w:p>
        </w:tc>
        <w:tc>
          <w:tcPr>
            <w:tcW w:w="2232" w:type="dxa"/>
            <w:tcBorders>
              <w:top w:val="single" w:sz="4" w:space="0" w:color="000000"/>
              <w:left w:val="single" w:sz="4" w:space="0" w:color="000000"/>
              <w:right w:val="single" w:sz="4" w:space="0" w:color="000000"/>
            </w:tcBorders>
          </w:tcPr>
          <w:p>
            <w:pPr>
              <w:pStyle w:val="TableParagraph"/>
              <w:ind w:left="969" w:right="969"/>
              <w:jc w:val="center"/>
              <w:rPr>
                <w:rFonts w:ascii="Arial"/>
                <w:sz w:val="22"/>
              </w:rPr>
            </w:pPr>
            <w:r>
              <w:rPr>
                <w:rFonts w:ascii="Arial"/>
                <w:sz w:val="22"/>
              </w:rPr>
              <w:t>16</w:t>
            </w:r>
          </w:p>
        </w:tc>
        <w:tc>
          <w:tcPr>
            <w:tcW w:w="2233" w:type="dxa"/>
            <w:tcBorders>
              <w:top w:val="single" w:sz="4" w:space="0" w:color="000000"/>
              <w:left w:val="single" w:sz="4" w:space="0" w:color="000000"/>
              <w:right w:val="single" w:sz="4" w:space="0" w:color="000000"/>
            </w:tcBorders>
          </w:tcPr>
          <w:p>
            <w:pPr>
              <w:pStyle w:val="TableParagraph"/>
              <w:ind w:left="969" w:right="969"/>
              <w:jc w:val="center"/>
              <w:rPr>
                <w:rFonts w:ascii="Arial"/>
                <w:sz w:val="22"/>
              </w:rPr>
            </w:pPr>
            <w:r>
              <w:rPr>
                <w:rFonts w:ascii="Arial"/>
                <w:sz w:val="22"/>
              </w:rPr>
              <w:t>16</w:t>
            </w:r>
          </w:p>
        </w:tc>
        <w:tc>
          <w:tcPr>
            <w:tcW w:w="665" w:type="dxa"/>
            <w:tcBorders>
              <w:top w:val="single" w:sz="4" w:space="0" w:color="000000"/>
              <w:left w:val="single" w:sz="4" w:space="0" w:color="000000"/>
              <w:right w:val="single" w:sz="4" w:space="0" w:color="000000"/>
            </w:tcBorders>
          </w:tcPr>
          <w:p>
            <w:pPr>
              <w:pStyle w:val="TableParagraph"/>
              <w:ind w:left="185" w:right="185"/>
              <w:jc w:val="center"/>
              <w:rPr>
                <w:rFonts w:ascii="Arial"/>
                <w:sz w:val="22"/>
              </w:rPr>
            </w:pPr>
            <w:r>
              <w:rPr>
                <w:rFonts w:ascii="Arial"/>
                <w:sz w:val="22"/>
              </w:rPr>
              <w:t>32</w:t>
            </w:r>
          </w:p>
        </w:tc>
      </w:tr>
      <w:tr>
        <w:trPr>
          <w:trHeight w:val="298" w:hRule="exact"/>
        </w:trPr>
        <w:tc>
          <w:tcPr>
            <w:tcW w:w="8781" w:type="dxa"/>
            <w:gridSpan w:val="4"/>
            <w:shd w:val="clear" w:color="auto" w:fill="000000"/>
          </w:tcPr>
          <w:p>
            <w:pPr>
              <w:pStyle w:val="TableParagraph"/>
              <w:spacing w:before="29"/>
              <w:ind w:left="69"/>
              <w:rPr>
                <w:rFonts w:ascii="Arial"/>
                <w:b/>
                <w:sz w:val="22"/>
              </w:rPr>
            </w:pPr>
            <w:r>
              <w:rPr>
                <w:rFonts w:ascii="Arial"/>
                <w:b/>
                <w:color w:val="FFFFFF"/>
                <w:sz w:val="22"/>
              </w:rPr>
              <w:t>Molar superior izquierdo</w:t>
            </w:r>
          </w:p>
        </w:tc>
      </w:tr>
      <w:tr>
        <w:trPr>
          <w:trHeight w:val="290" w:hRule="exact"/>
        </w:trPr>
        <w:tc>
          <w:tcPr>
            <w:tcW w:w="3651" w:type="dxa"/>
            <w:tcBorders>
              <w:top w:val="single" w:sz="13" w:space="0" w:color="000000"/>
              <w:left w:val="single" w:sz="4" w:space="0" w:color="000000"/>
              <w:bottom w:val="single" w:sz="4" w:space="0" w:color="000000"/>
              <w:right w:val="single" w:sz="4" w:space="0" w:color="000000"/>
            </w:tcBorders>
          </w:tcPr>
          <w:p>
            <w:pPr>
              <w:pStyle w:val="TableParagraph"/>
              <w:spacing w:before="7"/>
              <w:ind w:left="64"/>
              <w:rPr>
                <w:rFonts w:ascii="Arial"/>
                <w:b/>
                <w:sz w:val="22"/>
              </w:rPr>
            </w:pPr>
            <w:r>
              <w:rPr>
                <w:rFonts w:ascii="Arial"/>
                <w:b/>
                <w:sz w:val="22"/>
              </w:rPr>
              <w:t>Sellador completo</w:t>
            </w:r>
          </w:p>
        </w:tc>
        <w:tc>
          <w:tcPr>
            <w:tcW w:w="2232" w:type="dxa"/>
            <w:tcBorders>
              <w:top w:val="single" w:sz="13" w:space="0" w:color="000000"/>
              <w:left w:val="single" w:sz="4" w:space="0" w:color="000000"/>
              <w:bottom w:val="single" w:sz="4" w:space="0" w:color="000000"/>
              <w:right w:val="single" w:sz="4" w:space="0" w:color="000000"/>
            </w:tcBorders>
          </w:tcPr>
          <w:p>
            <w:pPr>
              <w:pStyle w:val="TableParagraph"/>
              <w:spacing w:before="9"/>
              <w:jc w:val="center"/>
              <w:rPr>
                <w:rFonts w:ascii="Arial"/>
                <w:sz w:val="22"/>
              </w:rPr>
            </w:pPr>
            <w:r>
              <w:rPr>
                <w:rFonts w:ascii="Arial"/>
                <w:w w:val="100"/>
                <w:sz w:val="22"/>
              </w:rPr>
              <w:t>7</w:t>
            </w:r>
          </w:p>
        </w:tc>
        <w:tc>
          <w:tcPr>
            <w:tcW w:w="2233" w:type="dxa"/>
            <w:tcBorders>
              <w:top w:val="single" w:sz="13" w:space="0" w:color="000000"/>
              <w:left w:val="single" w:sz="4" w:space="0" w:color="000000"/>
              <w:bottom w:val="single" w:sz="4" w:space="0" w:color="000000"/>
              <w:right w:val="single" w:sz="4" w:space="0" w:color="000000"/>
            </w:tcBorders>
          </w:tcPr>
          <w:p>
            <w:pPr>
              <w:pStyle w:val="TableParagraph"/>
              <w:spacing w:before="9"/>
              <w:jc w:val="center"/>
              <w:rPr>
                <w:rFonts w:ascii="Arial"/>
                <w:sz w:val="22"/>
              </w:rPr>
            </w:pPr>
            <w:r>
              <w:rPr>
                <w:rFonts w:ascii="Arial"/>
                <w:w w:val="100"/>
                <w:sz w:val="22"/>
              </w:rPr>
              <w:t>6</w:t>
            </w:r>
          </w:p>
        </w:tc>
        <w:tc>
          <w:tcPr>
            <w:tcW w:w="665" w:type="dxa"/>
            <w:tcBorders>
              <w:top w:val="single" w:sz="13" w:space="0" w:color="000000"/>
              <w:left w:val="single" w:sz="4" w:space="0" w:color="000000"/>
              <w:bottom w:val="single" w:sz="4" w:space="0" w:color="000000"/>
              <w:right w:val="single" w:sz="4" w:space="0" w:color="000000"/>
            </w:tcBorders>
          </w:tcPr>
          <w:p>
            <w:pPr>
              <w:pStyle w:val="TableParagraph"/>
              <w:spacing w:before="9"/>
              <w:ind w:left="185" w:right="185"/>
              <w:jc w:val="center"/>
              <w:rPr>
                <w:rFonts w:ascii="Arial"/>
                <w:sz w:val="22"/>
              </w:rPr>
            </w:pPr>
            <w:r>
              <w:rPr>
                <w:rFonts w:ascii="Arial"/>
                <w:sz w:val="22"/>
              </w:rPr>
              <w:t>13</w:t>
            </w:r>
          </w:p>
        </w:tc>
      </w:tr>
      <w:tr>
        <w:trPr>
          <w:trHeight w:val="279"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spacing w:before="5"/>
              <w:ind w:left="64"/>
              <w:rPr>
                <w:rFonts w:ascii="Arial"/>
                <w:b/>
                <w:sz w:val="22"/>
              </w:rPr>
            </w:pPr>
            <w:r>
              <w:rPr>
                <w:rFonts w:ascii="Arial"/>
                <w:b/>
                <w:sz w:val="22"/>
              </w:rPr>
              <w:t>Sellador Parcialmente desalojado</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spacing w:before="8"/>
              <w:jc w:val="center"/>
              <w:rPr>
                <w:rFonts w:ascii="Arial"/>
                <w:sz w:val="22"/>
              </w:rPr>
            </w:pPr>
            <w:r>
              <w:rPr>
                <w:rFonts w:ascii="Arial"/>
                <w:w w:val="100"/>
                <w:sz w:val="22"/>
              </w:rPr>
              <w:t>4</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spacing w:before="8"/>
              <w:jc w:val="center"/>
              <w:rPr>
                <w:rFonts w:ascii="Arial"/>
                <w:sz w:val="22"/>
              </w:rPr>
            </w:pPr>
            <w:r>
              <w:rPr>
                <w:rFonts w:ascii="Arial"/>
                <w:w w:val="100"/>
                <w:sz w:val="22"/>
              </w:rPr>
              <w:t>2</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8"/>
              <w:jc w:val="center"/>
              <w:rPr>
                <w:rFonts w:ascii="Arial"/>
                <w:sz w:val="22"/>
              </w:rPr>
            </w:pPr>
            <w:r>
              <w:rPr>
                <w:rFonts w:ascii="Arial"/>
                <w:w w:val="100"/>
                <w:sz w:val="22"/>
              </w:rPr>
              <w:t>6</w:t>
            </w:r>
          </w:p>
        </w:tc>
      </w:tr>
      <w:tr>
        <w:trPr>
          <w:trHeight w:val="269"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ind w:left="64"/>
              <w:rPr>
                <w:rFonts w:ascii="Arial"/>
                <w:b/>
                <w:sz w:val="22"/>
              </w:rPr>
            </w:pPr>
            <w:r>
              <w:rPr>
                <w:rFonts w:ascii="Arial"/>
                <w:b/>
                <w:sz w:val="22"/>
              </w:rPr>
              <w:t>Sellador totalmente desalojado.</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spacing w:before="2"/>
              <w:jc w:val="center"/>
              <w:rPr>
                <w:rFonts w:ascii="Arial"/>
                <w:sz w:val="22"/>
              </w:rPr>
            </w:pPr>
            <w:r>
              <w:rPr>
                <w:rFonts w:ascii="Arial"/>
                <w:w w:val="100"/>
                <w:sz w:val="22"/>
              </w:rPr>
              <w:t>2</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spacing w:before="2"/>
              <w:jc w:val="center"/>
              <w:rPr>
                <w:rFonts w:ascii="Arial"/>
                <w:sz w:val="22"/>
              </w:rPr>
            </w:pPr>
            <w:r>
              <w:rPr>
                <w:rFonts w:ascii="Arial"/>
                <w:w w:val="100"/>
                <w:sz w:val="22"/>
              </w:rPr>
              <w:t>5</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2"/>
              <w:jc w:val="center"/>
              <w:rPr>
                <w:rFonts w:ascii="Arial"/>
                <w:sz w:val="22"/>
              </w:rPr>
            </w:pPr>
            <w:r>
              <w:rPr>
                <w:rFonts w:ascii="Arial"/>
                <w:w w:val="100"/>
                <w:sz w:val="22"/>
              </w:rPr>
              <w:t>7</w:t>
            </w:r>
          </w:p>
        </w:tc>
      </w:tr>
      <w:tr>
        <w:trPr>
          <w:trHeight w:val="298" w:hRule="exact"/>
        </w:trPr>
        <w:tc>
          <w:tcPr>
            <w:tcW w:w="3651" w:type="dxa"/>
            <w:tcBorders>
              <w:top w:val="single" w:sz="4" w:space="0" w:color="000000"/>
              <w:left w:val="single" w:sz="4" w:space="0" w:color="000000"/>
              <w:right w:val="single" w:sz="4" w:space="0" w:color="000000"/>
            </w:tcBorders>
          </w:tcPr>
          <w:p>
            <w:pPr>
              <w:pStyle w:val="TableParagraph"/>
              <w:spacing w:before="7"/>
              <w:ind w:left="64"/>
              <w:rPr>
                <w:rFonts w:ascii="Arial"/>
                <w:b/>
                <w:sz w:val="22"/>
              </w:rPr>
            </w:pPr>
            <w:r>
              <w:rPr>
                <w:rFonts w:ascii="Arial"/>
                <w:b/>
                <w:sz w:val="22"/>
              </w:rPr>
              <w:t>Total</w:t>
            </w:r>
          </w:p>
        </w:tc>
        <w:tc>
          <w:tcPr>
            <w:tcW w:w="2232" w:type="dxa"/>
            <w:tcBorders>
              <w:top w:val="single" w:sz="4" w:space="0" w:color="000000"/>
              <w:left w:val="single" w:sz="4" w:space="0" w:color="000000"/>
              <w:right w:val="single" w:sz="4" w:space="0" w:color="000000"/>
            </w:tcBorders>
          </w:tcPr>
          <w:p>
            <w:pPr>
              <w:pStyle w:val="TableParagraph"/>
              <w:spacing w:before="9"/>
              <w:ind w:left="969" w:right="969"/>
              <w:jc w:val="center"/>
              <w:rPr>
                <w:rFonts w:ascii="Arial"/>
                <w:sz w:val="22"/>
              </w:rPr>
            </w:pPr>
            <w:r>
              <w:rPr>
                <w:rFonts w:ascii="Arial"/>
                <w:sz w:val="22"/>
              </w:rPr>
              <w:t>13</w:t>
            </w:r>
          </w:p>
        </w:tc>
        <w:tc>
          <w:tcPr>
            <w:tcW w:w="2233" w:type="dxa"/>
            <w:tcBorders>
              <w:top w:val="single" w:sz="4" w:space="0" w:color="000000"/>
              <w:left w:val="single" w:sz="4" w:space="0" w:color="000000"/>
              <w:right w:val="single" w:sz="4" w:space="0" w:color="000000"/>
            </w:tcBorders>
          </w:tcPr>
          <w:p>
            <w:pPr>
              <w:pStyle w:val="TableParagraph"/>
              <w:spacing w:before="9"/>
              <w:ind w:left="969" w:right="969"/>
              <w:jc w:val="center"/>
              <w:rPr>
                <w:rFonts w:ascii="Arial"/>
                <w:sz w:val="22"/>
              </w:rPr>
            </w:pPr>
            <w:r>
              <w:rPr>
                <w:rFonts w:ascii="Arial"/>
                <w:sz w:val="22"/>
              </w:rPr>
              <w:t>13</w:t>
            </w:r>
          </w:p>
        </w:tc>
        <w:tc>
          <w:tcPr>
            <w:tcW w:w="665" w:type="dxa"/>
            <w:tcBorders>
              <w:top w:val="single" w:sz="4" w:space="0" w:color="000000"/>
              <w:left w:val="single" w:sz="4" w:space="0" w:color="000000"/>
              <w:right w:val="single" w:sz="4" w:space="0" w:color="000000"/>
            </w:tcBorders>
          </w:tcPr>
          <w:p>
            <w:pPr>
              <w:pStyle w:val="TableParagraph"/>
              <w:spacing w:before="9"/>
              <w:ind w:left="185" w:right="185"/>
              <w:jc w:val="center"/>
              <w:rPr>
                <w:rFonts w:ascii="Arial"/>
                <w:sz w:val="22"/>
              </w:rPr>
            </w:pPr>
            <w:r>
              <w:rPr>
                <w:rFonts w:ascii="Arial"/>
                <w:sz w:val="22"/>
              </w:rPr>
              <w:t>26</w:t>
            </w:r>
          </w:p>
        </w:tc>
      </w:tr>
      <w:tr>
        <w:trPr>
          <w:trHeight w:val="254" w:hRule="exact"/>
        </w:trPr>
        <w:tc>
          <w:tcPr>
            <w:tcW w:w="3651" w:type="dxa"/>
            <w:shd w:val="clear" w:color="auto" w:fill="000000"/>
          </w:tcPr>
          <w:p>
            <w:pPr>
              <w:pStyle w:val="TableParagraph"/>
              <w:spacing w:line="248" w:lineRule="exact"/>
              <w:ind w:left="69"/>
              <w:rPr>
                <w:rFonts w:ascii="Arial"/>
                <w:b/>
                <w:sz w:val="22"/>
              </w:rPr>
            </w:pPr>
            <w:r>
              <w:rPr>
                <w:rFonts w:ascii="Arial"/>
                <w:b/>
                <w:color w:val="FFFFFF"/>
                <w:sz w:val="22"/>
              </w:rPr>
              <w:t>Molar inferior izquierdo</w:t>
            </w:r>
          </w:p>
        </w:tc>
        <w:tc>
          <w:tcPr>
            <w:tcW w:w="2232" w:type="dxa"/>
            <w:shd w:val="clear" w:color="auto" w:fill="000000"/>
          </w:tcPr>
          <w:p>
            <w:pPr/>
          </w:p>
        </w:tc>
        <w:tc>
          <w:tcPr>
            <w:tcW w:w="2233" w:type="dxa"/>
            <w:shd w:val="clear" w:color="auto" w:fill="000000"/>
          </w:tcPr>
          <w:p>
            <w:pPr/>
          </w:p>
        </w:tc>
        <w:tc>
          <w:tcPr>
            <w:tcW w:w="665" w:type="dxa"/>
            <w:shd w:val="clear" w:color="auto" w:fill="000000"/>
          </w:tcPr>
          <w:p>
            <w:pPr/>
          </w:p>
        </w:tc>
      </w:tr>
      <w:tr>
        <w:trPr>
          <w:trHeight w:val="302" w:hRule="exact"/>
        </w:trPr>
        <w:tc>
          <w:tcPr>
            <w:tcW w:w="3651" w:type="dxa"/>
            <w:tcBorders>
              <w:left w:val="single" w:sz="4" w:space="0" w:color="000000"/>
              <w:bottom w:val="single" w:sz="4" w:space="0" w:color="000000"/>
              <w:right w:val="single" w:sz="4" w:space="0" w:color="000000"/>
            </w:tcBorders>
          </w:tcPr>
          <w:p>
            <w:pPr>
              <w:pStyle w:val="TableParagraph"/>
              <w:spacing w:before="26"/>
              <w:ind w:left="64"/>
              <w:rPr>
                <w:rFonts w:ascii="Arial"/>
                <w:b/>
                <w:sz w:val="22"/>
              </w:rPr>
            </w:pPr>
            <w:r>
              <w:rPr>
                <w:rFonts w:ascii="Arial"/>
                <w:b/>
                <w:sz w:val="22"/>
              </w:rPr>
              <w:t>Sellador completo</w:t>
            </w:r>
          </w:p>
        </w:tc>
        <w:tc>
          <w:tcPr>
            <w:tcW w:w="2232" w:type="dxa"/>
            <w:tcBorders>
              <w:left w:val="single" w:sz="4" w:space="0" w:color="000000"/>
              <w:bottom w:val="single" w:sz="4" w:space="0" w:color="000000"/>
              <w:right w:val="single" w:sz="4" w:space="0" w:color="000000"/>
            </w:tcBorders>
          </w:tcPr>
          <w:p>
            <w:pPr>
              <w:pStyle w:val="TableParagraph"/>
              <w:spacing w:before="29"/>
              <w:jc w:val="center"/>
              <w:rPr>
                <w:rFonts w:ascii="Arial"/>
                <w:sz w:val="22"/>
              </w:rPr>
            </w:pPr>
            <w:r>
              <w:rPr>
                <w:rFonts w:ascii="Arial"/>
                <w:w w:val="100"/>
                <w:sz w:val="22"/>
              </w:rPr>
              <w:t>8</w:t>
            </w:r>
          </w:p>
        </w:tc>
        <w:tc>
          <w:tcPr>
            <w:tcW w:w="2233" w:type="dxa"/>
            <w:tcBorders>
              <w:left w:val="single" w:sz="4" w:space="0" w:color="000000"/>
              <w:bottom w:val="single" w:sz="4" w:space="0" w:color="000000"/>
              <w:right w:val="single" w:sz="4" w:space="0" w:color="000000"/>
            </w:tcBorders>
          </w:tcPr>
          <w:p>
            <w:pPr>
              <w:pStyle w:val="TableParagraph"/>
              <w:spacing w:before="29"/>
              <w:jc w:val="center"/>
              <w:rPr>
                <w:rFonts w:ascii="Arial"/>
                <w:sz w:val="22"/>
              </w:rPr>
            </w:pPr>
            <w:r>
              <w:rPr>
                <w:rFonts w:ascii="Arial"/>
                <w:w w:val="100"/>
                <w:sz w:val="22"/>
              </w:rPr>
              <w:t>7</w:t>
            </w:r>
          </w:p>
        </w:tc>
        <w:tc>
          <w:tcPr>
            <w:tcW w:w="665" w:type="dxa"/>
            <w:tcBorders>
              <w:left w:val="single" w:sz="4" w:space="0" w:color="000000"/>
              <w:bottom w:val="single" w:sz="4" w:space="0" w:color="000000"/>
              <w:right w:val="single" w:sz="4" w:space="0" w:color="000000"/>
            </w:tcBorders>
          </w:tcPr>
          <w:p>
            <w:pPr>
              <w:pStyle w:val="TableParagraph"/>
              <w:spacing w:before="29"/>
              <w:ind w:left="185" w:right="185"/>
              <w:jc w:val="center"/>
              <w:rPr>
                <w:rFonts w:ascii="Arial"/>
                <w:sz w:val="22"/>
              </w:rPr>
            </w:pPr>
            <w:r>
              <w:rPr>
                <w:rFonts w:ascii="Arial"/>
                <w:sz w:val="22"/>
              </w:rPr>
              <w:t>15</w:t>
            </w:r>
          </w:p>
        </w:tc>
      </w:tr>
      <w:tr>
        <w:trPr>
          <w:trHeight w:val="269"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64"/>
              <w:rPr>
                <w:rFonts w:ascii="Arial"/>
                <w:b/>
                <w:sz w:val="22"/>
              </w:rPr>
            </w:pPr>
            <w:r>
              <w:rPr>
                <w:rFonts w:ascii="Arial"/>
                <w:b/>
                <w:sz w:val="22"/>
              </w:rPr>
              <w:t>Sellador Parcialmente desalojado</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jc w:val="center"/>
              <w:rPr>
                <w:rFonts w:ascii="Arial"/>
                <w:sz w:val="22"/>
              </w:rPr>
            </w:pPr>
            <w:r>
              <w:rPr>
                <w:rFonts w:ascii="Arial"/>
                <w:w w:val="100"/>
                <w:sz w:val="22"/>
              </w:rPr>
              <w:t>1</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jc w:val="center"/>
              <w:rPr>
                <w:rFonts w:ascii="Arial"/>
                <w:sz w:val="22"/>
              </w:rPr>
            </w:pPr>
            <w:r>
              <w:rPr>
                <w:rFonts w:ascii="Arial"/>
                <w:w w:val="100"/>
                <w:sz w:val="22"/>
              </w:rPr>
              <w:t>1</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jc w:val="center"/>
              <w:rPr>
                <w:rFonts w:ascii="Arial"/>
                <w:sz w:val="22"/>
              </w:rPr>
            </w:pPr>
            <w:r>
              <w:rPr>
                <w:rFonts w:ascii="Arial"/>
                <w:w w:val="100"/>
                <w:sz w:val="22"/>
              </w:rPr>
              <w:t>2</w:t>
            </w:r>
          </w:p>
        </w:tc>
      </w:tr>
      <w:tr>
        <w:trPr>
          <w:trHeight w:val="286"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spacing w:before="7"/>
              <w:ind w:left="64"/>
              <w:rPr>
                <w:rFonts w:ascii="Arial"/>
                <w:b/>
                <w:sz w:val="22"/>
              </w:rPr>
            </w:pPr>
            <w:r>
              <w:rPr>
                <w:rFonts w:ascii="Arial"/>
                <w:b/>
                <w:sz w:val="22"/>
              </w:rPr>
              <w:t>Sellador totalmente desalojado.</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spacing w:before="9"/>
              <w:jc w:val="center"/>
              <w:rPr>
                <w:rFonts w:ascii="Arial"/>
                <w:sz w:val="22"/>
              </w:rPr>
            </w:pPr>
            <w:r>
              <w:rPr>
                <w:rFonts w:ascii="Arial"/>
                <w:w w:val="100"/>
                <w:sz w:val="22"/>
              </w:rPr>
              <w:t>4</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spacing w:before="9"/>
              <w:jc w:val="center"/>
              <w:rPr>
                <w:rFonts w:ascii="Arial"/>
                <w:sz w:val="22"/>
              </w:rPr>
            </w:pPr>
            <w:r>
              <w:rPr>
                <w:rFonts w:ascii="Arial"/>
                <w:w w:val="100"/>
                <w:sz w:val="22"/>
              </w:rPr>
              <w:t>5</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9"/>
              <w:jc w:val="center"/>
              <w:rPr>
                <w:rFonts w:ascii="Arial"/>
                <w:sz w:val="22"/>
              </w:rPr>
            </w:pPr>
            <w:r>
              <w:rPr>
                <w:rFonts w:ascii="Arial"/>
                <w:w w:val="100"/>
                <w:sz w:val="22"/>
              </w:rPr>
              <w:t>9</w:t>
            </w:r>
          </w:p>
        </w:tc>
      </w:tr>
      <w:tr>
        <w:trPr>
          <w:trHeight w:val="317" w:hRule="exact"/>
        </w:trPr>
        <w:tc>
          <w:tcPr>
            <w:tcW w:w="3651" w:type="dxa"/>
            <w:tcBorders>
              <w:top w:val="single" w:sz="4" w:space="0" w:color="000000"/>
              <w:left w:val="single" w:sz="4" w:space="0" w:color="000000"/>
              <w:right w:val="single" w:sz="4" w:space="0" w:color="000000"/>
            </w:tcBorders>
          </w:tcPr>
          <w:p>
            <w:pPr>
              <w:pStyle w:val="TableParagraph"/>
              <w:spacing w:before="19"/>
              <w:ind w:left="64"/>
              <w:rPr>
                <w:rFonts w:ascii="Arial"/>
                <w:b/>
                <w:sz w:val="22"/>
              </w:rPr>
            </w:pPr>
            <w:r>
              <w:rPr>
                <w:rFonts w:ascii="Arial"/>
                <w:b/>
                <w:sz w:val="22"/>
              </w:rPr>
              <w:t>Total</w:t>
            </w:r>
          </w:p>
        </w:tc>
        <w:tc>
          <w:tcPr>
            <w:tcW w:w="2232" w:type="dxa"/>
            <w:tcBorders>
              <w:top w:val="single" w:sz="4" w:space="0" w:color="000000"/>
              <w:left w:val="single" w:sz="4" w:space="0" w:color="000000"/>
              <w:right w:val="single" w:sz="4" w:space="0" w:color="000000"/>
            </w:tcBorders>
          </w:tcPr>
          <w:p>
            <w:pPr>
              <w:pStyle w:val="TableParagraph"/>
              <w:spacing w:before="21"/>
              <w:ind w:left="969" w:right="969"/>
              <w:jc w:val="center"/>
              <w:rPr>
                <w:rFonts w:ascii="Arial"/>
                <w:sz w:val="22"/>
              </w:rPr>
            </w:pPr>
            <w:r>
              <w:rPr>
                <w:rFonts w:ascii="Arial"/>
                <w:sz w:val="22"/>
              </w:rPr>
              <w:t>13</w:t>
            </w:r>
          </w:p>
        </w:tc>
        <w:tc>
          <w:tcPr>
            <w:tcW w:w="2233" w:type="dxa"/>
            <w:tcBorders>
              <w:top w:val="single" w:sz="4" w:space="0" w:color="000000"/>
              <w:left w:val="single" w:sz="4" w:space="0" w:color="000000"/>
              <w:right w:val="single" w:sz="4" w:space="0" w:color="000000"/>
            </w:tcBorders>
          </w:tcPr>
          <w:p>
            <w:pPr>
              <w:pStyle w:val="TableParagraph"/>
              <w:spacing w:before="21"/>
              <w:ind w:left="969" w:right="969"/>
              <w:jc w:val="center"/>
              <w:rPr>
                <w:rFonts w:ascii="Arial"/>
                <w:sz w:val="22"/>
              </w:rPr>
            </w:pPr>
            <w:r>
              <w:rPr>
                <w:rFonts w:ascii="Arial"/>
                <w:sz w:val="22"/>
              </w:rPr>
              <w:t>13</w:t>
            </w:r>
          </w:p>
        </w:tc>
        <w:tc>
          <w:tcPr>
            <w:tcW w:w="665" w:type="dxa"/>
            <w:tcBorders>
              <w:top w:val="single" w:sz="4" w:space="0" w:color="000000"/>
              <w:left w:val="single" w:sz="4" w:space="0" w:color="000000"/>
              <w:right w:val="single" w:sz="4" w:space="0" w:color="000000"/>
            </w:tcBorders>
          </w:tcPr>
          <w:p>
            <w:pPr>
              <w:pStyle w:val="TableParagraph"/>
              <w:spacing w:before="21"/>
              <w:ind w:left="185" w:right="185"/>
              <w:jc w:val="center"/>
              <w:rPr>
                <w:rFonts w:ascii="Arial"/>
                <w:sz w:val="22"/>
              </w:rPr>
            </w:pPr>
            <w:r>
              <w:rPr>
                <w:rFonts w:ascii="Arial"/>
                <w:sz w:val="22"/>
              </w:rPr>
              <w:t>26</w:t>
            </w:r>
          </w:p>
        </w:tc>
      </w:tr>
      <w:tr>
        <w:trPr>
          <w:trHeight w:val="252" w:hRule="exact"/>
        </w:trPr>
        <w:tc>
          <w:tcPr>
            <w:tcW w:w="3651" w:type="dxa"/>
            <w:shd w:val="clear" w:color="auto" w:fill="000000"/>
          </w:tcPr>
          <w:p>
            <w:pPr>
              <w:pStyle w:val="TableParagraph"/>
              <w:spacing w:line="248" w:lineRule="exact"/>
              <w:ind w:left="69"/>
              <w:rPr>
                <w:rFonts w:ascii="Arial"/>
                <w:b/>
                <w:sz w:val="22"/>
              </w:rPr>
            </w:pPr>
            <w:r>
              <w:rPr>
                <w:rFonts w:ascii="Arial"/>
                <w:b/>
                <w:color w:val="FFFFFF"/>
                <w:sz w:val="22"/>
              </w:rPr>
              <w:t>Molar inferior derecho</w:t>
            </w:r>
          </w:p>
        </w:tc>
        <w:tc>
          <w:tcPr>
            <w:tcW w:w="2232" w:type="dxa"/>
            <w:shd w:val="clear" w:color="auto" w:fill="000000"/>
          </w:tcPr>
          <w:p>
            <w:pPr/>
          </w:p>
        </w:tc>
        <w:tc>
          <w:tcPr>
            <w:tcW w:w="2233" w:type="dxa"/>
            <w:shd w:val="clear" w:color="auto" w:fill="000000"/>
          </w:tcPr>
          <w:p>
            <w:pPr/>
          </w:p>
        </w:tc>
        <w:tc>
          <w:tcPr>
            <w:tcW w:w="665" w:type="dxa"/>
            <w:shd w:val="clear" w:color="auto" w:fill="000000"/>
          </w:tcPr>
          <w:p>
            <w:pPr/>
          </w:p>
        </w:tc>
      </w:tr>
      <w:tr>
        <w:trPr>
          <w:trHeight w:val="269" w:hRule="exact"/>
        </w:trPr>
        <w:tc>
          <w:tcPr>
            <w:tcW w:w="3651" w:type="dxa"/>
            <w:tcBorders>
              <w:left w:val="single" w:sz="4" w:space="0" w:color="000000"/>
              <w:bottom w:val="single" w:sz="4" w:space="0" w:color="000000"/>
              <w:right w:val="single" w:sz="4" w:space="0" w:color="000000"/>
            </w:tcBorders>
          </w:tcPr>
          <w:p>
            <w:pPr>
              <w:pStyle w:val="TableParagraph"/>
              <w:spacing w:before="5"/>
              <w:ind w:left="64"/>
              <w:rPr>
                <w:rFonts w:ascii="Arial"/>
                <w:b/>
                <w:sz w:val="22"/>
              </w:rPr>
            </w:pPr>
            <w:r>
              <w:rPr>
                <w:rFonts w:ascii="Arial"/>
                <w:b/>
                <w:sz w:val="22"/>
              </w:rPr>
              <w:t>Sellador completo</w:t>
            </w:r>
          </w:p>
        </w:tc>
        <w:tc>
          <w:tcPr>
            <w:tcW w:w="2232" w:type="dxa"/>
            <w:tcBorders>
              <w:left w:val="single" w:sz="4" w:space="0" w:color="000000"/>
              <w:bottom w:val="single" w:sz="4" w:space="0" w:color="000000"/>
              <w:right w:val="single" w:sz="4" w:space="0" w:color="000000"/>
            </w:tcBorders>
          </w:tcPr>
          <w:p>
            <w:pPr>
              <w:pStyle w:val="TableParagraph"/>
              <w:spacing w:before="7"/>
              <w:ind w:left="969" w:right="969"/>
              <w:jc w:val="center"/>
              <w:rPr>
                <w:rFonts w:ascii="Arial"/>
                <w:sz w:val="22"/>
              </w:rPr>
            </w:pPr>
            <w:r>
              <w:rPr>
                <w:rFonts w:ascii="Arial"/>
                <w:sz w:val="22"/>
              </w:rPr>
              <w:t>11</w:t>
            </w:r>
          </w:p>
        </w:tc>
        <w:tc>
          <w:tcPr>
            <w:tcW w:w="2233" w:type="dxa"/>
            <w:tcBorders>
              <w:left w:val="single" w:sz="4" w:space="0" w:color="000000"/>
              <w:bottom w:val="single" w:sz="4" w:space="0" w:color="000000"/>
              <w:right w:val="single" w:sz="4" w:space="0" w:color="000000"/>
            </w:tcBorders>
          </w:tcPr>
          <w:p>
            <w:pPr>
              <w:pStyle w:val="TableParagraph"/>
              <w:spacing w:before="7"/>
              <w:jc w:val="center"/>
              <w:rPr>
                <w:rFonts w:ascii="Arial"/>
                <w:sz w:val="22"/>
              </w:rPr>
            </w:pPr>
            <w:r>
              <w:rPr>
                <w:rFonts w:ascii="Arial"/>
                <w:w w:val="100"/>
                <w:sz w:val="22"/>
              </w:rPr>
              <w:t>9</w:t>
            </w:r>
          </w:p>
        </w:tc>
        <w:tc>
          <w:tcPr>
            <w:tcW w:w="665" w:type="dxa"/>
            <w:tcBorders>
              <w:left w:val="single" w:sz="4" w:space="0" w:color="000000"/>
              <w:bottom w:val="single" w:sz="4" w:space="0" w:color="000000"/>
              <w:right w:val="single" w:sz="4" w:space="0" w:color="000000"/>
            </w:tcBorders>
          </w:tcPr>
          <w:p>
            <w:pPr>
              <w:pStyle w:val="TableParagraph"/>
              <w:spacing w:before="7"/>
              <w:ind w:left="185" w:right="185"/>
              <w:jc w:val="center"/>
              <w:rPr>
                <w:rFonts w:ascii="Arial"/>
                <w:sz w:val="22"/>
              </w:rPr>
            </w:pPr>
            <w:r>
              <w:rPr>
                <w:rFonts w:ascii="Arial"/>
                <w:sz w:val="22"/>
              </w:rPr>
              <w:t>20</w:t>
            </w:r>
          </w:p>
        </w:tc>
      </w:tr>
      <w:tr>
        <w:trPr>
          <w:trHeight w:val="262"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64"/>
              <w:rPr>
                <w:rFonts w:ascii="Arial"/>
                <w:b/>
                <w:sz w:val="22"/>
              </w:rPr>
            </w:pPr>
            <w:r>
              <w:rPr>
                <w:rFonts w:ascii="Arial"/>
                <w:b/>
                <w:sz w:val="22"/>
              </w:rPr>
              <w:t>Sellador Parcialmente desalojado</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jc w:val="center"/>
              <w:rPr>
                <w:rFonts w:ascii="Arial"/>
                <w:sz w:val="22"/>
              </w:rPr>
            </w:pPr>
            <w:r>
              <w:rPr>
                <w:rFonts w:ascii="Arial"/>
                <w:w w:val="100"/>
                <w:sz w:val="22"/>
              </w:rPr>
              <w:t>4</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jc w:val="center"/>
              <w:rPr>
                <w:rFonts w:ascii="Arial"/>
                <w:sz w:val="22"/>
              </w:rPr>
            </w:pPr>
            <w:r>
              <w:rPr>
                <w:rFonts w:ascii="Arial"/>
                <w:w w:val="100"/>
                <w:sz w:val="22"/>
              </w:rPr>
              <w:t>6</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85" w:right="185"/>
              <w:jc w:val="center"/>
              <w:rPr>
                <w:rFonts w:ascii="Arial"/>
                <w:sz w:val="22"/>
              </w:rPr>
            </w:pPr>
            <w:r>
              <w:rPr>
                <w:rFonts w:ascii="Arial"/>
                <w:sz w:val="22"/>
              </w:rPr>
              <w:t>10</w:t>
            </w:r>
          </w:p>
        </w:tc>
      </w:tr>
      <w:tr>
        <w:trPr>
          <w:trHeight w:val="266"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64"/>
              <w:rPr>
                <w:rFonts w:ascii="Arial"/>
                <w:b/>
                <w:sz w:val="22"/>
              </w:rPr>
            </w:pPr>
            <w:r>
              <w:rPr>
                <w:rFonts w:ascii="Arial"/>
                <w:b/>
                <w:sz w:val="22"/>
              </w:rPr>
              <w:t>Sellador totalmente desalojado.</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jc w:val="center"/>
              <w:rPr>
                <w:rFonts w:ascii="Arial"/>
                <w:sz w:val="22"/>
              </w:rPr>
            </w:pPr>
            <w:r>
              <w:rPr>
                <w:rFonts w:ascii="Arial"/>
                <w:w w:val="100"/>
                <w:sz w:val="22"/>
              </w:rPr>
              <w:t>2</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jc w:val="center"/>
              <w:rPr>
                <w:rFonts w:ascii="Arial"/>
                <w:sz w:val="22"/>
              </w:rPr>
            </w:pPr>
            <w:r>
              <w:rPr>
                <w:rFonts w:ascii="Arial"/>
                <w:w w:val="100"/>
                <w:sz w:val="22"/>
              </w:rPr>
              <w:t>2</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jc w:val="center"/>
              <w:rPr>
                <w:rFonts w:ascii="Arial"/>
                <w:sz w:val="22"/>
              </w:rPr>
            </w:pPr>
            <w:r>
              <w:rPr>
                <w:rFonts w:ascii="Arial"/>
                <w:w w:val="100"/>
                <w:sz w:val="22"/>
              </w:rPr>
              <w:t>4</w:t>
            </w:r>
          </w:p>
        </w:tc>
      </w:tr>
      <w:tr>
        <w:trPr>
          <w:trHeight w:val="310" w:hRule="exact"/>
        </w:trPr>
        <w:tc>
          <w:tcPr>
            <w:tcW w:w="3651"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Pr>
                <w:rFonts w:ascii="Arial"/>
                <w:b/>
                <w:sz w:val="22"/>
              </w:rPr>
            </w:pPr>
            <w:r>
              <w:rPr>
                <w:rFonts w:ascii="Arial"/>
                <w:b/>
                <w:sz w:val="22"/>
              </w:rPr>
              <w:t>Total</w:t>
            </w:r>
          </w:p>
        </w:tc>
        <w:tc>
          <w:tcPr>
            <w:tcW w:w="2232" w:type="dxa"/>
            <w:tcBorders>
              <w:top w:val="single" w:sz="4" w:space="0" w:color="000000"/>
              <w:left w:val="single" w:sz="4" w:space="0" w:color="000000"/>
              <w:bottom w:val="single" w:sz="4" w:space="0" w:color="000000"/>
              <w:right w:val="single" w:sz="4" w:space="0" w:color="000000"/>
            </w:tcBorders>
          </w:tcPr>
          <w:p>
            <w:pPr>
              <w:pStyle w:val="TableParagraph"/>
              <w:spacing w:before="21"/>
              <w:ind w:left="969" w:right="969"/>
              <w:jc w:val="center"/>
              <w:rPr>
                <w:rFonts w:ascii="Arial"/>
                <w:sz w:val="22"/>
              </w:rPr>
            </w:pPr>
            <w:r>
              <w:rPr>
                <w:rFonts w:ascii="Arial"/>
                <w:sz w:val="22"/>
              </w:rPr>
              <w:t>17</w:t>
            </w:r>
          </w:p>
        </w:tc>
        <w:tc>
          <w:tcPr>
            <w:tcW w:w="2233" w:type="dxa"/>
            <w:tcBorders>
              <w:top w:val="single" w:sz="4" w:space="0" w:color="000000"/>
              <w:left w:val="single" w:sz="4" w:space="0" w:color="000000"/>
              <w:bottom w:val="single" w:sz="4" w:space="0" w:color="000000"/>
              <w:right w:val="single" w:sz="4" w:space="0" w:color="000000"/>
            </w:tcBorders>
          </w:tcPr>
          <w:p>
            <w:pPr>
              <w:pStyle w:val="TableParagraph"/>
              <w:spacing w:before="21"/>
              <w:ind w:left="969" w:right="969"/>
              <w:jc w:val="center"/>
              <w:rPr>
                <w:rFonts w:ascii="Arial"/>
                <w:sz w:val="22"/>
              </w:rPr>
            </w:pPr>
            <w:r>
              <w:rPr>
                <w:rFonts w:ascii="Arial"/>
                <w:sz w:val="22"/>
              </w:rPr>
              <w:t>17</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21"/>
              <w:ind w:left="185" w:right="185"/>
              <w:jc w:val="center"/>
              <w:rPr>
                <w:rFonts w:ascii="Arial"/>
                <w:sz w:val="22"/>
              </w:rPr>
            </w:pPr>
            <w:r>
              <w:rPr>
                <w:rFonts w:ascii="Arial"/>
                <w:sz w:val="22"/>
              </w:rPr>
              <w:t>34</w:t>
            </w:r>
          </w:p>
        </w:tc>
      </w:tr>
    </w:tbl>
    <w:p>
      <w:pPr>
        <w:pStyle w:val="BodyText"/>
        <w:rPr>
          <w:b/>
          <w:sz w:val="28"/>
        </w:rPr>
      </w:pPr>
    </w:p>
    <w:p>
      <w:pPr>
        <w:pStyle w:val="BodyText"/>
        <w:rPr>
          <w:b/>
          <w:sz w:val="28"/>
        </w:rPr>
      </w:pPr>
    </w:p>
    <w:p>
      <w:pPr>
        <w:pStyle w:val="BodyText"/>
        <w:spacing w:line="480" w:lineRule="auto" w:before="167"/>
        <w:ind w:left="160" w:right="174"/>
        <w:jc w:val="both"/>
      </w:pPr>
      <w:r>
        <w:rPr/>
        <w:t>Independientemente del tipo de sellador, entre la primera y segunda evaluación se notó en el molar superior derecho un ligero aumento en el número de selladores totalmente desalojados; en tanto que en el grupo de selladores del molar superior izquierdo, un sellador completo y dos parcialmente desalojados pasaron a ser totalmente desalojado</w:t>
      </w:r>
      <w:r>
        <w:rPr>
          <w:color w:val="FF0000"/>
        </w:rPr>
        <w:t>.</w:t>
      </w:r>
    </w:p>
    <w:p>
      <w:pPr>
        <w:pStyle w:val="BodyText"/>
      </w:pPr>
    </w:p>
    <w:p>
      <w:pPr>
        <w:pStyle w:val="BodyText"/>
        <w:spacing w:before="8"/>
      </w:pPr>
    </w:p>
    <w:p>
      <w:pPr>
        <w:pStyle w:val="BodyText"/>
        <w:spacing w:line="480" w:lineRule="auto"/>
        <w:ind w:left="160" w:right="182"/>
        <w:jc w:val="both"/>
      </w:pPr>
      <w:r>
        <w:rPr/>
        <w:t>En el molar inferior izquierdo solo un sellador que en la primera evaluación se registró  como completo en la segunda evaluación se encontró completamente desalojado.</w:t>
      </w:r>
    </w:p>
    <w:p>
      <w:pPr>
        <w:spacing w:after="0" w:line="480" w:lineRule="auto"/>
        <w:jc w:val="both"/>
        <w:sectPr>
          <w:pgSz w:w="12240" w:h="15840"/>
          <w:pgMar w:header="731" w:footer="1017" w:top="1360" w:bottom="1220" w:left="560" w:right="540"/>
        </w:sectPr>
      </w:pPr>
    </w:p>
    <w:p>
      <w:pPr>
        <w:pStyle w:val="BodyText"/>
        <w:spacing w:before="7"/>
        <w:rPr>
          <w:sz w:val="17"/>
        </w:rPr>
      </w:pPr>
    </w:p>
    <w:p>
      <w:pPr>
        <w:pStyle w:val="BodyText"/>
        <w:spacing w:line="480" w:lineRule="auto" w:before="69"/>
        <w:ind w:left="160" w:right="4"/>
      </w:pPr>
      <w:r>
        <w:rPr/>
        <w:t>En el molar inferior derecho se presentaron dos selladores inicialmente completos que pasaron a ser parcialmente desalojados.</w:t>
      </w:r>
    </w:p>
    <w:p>
      <w:pPr>
        <w:pStyle w:val="BodyText"/>
        <w:tabs>
          <w:tab w:pos="3480" w:val="left" w:leader="none"/>
        </w:tabs>
        <w:spacing w:line="480" w:lineRule="auto" w:before="8"/>
        <w:ind w:left="160" w:right="187"/>
      </w:pPr>
      <w:r>
        <w:rPr/>
        <w:t>En  ninguno  de  los</w:t>
      </w:r>
      <w:r>
        <w:rPr>
          <w:spacing w:val="-25"/>
        </w:rPr>
        <w:t> </w:t>
      </w:r>
      <w:r>
        <w:rPr/>
        <w:t>casos</w:t>
      </w:r>
      <w:r>
        <w:rPr>
          <w:spacing w:val="44"/>
        </w:rPr>
        <w:t> </w:t>
      </w:r>
      <w:r>
        <w:rPr/>
        <w:t>el</w:t>
        <w:tab/>
        <w:t>tipo</w:t>
      </w:r>
      <w:r>
        <w:rPr>
          <w:spacing w:val="41"/>
        </w:rPr>
        <w:t> </w:t>
      </w:r>
      <w:r>
        <w:rPr/>
        <w:t>de</w:t>
      </w:r>
      <w:r>
        <w:rPr>
          <w:spacing w:val="41"/>
        </w:rPr>
        <w:t> </w:t>
      </w:r>
      <w:r>
        <w:rPr/>
        <w:t>molar</w:t>
      </w:r>
      <w:r>
        <w:rPr>
          <w:spacing w:val="40"/>
        </w:rPr>
        <w:t> </w:t>
      </w:r>
      <w:r>
        <w:rPr/>
        <w:t>pareció</w:t>
      </w:r>
      <w:r>
        <w:rPr>
          <w:spacing w:val="41"/>
        </w:rPr>
        <w:t> </w:t>
      </w:r>
      <w:r>
        <w:rPr/>
        <w:t>desempeñar</w:t>
      </w:r>
      <w:r>
        <w:rPr>
          <w:spacing w:val="42"/>
        </w:rPr>
        <w:t> </w:t>
      </w:r>
      <w:r>
        <w:rPr/>
        <w:t>un</w:t>
      </w:r>
      <w:r>
        <w:rPr>
          <w:spacing w:val="41"/>
        </w:rPr>
        <w:t> </w:t>
      </w:r>
      <w:r>
        <w:rPr/>
        <w:t>papel</w:t>
      </w:r>
      <w:r>
        <w:rPr>
          <w:spacing w:val="42"/>
        </w:rPr>
        <w:t> </w:t>
      </w:r>
      <w:r>
        <w:rPr/>
        <w:t>en</w:t>
      </w:r>
      <w:r>
        <w:rPr>
          <w:spacing w:val="43"/>
        </w:rPr>
        <w:t> </w:t>
      </w:r>
      <w:r>
        <w:rPr/>
        <w:t>la</w:t>
      </w:r>
      <w:r>
        <w:rPr>
          <w:spacing w:val="43"/>
        </w:rPr>
        <w:t> </w:t>
      </w:r>
      <w:r>
        <w:rPr/>
        <w:t>retención</w:t>
      </w:r>
      <w:r>
        <w:rPr>
          <w:spacing w:val="44"/>
        </w:rPr>
        <w:t> </w:t>
      </w:r>
      <w:r>
        <w:rPr/>
        <w:t>de</w:t>
      </w:r>
      <w:r>
        <w:rPr>
          <w:spacing w:val="43"/>
        </w:rPr>
        <w:t> </w:t>
      </w:r>
      <w:r>
        <w:rPr/>
        <w:t>los selladores.</w:t>
      </w:r>
    </w:p>
    <w:p>
      <w:pPr>
        <w:spacing w:after="0" w:line="480" w:lineRule="auto"/>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Heading1"/>
        <w:ind w:left="1163"/>
        <w:jc w:val="left"/>
      </w:pPr>
      <w:r>
        <w:rPr/>
        <w:t>Cuadro 6. EVALUACION DE RETENCION POR  MARCA Y TIEMPO.</w:t>
      </w:r>
    </w:p>
    <w:p>
      <w:pPr>
        <w:pStyle w:val="BodyText"/>
        <w:rPr>
          <w:b/>
          <w:sz w:val="20"/>
        </w:rPr>
      </w:pPr>
    </w:p>
    <w:p>
      <w:pPr>
        <w:pStyle w:val="BodyText"/>
        <w:rPr>
          <w:b/>
          <w:sz w:val="20"/>
        </w:rPr>
      </w:pPr>
    </w:p>
    <w:p>
      <w:pPr>
        <w:pStyle w:val="BodyText"/>
        <w:spacing w:before="4"/>
        <w:rPr>
          <w:b/>
          <w:sz w:val="20"/>
        </w:rPr>
      </w:pPr>
    </w:p>
    <w:tbl>
      <w:tblPr>
        <w:tblW w:w="0" w:type="auto"/>
        <w:jc w:val="left"/>
        <w:tblInd w:w="14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929"/>
        <w:gridCol w:w="1806"/>
        <w:gridCol w:w="1729"/>
        <w:gridCol w:w="808"/>
      </w:tblGrid>
      <w:tr>
        <w:trPr>
          <w:trHeight w:val="366" w:hRule="exact"/>
        </w:trPr>
        <w:tc>
          <w:tcPr>
            <w:tcW w:w="3929" w:type="dxa"/>
            <w:tcBorders>
              <w:left w:val="nil"/>
              <w:bottom w:val="nil"/>
              <w:right w:val="nil"/>
            </w:tcBorders>
          </w:tcPr>
          <w:p>
            <w:pPr>
              <w:pStyle w:val="TableParagraph"/>
              <w:spacing w:line="272" w:lineRule="exact"/>
              <w:ind w:left="107"/>
              <w:rPr>
                <w:rFonts w:ascii="Arial"/>
                <w:b/>
                <w:sz w:val="24"/>
              </w:rPr>
            </w:pPr>
            <w:r>
              <w:rPr>
                <w:rFonts w:ascii="Arial"/>
                <w:b/>
                <w:sz w:val="24"/>
              </w:rPr>
              <w:t>Helioseal F</w:t>
            </w:r>
          </w:p>
        </w:tc>
        <w:tc>
          <w:tcPr>
            <w:tcW w:w="1806" w:type="dxa"/>
            <w:tcBorders>
              <w:left w:val="nil"/>
              <w:bottom w:val="nil"/>
              <w:right w:val="nil"/>
            </w:tcBorders>
          </w:tcPr>
          <w:p>
            <w:pPr>
              <w:pStyle w:val="TableParagraph"/>
              <w:spacing w:line="272" w:lineRule="exact"/>
              <w:ind w:left="228" w:right="137"/>
              <w:jc w:val="center"/>
              <w:rPr>
                <w:rFonts w:ascii="Arial"/>
                <w:sz w:val="24"/>
              </w:rPr>
            </w:pPr>
            <w:r>
              <w:rPr>
                <w:rFonts w:ascii="Arial"/>
                <w:sz w:val="24"/>
              </w:rPr>
              <w:t>A tres meses</w:t>
            </w:r>
          </w:p>
        </w:tc>
        <w:tc>
          <w:tcPr>
            <w:tcW w:w="1729" w:type="dxa"/>
            <w:tcBorders>
              <w:left w:val="nil"/>
              <w:bottom w:val="nil"/>
              <w:right w:val="nil"/>
            </w:tcBorders>
          </w:tcPr>
          <w:p>
            <w:pPr>
              <w:pStyle w:val="TableParagraph"/>
              <w:spacing w:line="272" w:lineRule="exact"/>
              <w:ind w:left="136" w:right="125"/>
              <w:jc w:val="center"/>
              <w:rPr>
                <w:rFonts w:ascii="Arial"/>
                <w:sz w:val="24"/>
              </w:rPr>
            </w:pPr>
            <w:r>
              <w:rPr>
                <w:rFonts w:ascii="Arial"/>
                <w:sz w:val="24"/>
              </w:rPr>
              <w:t>A seis meses</w:t>
            </w:r>
          </w:p>
        </w:tc>
        <w:tc>
          <w:tcPr>
            <w:tcW w:w="808" w:type="dxa"/>
            <w:tcBorders>
              <w:left w:val="nil"/>
              <w:bottom w:val="nil"/>
              <w:right w:val="nil"/>
            </w:tcBorders>
          </w:tcPr>
          <w:p>
            <w:pPr>
              <w:pStyle w:val="TableParagraph"/>
              <w:spacing w:line="272" w:lineRule="exact"/>
              <w:ind w:left="124" w:right="110"/>
              <w:jc w:val="center"/>
              <w:rPr>
                <w:rFonts w:ascii="Arial"/>
                <w:sz w:val="24"/>
              </w:rPr>
            </w:pPr>
            <w:r>
              <w:rPr>
                <w:rFonts w:ascii="Arial"/>
                <w:sz w:val="24"/>
              </w:rPr>
              <w:t>Total</w:t>
            </w:r>
          </w:p>
        </w:tc>
      </w:tr>
      <w:tr>
        <w:trPr>
          <w:trHeight w:val="421" w:hRule="exact"/>
        </w:trPr>
        <w:tc>
          <w:tcPr>
            <w:tcW w:w="3929" w:type="dxa"/>
            <w:tcBorders>
              <w:top w:val="nil"/>
              <w:left w:val="nil"/>
              <w:bottom w:val="nil"/>
              <w:right w:val="nil"/>
            </w:tcBorders>
          </w:tcPr>
          <w:p>
            <w:pPr>
              <w:pStyle w:val="TableParagraph"/>
              <w:spacing w:before="59"/>
              <w:ind w:left="107"/>
              <w:rPr>
                <w:rFonts w:ascii="Arial"/>
                <w:sz w:val="24"/>
              </w:rPr>
            </w:pPr>
            <w:r>
              <w:rPr>
                <w:rFonts w:ascii="Arial"/>
                <w:sz w:val="24"/>
              </w:rPr>
              <w:t>Sellador completo</w:t>
            </w:r>
          </w:p>
        </w:tc>
        <w:tc>
          <w:tcPr>
            <w:tcW w:w="1806" w:type="dxa"/>
            <w:tcBorders>
              <w:top w:val="nil"/>
              <w:left w:val="nil"/>
              <w:bottom w:val="nil"/>
              <w:right w:val="nil"/>
            </w:tcBorders>
          </w:tcPr>
          <w:p>
            <w:pPr>
              <w:pStyle w:val="TableParagraph"/>
              <w:spacing w:before="59"/>
              <w:ind w:left="228" w:right="137"/>
              <w:jc w:val="center"/>
              <w:rPr>
                <w:rFonts w:ascii="Arial"/>
                <w:sz w:val="24"/>
              </w:rPr>
            </w:pPr>
            <w:r>
              <w:rPr>
                <w:rFonts w:ascii="Arial"/>
                <w:sz w:val="24"/>
              </w:rPr>
              <w:t>15</w:t>
            </w:r>
          </w:p>
        </w:tc>
        <w:tc>
          <w:tcPr>
            <w:tcW w:w="1729" w:type="dxa"/>
            <w:tcBorders>
              <w:top w:val="nil"/>
              <w:left w:val="nil"/>
              <w:bottom w:val="nil"/>
              <w:right w:val="nil"/>
            </w:tcBorders>
          </w:tcPr>
          <w:p>
            <w:pPr>
              <w:pStyle w:val="TableParagraph"/>
              <w:spacing w:before="59"/>
              <w:ind w:left="136" w:right="123"/>
              <w:jc w:val="center"/>
              <w:rPr>
                <w:rFonts w:ascii="Arial"/>
                <w:sz w:val="24"/>
              </w:rPr>
            </w:pPr>
            <w:r>
              <w:rPr>
                <w:rFonts w:ascii="Arial"/>
                <w:sz w:val="24"/>
              </w:rPr>
              <w:t>14</w:t>
            </w:r>
          </w:p>
        </w:tc>
        <w:tc>
          <w:tcPr>
            <w:tcW w:w="808" w:type="dxa"/>
            <w:tcBorders>
              <w:top w:val="nil"/>
              <w:left w:val="nil"/>
              <w:bottom w:val="nil"/>
              <w:right w:val="nil"/>
            </w:tcBorders>
          </w:tcPr>
          <w:p>
            <w:pPr>
              <w:pStyle w:val="TableParagraph"/>
              <w:spacing w:before="59"/>
              <w:ind w:left="124" w:right="108"/>
              <w:jc w:val="center"/>
              <w:rPr>
                <w:rFonts w:ascii="Arial"/>
                <w:sz w:val="24"/>
              </w:rPr>
            </w:pPr>
            <w:r>
              <w:rPr>
                <w:rFonts w:ascii="Arial"/>
                <w:sz w:val="24"/>
              </w:rPr>
              <w:t>29</w:t>
            </w:r>
          </w:p>
        </w:tc>
      </w:tr>
      <w:tr>
        <w:trPr>
          <w:trHeight w:val="421" w:hRule="exact"/>
        </w:trPr>
        <w:tc>
          <w:tcPr>
            <w:tcW w:w="3929" w:type="dxa"/>
            <w:tcBorders>
              <w:top w:val="nil"/>
              <w:left w:val="nil"/>
              <w:bottom w:val="nil"/>
              <w:right w:val="nil"/>
            </w:tcBorders>
          </w:tcPr>
          <w:p>
            <w:pPr>
              <w:pStyle w:val="TableParagraph"/>
              <w:spacing w:before="60"/>
              <w:ind w:left="107"/>
              <w:rPr>
                <w:rFonts w:ascii="Arial"/>
                <w:sz w:val="24"/>
              </w:rPr>
            </w:pPr>
            <w:r>
              <w:rPr>
                <w:rFonts w:ascii="Arial"/>
                <w:sz w:val="24"/>
              </w:rPr>
              <w:t>Sellador Parcialmente desalojado</w:t>
            </w:r>
          </w:p>
        </w:tc>
        <w:tc>
          <w:tcPr>
            <w:tcW w:w="1806" w:type="dxa"/>
            <w:tcBorders>
              <w:top w:val="nil"/>
              <w:left w:val="nil"/>
              <w:bottom w:val="nil"/>
              <w:right w:val="nil"/>
            </w:tcBorders>
          </w:tcPr>
          <w:p>
            <w:pPr>
              <w:pStyle w:val="TableParagraph"/>
              <w:spacing w:before="60"/>
              <w:ind w:left="90"/>
              <w:jc w:val="center"/>
              <w:rPr>
                <w:rFonts w:ascii="Arial"/>
                <w:sz w:val="24"/>
              </w:rPr>
            </w:pPr>
            <w:r>
              <w:rPr>
                <w:rFonts w:ascii="Arial"/>
                <w:w w:val="99"/>
                <w:sz w:val="24"/>
              </w:rPr>
              <w:t>5</w:t>
            </w:r>
          </w:p>
        </w:tc>
        <w:tc>
          <w:tcPr>
            <w:tcW w:w="1729" w:type="dxa"/>
            <w:tcBorders>
              <w:top w:val="nil"/>
              <w:left w:val="nil"/>
              <w:bottom w:val="nil"/>
              <w:right w:val="nil"/>
            </w:tcBorders>
          </w:tcPr>
          <w:p>
            <w:pPr>
              <w:pStyle w:val="TableParagraph"/>
              <w:spacing w:before="60"/>
              <w:ind w:left="12"/>
              <w:jc w:val="center"/>
              <w:rPr>
                <w:rFonts w:ascii="Arial"/>
                <w:sz w:val="24"/>
              </w:rPr>
            </w:pPr>
            <w:r>
              <w:rPr>
                <w:rFonts w:ascii="Arial"/>
                <w:w w:val="99"/>
                <w:sz w:val="24"/>
              </w:rPr>
              <w:t>3</w:t>
            </w:r>
          </w:p>
        </w:tc>
        <w:tc>
          <w:tcPr>
            <w:tcW w:w="808" w:type="dxa"/>
            <w:tcBorders>
              <w:top w:val="nil"/>
              <w:left w:val="nil"/>
              <w:bottom w:val="nil"/>
              <w:right w:val="nil"/>
            </w:tcBorders>
          </w:tcPr>
          <w:p>
            <w:pPr>
              <w:pStyle w:val="TableParagraph"/>
              <w:spacing w:before="60"/>
              <w:ind w:left="10"/>
              <w:jc w:val="center"/>
              <w:rPr>
                <w:rFonts w:ascii="Arial"/>
                <w:sz w:val="24"/>
              </w:rPr>
            </w:pPr>
            <w:r>
              <w:rPr>
                <w:rFonts w:ascii="Arial"/>
                <w:w w:val="99"/>
                <w:sz w:val="24"/>
              </w:rPr>
              <w:t>8</w:t>
            </w:r>
          </w:p>
        </w:tc>
      </w:tr>
      <w:tr>
        <w:trPr>
          <w:trHeight w:val="421" w:hRule="exact"/>
        </w:trPr>
        <w:tc>
          <w:tcPr>
            <w:tcW w:w="3929" w:type="dxa"/>
            <w:tcBorders>
              <w:top w:val="nil"/>
              <w:left w:val="nil"/>
              <w:bottom w:val="nil"/>
              <w:right w:val="nil"/>
            </w:tcBorders>
          </w:tcPr>
          <w:p>
            <w:pPr>
              <w:pStyle w:val="TableParagraph"/>
              <w:spacing w:before="59"/>
              <w:ind w:left="107"/>
              <w:rPr>
                <w:rFonts w:ascii="Arial"/>
                <w:sz w:val="24"/>
              </w:rPr>
            </w:pPr>
            <w:r>
              <w:rPr>
                <w:rFonts w:ascii="Arial"/>
                <w:sz w:val="24"/>
              </w:rPr>
              <w:t>Sellador totalmente desalojado</w:t>
            </w:r>
          </w:p>
        </w:tc>
        <w:tc>
          <w:tcPr>
            <w:tcW w:w="1806" w:type="dxa"/>
            <w:tcBorders>
              <w:top w:val="nil"/>
              <w:left w:val="nil"/>
              <w:bottom w:val="nil"/>
              <w:right w:val="nil"/>
            </w:tcBorders>
          </w:tcPr>
          <w:p>
            <w:pPr>
              <w:pStyle w:val="TableParagraph"/>
              <w:spacing w:before="59"/>
              <w:ind w:left="90"/>
              <w:jc w:val="center"/>
              <w:rPr>
                <w:rFonts w:ascii="Arial"/>
                <w:sz w:val="24"/>
              </w:rPr>
            </w:pPr>
            <w:r>
              <w:rPr>
                <w:rFonts w:ascii="Arial"/>
                <w:w w:val="99"/>
                <w:sz w:val="24"/>
              </w:rPr>
              <w:t>4</w:t>
            </w:r>
          </w:p>
        </w:tc>
        <w:tc>
          <w:tcPr>
            <w:tcW w:w="1729" w:type="dxa"/>
            <w:tcBorders>
              <w:top w:val="nil"/>
              <w:left w:val="nil"/>
              <w:bottom w:val="nil"/>
              <w:right w:val="nil"/>
            </w:tcBorders>
          </w:tcPr>
          <w:p>
            <w:pPr>
              <w:pStyle w:val="TableParagraph"/>
              <w:spacing w:before="59"/>
              <w:ind w:left="12"/>
              <w:jc w:val="center"/>
              <w:rPr>
                <w:rFonts w:ascii="Arial"/>
                <w:sz w:val="24"/>
              </w:rPr>
            </w:pPr>
            <w:r>
              <w:rPr>
                <w:rFonts w:ascii="Arial"/>
                <w:w w:val="99"/>
                <w:sz w:val="24"/>
              </w:rPr>
              <w:t>7</w:t>
            </w:r>
          </w:p>
        </w:tc>
        <w:tc>
          <w:tcPr>
            <w:tcW w:w="808" w:type="dxa"/>
            <w:tcBorders>
              <w:top w:val="nil"/>
              <w:left w:val="nil"/>
              <w:bottom w:val="nil"/>
              <w:right w:val="nil"/>
            </w:tcBorders>
          </w:tcPr>
          <w:p>
            <w:pPr>
              <w:pStyle w:val="TableParagraph"/>
              <w:spacing w:before="59"/>
              <w:ind w:left="124" w:right="108"/>
              <w:jc w:val="center"/>
              <w:rPr>
                <w:rFonts w:ascii="Arial"/>
                <w:sz w:val="24"/>
              </w:rPr>
            </w:pPr>
            <w:r>
              <w:rPr>
                <w:rFonts w:ascii="Arial"/>
                <w:sz w:val="24"/>
              </w:rPr>
              <w:t>11</w:t>
            </w:r>
          </w:p>
        </w:tc>
      </w:tr>
      <w:tr>
        <w:trPr>
          <w:trHeight w:val="495" w:hRule="exact"/>
        </w:trPr>
        <w:tc>
          <w:tcPr>
            <w:tcW w:w="3929" w:type="dxa"/>
            <w:tcBorders>
              <w:top w:val="nil"/>
              <w:left w:val="nil"/>
              <w:right w:val="nil"/>
            </w:tcBorders>
          </w:tcPr>
          <w:p>
            <w:pPr>
              <w:pStyle w:val="TableParagraph"/>
              <w:spacing w:before="60"/>
              <w:ind w:left="107"/>
              <w:rPr>
                <w:rFonts w:ascii="Arial"/>
                <w:sz w:val="24"/>
              </w:rPr>
            </w:pPr>
            <w:r>
              <w:rPr>
                <w:rFonts w:ascii="Arial"/>
                <w:sz w:val="24"/>
              </w:rPr>
              <w:t>Total</w:t>
            </w:r>
          </w:p>
        </w:tc>
        <w:tc>
          <w:tcPr>
            <w:tcW w:w="1806" w:type="dxa"/>
            <w:tcBorders>
              <w:top w:val="nil"/>
              <w:left w:val="nil"/>
              <w:right w:val="nil"/>
            </w:tcBorders>
          </w:tcPr>
          <w:p>
            <w:pPr>
              <w:pStyle w:val="TableParagraph"/>
              <w:spacing w:before="60"/>
              <w:ind w:left="228" w:right="137"/>
              <w:jc w:val="center"/>
              <w:rPr>
                <w:rFonts w:ascii="Arial"/>
                <w:sz w:val="24"/>
              </w:rPr>
            </w:pPr>
            <w:r>
              <w:rPr>
                <w:rFonts w:ascii="Arial"/>
                <w:sz w:val="24"/>
              </w:rPr>
              <w:t>24</w:t>
            </w:r>
          </w:p>
        </w:tc>
        <w:tc>
          <w:tcPr>
            <w:tcW w:w="1729" w:type="dxa"/>
            <w:tcBorders>
              <w:top w:val="nil"/>
              <w:left w:val="nil"/>
              <w:right w:val="nil"/>
            </w:tcBorders>
          </w:tcPr>
          <w:p>
            <w:pPr>
              <w:pStyle w:val="TableParagraph"/>
              <w:spacing w:before="60"/>
              <w:ind w:left="136" w:right="123"/>
              <w:jc w:val="center"/>
              <w:rPr>
                <w:rFonts w:ascii="Arial"/>
                <w:sz w:val="24"/>
              </w:rPr>
            </w:pPr>
            <w:r>
              <w:rPr>
                <w:rFonts w:ascii="Arial"/>
                <w:sz w:val="24"/>
              </w:rPr>
              <w:t>24</w:t>
            </w:r>
          </w:p>
        </w:tc>
        <w:tc>
          <w:tcPr>
            <w:tcW w:w="808" w:type="dxa"/>
            <w:tcBorders>
              <w:top w:val="nil"/>
              <w:left w:val="nil"/>
              <w:right w:val="nil"/>
            </w:tcBorders>
          </w:tcPr>
          <w:p>
            <w:pPr>
              <w:pStyle w:val="TableParagraph"/>
              <w:spacing w:before="60"/>
              <w:ind w:left="124" w:right="108"/>
              <w:jc w:val="center"/>
              <w:rPr>
                <w:rFonts w:ascii="Arial"/>
                <w:sz w:val="24"/>
              </w:rPr>
            </w:pPr>
            <w:r>
              <w:rPr>
                <w:rFonts w:ascii="Arial"/>
                <w:sz w:val="24"/>
              </w:rPr>
              <w:t>48</w:t>
            </w:r>
          </w:p>
        </w:tc>
      </w:tr>
    </w:tbl>
    <w:p>
      <w:pPr>
        <w:pStyle w:val="BodyText"/>
        <w:rPr>
          <w:b/>
          <w:sz w:val="20"/>
        </w:rPr>
      </w:pPr>
    </w:p>
    <w:p>
      <w:pPr>
        <w:pStyle w:val="BodyText"/>
        <w:rPr>
          <w:b/>
          <w:sz w:val="20"/>
        </w:rPr>
      </w:pPr>
    </w:p>
    <w:p>
      <w:pPr>
        <w:pStyle w:val="BodyText"/>
        <w:rPr>
          <w:b/>
          <w:sz w:val="20"/>
        </w:rPr>
      </w:pPr>
    </w:p>
    <w:p>
      <w:pPr>
        <w:pStyle w:val="BodyText"/>
        <w:spacing w:before="8"/>
        <w:rPr>
          <w:b/>
          <w:sz w:val="26"/>
        </w:rPr>
      </w:pPr>
      <w:r>
        <w:rPr/>
        <w:pict>
          <v:group style="position:absolute;margin-left:134.895004pt;margin-top:17.317919pt;width:338.25pt;height:215.25pt;mso-position-horizontal-relative:page;mso-position-vertical-relative:paragraph;z-index:1240;mso-wrap-distance-left:0;mso-wrap-distance-right:0" coordorigin="2698,346" coordsize="6765,4305">
            <v:line style="position:absolute" from="8984,3154" to="9235,3154" stroked="true" strokeweight=".72pt" strokecolor="#858585"/>
            <v:line style="position:absolute" from="4978,3154" to="8317,3154" stroked="true" strokeweight=".72pt" strokecolor="#858585"/>
            <v:line style="position:absolute" from="4143,3154" to="4309,3154" stroked="true" strokeweight=".72pt" strokecolor="#858585"/>
            <v:line style="position:absolute" from="3223,3154" to="3473,3154" stroked="true" strokeweight=".72pt" strokecolor="#858585"/>
            <v:line style="position:absolute" from="4978,2647" to="9235,2647" stroked="true" strokeweight=".72pt" strokecolor="#858585"/>
            <v:line style="position:absolute" from="4143,2647" to="4309,2647" stroked="true" strokeweight=".72pt" strokecolor="#858585"/>
            <v:line style="position:absolute" from="3223,2647" to="3473,2647" stroked="true" strokeweight=".72pt" strokecolor="#858585"/>
            <v:line style="position:absolute" from="3223,2141" to="9235,2141" stroked="true" strokeweight=".72pt" strokecolor="#858585"/>
            <v:shape style="position:absolute;left:3401;top:2098;width:4824;height:1577" type="#_x0000_t75" stroked="false">
              <v:imagedata r:id="rId11" o:title=""/>
            </v:shape>
            <v:shape style="position:absolute;left:4234;top:2199;width:4826;height:1476" type="#_x0000_t75" stroked="false">
              <v:imagedata r:id="rId12" o:title=""/>
            </v:shape>
            <v:rect style="position:absolute;left:3473;top:2142;width:670;height:1519" filled="true" fillcolor="#70578f" stroked="false">
              <v:fill type="solid"/>
            </v:rect>
            <v:rect style="position:absolute;left:5477;top:3155;width:670;height:507" filled="true" fillcolor="#70578f" stroked="false">
              <v:fill type="solid"/>
            </v:rect>
            <v:rect style="position:absolute;left:7481;top:3255;width:670;height:406" filled="true" fillcolor="#70578f" stroked="false">
              <v:fill type="solid"/>
            </v:rect>
            <v:rect style="position:absolute;left:3473;top:2142;width:670;height:1519" filled="false" stroked="true" strokeweight=".75pt" strokecolor="#f8f8f8"/>
            <v:rect style="position:absolute;left:5477;top:3155;width:670;height:507" filled="false" stroked="true" strokeweight=".75pt" strokecolor="#f8f8f8"/>
            <v:rect style="position:absolute;left:7481;top:3255;width:670;height:406" filled="false" stroked="true" strokeweight=".75pt" strokecolor="#f8f8f8"/>
            <v:rect style="position:absolute;left:4309;top:2243;width:670;height:1419" filled="true" fillcolor="#a99bbc" stroked="false">
              <v:fill type="solid"/>
            </v:rect>
            <v:rect style="position:absolute;left:6313;top:3356;width:670;height:305" filled="true" fillcolor="#a99bbc" stroked="false">
              <v:fill type="solid"/>
            </v:rect>
            <v:rect style="position:absolute;left:8317;top:2953;width:667;height:708" filled="true" fillcolor="#a99bbc" stroked="false">
              <v:fill type="solid"/>
            </v:rect>
            <v:rect style="position:absolute;left:4309;top:2243;width:670;height:1419" filled="false" stroked="true" strokeweight=".75pt" strokecolor="#f8f8f8"/>
            <v:rect style="position:absolute;left:6313;top:3356;width:670;height:305" filled="false" stroked="true" strokeweight=".75pt" strokecolor="#f8f8f8"/>
            <v:rect style="position:absolute;left:8317;top:2953;width:667;height:708" filled="false" stroked="true" strokeweight=".75pt" strokecolor="#f8f8f8"/>
            <v:line style="position:absolute" from="3223,3660" to="9235,3660" stroked="true" strokeweight=".72pt" strokecolor="#858585"/>
            <v:line style="position:absolute" from="3223,1635" to="9235,1635" stroked="true" strokeweight=".72pt" strokecolor="#858585"/>
            <v:rect style="position:absolute;left:5172;top:4287;width:110;height:110" filled="true" fillcolor="#70578f" stroked="false">
              <v:fill type="solid"/>
            </v:rect>
            <v:rect style="position:absolute;left:5172;top:4287;width:110;height:110" filled="false" stroked="true" strokeweight=".72pt" strokecolor="#f8f8f8"/>
            <v:rect style="position:absolute;left:6211;top:4287;width:110;height:110" filled="true" fillcolor="#a99bbc" stroked="false">
              <v:fill type="solid"/>
            </v:rect>
            <v:rect style="position:absolute;left:6211;top:4287;width:110;height:110" filled="false" stroked="true" strokeweight=".72pt" strokecolor="#f8f8f8"/>
            <v:rect style="position:absolute;left:2705;top:354;width:6750;height:4290" filled="false" stroked="true" strokeweight=".75pt" strokecolor="#858585"/>
            <v:shape style="position:absolute;left:3586;top:578;width:4986;height:800" type="#_x0000_t202" filled="false" stroked="false">
              <v:textbox inset="0,0,0,0">
                <w:txbxContent>
                  <w:p>
                    <w:pPr>
                      <w:spacing w:line="367" w:lineRule="exact" w:before="0"/>
                      <w:ind w:left="0" w:right="0" w:firstLine="0"/>
                      <w:jc w:val="center"/>
                      <w:rPr>
                        <w:rFonts w:ascii="Calibri" w:hAnsi="Calibri"/>
                        <w:b/>
                        <w:sz w:val="36"/>
                      </w:rPr>
                    </w:pPr>
                    <w:r>
                      <w:rPr>
                        <w:rFonts w:ascii="Calibri" w:hAnsi="Calibri"/>
                        <w:b/>
                        <w:sz w:val="36"/>
                      </w:rPr>
                      <w:t>Gráfico1. Evaluacion de</w:t>
                    </w:r>
                    <w:r>
                      <w:rPr>
                        <w:rFonts w:ascii="Calibri" w:hAnsi="Calibri"/>
                        <w:b/>
                        <w:spacing w:val="-53"/>
                        <w:sz w:val="36"/>
                      </w:rPr>
                      <w:t> </w:t>
                    </w:r>
                    <w:r>
                      <w:rPr>
                        <w:rFonts w:ascii="Calibri" w:hAnsi="Calibri"/>
                        <w:b/>
                        <w:sz w:val="36"/>
                      </w:rPr>
                      <w:t>retención</w:t>
                    </w:r>
                  </w:p>
                  <w:p>
                    <w:pPr>
                      <w:spacing w:line="433" w:lineRule="exact" w:before="0"/>
                      <w:ind w:left="6" w:right="0" w:firstLine="0"/>
                      <w:jc w:val="center"/>
                      <w:rPr>
                        <w:rFonts w:ascii="Calibri"/>
                        <w:b/>
                        <w:sz w:val="36"/>
                      </w:rPr>
                    </w:pPr>
                    <w:r>
                      <w:rPr>
                        <w:rFonts w:ascii="Calibri"/>
                        <w:b/>
                        <w:sz w:val="36"/>
                      </w:rPr>
                      <w:t>Helioseal F</w:t>
                    </w:r>
                  </w:p>
                </w:txbxContent>
              </v:textbox>
              <w10:wrap type="none"/>
            </v:shape>
            <v:shape style="position:absolute;left:2836;top:1543;width:203;height:2226" type="#_x0000_t202" filled="false" stroked="false">
              <v:textbox inset="0,0,0,0">
                <w:txbxContent>
                  <w:p>
                    <w:pPr>
                      <w:spacing w:line="203" w:lineRule="exact" w:before="0"/>
                      <w:ind w:left="0" w:right="1" w:firstLine="0"/>
                      <w:jc w:val="center"/>
                      <w:rPr>
                        <w:rFonts w:ascii="Calibri"/>
                        <w:sz w:val="20"/>
                      </w:rPr>
                    </w:pPr>
                    <w:r>
                      <w:rPr>
                        <w:rFonts w:ascii="Calibri"/>
                        <w:w w:val="95"/>
                        <w:sz w:val="20"/>
                      </w:rPr>
                      <w:t>20</w:t>
                    </w:r>
                  </w:p>
                  <w:p>
                    <w:pPr>
                      <w:spacing w:line="240" w:lineRule="auto" w:before="9"/>
                      <w:rPr>
                        <w:b/>
                        <w:sz w:val="22"/>
                      </w:rPr>
                    </w:pPr>
                  </w:p>
                  <w:p>
                    <w:pPr>
                      <w:spacing w:before="0"/>
                      <w:ind w:left="0" w:right="1" w:firstLine="0"/>
                      <w:jc w:val="center"/>
                      <w:rPr>
                        <w:rFonts w:ascii="Calibri"/>
                        <w:sz w:val="20"/>
                      </w:rPr>
                    </w:pPr>
                    <w:r>
                      <w:rPr>
                        <w:rFonts w:ascii="Calibri"/>
                        <w:w w:val="95"/>
                        <w:sz w:val="20"/>
                      </w:rPr>
                      <w:t>15</w:t>
                    </w:r>
                  </w:p>
                  <w:p>
                    <w:pPr>
                      <w:spacing w:line="240" w:lineRule="auto" w:before="9"/>
                      <w:rPr>
                        <w:b/>
                        <w:sz w:val="22"/>
                      </w:rPr>
                    </w:pPr>
                  </w:p>
                  <w:p>
                    <w:pPr>
                      <w:spacing w:before="1"/>
                      <w:ind w:left="0" w:right="1" w:firstLine="0"/>
                      <w:jc w:val="center"/>
                      <w:rPr>
                        <w:rFonts w:ascii="Calibri"/>
                        <w:sz w:val="20"/>
                      </w:rPr>
                    </w:pPr>
                    <w:r>
                      <w:rPr>
                        <w:rFonts w:ascii="Calibri"/>
                        <w:w w:val="95"/>
                        <w:sz w:val="20"/>
                      </w:rPr>
                      <w:t>10</w:t>
                    </w:r>
                  </w:p>
                  <w:p>
                    <w:pPr>
                      <w:spacing w:line="240" w:lineRule="auto" w:before="9"/>
                      <w:rPr>
                        <w:b/>
                        <w:sz w:val="22"/>
                      </w:rPr>
                    </w:pPr>
                  </w:p>
                  <w:p>
                    <w:pPr>
                      <w:spacing w:before="0"/>
                      <w:ind w:left="101" w:right="0" w:firstLine="0"/>
                      <w:jc w:val="center"/>
                      <w:rPr>
                        <w:rFonts w:ascii="Calibri"/>
                        <w:sz w:val="20"/>
                      </w:rPr>
                    </w:pPr>
                    <w:r>
                      <w:rPr>
                        <w:rFonts w:ascii="Calibri"/>
                        <w:w w:val="99"/>
                        <w:sz w:val="20"/>
                      </w:rPr>
                      <w:t>5</w:t>
                    </w:r>
                  </w:p>
                  <w:p>
                    <w:pPr>
                      <w:spacing w:line="240" w:lineRule="auto" w:before="9"/>
                      <w:rPr>
                        <w:b/>
                        <w:sz w:val="22"/>
                      </w:rPr>
                    </w:pPr>
                  </w:p>
                  <w:p>
                    <w:pPr>
                      <w:spacing w:line="240" w:lineRule="exact" w:before="0"/>
                      <w:ind w:left="101" w:right="0" w:firstLine="0"/>
                      <w:jc w:val="center"/>
                      <w:rPr>
                        <w:rFonts w:ascii="Calibri"/>
                        <w:sz w:val="20"/>
                      </w:rPr>
                    </w:pPr>
                    <w:r>
                      <w:rPr>
                        <w:rFonts w:ascii="Calibri"/>
                        <w:w w:val="99"/>
                        <w:sz w:val="20"/>
                      </w:rPr>
                      <w:t>0</w:t>
                    </w:r>
                  </w:p>
                </w:txbxContent>
              </v:textbox>
              <w10:wrap type="none"/>
            </v:shape>
            <v:shape style="position:absolute;left:3764;top:3830;width:924;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COMPLETO</w:t>
                    </w:r>
                  </w:p>
                </w:txbxContent>
              </v:textbox>
              <w10:wrap type="none"/>
            </v:shape>
            <v:shape style="position:absolute;left:5889;top:3830;width:684;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PARCIAL</w:t>
                    </w:r>
                  </w:p>
                </w:txbxContent>
              </v:textbox>
              <w10:wrap type="none"/>
            </v:shape>
            <v:shape style="position:absolute;left:7695;top:3830;width:108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DESALOJADO</w:t>
                    </w:r>
                  </w:p>
                </w:txbxContent>
              </v:textbox>
              <w10:wrap type="none"/>
            </v:shape>
            <v:shape style="position:absolute;left:5331;top:4251;width:1736;height:200" type="#_x0000_t202" filled="false" stroked="false">
              <v:textbox inset="0,0,0,0">
                <w:txbxContent>
                  <w:p>
                    <w:pPr>
                      <w:tabs>
                        <w:tab w:pos="1039" w:val="left" w:leader="none"/>
                      </w:tabs>
                      <w:spacing w:line="199" w:lineRule="exact" w:before="0"/>
                      <w:ind w:left="0" w:right="0" w:firstLine="0"/>
                      <w:jc w:val="left"/>
                      <w:rPr>
                        <w:rFonts w:ascii="Calibri"/>
                        <w:sz w:val="20"/>
                      </w:rPr>
                    </w:pPr>
                    <w:r>
                      <w:rPr>
                        <w:rFonts w:ascii="Calibri"/>
                        <w:sz w:val="20"/>
                      </w:rPr>
                      <w:t>3</w:t>
                    </w:r>
                    <w:r>
                      <w:rPr>
                        <w:rFonts w:ascii="Calibri"/>
                        <w:spacing w:val="-2"/>
                        <w:sz w:val="20"/>
                      </w:rPr>
                      <w:t> </w:t>
                    </w:r>
                    <w:r>
                      <w:rPr>
                        <w:rFonts w:ascii="Calibri"/>
                        <w:sz w:val="20"/>
                      </w:rPr>
                      <w:t>MESES</w:t>
                      <w:tab/>
                      <w:t>6</w:t>
                    </w:r>
                    <w:r>
                      <w:rPr>
                        <w:rFonts w:ascii="Calibri"/>
                        <w:spacing w:val="-4"/>
                        <w:sz w:val="20"/>
                      </w:rPr>
                      <w:t> </w:t>
                    </w:r>
                    <w:r>
                      <w:rPr>
                        <w:rFonts w:ascii="Calibri"/>
                        <w:sz w:val="20"/>
                      </w:rPr>
                      <w:t>MESES</w:t>
                    </w:r>
                  </w:p>
                </w:txbxContent>
              </v:textbox>
              <w10:wrap type="none"/>
            </v:shape>
            <w10:wrap type="topAndBottom"/>
          </v:group>
        </w:pict>
      </w:r>
    </w:p>
    <w:p>
      <w:pPr>
        <w:pStyle w:val="BodyText"/>
        <w:rPr>
          <w:b/>
          <w:sz w:val="28"/>
        </w:rPr>
      </w:pPr>
    </w:p>
    <w:p>
      <w:pPr>
        <w:pStyle w:val="BodyText"/>
        <w:rPr>
          <w:b/>
          <w:sz w:val="28"/>
        </w:rPr>
      </w:pPr>
    </w:p>
    <w:p>
      <w:pPr>
        <w:pStyle w:val="BodyText"/>
        <w:spacing w:line="480" w:lineRule="auto" w:before="200"/>
        <w:ind w:left="160" w:right="223"/>
        <w:jc w:val="both"/>
      </w:pPr>
      <w:r>
        <w:rPr/>
        <w:t>Al comparar la retención del sellador Helioseal F en las dos evaluaciones no se detectaron diferencias significativas en los selladores completos, parcialmente desalojados, no obstante el número de selladores completamente desalojados en la evaluación a seis meses se incrementó notoriamente.</w:t>
      </w:r>
    </w:p>
    <w:p>
      <w:pPr>
        <w:spacing w:after="0" w:line="480" w:lineRule="auto"/>
        <w:jc w:val="both"/>
        <w:sectPr>
          <w:pgSz w:w="12240" w:h="15840"/>
          <w:pgMar w:header="731" w:footer="1017" w:top="1360" w:bottom="1220" w:left="560" w:right="540"/>
        </w:sectPr>
      </w:pPr>
    </w:p>
    <w:p>
      <w:pPr>
        <w:pStyle w:val="BodyText"/>
        <w:spacing w:before="1"/>
        <w:rPr>
          <w:sz w:val="18"/>
        </w:rPr>
      </w:pPr>
    </w:p>
    <w:p>
      <w:pPr>
        <w:pStyle w:val="Heading1"/>
        <w:ind w:left="1163"/>
        <w:jc w:val="left"/>
      </w:pPr>
      <w:r>
        <w:rPr/>
        <w:t>Cuadro 7. EVALUACION DE RETENCION POR  MARCA Y TIEMPO.</w:t>
      </w:r>
    </w:p>
    <w:p>
      <w:pPr>
        <w:pStyle w:val="BodyText"/>
        <w:rPr>
          <w:b/>
          <w:sz w:val="20"/>
        </w:rPr>
      </w:pPr>
    </w:p>
    <w:p>
      <w:pPr>
        <w:pStyle w:val="BodyText"/>
        <w:spacing w:before="3"/>
        <w:rPr>
          <w:b/>
          <w:sz w:val="19"/>
        </w:rPr>
      </w:pPr>
    </w:p>
    <w:tbl>
      <w:tblPr>
        <w:tblW w:w="0" w:type="auto"/>
        <w:jc w:val="left"/>
        <w:tblInd w:w="15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87"/>
        <w:gridCol w:w="2274"/>
        <w:gridCol w:w="1973"/>
        <w:gridCol w:w="875"/>
      </w:tblGrid>
      <w:tr>
        <w:trPr>
          <w:trHeight w:val="889" w:hRule="exact"/>
        </w:trPr>
        <w:tc>
          <w:tcPr>
            <w:tcW w:w="2987" w:type="dxa"/>
            <w:tcBorders>
              <w:left w:val="nil"/>
              <w:bottom w:val="nil"/>
              <w:right w:val="nil"/>
            </w:tcBorders>
          </w:tcPr>
          <w:p>
            <w:pPr>
              <w:pStyle w:val="TableParagraph"/>
              <w:spacing w:line="272" w:lineRule="exact"/>
              <w:ind w:left="107" w:right="511"/>
              <w:rPr>
                <w:rFonts w:ascii="Arial"/>
                <w:b/>
                <w:sz w:val="24"/>
              </w:rPr>
            </w:pPr>
            <w:r>
              <w:rPr>
                <w:rFonts w:ascii="Arial"/>
                <w:b/>
                <w:sz w:val="24"/>
              </w:rPr>
              <w:t>Clinpro TM</w:t>
            </w:r>
          </w:p>
          <w:p>
            <w:pPr>
              <w:pStyle w:val="TableParagraph"/>
              <w:rPr>
                <w:rFonts w:ascii="Arial"/>
                <w:b/>
                <w:sz w:val="24"/>
              </w:rPr>
            </w:pPr>
          </w:p>
          <w:p>
            <w:pPr>
              <w:pStyle w:val="TableParagraph"/>
              <w:ind w:left="107" w:right="511"/>
              <w:rPr>
                <w:rFonts w:ascii="Arial"/>
                <w:sz w:val="24"/>
              </w:rPr>
            </w:pPr>
            <w:r>
              <w:rPr>
                <w:rFonts w:ascii="Arial"/>
                <w:sz w:val="24"/>
              </w:rPr>
              <w:t>Sellador completo</w:t>
            </w:r>
          </w:p>
        </w:tc>
        <w:tc>
          <w:tcPr>
            <w:tcW w:w="2274" w:type="dxa"/>
            <w:tcBorders>
              <w:left w:val="nil"/>
              <w:bottom w:val="nil"/>
              <w:right w:val="nil"/>
            </w:tcBorders>
          </w:tcPr>
          <w:p>
            <w:pPr>
              <w:pStyle w:val="TableParagraph"/>
              <w:ind w:left="532" w:right="351"/>
              <w:jc w:val="center"/>
              <w:rPr>
                <w:rFonts w:ascii="Arial"/>
                <w:sz w:val="24"/>
              </w:rPr>
            </w:pPr>
            <w:r>
              <w:rPr>
                <w:rFonts w:ascii="Arial"/>
                <w:sz w:val="24"/>
              </w:rPr>
              <w:t>Frecuencia 3 meses</w:t>
            </w:r>
          </w:p>
          <w:p>
            <w:pPr>
              <w:pStyle w:val="TableParagraph"/>
              <w:ind w:left="176"/>
              <w:jc w:val="center"/>
              <w:rPr>
                <w:rFonts w:ascii="Arial"/>
                <w:sz w:val="24"/>
              </w:rPr>
            </w:pPr>
            <w:r>
              <w:rPr>
                <w:rFonts w:ascii="Arial"/>
                <w:w w:val="99"/>
                <w:sz w:val="24"/>
              </w:rPr>
              <w:t>9</w:t>
            </w:r>
          </w:p>
        </w:tc>
        <w:tc>
          <w:tcPr>
            <w:tcW w:w="1973" w:type="dxa"/>
            <w:tcBorders>
              <w:left w:val="nil"/>
              <w:bottom w:val="nil"/>
              <w:right w:val="nil"/>
            </w:tcBorders>
          </w:tcPr>
          <w:p>
            <w:pPr>
              <w:pStyle w:val="TableParagraph"/>
              <w:ind w:left="353" w:right="229"/>
              <w:jc w:val="center"/>
              <w:rPr>
                <w:rFonts w:ascii="Arial"/>
                <w:sz w:val="24"/>
              </w:rPr>
            </w:pPr>
            <w:r>
              <w:rPr>
                <w:rFonts w:ascii="Arial"/>
                <w:sz w:val="24"/>
              </w:rPr>
              <w:t>Frecuencia 6 meses</w:t>
            </w:r>
          </w:p>
          <w:p>
            <w:pPr>
              <w:pStyle w:val="TableParagraph"/>
              <w:ind w:left="120"/>
              <w:jc w:val="center"/>
              <w:rPr>
                <w:rFonts w:ascii="Arial"/>
                <w:sz w:val="24"/>
              </w:rPr>
            </w:pPr>
            <w:r>
              <w:rPr>
                <w:rFonts w:ascii="Arial"/>
                <w:w w:val="99"/>
                <w:sz w:val="24"/>
              </w:rPr>
              <w:t>7</w:t>
            </w:r>
          </w:p>
        </w:tc>
        <w:tc>
          <w:tcPr>
            <w:tcW w:w="875" w:type="dxa"/>
            <w:tcBorders>
              <w:left w:val="nil"/>
              <w:bottom w:val="nil"/>
              <w:right w:val="nil"/>
            </w:tcBorders>
          </w:tcPr>
          <w:p>
            <w:pPr>
              <w:pStyle w:val="TableParagraph"/>
              <w:spacing w:line="272" w:lineRule="exact"/>
              <w:ind w:left="212" w:right="89"/>
              <w:jc w:val="center"/>
              <w:rPr>
                <w:rFonts w:ascii="Arial"/>
                <w:sz w:val="24"/>
              </w:rPr>
            </w:pPr>
            <w:r>
              <w:rPr>
                <w:rFonts w:ascii="Arial"/>
                <w:sz w:val="24"/>
              </w:rPr>
              <w:t>Total</w:t>
            </w:r>
          </w:p>
          <w:p>
            <w:pPr>
              <w:pStyle w:val="TableParagraph"/>
              <w:rPr>
                <w:rFonts w:ascii="Arial"/>
                <w:b/>
                <w:sz w:val="24"/>
              </w:rPr>
            </w:pPr>
          </w:p>
          <w:p>
            <w:pPr>
              <w:pStyle w:val="TableParagraph"/>
              <w:ind w:left="210" w:right="89"/>
              <w:jc w:val="center"/>
              <w:rPr>
                <w:rFonts w:ascii="Arial"/>
                <w:sz w:val="24"/>
              </w:rPr>
            </w:pPr>
            <w:r>
              <w:rPr>
                <w:rFonts w:ascii="Arial"/>
                <w:sz w:val="24"/>
              </w:rPr>
              <w:t>16</w:t>
            </w:r>
          </w:p>
        </w:tc>
      </w:tr>
      <w:tr>
        <w:trPr>
          <w:trHeight w:val="871" w:hRule="exact"/>
        </w:trPr>
        <w:tc>
          <w:tcPr>
            <w:tcW w:w="2987" w:type="dxa"/>
            <w:tcBorders>
              <w:top w:val="nil"/>
              <w:left w:val="nil"/>
              <w:bottom w:val="nil"/>
              <w:right w:val="nil"/>
            </w:tcBorders>
          </w:tcPr>
          <w:p>
            <w:pPr>
              <w:pStyle w:val="TableParagraph"/>
              <w:spacing w:before="30"/>
              <w:ind w:left="107" w:right="511"/>
              <w:rPr>
                <w:rFonts w:ascii="Arial"/>
                <w:sz w:val="24"/>
              </w:rPr>
            </w:pPr>
            <w:r>
              <w:rPr>
                <w:rFonts w:ascii="Arial"/>
                <w:sz w:val="24"/>
              </w:rPr>
              <w:t>Sellador Parcialmente desalojado</w:t>
            </w:r>
          </w:p>
          <w:p>
            <w:pPr>
              <w:pStyle w:val="TableParagraph"/>
              <w:ind w:left="107" w:right="511"/>
              <w:rPr>
                <w:rFonts w:ascii="Arial"/>
                <w:sz w:val="24"/>
              </w:rPr>
            </w:pPr>
            <w:r>
              <w:rPr>
                <w:rFonts w:ascii="Arial"/>
                <w:sz w:val="24"/>
              </w:rPr>
              <w:t>Sellador totalmente</w:t>
            </w:r>
          </w:p>
        </w:tc>
        <w:tc>
          <w:tcPr>
            <w:tcW w:w="2274" w:type="dxa"/>
            <w:tcBorders>
              <w:top w:val="nil"/>
              <w:left w:val="nil"/>
              <w:bottom w:val="nil"/>
              <w:right w:val="nil"/>
            </w:tcBorders>
          </w:tcPr>
          <w:p>
            <w:pPr>
              <w:pStyle w:val="TableParagraph"/>
              <w:spacing w:before="30"/>
              <w:ind w:left="176"/>
              <w:jc w:val="center"/>
              <w:rPr>
                <w:rFonts w:ascii="Arial"/>
                <w:sz w:val="24"/>
              </w:rPr>
            </w:pPr>
            <w:r>
              <w:rPr>
                <w:rFonts w:ascii="Arial"/>
                <w:w w:val="99"/>
                <w:sz w:val="24"/>
              </w:rPr>
              <w:t>6</w:t>
            </w:r>
          </w:p>
          <w:p>
            <w:pPr>
              <w:pStyle w:val="TableParagraph"/>
              <w:rPr>
                <w:rFonts w:ascii="Arial"/>
                <w:b/>
                <w:sz w:val="24"/>
              </w:rPr>
            </w:pPr>
          </w:p>
          <w:p>
            <w:pPr>
              <w:pStyle w:val="TableParagraph"/>
              <w:ind w:left="176"/>
              <w:jc w:val="center"/>
              <w:rPr>
                <w:rFonts w:ascii="Arial"/>
                <w:sz w:val="24"/>
              </w:rPr>
            </w:pPr>
            <w:r>
              <w:rPr>
                <w:rFonts w:ascii="Arial"/>
                <w:w w:val="99"/>
                <w:sz w:val="24"/>
              </w:rPr>
              <w:t>4</w:t>
            </w:r>
          </w:p>
        </w:tc>
        <w:tc>
          <w:tcPr>
            <w:tcW w:w="1973" w:type="dxa"/>
            <w:tcBorders>
              <w:top w:val="nil"/>
              <w:left w:val="nil"/>
              <w:bottom w:val="nil"/>
              <w:right w:val="nil"/>
            </w:tcBorders>
          </w:tcPr>
          <w:p>
            <w:pPr>
              <w:pStyle w:val="TableParagraph"/>
              <w:spacing w:before="30"/>
              <w:ind w:left="120"/>
              <w:jc w:val="center"/>
              <w:rPr>
                <w:rFonts w:ascii="Arial"/>
                <w:sz w:val="24"/>
              </w:rPr>
            </w:pPr>
            <w:r>
              <w:rPr>
                <w:rFonts w:ascii="Arial"/>
                <w:w w:val="99"/>
                <w:sz w:val="24"/>
              </w:rPr>
              <w:t>7</w:t>
            </w:r>
          </w:p>
          <w:p>
            <w:pPr>
              <w:pStyle w:val="TableParagraph"/>
              <w:rPr>
                <w:rFonts w:ascii="Arial"/>
                <w:b/>
                <w:sz w:val="24"/>
              </w:rPr>
            </w:pPr>
          </w:p>
          <w:p>
            <w:pPr>
              <w:pStyle w:val="TableParagraph"/>
              <w:ind w:left="120"/>
              <w:jc w:val="center"/>
              <w:rPr>
                <w:rFonts w:ascii="Arial"/>
                <w:sz w:val="24"/>
              </w:rPr>
            </w:pPr>
            <w:r>
              <w:rPr>
                <w:rFonts w:ascii="Arial"/>
                <w:w w:val="99"/>
                <w:sz w:val="24"/>
              </w:rPr>
              <w:t>5</w:t>
            </w:r>
          </w:p>
        </w:tc>
        <w:tc>
          <w:tcPr>
            <w:tcW w:w="875" w:type="dxa"/>
            <w:tcBorders>
              <w:top w:val="nil"/>
              <w:left w:val="nil"/>
              <w:bottom w:val="nil"/>
              <w:right w:val="nil"/>
            </w:tcBorders>
          </w:tcPr>
          <w:p>
            <w:pPr>
              <w:pStyle w:val="TableParagraph"/>
              <w:spacing w:before="30"/>
              <w:ind w:left="210" w:right="89"/>
              <w:jc w:val="center"/>
              <w:rPr>
                <w:rFonts w:ascii="Arial"/>
                <w:sz w:val="24"/>
              </w:rPr>
            </w:pPr>
            <w:r>
              <w:rPr>
                <w:rFonts w:ascii="Arial"/>
                <w:sz w:val="24"/>
              </w:rPr>
              <w:t>13</w:t>
            </w:r>
          </w:p>
          <w:p>
            <w:pPr>
              <w:pStyle w:val="TableParagraph"/>
              <w:rPr>
                <w:rFonts w:ascii="Arial"/>
                <w:b/>
                <w:sz w:val="24"/>
              </w:rPr>
            </w:pPr>
          </w:p>
          <w:p>
            <w:pPr>
              <w:pStyle w:val="TableParagraph"/>
              <w:ind w:left="120"/>
              <w:jc w:val="center"/>
              <w:rPr>
                <w:rFonts w:ascii="Arial"/>
                <w:sz w:val="24"/>
              </w:rPr>
            </w:pPr>
            <w:r>
              <w:rPr>
                <w:rFonts w:ascii="Arial"/>
                <w:w w:val="99"/>
                <w:sz w:val="24"/>
              </w:rPr>
              <w:t>9</w:t>
            </w:r>
          </w:p>
        </w:tc>
      </w:tr>
      <w:tr>
        <w:trPr>
          <w:trHeight w:val="640" w:hRule="exact"/>
        </w:trPr>
        <w:tc>
          <w:tcPr>
            <w:tcW w:w="2987" w:type="dxa"/>
            <w:tcBorders>
              <w:top w:val="nil"/>
              <w:left w:val="nil"/>
              <w:right w:val="nil"/>
            </w:tcBorders>
          </w:tcPr>
          <w:p>
            <w:pPr>
              <w:pStyle w:val="TableParagraph"/>
              <w:ind w:left="107" w:right="1698"/>
              <w:rPr>
                <w:rFonts w:ascii="Arial"/>
                <w:sz w:val="24"/>
              </w:rPr>
            </w:pPr>
            <w:r>
              <w:rPr>
                <w:rFonts w:ascii="Arial"/>
                <w:sz w:val="24"/>
              </w:rPr>
              <w:t>desalojado Total</w:t>
            </w:r>
          </w:p>
        </w:tc>
        <w:tc>
          <w:tcPr>
            <w:tcW w:w="2274" w:type="dxa"/>
            <w:tcBorders>
              <w:top w:val="nil"/>
              <w:left w:val="nil"/>
              <w:right w:val="nil"/>
            </w:tcBorders>
          </w:tcPr>
          <w:p>
            <w:pPr>
              <w:pStyle w:val="TableParagraph"/>
              <w:spacing w:before="10"/>
              <w:rPr>
                <w:rFonts w:ascii="Arial"/>
                <w:b/>
                <w:sz w:val="22"/>
              </w:rPr>
            </w:pPr>
          </w:p>
          <w:p>
            <w:pPr>
              <w:pStyle w:val="TableParagraph"/>
              <w:ind w:left="532" w:right="350"/>
              <w:jc w:val="center"/>
              <w:rPr>
                <w:rFonts w:ascii="Arial"/>
                <w:sz w:val="24"/>
              </w:rPr>
            </w:pPr>
            <w:r>
              <w:rPr>
                <w:rFonts w:ascii="Arial"/>
                <w:sz w:val="24"/>
              </w:rPr>
              <w:t>19</w:t>
            </w:r>
          </w:p>
        </w:tc>
        <w:tc>
          <w:tcPr>
            <w:tcW w:w="1973" w:type="dxa"/>
            <w:tcBorders>
              <w:top w:val="nil"/>
              <w:left w:val="nil"/>
              <w:right w:val="nil"/>
            </w:tcBorders>
          </w:tcPr>
          <w:p>
            <w:pPr>
              <w:pStyle w:val="TableParagraph"/>
              <w:spacing w:before="10"/>
              <w:rPr>
                <w:rFonts w:ascii="Arial"/>
                <w:b/>
                <w:sz w:val="22"/>
              </w:rPr>
            </w:pPr>
          </w:p>
          <w:p>
            <w:pPr>
              <w:pStyle w:val="TableParagraph"/>
              <w:ind w:left="353" w:right="227"/>
              <w:jc w:val="center"/>
              <w:rPr>
                <w:rFonts w:ascii="Arial"/>
                <w:sz w:val="24"/>
              </w:rPr>
            </w:pPr>
            <w:r>
              <w:rPr>
                <w:rFonts w:ascii="Arial"/>
                <w:sz w:val="24"/>
              </w:rPr>
              <w:t>19</w:t>
            </w:r>
          </w:p>
        </w:tc>
        <w:tc>
          <w:tcPr>
            <w:tcW w:w="875" w:type="dxa"/>
            <w:tcBorders>
              <w:top w:val="nil"/>
              <w:left w:val="nil"/>
              <w:right w:val="nil"/>
            </w:tcBorders>
          </w:tcPr>
          <w:p>
            <w:pPr>
              <w:pStyle w:val="TableParagraph"/>
              <w:spacing w:before="10"/>
              <w:rPr>
                <w:rFonts w:ascii="Arial"/>
                <w:b/>
                <w:sz w:val="22"/>
              </w:rPr>
            </w:pPr>
          </w:p>
          <w:p>
            <w:pPr>
              <w:pStyle w:val="TableParagraph"/>
              <w:ind w:left="363"/>
              <w:rPr>
                <w:rFonts w:ascii="Arial"/>
                <w:sz w:val="24"/>
              </w:rPr>
            </w:pPr>
            <w:r>
              <w:rPr>
                <w:rFonts w:ascii="Arial"/>
                <w:sz w:val="24"/>
              </w:rPr>
              <w:t>38</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4"/>
        </w:rPr>
      </w:pPr>
      <w:r>
        <w:rPr/>
        <w:pict>
          <v:group style="position:absolute;margin-left:87.650002pt;margin-top:10.398901pt;width:432.75pt;height:252.75pt;mso-position-horizontal-relative:page;mso-position-vertical-relative:paragraph;z-index:1360;mso-wrap-distance-left:0;mso-wrap-distance-right:0" coordorigin="1753,208" coordsize="8655,5055">
            <v:shape style="position:absolute;left:2366;top:1496;width:6502;height:3259" type="#_x0000_t75" stroked="false">
              <v:imagedata r:id="rId13" o:title=""/>
            </v:shape>
            <v:rect style="position:absolute;left:9379;top:3029;width:110;height:110" filled="true" fillcolor="#606060" stroked="false">
              <v:fill type="solid"/>
            </v:rect>
            <v:rect style="position:absolute;left:9379;top:3391;width:110;height:110" filled="true" fillcolor="#b3b3b3" stroked="false">
              <v:fill type="solid"/>
            </v:rect>
            <v:rect style="position:absolute;left:1761;top:215;width:8640;height:5040" filled="false" stroked="true" strokeweight=".75pt" strokecolor="#858585"/>
            <v:shape style="position:absolute;left:2971;top:440;width:6216;height:800" type="#_x0000_t202" filled="false" stroked="false">
              <v:textbox inset="0,0,0,0">
                <w:txbxContent>
                  <w:p>
                    <w:pPr>
                      <w:spacing w:line="367" w:lineRule="exact" w:before="0"/>
                      <w:ind w:left="0" w:right="0" w:firstLine="0"/>
                      <w:jc w:val="center"/>
                      <w:rPr>
                        <w:rFonts w:ascii="Calibri" w:hAnsi="Calibri"/>
                        <w:b/>
                        <w:sz w:val="36"/>
                      </w:rPr>
                    </w:pPr>
                    <w:r>
                      <w:rPr>
                        <w:rFonts w:ascii="Calibri" w:hAnsi="Calibri"/>
                        <w:b/>
                        <w:spacing w:val="-3"/>
                        <w:sz w:val="36"/>
                      </w:rPr>
                      <w:t>Gráfico </w:t>
                    </w:r>
                    <w:r>
                      <w:rPr>
                        <w:rFonts w:ascii="Calibri" w:hAnsi="Calibri"/>
                        <w:b/>
                        <w:sz w:val="36"/>
                      </w:rPr>
                      <w:t>2. Evaluación de retención</w:t>
                    </w:r>
                    <w:r>
                      <w:rPr>
                        <w:rFonts w:ascii="Calibri" w:hAnsi="Calibri"/>
                        <w:b/>
                        <w:spacing w:val="-40"/>
                        <w:sz w:val="36"/>
                      </w:rPr>
                      <w:t> </w:t>
                    </w:r>
                    <w:r>
                      <w:rPr>
                        <w:rFonts w:ascii="Calibri" w:hAnsi="Calibri"/>
                        <w:b/>
                        <w:sz w:val="36"/>
                      </w:rPr>
                      <w:t>Clinpro</w:t>
                    </w:r>
                  </w:p>
                  <w:p>
                    <w:pPr>
                      <w:spacing w:line="433" w:lineRule="exact" w:before="0"/>
                      <w:ind w:left="3" w:right="0" w:firstLine="0"/>
                      <w:jc w:val="center"/>
                      <w:rPr>
                        <w:rFonts w:ascii="Calibri"/>
                        <w:b/>
                        <w:sz w:val="36"/>
                      </w:rPr>
                    </w:pPr>
                    <w:r>
                      <w:rPr>
                        <w:rFonts w:ascii="Calibri"/>
                        <w:b/>
                        <w:sz w:val="36"/>
                      </w:rPr>
                      <w:t>TM</w:t>
                    </w:r>
                  </w:p>
                </w:txbxContent>
              </v:textbox>
              <w10:wrap type="none"/>
            </v:shape>
            <v:shape style="position:absolute;left:2117;top:1836;width:101;height:3002" type="#_x0000_t202" filled="false" stroked="false">
              <v:textbox inset="0,0,0,0">
                <w:txbxContent>
                  <w:p>
                    <w:pPr>
                      <w:spacing w:line="203" w:lineRule="exact" w:before="0"/>
                      <w:ind w:left="0" w:right="0" w:firstLine="0"/>
                      <w:jc w:val="left"/>
                      <w:rPr>
                        <w:rFonts w:ascii="Calibri"/>
                        <w:sz w:val="20"/>
                      </w:rPr>
                    </w:pPr>
                    <w:r>
                      <w:rPr>
                        <w:rFonts w:ascii="Calibri"/>
                        <w:w w:val="99"/>
                        <w:sz w:val="20"/>
                      </w:rPr>
                      <w:t>9</w:t>
                    </w:r>
                  </w:p>
                  <w:p>
                    <w:pPr>
                      <w:spacing w:before="67"/>
                      <w:ind w:left="0" w:right="0" w:firstLine="0"/>
                      <w:jc w:val="left"/>
                      <w:rPr>
                        <w:rFonts w:ascii="Calibri"/>
                        <w:sz w:val="20"/>
                      </w:rPr>
                    </w:pPr>
                    <w:r>
                      <w:rPr>
                        <w:rFonts w:ascii="Calibri"/>
                        <w:w w:val="99"/>
                        <w:sz w:val="20"/>
                      </w:rPr>
                      <w:t>8</w:t>
                    </w:r>
                  </w:p>
                  <w:p>
                    <w:pPr>
                      <w:spacing w:before="67"/>
                      <w:ind w:left="0" w:right="0" w:firstLine="0"/>
                      <w:jc w:val="left"/>
                      <w:rPr>
                        <w:rFonts w:ascii="Calibri"/>
                        <w:sz w:val="20"/>
                      </w:rPr>
                    </w:pPr>
                    <w:r>
                      <w:rPr>
                        <w:rFonts w:ascii="Calibri"/>
                        <w:w w:val="99"/>
                        <w:sz w:val="20"/>
                      </w:rPr>
                      <w:t>7</w:t>
                    </w:r>
                  </w:p>
                  <w:p>
                    <w:pPr>
                      <w:spacing w:before="67"/>
                      <w:ind w:left="0" w:right="0" w:firstLine="0"/>
                      <w:jc w:val="left"/>
                      <w:rPr>
                        <w:rFonts w:ascii="Calibri"/>
                        <w:sz w:val="20"/>
                      </w:rPr>
                    </w:pPr>
                    <w:r>
                      <w:rPr>
                        <w:rFonts w:ascii="Calibri"/>
                        <w:w w:val="99"/>
                        <w:sz w:val="20"/>
                      </w:rPr>
                      <w:t>6</w:t>
                    </w:r>
                  </w:p>
                  <w:p>
                    <w:pPr>
                      <w:spacing w:before="67"/>
                      <w:ind w:left="0" w:right="0" w:firstLine="0"/>
                      <w:jc w:val="left"/>
                      <w:rPr>
                        <w:rFonts w:ascii="Calibri"/>
                        <w:sz w:val="20"/>
                      </w:rPr>
                    </w:pPr>
                    <w:r>
                      <w:rPr>
                        <w:rFonts w:ascii="Calibri"/>
                        <w:w w:val="99"/>
                        <w:sz w:val="20"/>
                      </w:rPr>
                      <w:t>5</w:t>
                    </w:r>
                  </w:p>
                  <w:p>
                    <w:pPr>
                      <w:spacing w:before="67"/>
                      <w:ind w:left="0" w:right="0" w:firstLine="0"/>
                      <w:jc w:val="left"/>
                      <w:rPr>
                        <w:rFonts w:ascii="Calibri"/>
                        <w:sz w:val="20"/>
                      </w:rPr>
                    </w:pPr>
                    <w:r>
                      <w:rPr>
                        <w:rFonts w:ascii="Calibri"/>
                        <w:w w:val="99"/>
                        <w:sz w:val="20"/>
                      </w:rPr>
                      <w:t>4</w:t>
                    </w:r>
                  </w:p>
                  <w:p>
                    <w:pPr>
                      <w:spacing w:before="67"/>
                      <w:ind w:left="0" w:right="0" w:firstLine="0"/>
                      <w:jc w:val="left"/>
                      <w:rPr>
                        <w:rFonts w:ascii="Calibri"/>
                        <w:sz w:val="20"/>
                      </w:rPr>
                    </w:pPr>
                    <w:r>
                      <w:rPr>
                        <w:rFonts w:ascii="Calibri"/>
                        <w:w w:val="99"/>
                        <w:sz w:val="20"/>
                      </w:rPr>
                      <w:t>3</w:t>
                    </w:r>
                  </w:p>
                  <w:p>
                    <w:pPr>
                      <w:spacing w:before="67"/>
                      <w:ind w:left="0" w:right="0" w:firstLine="0"/>
                      <w:jc w:val="left"/>
                      <w:rPr>
                        <w:rFonts w:ascii="Calibri"/>
                        <w:sz w:val="20"/>
                      </w:rPr>
                    </w:pPr>
                    <w:r>
                      <w:rPr>
                        <w:rFonts w:ascii="Calibri"/>
                        <w:w w:val="99"/>
                        <w:sz w:val="20"/>
                      </w:rPr>
                      <w:t>2</w:t>
                    </w:r>
                  </w:p>
                  <w:p>
                    <w:pPr>
                      <w:spacing w:before="67"/>
                      <w:ind w:left="0" w:right="0" w:firstLine="0"/>
                      <w:jc w:val="left"/>
                      <w:rPr>
                        <w:rFonts w:ascii="Calibri"/>
                        <w:sz w:val="20"/>
                      </w:rPr>
                    </w:pPr>
                    <w:r>
                      <w:rPr>
                        <w:rFonts w:ascii="Calibri"/>
                        <w:w w:val="99"/>
                        <w:sz w:val="20"/>
                      </w:rPr>
                      <w:t>1</w:t>
                    </w:r>
                  </w:p>
                  <w:p>
                    <w:pPr>
                      <w:spacing w:line="240" w:lineRule="exact" w:before="67"/>
                      <w:ind w:left="0" w:right="0" w:firstLine="0"/>
                      <w:jc w:val="left"/>
                      <w:rPr>
                        <w:rFonts w:ascii="Calibri"/>
                        <w:sz w:val="20"/>
                      </w:rPr>
                    </w:pPr>
                    <w:r>
                      <w:rPr>
                        <w:rFonts w:ascii="Calibri"/>
                        <w:w w:val="99"/>
                        <w:sz w:val="20"/>
                      </w:rPr>
                      <w:t>0</w:t>
                    </w:r>
                  </w:p>
                </w:txbxContent>
              </v:textbox>
              <w10:wrap type="none"/>
            </v:shape>
            <v:shape style="position:absolute;left:9538;top:2992;width:661;height:561" type="#_x0000_t202" filled="false" stroked="false">
              <v:textbox inset="0,0,0,0">
                <w:txbxContent>
                  <w:p>
                    <w:pPr>
                      <w:spacing w:line="203" w:lineRule="exact" w:before="0"/>
                      <w:ind w:left="0" w:right="-17" w:firstLine="0"/>
                      <w:jc w:val="left"/>
                      <w:rPr>
                        <w:rFonts w:ascii="Calibri"/>
                        <w:sz w:val="20"/>
                      </w:rPr>
                    </w:pPr>
                    <w:r>
                      <w:rPr>
                        <w:rFonts w:ascii="Calibri"/>
                        <w:sz w:val="20"/>
                      </w:rPr>
                      <w:t>3</w:t>
                    </w:r>
                    <w:r>
                      <w:rPr>
                        <w:rFonts w:ascii="Calibri"/>
                        <w:spacing w:val="-4"/>
                        <w:sz w:val="20"/>
                      </w:rPr>
                      <w:t> </w:t>
                    </w:r>
                    <w:r>
                      <w:rPr>
                        <w:rFonts w:ascii="Calibri"/>
                        <w:sz w:val="20"/>
                      </w:rPr>
                      <w:t>meses</w:t>
                    </w:r>
                  </w:p>
                  <w:p>
                    <w:pPr>
                      <w:spacing w:line="240" w:lineRule="exact" w:before="117"/>
                      <w:ind w:left="0" w:right="-17" w:firstLine="0"/>
                      <w:jc w:val="left"/>
                      <w:rPr>
                        <w:rFonts w:ascii="Calibri"/>
                        <w:sz w:val="20"/>
                      </w:rPr>
                    </w:pPr>
                    <w:r>
                      <w:rPr>
                        <w:rFonts w:ascii="Calibri"/>
                        <w:sz w:val="20"/>
                      </w:rPr>
                      <w:t>6</w:t>
                    </w:r>
                    <w:r>
                      <w:rPr>
                        <w:rFonts w:ascii="Calibri"/>
                        <w:spacing w:val="-4"/>
                        <w:sz w:val="20"/>
                      </w:rPr>
                      <w:t> </w:t>
                    </w:r>
                    <w:r>
                      <w:rPr>
                        <w:rFonts w:ascii="Calibri"/>
                        <w:sz w:val="20"/>
                      </w:rPr>
                      <w:t>meses</w:t>
                    </w:r>
                  </w:p>
                </w:txbxContent>
              </v:textbox>
              <w10:wrap type="none"/>
            </v:shape>
            <v:shape style="position:absolute;left:3005;top:4888;width:4728;height:200" type="#_x0000_t202" filled="false" stroked="false">
              <v:textbox inset="0,0,0,0">
                <w:txbxContent>
                  <w:p>
                    <w:pPr>
                      <w:tabs>
                        <w:tab w:pos="2088" w:val="left" w:leader="none"/>
                        <w:tab w:pos="3938" w:val="left" w:leader="none"/>
                      </w:tabs>
                      <w:spacing w:line="199" w:lineRule="exact" w:before="0"/>
                      <w:ind w:left="0" w:right="0" w:firstLine="0"/>
                      <w:jc w:val="left"/>
                      <w:rPr>
                        <w:rFonts w:ascii="Calibri"/>
                        <w:sz w:val="20"/>
                      </w:rPr>
                    </w:pPr>
                    <w:r>
                      <w:rPr>
                        <w:rFonts w:ascii="Calibri"/>
                        <w:sz w:val="20"/>
                      </w:rPr>
                      <w:t>completo</w:t>
                      <w:tab/>
                      <w:t>parcial</w:t>
                      <w:tab/>
                      <w:t>deslojado</w:t>
                    </w:r>
                  </w:p>
                </w:txbxContent>
              </v:textbox>
              <w10:wrap type="none"/>
            </v:shape>
            <w10:wrap type="topAndBottom"/>
          </v:group>
        </w:pict>
      </w:r>
    </w:p>
    <w:p>
      <w:pPr>
        <w:pStyle w:val="BodyText"/>
        <w:spacing w:before="5"/>
        <w:rPr>
          <w:b/>
          <w:sz w:val="23"/>
        </w:rPr>
      </w:pPr>
    </w:p>
    <w:p>
      <w:pPr>
        <w:pStyle w:val="BodyText"/>
        <w:spacing w:line="480" w:lineRule="auto"/>
        <w:ind w:left="160" w:right="222"/>
        <w:jc w:val="both"/>
      </w:pPr>
      <w:r>
        <w:rPr/>
        <w:t>En la comparación de retención de las dos evaluaciones en el sellador Clinpro TM se observó disminución en el número de selladores completos, con un incremento en los selladores  parcialmente desalojados y totalmente desalojados. Este sellado presentó en la evaluación a seis meses disminución de selladores</w:t>
      </w:r>
      <w:r>
        <w:rPr>
          <w:spacing w:val="-15"/>
        </w:rPr>
        <w:t> </w:t>
      </w:r>
      <w:r>
        <w:rPr/>
        <w:t>completos.</w:t>
      </w:r>
    </w:p>
    <w:p>
      <w:pPr>
        <w:spacing w:after="0" w:line="480" w:lineRule="auto"/>
        <w:jc w:val="both"/>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Heading1"/>
        <w:ind w:left="1163"/>
        <w:jc w:val="left"/>
      </w:pPr>
      <w:r>
        <w:rPr/>
        <w:t>Cuadro 8. EVALUACION DE RETENCION POR  MARCA Y TIEMPO.</w:t>
      </w:r>
    </w:p>
    <w:p>
      <w:pPr>
        <w:pStyle w:val="BodyText"/>
        <w:rPr>
          <w:b/>
          <w:sz w:val="20"/>
        </w:rPr>
      </w:pPr>
    </w:p>
    <w:p>
      <w:pPr>
        <w:pStyle w:val="BodyText"/>
        <w:rPr>
          <w:b/>
          <w:sz w:val="20"/>
        </w:rPr>
      </w:pPr>
    </w:p>
    <w:p>
      <w:pPr>
        <w:pStyle w:val="BodyText"/>
        <w:spacing w:before="8" w:after="1"/>
        <w:rPr>
          <w:b/>
          <w:sz w:val="29"/>
        </w:rPr>
      </w:pPr>
    </w:p>
    <w:tbl>
      <w:tblPr>
        <w:tblW w:w="0" w:type="auto"/>
        <w:jc w:val="left"/>
        <w:tblInd w:w="14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014"/>
        <w:gridCol w:w="2312"/>
        <w:gridCol w:w="1990"/>
        <w:gridCol w:w="881"/>
      </w:tblGrid>
      <w:tr>
        <w:trPr>
          <w:trHeight w:val="908" w:hRule="exact"/>
        </w:trPr>
        <w:tc>
          <w:tcPr>
            <w:tcW w:w="3014" w:type="dxa"/>
            <w:tcBorders>
              <w:left w:val="nil"/>
              <w:bottom w:val="nil"/>
              <w:right w:val="nil"/>
            </w:tcBorders>
          </w:tcPr>
          <w:p>
            <w:pPr>
              <w:pStyle w:val="TableParagraph"/>
              <w:spacing w:line="274" w:lineRule="exact"/>
              <w:ind w:left="107" w:right="539"/>
              <w:rPr>
                <w:rFonts w:ascii="Arial"/>
                <w:b/>
                <w:sz w:val="24"/>
              </w:rPr>
            </w:pPr>
            <w:r>
              <w:rPr>
                <w:rFonts w:ascii="Arial"/>
                <w:b/>
                <w:sz w:val="24"/>
              </w:rPr>
              <w:t>UltreaSeal</w:t>
            </w:r>
            <w:r>
              <w:rPr>
                <w:rFonts w:ascii="Arial"/>
                <w:b/>
                <w:spacing w:val="63"/>
                <w:sz w:val="24"/>
              </w:rPr>
              <w:t> </w:t>
            </w:r>
            <w:r>
              <w:rPr>
                <w:rFonts w:ascii="Arial"/>
                <w:b/>
                <w:sz w:val="24"/>
              </w:rPr>
              <w:t>XT</w:t>
            </w:r>
          </w:p>
          <w:p>
            <w:pPr>
              <w:pStyle w:val="TableParagraph"/>
              <w:rPr>
                <w:rFonts w:ascii="Arial"/>
                <w:b/>
                <w:sz w:val="24"/>
              </w:rPr>
            </w:pPr>
          </w:p>
          <w:p>
            <w:pPr>
              <w:pStyle w:val="TableParagraph"/>
              <w:ind w:left="107" w:right="539"/>
              <w:rPr>
                <w:rFonts w:ascii="Arial"/>
                <w:sz w:val="24"/>
              </w:rPr>
            </w:pPr>
            <w:r>
              <w:rPr>
                <w:rFonts w:ascii="Arial"/>
                <w:sz w:val="24"/>
              </w:rPr>
              <w:t>Sellador completo</w:t>
            </w:r>
          </w:p>
        </w:tc>
        <w:tc>
          <w:tcPr>
            <w:tcW w:w="2312" w:type="dxa"/>
            <w:tcBorders>
              <w:left w:val="nil"/>
              <w:bottom w:val="nil"/>
              <w:right w:val="nil"/>
            </w:tcBorders>
          </w:tcPr>
          <w:p>
            <w:pPr>
              <w:pStyle w:val="TableParagraph"/>
              <w:ind w:left="559" w:right="362"/>
              <w:jc w:val="center"/>
              <w:rPr>
                <w:rFonts w:ascii="Arial"/>
                <w:sz w:val="24"/>
              </w:rPr>
            </w:pPr>
            <w:r>
              <w:rPr>
                <w:rFonts w:ascii="Arial"/>
                <w:sz w:val="24"/>
              </w:rPr>
              <w:t>Frecuencia 3 meses</w:t>
            </w:r>
          </w:p>
          <w:p>
            <w:pPr>
              <w:pStyle w:val="TableParagraph"/>
              <w:ind w:left="559" w:right="360"/>
              <w:jc w:val="center"/>
              <w:rPr>
                <w:rFonts w:ascii="Arial"/>
                <w:sz w:val="24"/>
              </w:rPr>
            </w:pPr>
            <w:r>
              <w:rPr>
                <w:rFonts w:ascii="Arial"/>
                <w:sz w:val="24"/>
              </w:rPr>
              <w:t>12</w:t>
            </w:r>
          </w:p>
        </w:tc>
        <w:tc>
          <w:tcPr>
            <w:tcW w:w="1990" w:type="dxa"/>
            <w:tcBorders>
              <w:left w:val="nil"/>
              <w:bottom w:val="nil"/>
              <w:right w:val="nil"/>
            </w:tcBorders>
          </w:tcPr>
          <w:p>
            <w:pPr>
              <w:pStyle w:val="TableParagraph"/>
              <w:ind w:left="364" w:right="235"/>
              <w:jc w:val="center"/>
              <w:rPr>
                <w:rFonts w:ascii="Arial"/>
                <w:sz w:val="24"/>
              </w:rPr>
            </w:pPr>
            <w:r>
              <w:rPr>
                <w:rFonts w:ascii="Arial"/>
                <w:sz w:val="24"/>
              </w:rPr>
              <w:t>Frecuencia 6 meses</w:t>
            </w:r>
          </w:p>
          <w:p>
            <w:pPr>
              <w:pStyle w:val="TableParagraph"/>
              <w:ind w:left="364" w:right="233"/>
              <w:jc w:val="center"/>
              <w:rPr>
                <w:rFonts w:ascii="Arial"/>
                <w:sz w:val="24"/>
              </w:rPr>
            </w:pPr>
            <w:r>
              <w:rPr>
                <w:rFonts w:ascii="Arial"/>
                <w:sz w:val="24"/>
              </w:rPr>
              <w:t>11</w:t>
            </w:r>
          </w:p>
        </w:tc>
        <w:tc>
          <w:tcPr>
            <w:tcW w:w="881" w:type="dxa"/>
            <w:tcBorders>
              <w:left w:val="nil"/>
              <w:bottom w:val="nil"/>
              <w:right w:val="nil"/>
            </w:tcBorders>
          </w:tcPr>
          <w:p>
            <w:pPr>
              <w:pStyle w:val="TableParagraph"/>
              <w:spacing w:line="274" w:lineRule="exact"/>
              <w:ind w:left="218" w:right="89"/>
              <w:jc w:val="center"/>
              <w:rPr>
                <w:rFonts w:ascii="Arial"/>
                <w:sz w:val="24"/>
              </w:rPr>
            </w:pPr>
            <w:r>
              <w:rPr>
                <w:rFonts w:ascii="Arial"/>
                <w:sz w:val="24"/>
              </w:rPr>
              <w:t>Total</w:t>
            </w:r>
          </w:p>
          <w:p>
            <w:pPr>
              <w:pStyle w:val="TableParagraph"/>
              <w:rPr>
                <w:rFonts w:ascii="Arial"/>
                <w:b/>
                <w:sz w:val="24"/>
              </w:rPr>
            </w:pPr>
          </w:p>
          <w:p>
            <w:pPr>
              <w:pStyle w:val="TableParagraph"/>
              <w:ind w:left="216" w:right="89"/>
              <w:jc w:val="center"/>
              <w:rPr>
                <w:rFonts w:ascii="Arial"/>
                <w:sz w:val="24"/>
              </w:rPr>
            </w:pPr>
            <w:r>
              <w:rPr>
                <w:rFonts w:ascii="Arial"/>
                <w:sz w:val="24"/>
              </w:rPr>
              <w:t>23</w:t>
            </w:r>
          </w:p>
        </w:tc>
      </w:tr>
      <w:tr>
        <w:trPr>
          <w:trHeight w:val="888" w:hRule="exact"/>
        </w:trPr>
        <w:tc>
          <w:tcPr>
            <w:tcW w:w="3014" w:type="dxa"/>
            <w:tcBorders>
              <w:top w:val="nil"/>
              <w:left w:val="nil"/>
              <w:bottom w:val="nil"/>
              <w:right w:val="nil"/>
            </w:tcBorders>
          </w:tcPr>
          <w:p>
            <w:pPr>
              <w:pStyle w:val="TableParagraph"/>
              <w:spacing w:before="47"/>
              <w:ind w:left="107" w:right="539"/>
              <w:rPr>
                <w:rFonts w:ascii="Arial"/>
                <w:sz w:val="24"/>
              </w:rPr>
            </w:pPr>
            <w:r>
              <w:rPr>
                <w:rFonts w:ascii="Arial"/>
                <w:sz w:val="24"/>
              </w:rPr>
              <w:t>Sellador Parcialmente desalojado</w:t>
            </w:r>
          </w:p>
          <w:p>
            <w:pPr>
              <w:pStyle w:val="TableParagraph"/>
              <w:ind w:left="107" w:right="539"/>
              <w:rPr>
                <w:rFonts w:ascii="Arial"/>
                <w:sz w:val="24"/>
              </w:rPr>
            </w:pPr>
            <w:r>
              <w:rPr>
                <w:rFonts w:ascii="Arial"/>
                <w:sz w:val="24"/>
              </w:rPr>
              <w:t>Sellador totalmente</w:t>
            </w:r>
          </w:p>
        </w:tc>
        <w:tc>
          <w:tcPr>
            <w:tcW w:w="2312" w:type="dxa"/>
            <w:tcBorders>
              <w:top w:val="nil"/>
              <w:left w:val="nil"/>
              <w:bottom w:val="nil"/>
              <w:right w:val="nil"/>
            </w:tcBorders>
          </w:tcPr>
          <w:p>
            <w:pPr>
              <w:pStyle w:val="TableParagraph"/>
              <w:spacing w:before="47"/>
              <w:ind w:left="198"/>
              <w:jc w:val="center"/>
              <w:rPr>
                <w:rFonts w:ascii="Arial"/>
                <w:sz w:val="24"/>
              </w:rPr>
            </w:pPr>
            <w:r>
              <w:rPr>
                <w:rFonts w:ascii="Arial"/>
                <w:w w:val="99"/>
                <w:sz w:val="24"/>
              </w:rPr>
              <w:t>2</w:t>
            </w:r>
          </w:p>
          <w:p>
            <w:pPr>
              <w:pStyle w:val="TableParagraph"/>
              <w:rPr>
                <w:rFonts w:ascii="Arial"/>
                <w:b/>
                <w:sz w:val="24"/>
              </w:rPr>
            </w:pPr>
          </w:p>
          <w:p>
            <w:pPr>
              <w:pStyle w:val="TableParagraph"/>
              <w:ind w:left="198"/>
              <w:jc w:val="center"/>
              <w:rPr>
                <w:rFonts w:ascii="Arial"/>
                <w:sz w:val="24"/>
              </w:rPr>
            </w:pPr>
            <w:r>
              <w:rPr>
                <w:rFonts w:ascii="Arial"/>
                <w:w w:val="99"/>
                <w:sz w:val="24"/>
              </w:rPr>
              <w:t>2</w:t>
            </w:r>
          </w:p>
        </w:tc>
        <w:tc>
          <w:tcPr>
            <w:tcW w:w="1990" w:type="dxa"/>
            <w:tcBorders>
              <w:top w:val="nil"/>
              <w:left w:val="nil"/>
              <w:bottom w:val="nil"/>
              <w:right w:val="nil"/>
            </w:tcBorders>
          </w:tcPr>
          <w:p>
            <w:pPr>
              <w:pStyle w:val="TableParagraph"/>
              <w:spacing w:before="47"/>
              <w:ind w:left="130"/>
              <w:jc w:val="center"/>
              <w:rPr>
                <w:rFonts w:ascii="Arial"/>
                <w:sz w:val="24"/>
              </w:rPr>
            </w:pPr>
            <w:r>
              <w:rPr>
                <w:rFonts w:ascii="Arial"/>
                <w:w w:val="99"/>
                <w:sz w:val="24"/>
              </w:rPr>
              <w:t>2</w:t>
            </w:r>
          </w:p>
          <w:p>
            <w:pPr>
              <w:pStyle w:val="TableParagraph"/>
              <w:rPr>
                <w:rFonts w:ascii="Arial"/>
                <w:b/>
                <w:sz w:val="24"/>
              </w:rPr>
            </w:pPr>
          </w:p>
          <w:p>
            <w:pPr>
              <w:pStyle w:val="TableParagraph"/>
              <w:ind w:left="130"/>
              <w:jc w:val="center"/>
              <w:rPr>
                <w:rFonts w:ascii="Arial"/>
                <w:sz w:val="24"/>
              </w:rPr>
            </w:pPr>
            <w:r>
              <w:rPr>
                <w:rFonts w:ascii="Arial"/>
                <w:w w:val="99"/>
                <w:sz w:val="24"/>
              </w:rPr>
              <w:t>3</w:t>
            </w:r>
          </w:p>
        </w:tc>
        <w:tc>
          <w:tcPr>
            <w:tcW w:w="881" w:type="dxa"/>
            <w:tcBorders>
              <w:top w:val="nil"/>
              <w:left w:val="nil"/>
              <w:bottom w:val="nil"/>
              <w:right w:val="nil"/>
            </w:tcBorders>
          </w:tcPr>
          <w:p>
            <w:pPr>
              <w:pStyle w:val="TableParagraph"/>
              <w:spacing w:before="47"/>
              <w:ind w:left="126"/>
              <w:jc w:val="center"/>
              <w:rPr>
                <w:rFonts w:ascii="Arial"/>
                <w:sz w:val="24"/>
              </w:rPr>
            </w:pPr>
            <w:r>
              <w:rPr>
                <w:rFonts w:ascii="Arial"/>
                <w:w w:val="99"/>
                <w:sz w:val="24"/>
              </w:rPr>
              <w:t>4</w:t>
            </w:r>
          </w:p>
          <w:p>
            <w:pPr>
              <w:pStyle w:val="TableParagraph"/>
              <w:rPr>
                <w:rFonts w:ascii="Arial"/>
                <w:b/>
                <w:sz w:val="24"/>
              </w:rPr>
            </w:pPr>
          </w:p>
          <w:p>
            <w:pPr>
              <w:pStyle w:val="TableParagraph"/>
              <w:ind w:left="126"/>
              <w:jc w:val="center"/>
              <w:rPr>
                <w:rFonts w:ascii="Arial"/>
                <w:sz w:val="24"/>
              </w:rPr>
            </w:pPr>
            <w:r>
              <w:rPr>
                <w:rFonts w:ascii="Arial"/>
                <w:w w:val="99"/>
                <w:sz w:val="24"/>
              </w:rPr>
              <w:t>5</w:t>
            </w:r>
          </w:p>
        </w:tc>
      </w:tr>
      <w:tr>
        <w:trPr>
          <w:trHeight w:val="676" w:hRule="exact"/>
        </w:trPr>
        <w:tc>
          <w:tcPr>
            <w:tcW w:w="3014" w:type="dxa"/>
            <w:tcBorders>
              <w:top w:val="nil"/>
              <w:left w:val="nil"/>
              <w:right w:val="nil"/>
            </w:tcBorders>
          </w:tcPr>
          <w:p>
            <w:pPr>
              <w:pStyle w:val="TableParagraph"/>
              <w:ind w:left="107" w:right="1726"/>
              <w:rPr>
                <w:rFonts w:ascii="Arial"/>
                <w:sz w:val="24"/>
              </w:rPr>
            </w:pPr>
            <w:r>
              <w:rPr>
                <w:rFonts w:ascii="Arial"/>
                <w:sz w:val="24"/>
              </w:rPr>
              <w:t>desalojado Total</w:t>
            </w:r>
          </w:p>
        </w:tc>
        <w:tc>
          <w:tcPr>
            <w:tcW w:w="2312" w:type="dxa"/>
            <w:tcBorders>
              <w:top w:val="nil"/>
              <w:left w:val="nil"/>
              <w:right w:val="nil"/>
            </w:tcBorders>
          </w:tcPr>
          <w:p>
            <w:pPr>
              <w:pStyle w:val="TableParagraph"/>
              <w:spacing w:before="10"/>
              <w:rPr>
                <w:rFonts w:ascii="Arial"/>
                <w:b/>
                <w:sz w:val="22"/>
              </w:rPr>
            </w:pPr>
          </w:p>
          <w:p>
            <w:pPr>
              <w:pStyle w:val="TableParagraph"/>
              <w:ind w:left="559" w:right="360"/>
              <w:jc w:val="center"/>
              <w:rPr>
                <w:rFonts w:ascii="Arial"/>
                <w:sz w:val="24"/>
              </w:rPr>
            </w:pPr>
            <w:r>
              <w:rPr>
                <w:rFonts w:ascii="Arial"/>
                <w:sz w:val="24"/>
              </w:rPr>
              <w:t>16</w:t>
            </w:r>
          </w:p>
        </w:tc>
        <w:tc>
          <w:tcPr>
            <w:tcW w:w="1990" w:type="dxa"/>
            <w:tcBorders>
              <w:top w:val="nil"/>
              <w:left w:val="nil"/>
              <w:right w:val="nil"/>
            </w:tcBorders>
          </w:tcPr>
          <w:p>
            <w:pPr>
              <w:pStyle w:val="TableParagraph"/>
              <w:spacing w:before="10"/>
              <w:rPr>
                <w:rFonts w:ascii="Arial"/>
                <w:b/>
                <w:sz w:val="22"/>
              </w:rPr>
            </w:pPr>
          </w:p>
          <w:p>
            <w:pPr>
              <w:pStyle w:val="TableParagraph"/>
              <w:ind w:left="364" w:right="233"/>
              <w:jc w:val="center"/>
              <w:rPr>
                <w:rFonts w:ascii="Arial"/>
                <w:sz w:val="24"/>
              </w:rPr>
            </w:pPr>
            <w:r>
              <w:rPr>
                <w:rFonts w:ascii="Arial"/>
                <w:sz w:val="24"/>
              </w:rPr>
              <w:t>16</w:t>
            </w:r>
          </w:p>
        </w:tc>
        <w:tc>
          <w:tcPr>
            <w:tcW w:w="881" w:type="dxa"/>
            <w:tcBorders>
              <w:top w:val="nil"/>
              <w:left w:val="nil"/>
              <w:right w:val="nil"/>
            </w:tcBorders>
          </w:tcPr>
          <w:p>
            <w:pPr>
              <w:pStyle w:val="TableParagraph"/>
              <w:spacing w:before="10"/>
              <w:rPr>
                <w:rFonts w:ascii="Arial"/>
                <w:b/>
                <w:sz w:val="22"/>
              </w:rPr>
            </w:pPr>
          </w:p>
          <w:p>
            <w:pPr>
              <w:pStyle w:val="TableParagraph"/>
              <w:ind w:left="369"/>
              <w:rPr>
                <w:rFonts w:ascii="Arial"/>
                <w:sz w:val="24"/>
              </w:rPr>
            </w:pPr>
            <w:r>
              <w:rPr>
                <w:rFonts w:ascii="Arial"/>
                <w:sz w:val="24"/>
              </w:rPr>
              <w:t>32</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5"/>
        </w:rPr>
      </w:pPr>
      <w:r>
        <w:rPr/>
        <w:pict>
          <v:group style="position:absolute;margin-left:87.650002pt;margin-top:10.758911pt;width:432.75pt;height:252.75pt;mso-position-horizontal-relative:page;mso-position-vertical-relative:paragraph;z-index:1552;mso-wrap-distance-left:0;mso-wrap-distance-right:0" coordorigin="1753,215" coordsize="8655,5055">
            <v:line style="position:absolute" from="8575,4297" to="9060,4297" stroked="true" strokeweight=".72pt" strokecolor="#858585"/>
            <v:line style="position:absolute" from="4056,4297" to="7930,4297" stroked="true" strokeweight=".72pt" strokecolor="#858585"/>
            <v:line style="position:absolute" from="2280,4297" to="2765,4297" stroked="true" strokeweight=".72pt" strokecolor="#858585"/>
            <v:line style="position:absolute" from="2280,3831" to="2765,3831" stroked="true" strokeweight=".72pt" strokecolor="#858585"/>
            <v:line style="position:absolute" from="2280,3365" to="2765,3365" stroked="true" strokeweight=".72pt" strokecolor="#858585"/>
            <v:line style="position:absolute" from="2280,2902" to="2765,2902" stroked="true" strokeweight=".72pt" strokecolor="#858585"/>
            <v:line style="position:absolute" from="2280,2437" to="2765,2437" stroked="true" strokeweight=".72pt" strokecolor="#858585"/>
            <v:line style="position:absolute" from="2280,1971" to="9060,1971" stroked="true" strokeweight=".72pt" strokecolor="#858585"/>
            <v:rect style="position:absolute;left:2765;top:1971;width:646;height:2791" filled="true" fillcolor="#88a44e" stroked="false">
              <v:fill type="solid"/>
            </v:rect>
            <v:rect style="position:absolute;left:5023;top:4297;width:648;height:466" filled="true" fillcolor="#88a44e" stroked="false">
              <v:fill type="solid"/>
            </v:rect>
            <v:rect style="position:absolute;left:7284;top:4297;width:646;height:466" filled="true" fillcolor="#88a44e" stroked="false">
              <v:fill type="solid"/>
            </v:rect>
            <v:line style="position:absolute" from="4056,3831" to="9060,3831" stroked="true" strokeweight=".72pt" strokecolor="#858585"/>
            <v:line style="position:absolute" from="4056,3365" to="9060,3365" stroked="true" strokeweight=".72pt" strokecolor="#858585"/>
            <v:line style="position:absolute" from="4056,2902" to="9060,2902" stroked="true" strokeweight=".72pt" strokecolor="#858585"/>
            <v:line style="position:absolute" from="4056,2437" to="9060,2437" stroked="true" strokeweight=".72pt" strokecolor="#858585"/>
            <v:rect style="position:absolute;left:3410;top:2204;width:646;height:2558" filled="true" fillcolor="#b8cd95" stroked="false">
              <v:fill type="solid"/>
            </v:rect>
            <v:rect style="position:absolute;left:5671;top:4297;width:646;height:466" filled="true" fillcolor="#b8cd95" stroked="false">
              <v:fill type="solid"/>
            </v:rect>
            <v:rect style="position:absolute;left:7930;top:4064;width:646;height:698" filled="true" fillcolor="#b8cd95" stroked="false">
              <v:fill type="solid"/>
            </v:rect>
            <v:line style="position:absolute" from="2280,1505" to="9060,1505" stroked="true" strokeweight=".72pt" strokecolor="#858585"/>
            <v:line style="position:absolute" from="2280,4762" to="2280,1505" stroked="true" strokeweight=".72pt" strokecolor="#858585"/>
            <v:line style="position:absolute" from="2280,4762" to="9060,4762" stroked="true" strokeweight=".72pt" strokecolor="#858585"/>
            <v:rect style="position:absolute;left:9379;top:3037;width:110;height:110" filled="true" fillcolor="#88a44e" stroked="false">
              <v:fill type="solid"/>
            </v:rect>
            <v:rect style="position:absolute;left:9379;top:3399;width:110;height:110" filled="true" fillcolor="#b8cd95" stroked="false">
              <v:fill type="solid"/>
            </v:rect>
            <v:rect style="position:absolute;left:1761;top:223;width:8640;height:5040" filled="false" stroked="true" strokeweight=".75pt" strokecolor="#858585"/>
            <v:shape style="position:absolute;left:3319;top:447;width:5520;height:800" type="#_x0000_t202" filled="false" stroked="false">
              <v:textbox inset="0,0,0,0">
                <w:txbxContent>
                  <w:p>
                    <w:pPr>
                      <w:spacing w:line="367" w:lineRule="exact" w:before="0"/>
                      <w:ind w:left="-1" w:right="0" w:firstLine="0"/>
                      <w:jc w:val="center"/>
                      <w:rPr>
                        <w:rFonts w:ascii="Calibri" w:hAnsi="Calibri"/>
                        <w:b/>
                        <w:sz w:val="36"/>
                      </w:rPr>
                    </w:pPr>
                    <w:r>
                      <w:rPr>
                        <w:rFonts w:ascii="Calibri" w:hAnsi="Calibri"/>
                        <w:b/>
                        <w:spacing w:val="-3"/>
                        <w:sz w:val="36"/>
                      </w:rPr>
                      <w:t>Gráfico </w:t>
                    </w:r>
                    <w:r>
                      <w:rPr>
                        <w:rFonts w:ascii="Calibri" w:hAnsi="Calibri"/>
                        <w:b/>
                        <w:sz w:val="36"/>
                      </w:rPr>
                      <w:t>3. Evaluación de retención</w:t>
                    </w:r>
                    <w:r>
                      <w:rPr>
                        <w:rFonts w:ascii="Calibri" w:hAnsi="Calibri"/>
                        <w:b/>
                        <w:spacing w:val="-32"/>
                        <w:sz w:val="36"/>
                      </w:rPr>
                      <w:t> </w:t>
                    </w:r>
                    <w:r>
                      <w:rPr>
                        <w:rFonts w:ascii="Calibri" w:hAnsi="Calibri"/>
                        <w:b/>
                        <w:sz w:val="36"/>
                      </w:rPr>
                      <w:t>de</w:t>
                    </w:r>
                  </w:p>
                  <w:p>
                    <w:pPr>
                      <w:spacing w:line="433" w:lineRule="exact" w:before="0"/>
                      <w:ind w:left="5" w:right="0" w:firstLine="0"/>
                      <w:jc w:val="center"/>
                      <w:rPr>
                        <w:rFonts w:ascii="Calibri"/>
                        <w:b/>
                        <w:sz w:val="36"/>
                      </w:rPr>
                    </w:pPr>
                    <w:r>
                      <w:rPr>
                        <w:rFonts w:ascii="Calibri"/>
                        <w:b/>
                        <w:sz w:val="36"/>
                      </w:rPr>
                      <w:t>UltreaSeal XT</w:t>
                    </w:r>
                  </w:p>
                </w:txbxContent>
              </v:textbox>
              <w10:wrap type="none"/>
            </v:shape>
            <v:shape style="position:absolute;left:1891;top:1412;width:203;height:2061" type="#_x0000_t202" filled="false" stroked="false">
              <v:textbox inset="0,0,0,0">
                <w:txbxContent>
                  <w:p>
                    <w:pPr>
                      <w:spacing w:line="203" w:lineRule="exact" w:before="0"/>
                      <w:ind w:left="0" w:right="1" w:firstLine="0"/>
                      <w:jc w:val="center"/>
                      <w:rPr>
                        <w:rFonts w:ascii="Calibri"/>
                        <w:sz w:val="20"/>
                      </w:rPr>
                    </w:pPr>
                    <w:r>
                      <w:rPr>
                        <w:rFonts w:ascii="Calibri"/>
                        <w:w w:val="95"/>
                        <w:sz w:val="20"/>
                      </w:rPr>
                      <w:t>14</w:t>
                    </w:r>
                  </w:p>
                  <w:p>
                    <w:pPr>
                      <w:spacing w:line="240" w:lineRule="auto" w:before="2"/>
                      <w:rPr>
                        <w:b/>
                        <w:sz w:val="19"/>
                      </w:rPr>
                    </w:pPr>
                  </w:p>
                  <w:p>
                    <w:pPr>
                      <w:spacing w:before="0"/>
                      <w:ind w:left="0" w:right="1" w:firstLine="0"/>
                      <w:jc w:val="center"/>
                      <w:rPr>
                        <w:rFonts w:ascii="Calibri"/>
                        <w:sz w:val="20"/>
                      </w:rPr>
                    </w:pPr>
                    <w:r>
                      <w:rPr>
                        <w:rFonts w:ascii="Calibri"/>
                        <w:w w:val="95"/>
                        <w:sz w:val="20"/>
                      </w:rPr>
                      <w:t>12</w:t>
                    </w:r>
                  </w:p>
                  <w:p>
                    <w:pPr>
                      <w:spacing w:line="240" w:lineRule="auto" w:before="2"/>
                      <w:rPr>
                        <w:b/>
                        <w:sz w:val="19"/>
                      </w:rPr>
                    </w:pPr>
                  </w:p>
                  <w:p>
                    <w:pPr>
                      <w:spacing w:before="1"/>
                      <w:ind w:left="0" w:right="1" w:firstLine="0"/>
                      <w:jc w:val="center"/>
                      <w:rPr>
                        <w:rFonts w:ascii="Calibri"/>
                        <w:sz w:val="20"/>
                      </w:rPr>
                    </w:pPr>
                    <w:r>
                      <w:rPr>
                        <w:rFonts w:ascii="Calibri"/>
                        <w:w w:val="95"/>
                        <w:sz w:val="20"/>
                      </w:rPr>
                      <w:t>10</w:t>
                    </w:r>
                  </w:p>
                  <w:p>
                    <w:pPr>
                      <w:spacing w:line="240" w:lineRule="auto" w:before="2"/>
                      <w:rPr>
                        <w:b/>
                        <w:sz w:val="19"/>
                      </w:rPr>
                    </w:pPr>
                  </w:p>
                  <w:p>
                    <w:pPr>
                      <w:spacing w:before="1"/>
                      <w:ind w:left="101" w:right="0" w:firstLine="0"/>
                      <w:jc w:val="center"/>
                      <w:rPr>
                        <w:rFonts w:ascii="Calibri"/>
                        <w:sz w:val="20"/>
                      </w:rPr>
                    </w:pPr>
                    <w:r>
                      <w:rPr>
                        <w:rFonts w:ascii="Calibri"/>
                        <w:w w:val="99"/>
                        <w:sz w:val="20"/>
                      </w:rPr>
                      <w:t>8</w:t>
                    </w:r>
                  </w:p>
                  <w:p>
                    <w:pPr>
                      <w:spacing w:line="240" w:lineRule="auto" w:before="2"/>
                      <w:rPr>
                        <w:b/>
                        <w:sz w:val="19"/>
                      </w:rPr>
                    </w:pPr>
                  </w:p>
                  <w:p>
                    <w:pPr>
                      <w:spacing w:line="240" w:lineRule="exact" w:before="1"/>
                      <w:ind w:left="101" w:right="0" w:firstLine="0"/>
                      <w:jc w:val="center"/>
                      <w:rPr>
                        <w:rFonts w:ascii="Calibri"/>
                        <w:sz w:val="20"/>
                      </w:rPr>
                    </w:pPr>
                    <w:r>
                      <w:rPr>
                        <w:rFonts w:ascii="Calibri"/>
                        <w:w w:val="99"/>
                        <w:sz w:val="20"/>
                      </w:rPr>
                      <w:t>6</w:t>
                    </w:r>
                  </w:p>
                </w:txbxContent>
              </v:textbox>
              <w10:wrap type="none"/>
            </v:shape>
            <v:shape style="position:absolute;left:9538;top:3000;width:661;height:561" type="#_x0000_t202" filled="false" stroked="false">
              <v:textbox inset="0,0,0,0">
                <w:txbxContent>
                  <w:p>
                    <w:pPr>
                      <w:spacing w:line="203" w:lineRule="exact" w:before="0"/>
                      <w:ind w:left="0" w:right="-17" w:firstLine="0"/>
                      <w:jc w:val="left"/>
                      <w:rPr>
                        <w:rFonts w:ascii="Calibri"/>
                        <w:sz w:val="20"/>
                      </w:rPr>
                    </w:pPr>
                    <w:r>
                      <w:rPr>
                        <w:rFonts w:ascii="Calibri"/>
                        <w:sz w:val="20"/>
                      </w:rPr>
                      <w:t>3</w:t>
                    </w:r>
                    <w:r>
                      <w:rPr>
                        <w:rFonts w:ascii="Calibri"/>
                        <w:spacing w:val="-4"/>
                        <w:sz w:val="20"/>
                      </w:rPr>
                      <w:t> </w:t>
                    </w:r>
                    <w:r>
                      <w:rPr>
                        <w:rFonts w:ascii="Calibri"/>
                        <w:sz w:val="20"/>
                      </w:rPr>
                      <w:t>meses</w:t>
                    </w:r>
                  </w:p>
                  <w:p>
                    <w:pPr>
                      <w:spacing w:line="240" w:lineRule="exact" w:before="117"/>
                      <w:ind w:left="0" w:right="-17" w:firstLine="0"/>
                      <w:jc w:val="left"/>
                      <w:rPr>
                        <w:rFonts w:ascii="Calibri"/>
                        <w:sz w:val="20"/>
                      </w:rPr>
                    </w:pPr>
                    <w:r>
                      <w:rPr>
                        <w:rFonts w:ascii="Calibri"/>
                        <w:sz w:val="20"/>
                      </w:rPr>
                      <w:t>6</w:t>
                    </w:r>
                    <w:r>
                      <w:rPr>
                        <w:rFonts w:ascii="Calibri"/>
                        <w:spacing w:val="-4"/>
                        <w:sz w:val="20"/>
                      </w:rPr>
                      <w:t> </w:t>
                    </w:r>
                    <w:r>
                      <w:rPr>
                        <w:rFonts w:ascii="Calibri"/>
                        <w:sz w:val="20"/>
                      </w:rPr>
                      <w:t>meses</w:t>
                    </w:r>
                  </w:p>
                </w:txbxContent>
              </v:textbox>
              <w10:wrap type="none"/>
            </v:shape>
            <v:shape style="position:absolute;left:1992;top:3739;width:101;height:1131" type="#_x0000_t202" filled="false" stroked="false">
              <v:textbox inset="0,0,0,0">
                <w:txbxContent>
                  <w:p>
                    <w:pPr>
                      <w:spacing w:line="203" w:lineRule="exact" w:before="0"/>
                      <w:ind w:left="0" w:right="0" w:firstLine="0"/>
                      <w:jc w:val="left"/>
                      <w:rPr>
                        <w:rFonts w:ascii="Calibri"/>
                        <w:sz w:val="20"/>
                      </w:rPr>
                    </w:pPr>
                    <w:r>
                      <w:rPr>
                        <w:rFonts w:ascii="Calibri"/>
                        <w:w w:val="99"/>
                        <w:sz w:val="20"/>
                      </w:rPr>
                      <w:t>4</w:t>
                    </w:r>
                  </w:p>
                  <w:p>
                    <w:pPr>
                      <w:spacing w:line="240" w:lineRule="auto" w:before="2"/>
                      <w:rPr>
                        <w:b/>
                        <w:sz w:val="19"/>
                      </w:rPr>
                    </w:pPr>
                  </w:p>
                  <w:p>
                    <w:pPr>
                      <w:spacing w:before="1"/>
                      <w:ind w:left="0" w:right="0" w:firstLine="0"/>
                      <w:jc w:val="left"/>
                      <w:rPr>
                        <w:rFonts w:ascii="Calibri"/>
                        <w:sz w:val="20"/>
                      </w:rPr>
                    </w:pPr>
                    <w:r>
                      <w:rPr>
                        <w:rFonts w:ascii="Calibri"/>
                        <w:w w:val="99"/>
                        <w:sz w:val="20"/>
                      </w:rPr>
                      <w:t>2</w:t>
                    </w:r>
                  </w:p>
                  <w:p>
                    <w:pPr>
                      <w:spacing w:line="240" w:lineRule="auto" w:before="2"/>
                      <w:rPr>
                        <w:b/>
                        <w:sz w:val="19"/>
                      </w:rPr>
                    </w:pPr>
                  </w:p>
                  <w:p>
                    <w:pPr>
                      <w:spacing w:line="240" w:lineRule="exact" w:before="1"/>
                      <w:ind w:left="0" w:right="0" w:firstLine="0"/>
                      <w:jc w:val="left"/>
                      <w:rPr>
                        <w:rFonts w:ascii="Calibri"/>
                        <w:sz w:val="20"/>
                      </w:rPr>
                    </w:pPr>
                    <w:r>
                      <w:rPr>
                        <w:rFonts w:ascii="Calibri"/>
                        <w:w w:val="99"/>
                        <w:sz w:val="20"/>
                      </w:rPr>
                      <w:t>0</w:t>
                    </w:r>
                  </w:p>
                </w:txbxContent>
              </v:textbox>
              <w10:wrap type="none"/>
            </v:shape>
            <v:shape style="position:absolute;left:3023;top:4931;width:772;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completo</w:t>
                    </w:r>
                  </w:p>
                </w:txbxContent>
              </v:textbox>
              <w10:wrap type="none"/>
            </v:shape>
            <v:shape style="position:absolute;left:5399;top:4931;width:542;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parcial</w:t>
                    </w:r>
                  </w:p>
                </w:txbxContent>
              </v:textbox>
              <w10:wrap type="none"/>
            </v:shape>
            <v:shape style="position:absolute;left:7488;top:4931;width:88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desalojado</w:t>
                    </w:r>
                  </w:p>
                </w:txbxContent>
              </v:textbox>
              <w10:wrap type="none"/>
            </v:shape>
            <w10:wrap type="topAndBottom"/>
          </v:group>
        </w:pict>
      </w:r>
    </w:p>
    <w:p>
      <w:pPr>
        <w:pStyle w:val="BodyText"/>
        <w:rPr>
          <w:b/>
          <w:sz w:val="28"/>
        </w:rPr>
      </w:pPr>
    </w:p>
    <w:p>
      <w:pPr>
        <w:pStyle w:val="BodyText"/>
        <w:rPr>
          <w:b/>
          <w:sz w:val="28"/>
        </w:rPr>
      </w:pPr>
    </w:p>
    <w:p>
      <w:pPr>
        <w:pStyle w:val="BodyText"/>
        <w:spacing w:line="480" w:lineRule="auto" w:before="199"/>
        <w:ind w:left="160" w:right="4"/>
      </w:pPr>
      <w:r>
        <w:rPr/>
        <w:t>El estudio comparativo a tres y seis meses del sellador UltraSeal XT mostró disminución ligera en el número de selladores completos y ligero aumento de los selladores  totalmente desalojados.</w:t>
      </w:r>
    </w:p>
    <w:p>
      <w:pPr>
        <w:spacing w:after="0" w:line="480" w:lineRule="auto"/>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17"/>
        <w:ind w:left="273" w:right="338"/>
      </w:pPr>
      <w:r>
        <w:rPr/>
        <w:t>DISCUSIÓN.</w:t>
      </w:r>
    </w:p>
    <w:p>
      <w:pPr>
        <w:pStyle w:val="BodyText"/>
        <w:rPr>
          <w:b/>
          <w:sz w:val="28"/>
        </w:rPr>
      </w:pPr>
    </w:p>
    <w:p>
      <w:pPr>
        <w:pStyle w:val="BodyText"/>
        <w:spacing w:before="5"/>
        <w:rPr>
          <w:b/>
        </w:rPr>
      </w:pPr>
    </w:p>
    <w:p>
      <w:pPr>
        <w:pStyle w:val="BodyText"/>
        <w:spacing w:line="468" w:lineRule="auto"/>
        <w:ind w:left="160" w:right="173"/>
        <w:jc w:val="both"/>
        <w:rPr>
          <w:sz w:val="16"/>
        </w:rPr>
      </w:pPr>
      <w:r>
        <w:rPr/>
        <w:t>Se han utilizado varias medidas para prevenir la impactación de alimentos y bacterias, en las superficies oclusales de los dientes posteriores permanentes, que son los más afectados  por  caries.</w:t>
      </w:r>
      <w:r>
        <w:rPr>
          <w:position w:val="11"/>
          <w:sz w:val="16"/>
        </w:rPr>
        <w:t>2 </w:t>
      </w:r>
      <w:r>
        <w:rPr/>
        <w:t>Los selladores de fosetas y fisuras (SFF), han demostrado ser una de las medidas más efectivas para prevenir la caries en estas estructuras, los avances tecnológicos han llevado a la creación de varios tipos de selladores de fisuras que cuentan con ciertas ventajas y en general presentan  resultados satisfactorios.</w:t>
      </w:r>
      <w:r>
        <w:rPr>
          <w:spacing w:val="-11"/>
        </w:rPr>
        <w:t> </w:t>
      </w:r>
      <w:r>
        <w:rPr>
          <w:position w:val="11"/>
          <w:sz w:val="16"/>
        </w:rPr>
        <w:t>3,4,5</w:t>
      </w:r>
    </w:p>
    <w:p>
      <w:pPr>
        <w:pStyle w:val="BodyText"/>
        <w:rPr>
          <w:sz w:val="28"/>
        </w:rPr>
      </w:pPr>
    </w:p>
    <w:p>
      <w:pPr>
        <w:pStyle w:val="BodyText"/>
        <w:spacing w:line="472" w:lineRule="auto" w:before="215"/>
        <w:ind w:left="160" w:right="174"/>
        <w:jc w:val="both"/>
        <w:rPr>
          <w:sz w:val="16"/>
        </w:rPr>
      </w:pPr>
      <w:r>
        <w:rPr/>
        <w:t>Los selladores de fosas y fisuras más conocidos son los autopolimerizables, que están  prácticamente en desuso por la dificultad en su manipulación y los selladores fotopolimerizables, los clínicos prefieren estos últimos porque el tiempo de trabajo es menor y es posible el control de la polimerización. También se ha utilizado el ionómero de vidrio como sellador, sin embargo, este material presenta desalojos más</w:t>
      </w:r>
      <w:r>
        <w:rPr>
          <w:spacing w:val="-18"/>
        </w:rPr>
        <w:t> </w:t>
      </w:r>
      <w:r>
        <w:rPr/>
        <w:t>fácilmente.</w:t>
      </w:r>
      <w:r>
        <w:rPr>
          <w:position w:val="11"/>
          <w:sz w:val="16"/>
        </w:rPr>
        <w:t>22,23,24</w:t>
      </w:r>
    </w:p>
    <w:p>
      <w:pPr>
        <w:pStyle w:val="BodyText"/>
        <w:rPr>
          <w:sz w:val="28"/>
        </w:rPr>
      </w:pPr>
    </w:p>
    <w:p>
      <w:pPr>
        <w:pStyle w:val="BodyText"/>
        <w:spacing w:line="480" w:lineRule="auto" w:before="209"/>
        <w:ind w:left="160" w:right="173"/>
        <w:jc w:val="both"/>
      </w:pPr>
      <w:r>
        <w:rPr/>
        <w:t>En este estudio se utilizaron los selladores fotocurables Helioseal®F (Vivadent – Ivoclar), Clinpro TM Sealant (3M ESPE ) y UltraSeal XT® plus</w:t>
      </w:r>
      <w:r>
        <w:rPr>
          <w:spacing w:val="55"/>
        </w:rPr>
        <w:t> </w:t>
      </w:r>
      <w:r>
        <w:rPr/>
        <w:t>(Ultradent).</w:t>
      </w:r>
    </w:p>
    <w:p>
      <w:pPr>
        <w:pStyle w:val="BodyText"/>
      </w:pPr>
    </w:p>
    <w:p>
      <w:pPr>
        <w:pStyle w:val="BodyText"/>
        <w:spacing w:before="8"/>
      </w:pPr>
    </w:p>
    <w:p>
      <w:pPr>
        <w:pStyle w:val="BodyText"/>
        <w:spacing w:line="480" w:lineRule="auto"/>
        <w:ind w:left="160" w:right="173"/>
        <w:jc w:val="both"/>
      </w:pPr>
      <w:r>
        <w:rPr/>
        <w:t>El sellador Helioseal®F (Vivadent – Ivoclar) tiene la ventaja de liberar fluoruro, sin embargo, su consistencia no es fluida y al fotopolimerizarlo se crean burbujas; mientras que el sellador Clinpro TM Sealant ( 3M ESPE ) presenta una coloración rosa antes de la fotopolimerización, lo que facilita la colocación del mismo, no obstante no fluye apropiadamente y se desperdicia material; en tanto   que</w:t>
      </w:r>
    </w:p>
    <w:p>
      <w:pPr>
        <w:spacing w:after="0" w:line="480" w:lineRule="auto"/>
        <w:jc w:val="both"/>
        <w:sectPr>
          <w:pgSz w:w="12240" w:h="15840"/>
          <w:pgMar w:header="731" w:footer="1017" w:top="1360" w:bottom="1220" w:left="560" w:right="540"/>
        </w:sectPr>
      </w:pPr>
    </w:p>
    <w:p>
      <w:pPr>
        <w:pStyle w:val="BodyText"/>
        <w:spacing w:before="7"/>
        <w:rPr>
          <w:sz w:val="17"/>
        </w:rPr>
      </w:pPr>
    </w:p>
    <w:p>
      <w:pPr>
        <w:pStyle w:val="BodyText"/>
        <w:spacing w:line="480" w:lineRule="auto" w:before="69"/>
        <w:ind w:left="160" w:right="184"/>
        <w:jc w:val="both"/>
      </w:pPr>
      <w:r>
        <w:rPr/>
        <w:t>el sellador UltraSeal XT® plus (Ultradent) tiene consistencia fluida y permite colocar el sellador de manera uniforme y constante.</w:t>
      </w:r>
    </w:p>
    <w:p>
      <w:pPr>
        <w:pStyle w:val="BodyText"/>
      </w:pPr>
    </w:p>
    <w:p>
      <w:pPr>
        <w:pStyle w:val="BodyText"/>
        <w:spacing w:before="7"/>
      </w:pPr>
    </w:p>
    <w:p>
      <w:pPr>
        <w:pStyle w:val="BodyText"/>
        <w:spacing w:line="448" w:lineRule="auto" w:before="1"/>
        <w:ind w:left="160" w:right="173"/>
        <w:jc w:val="both"/>
      </w:pPr>
      <w:r>
        <w:rPr/>
        <w:t>Los resultados de la evaluación de retención de los selladores, en estudios previos son controvertidos, debido a la variación en el tiempo de evaluación del estado de los selladores</w:t>
      </w:r>
      <w:r>
        <w:rPr>
          <w:position w:val="11"/>
          <w:sz w:val="16"/>
        </w:rPr>
        <w:t>10</w:t>
      </w:r>
      <w:r>
        <w:rPr/>
        <w:t>, al número de operadores</w:t>
      </w:r>
      <w:r>
        <w:rPr>
          <w:position w:val="11"/>
          <w:sz w:val="16"/>
        </w:rPr>
        <w:t>11</w:t>
      </w:r>
      <w:r>
        <w:rPr/>
        <w:t>, a las técnicas de aislamiento</w:t>
      </w:r>
      <w:r>
        <w:rPr>
          <w:position w:val="11"/>
          <w:sz w:val="16"/>
        </w:rPr>
        <w:t>26 </w:t>
      </w:r>
      <w:r>
        <w:rPr/>
        <w:t>y a  las instrucciones del fabricante</w:t>
      </w:r>
      <w:r>
        <w:rPr>
          <w:position w:val="11"/>
          <w:sz w:val="16"/>
        </w:rPr>
        <w:t>17</w:t>
      </w:r>
      <w:r>
        <w:rPr/>
        <w:t>.</w:t>
      </w:r>
    </w:p>
    <w:p>
      <w:pPr>
        <w:pStyle w:val="BodyText"/>
        <w:spacing w:before="4"/>
        <w:rPr>
          <w:sz w:val="25"/>
        </w:rPr>
      </w:pPr>
    </w:p>
    <w:p>
      <w:pPr>
        <w:pStyle w:val="BodyText"/>
        <w:spacing w:line="470" w:lineRule="auto"/>
        <w:ind w:left="160" w:right="222"/>
        <w:jc w:val="both"/>
      </w:pPr>
      <w:r>
        <w:rPr/>
        <w:t>En este estudio para evaluar la retención de estos selladores se aplicaron a 59 primeros molares permanentes erupcionados y sanos, tal y como se sugiere en estudios similares</w:t>
      </w:r>
      <w:r>
        <w:rPr>
          <w:position w:val="11"/>
          <w:sz w:val="16"/>
        </w:rPr>
        <w:t>21</w:t>
      </w:r>
      <w:r>
        <w:rPr/>
        <w:t>, la muestra es pequeña debido a que el estudio se realizó en el consultorio dental de la Esc. Primaria “Juan Fernández Albarrán”, se       </w:t>
      </w:r>
      <w:r>
        <w:rPr>
          <w:spacing w:val="51"/>
        </w:rPr>
        <w:t> </w:t>
      </w:r>
      <w:r>
        <w:rPr/>
        <w:t>invitó a participar a niños  de siete a ocho años de edad,  solo 26 niños</w:t>
      </w:r>
    </w:p>
    <w:p>
      <w:pPr>
        <w:pStyle w:val="BodyText"/>
        <w:spacing w:line="480" w:lineRule="auto" w:before="18"/>
        <w:ind w:left="160" w:right="229"/>
        <w:jc w:val="both"/>
      </w:pPr>
      <w:r>
        <w:rPr/>
        <w:t>cumplieron con los criterios de inclusión pero siete declinaron su participación, por lo que solo 19 niños fueron examinados, dada la naturaleza del estudio se puede considerar que tiene validez interna, aunque los resultados no pueden generalizarse.</w:t>
      </w:r>
    </w:p>
    <w:p>
      <w:pPr>
        <w:pStyle w:val="BodyText"/>
        <w:spacing w:before="1"/>
        <w:rPr>
          <w:sz w:val="25"/>
        </w:rPr>
      </w:pPr>
    </w:p>
    <w:p>
      <w:pPr>
        <w:pStyle w:val="BodyText"/>
        <w:spacing w:line="472" w:lineRule="auto"/>
        <w:ind w:left="160" w:right="221"/>
        <w:jc w:val="both"/>
      </w:pPr>
      <w:r>
        <w:rPr/>
        <w:t>Se realizaron evaluaciones a los 3 y  6 meses, observándose desalojos totales y parciales de los  tres selladores, aunque en una baja proporción; el tiempo de evaluación es corto en comparación con el reporte de Puppin-Rontani et al </w:t>
      </w:r>
      <w:r>
        <w:rPr>
          <w:position w:val="11"/>
          <w:sz w:val="16"/>
        </w:rPr>
        <w:t>10 </w:t>
      </w:r>
      <w:r>
        <w:rPr/>
        <w:t>a 24 meses con el sellador FluroShield fotopolimerizable y que a los seis meses observa un porcentaje alto de selladores completos; resultados similares  fueron</w:t>
      </w:r>
      <w:r>
        <w:rPr>
          <w:spacing w:val="35"/>
        </w:rPr>
        <w:t> </w:t>
      </w:r>
      <w:r>
        <w:rPr/>
        <w:t>notados</w:t>
      </w:r>
      <w:r>
        <w:rPr>
          <w:spacing w:val="34"/>
        </w:rPr>
        <w:t> </w:t>
      </w:r>
      <w:r>
        <w:rPr/>
        <w:t>en</w:t>
      </w:r>
      <w:r>
        <w:rPr>
          <w:spacing w:val="35"/>
        </w:rPr>
        <w:t> </w:t>
      </w:r>
      <w:r>
        <w:rPr/>
        <w:t>el</w:t>
      </w:r>
      <w:r>
        <w:rPr>
          <w:spacing w:val="36"/>
        </w:rPr>
        <w:t> </w:t>
      </w:r>
      <w:r>
        <w:rPr/>
        <w:t>estudio,</w:t>
      </w:r>
      <w:r>
        <w:rPr>
          <w:spacing w:val="37"/>
        </w:rPr>
        <w:t> </w:t>
      </w:r>
      <w:r>
        <w:rPr/>
        <w:t>la</w:t>
      </w:r>
      <w:r>
        <w:rPr>
          <w:spacing w:val="37"/>
        </w:rPr>
        <w:t> </w:t>
      </w:r>
      <w:r>
        <w:rPr/>
        <w:t>mayoría</w:t>
      </w:r>
      <w:r>
        <w:rPr>
          <w:spacing w:val="37"/>
        </w:rPr>
        <w:t> </w:t>
      </w:r>
      <w:r>
        <w:rPr/>
        <w:t>de</w:t>
      </w:r>
      <w:r>
        <w:rPr>
          <w:spacing w:val="37"/>
        </w:rPr>
        <w:t> </w:t>
      </w:r>
      <w:r>
        <w:rPr/>
        <w:t>los</w:t>
      </w:r>
      <w:r>
        <w:rPr>
          <w:spacing w:val="37"/>
        </w:rPr>
        <w:t> </w:t>
      </w:r>
      <w:r>
        <w:rPr/>
        <w:t>tres</w:t>
      </w:r>
      <w:r>
        <w:rPr>
          <w:spacing w:val="37"/>
        </w:rPr>
        <w:t> </w:t>
      </w:r>
      <w:r>
        <w:rPr/>
        <w:t>tipos</w:t>
      </w:r>
      <w:r>
        <w:rPr>
          <w:spacing w:val="34"/>
        </w:rPr>
        <w:t> </w:t>
      </w:r>
      <w:r>
        <w:rPr/>
        <w:t>de</w:t>
      </w:r>
      <w:r>
        <w:rPr>
          <w:spacing w:val="37"/>
        </w:rPr>
        <w:t> </w:t>
      </w:r>
      <w:r>
        <w:rPr/>
        <w:t>selladores</w:t>
      </w:r>
      <w:r>
        <w:rPr>
          <w:spacing w:val="37"/>
        </w:rPr>
        <w:t> </w:t>
      </w:r>
      <w:r>
        <w:rPr/>
        <w:t>se</w:t>
      </w:r>
      <w:r>
        <w:rPr>
          <w:spacing w:val="35"/>
        </w:rPr>
        <w:t> </w:t>
      </w:r>
      <w:r>
        <w:rPr/>
        <w:t>encontraron</w:t>
      </w:r>
      <w:r>
        <w:rPr>
          <w:spacing w:val="37"/>
        </w:rPr>
        <w:t> </w:t>
      </w:r>
      <w:r>
        <w:rPr/>
        <w:t>en</w:t>
      </w:r>
      <w:r>
        <w:rPr>
          <w:spacing w:val="37"/>
        </w:rPr>
        <w:t> </w:t>
      </w:r>
      <w:r>
        <w:rPr/>
        <w:t>buen</w:t>
      </w:r>
    </w:p>
    <w:p>
      <w:pPr>
        <w:pStyle w:val="BodyText"/>
        <w:spacing w:line="480" w:lineRule="auto" w:before="16"/>
        <w:ind w:left="160" w:right="228"/>
        <w:jc w:val="both"/>
      </w:pPr>
      <w:r>
        <w:rPr/>
        <w:t>estado, a los tres meses. En tanto que el número de selladores desalojados parcial o totalmente no se incrementó notoriamente a los seis meses.</w:t>
      </w:r>
    </w:p>
    <w:p>
      <w:pPr>
        <w:pStyle w:val="BodyText"/>
        <w:spacing w:before="10"/>
      </w:pPr>
    </w:p>
    <w:p>
      <w:pPr>
        <w:pStyle w:val="BodyText"/>
        <w:spacing w:line="480" w:lineRule="auto"/>
        <w:ind w:left="160" w:right="173"/>
        <w:jc w:val="both"/>
      </w:pPr>
      <w:r>
        <w:rPr/>
        <w:t>Con el objeto de controlar el efecto de la habilidad en la colocación de los selladores por múltiples y diferentes características de formación  de  los  operadores,  los selladores fueron  aplicados por   un</w:t>
      </w:r>
    </w:p>
    <w:p>
      <w:pPr>
        <w:spacing w:after="0" w:line="480" w:lineRule="auto"/>
        <w:jc w:val="both"/>
        <w:sectPr>
          <w:pgSz w:w="12240" w:h="15840"/>
          <w:pgMar w:header="731" w:footer="1017" w:top="1360" w:bottom="1220" w:left="560" w:right="540"/>
        </w:sectPr>
      </w:pPr>
    </w:p>
    <w:p>
      <w:pPr>
        <w:pStyle w:val="BodyText"/>
        <w:spacing w:before="7"/>
        <w:rPr>
          <w:sz w:val="13"/>
        </w:rPr>
      </w:pPr>
    </w:p>
    <w:p>
      <w:pPr>
        <w:pStyle w:val="BodyText"/>
        <w:spacing w:line="480" w:lineRule="auto" w:before="80"/>
        <w:ind w:left="160" w:right="177"/>
        <w:jc w:val="both"/>
      </w:pPr>
      <w:r>
        <w:rPr/>
        <w:t>especialista en odontopediatría, siguiendo las indicaciones de los proveedores. Folke D. et al </w:t>
      </w:r>
      <w:r>
        <w:rPr>
          <w:position w:val="11"/>
          <w:sz w:val="16"/>
        </w:rPr>
        <w:t>11 </w:t>
      </w:r>
      <w:r>
        <w:rPr/>
        <w:t>evaluaron la retención de diferentes selladores fotocurables (Fluroshield VLC, LD Caulk, Milford, Delaware, o Ultraseal) con distintos operadores (dentistas, higienistas y asistentes), notando un mayor número de desalojos en los selladores colocados por los asistentes dentales independientemente del tipo de sellador, lo que sugiere que la formación del operador puede ser un factor en el incremento en el número de desalojos, relacionado probablemente con la habilidad o incluso el compromiso al atender a los pacientes.</w:t>
      </w:r>
    </w:p>
    <w:p>
      <w:pPr>
        <w:pStyle w:val="BodyText"/>
      </w:pPr>
    </w:p>
    <w:p>
      <w:pPr>
        <w:pStyle w:val="BodyText"/>
        <w:spacing w:before="8"/>
      </w:pPr>
    </w:p>
    <w:p>
      <w:pPr>
        <w:pStyle w:val="BodyText"/>
        <w:spacing w:line="470" w:lineRule="auto"/>
        <w:ind w:left="160" w:right="178"/>
        <w:jc w:val="both"/>
      </w:pPr>
      <w:r>
        <w:rPr/>
        <w:t>El procedimiento de colocación de los selladores se realizó bajo aislamiento absoluto, para asegurar la disminución de saliva y humedad en el dientes y garantizar el buen estado de los selladores, no obstante, se presentaron algunos desalojos totales y parciales; resultados similares fueron referidos por Wendt </w:t>
      </w:r>
      <w:r>
        <w:rPr>
          <w:i/>
        </w:rPr>
        <w:t>et al </w:t>
      </w:r>
      <w:r>
        <w:rPr/>
        <w:t>,</w:t>
      </w:r>
      <w:r>
        <w:rPr>
          <w:position w:val="11"/>
          <w:sz w:val="16"/>
        </w:rPr>
        <w:t>5 </w:t>
      </w:r>
      <w:r>
        <w:rPr/>
        <w:t>Puppin-Rontani </w:t>
      </w:r>
      <w:r>
        <w:rPr>
          <w:i/>
        </w:rPr>
        <w:t>et al </w:t>
      </w:r>
      <w:r>
        <w:rPr>
          <w:position w:val="11"/>
          <w:sz w:val="16"/>
        </w:rPr>
        <w:t>10 </w:t>
      </w:r>
      <w:r>
        <w:rPr/>
        <w:t>y Navarro MI. </w:t>
      </w:r>
      <w:r>
        <w:rPr>
          <w:i/>
        </w:rPr>
        <w:t>et al</w:t>
      </w:r>
      <w:r>
        <w:rPr>
          <w:position w:val="11"/>
          <w:sz w:val="16"/>
        </w:rPr>
        <w:t>17</w:t>
      </w:r>
      <w:r>
        <w:rPr/>
        <w:t>,</w:t>
      </w:r>
      <w:r>
        <w:rPr>
          <w:spacing w:val="65"/>
        </w:rPr>
        <w:t> </w:t>
      </w:r>
      <w:r>
        <w:rPr/>
        <w:t>aunque en sus pacientes se utilizó</w:t>
      </w:r>
    </w:p>
    <w:p>
      <w:pPr>
        <w:pStyle w:val="BodyText"/>
        <w:spacing w:line="261" w:lineRule="exact"/>
        <w:ind w:left="160"/>
        <w:jc w:val="both"/>
      </w:pPr>
      <w:r>
        <w:rPr/>
        <w:t>aislamiento relativo. Aunque, el tipo de aislamiento parece no influir en forma determinante en el</w:t>
      </w:r>
    </w:p>
    <w:p>
      <w:pPr>
        <w:pStyle w:val="BodyText"/>
      </w:pPr>
    </w:p>
    <w:p>
      <w:pPr>
        <w:pStyle w:val="BodyText"/>
        <w:spacing w:line="465" w:lineRule="auto"/>
        <w:ind w:left="160" w:right="186"/>
        <w:jc w:val="both"/>
        <w:rPr>
          <w:sz w:val="16"/>
        </w:rPr>
      </w:pPr>
      <w:r>
        <w:rPr/>
        <w:t>estado de los selladores y que el aislamiento absoluto es más tardado y requiere de la colocación de anestésico, disminuye de manera importante la presencia de humedad en el órgano dentario a tratar y mejora la visibilidad, por lo que se recomienda su uso. </w:t>
      </w:r>
      <w:r>
        <w:rPr>
          <w:position w:val="11"/>
          <w:sz w:val="16"/>
        </w:rPr>
        <w:t>26</w:t>
      </w:r>
    </w:p>
    <w:p>
      <w:pPr>
        <w:pStyle w:val="BodyText"/>
        <w:rPr>
          <w:sz w:val="28"/>
        </w:rPr>
      </w:pPr>
    </w:p>
    <w:p>
      <w:pPr>
        <w:pStyle w:val="BodyText"/>
        <w:spacing w:line="472" w:lineRule="auto" w:before="216"/>
        <w:ind w:left="160" w:right="176"/>
        <w:jc w:val="both"/>
      </w:pPr>
      <w:r>
        <w:rPr/>
        <w:t>Para la colocación de los selladores se siguieron al pie de la letra las indicaciones del fabricante de cada tipo de sellador, no obstante se observaron desalojos parciales y totales a los tres y seis meses si bien en un bajo número siendo relativamente menor con el UltraSeal XT® (Ultradent), Navarro MI. et al </w:t>
      </w:r>
      <w:r>
        <w:rPr>
          <w:position w:val="11"/>
          <w:sz w:val="16"/>
        </w:rPr>
        <w:t>17 </w:t>
      </w:r>
      <w:r>
        <w:rPr/>
        <w:t>reporta resultados satisfactorios utilizando el mismo sellador. El Ultradent cuenta con secante (primaDry), que deseca el esmalte facilitando la penetración del sellador, aunque el primaDry    eleva</w:t>
      </w:r>
    </w:p>
    <w:p>
      <w:pPr>
        <w:pStyle w:val="BodyText"/>
        <w:spacing w:before="16"/>
        <w:ind w:left="160"/>
        <w:jc w:val="both"/>
      </w:pPr>
      <w:r>
        <w:rPr/>
        <w:t>un poco su costo, es el más económico de las  marcas evaluadas.</w:t>
      </w:r>
    </w:p>
    <w:p>
      <w:pPr>
        <w:spacing w:after="0"/>
        <w:jc w:val="both"/>
        <w:sectPr>
          <w:pgSz w:w="12240" w:h="15840"/>
          <w:pgMar w:header="731" w:footer="1017" w:top="1360" w:bottom="1220" w:left="560" w:right="540"/>
        </w:sectPr>
      </w:pPr>
    </w:p>
    <w:p>
      <w:pPr>
        <w:pStyle w:val="BodyText"/>
        <w:spacing w:before="7"/>
        <w:rPr>
          <w:sz w:val="17"/>
        </w:rPr>
      </w:pPr>
    </w:p>
    <w:p>
      <w:pPr>
        <w:pStyle w:val="BodyText"/>
        <w:spacing w:line="472" w:lineRule="auto" w:before="69"/>
        <w:ind w:left="160" w:right="174"/>
        <w:jc w:val="both"/>
      </w:pPr>
      <w:r>
        <w:rPr/>
        <w:t>Aunque en el estudio no se reportan los tipos de fosas y fisuras, independientemente del tipo de sellador, el desalojo de los selladores pudo deberse factores anatómicos y físicos, que han sido referidos en la literatura</w:t>
      </w:r>
      <w:r>
        <w:rPr>
          <w:position w:val="11"/>
          <w:sz w:val="16"/>
        </w:rPr>
        <w:t>13,23</w:t>
      </w:r>
      <w:r>
        <w:rPr/>
        <w:t>, y que escapan al control del operador durante su colocación, por lo que es recomendable la evaluación de los selladores de cualquier marca a los tres meses de su colocación.</w:t>
      </w:r>
    </w:p>
    <w:p>
      <w:pPr>
        <w:pStyle w:val="BodyText"/>
      </w:pPr>
    </w:p>
    <w:p>
      <w:pPr>
        <w:pStyle w:val="BodyText"/>
        <w:spacing w:before="4"/>
        <w:rPr>
          <w:sz w:val="25"/>
        </w:rPr>
      </w:pPr>
    </w:p>
    <w:p>
      <w:pPr>
        <w:pStyle w:val="BodyText"/>
        <w:spacing w:line="480" w:lineRule="auto"/>
        <w:ind w:left="160" w:right="183"/>
        <w:jc w:val="both"/>
      </w:pPr>
      <w:r>
        <w:rPr/>
        <w:t>Durante el diseño se planeó la colocación de los selladores en el mismo número de molares, debido al tamaño de la muestra, no fue posible la colocación equitativa de los tres selladores. Por otra parte, el bajo número de selladores evaluados no permite realizar inferencias estadísticas.</w:t>
      </w:r>
    </w:p>
    <w:p>
      <w:pPr>
        <w:pStyle w:val="BodyText"/>
      </w:pPr>
    </w:p>
    <w:p>
      <w:pPr>
        <w:pStyle w:val="BodyText"/>
        <w:spacing w:before="7"/>
      </w:pPr>
    </w:p>
    <w:p>
      <w:pPr>
        <w:pStyle w:val="Heading2"/>
        <w:spacing w:before="1"/>
        <w:jc w:val="both"/>
      </w:pPr>
      <w:r>
        <w:rPr/>
        <w:t>LIMITANTES DEL ESTUDIO</w:t>
      </w:r>
    </w:p>
    <w:p>
      <w:pPr>
        <w:pStyle w:val="BodyText"/>
        <w:rPr>
          <w:b/>
        </w:rPr>
      </w:pPr>
    </w:p>
    <w:p>
      <w:pPr>
        <w:pStyle w:val="BodyText"/>
        <w:rPr>
          <w:b/>
        </w:rPr>
      </w:pPr>
    </w:p>
    <w:p>
      <w:pPr>
        <w:pStyle w:val="BodyText"/>
        <w:rPr>
          <w:b/>
        </w:rPr>
      </w:pPr>
    </w:p>
    <w:p>
      <w:pPr>
        <w:pStyle w:val="BodyText"/>
        <w:spacing w:line="480" w:lineRule="auto"/>
        <w:ind w:left="160" w:right="180"/>
        <w:jc w:val="both"/>
      </w:pPr>
      <w:r>
        <w:rPr/>
        <w:t>La muestra es pequeña, debido a que se trató de eliminar variables extrañas como el número de operadores, el número de niños que cumplieron los requisitos de inclusión fue bajo, debido a que el estudio se realizó en un grupo cautivo de una escuela primaria, que cuenta con consultorio dental. Una situación similar fue el número de dientes que cumplieron con los requisitos establecidos en el diseño metodológico, lo que impidió la evaluación en el mismo número de dientes de los selladores estudiados.</w:t>
      </w:r>
    </w:p>
    <w:p>
      <w:pPr>
        <w:pStyle w:val="BodyText"/>
        <w:spacing w:line="451" w:lineRule="auto" w:before="8"/>
        <w:ind w:left="160" w:right="175"/>
        <w:jc w:val="both"/>
        <w:rPr>
          <w:sz w:val="16"/>
        </w:rPr>
      </w:pPr>
      <w:r>
        <w:rPr/>
        <w:t>En el estudio no se contempló el tipo de fisuras y fosetas, y la profundidad de ambas estructuras,  que son variables que podrían influir en la retención de los</w:t>
      </w:r>
      <w:r>
        <w:rPr>
          <w:spacing w:val="-25"/>
        </w:rPr>
        <w:t> </w:t>
      </w:r>
      <w:r>
        <w:rPr/>
        <w:t>selladores.</w:t>
      </w:r>
      <w:r>
        <w:rPr>
          <w:position w:val="11"/>
          <w:sz w:val="16"/>
        </w:rPr>
        <w:t>14</w:t>
      </w:r>
    </w:p>
    <w:p>
      <w:pPr>
        <w:spacing w:after="0" w:line="451" w:lineRule="auto"/>
        <w:jc w:val="both"/>
        <w:rPr>
          <w:sz w:val="16"/>
        </w:rPr>
        <w:sectPr>
          <w:pgSz w:w="12240" w:h="15840"/>
          <w:pgMar w:header="731" w:footer="1017" w:top="1360" w:bottom="1220" w:left="560" w:right="540"/>
        </w:sectPr>
      </w:pPr>
    </w:p>
    <w:p>
      <w:pPr>
        <w:pStyle w:val="BodyText"/>
        <w:rPr>
          <w:sz w:val="20"/>
        </w:rPr>
      </w:pPr>
    </w:p>
    <w:p>
      <w:pPr>
        <w:pStyle w:val="BodyText"/>
        <w:rPr>
          <w:sz w:val="20"/>
        </w:rPr>
      </w:pPr>
    </w:p>
    <w:p>
      <w:pPr>
        <w:pStyle w:val="BodyText"/>
        <w:rPr>
          <w:sz w:val="20"/>
        </w:rPr>
      </w:pPr>
    </w:p>
    <w:p>
      <w:pPr>
        <w:pStyle w:val="Heading1"/>
        <w:ind w:right="327"/>
      </w:pPr>
      <w:r>
        <w:rPr/>
        <w:t>CONCLUSIONES.</w:t>
      </w:r>
    </w:p>
    <w:p>
      <w:pPr>
        <w:pStyle w:val="BodyText"/>
        <w:rPr>
          <w:b/>
          <w:sz w:val="28"/>
        </w:rPr>
      </w:pPr>
    </w:p>
    <w:p>
      <w:pPr>
        <w:pStyle w:val="BodyText"/>
        <w:spacing w:before="3"/>
        <w:rPr>
          <w:b/>
        </w:rPr>
      </w:pPr>
    </w:p>
    <w:p>
      <w:pPr>
        <w:pStyle w:val="BodyText"/>
        <w:spacing w:line="360" w:lineRule="auto"/>
        <w:ind w:left="160" w:right="187"/>
        <w:jc w:val="both"/>
      </w:pPr>
      <w:r>
        <w:rPr/>
        <w:t>Los resultados de este estudio indican la necesidad de evaluar los selladores a los tres meses, independientemente del tipo de sellador utilizado.</w:t>
      </w:r>
    </w:p>
    <w:p>
      <w:pPr>
        <w:pStyle w:val="BodyText"/>
      </w:pPr>
    </w:p>
    <w:p>
      <w:pPr>
        <w:pStyle w:val="BodyText"/>
        <w:spacing w:line="360" w:lineRule="auto" w:before="142"/>
        <w:ind w:left="160" w:right="180"/>
        <w:jc w:val="both"/>
      </w:pPr>
      <w:r>
        <w:rPr/>
        <w:t>En el análisis comparativo de este estudio no se observaron diferencias significativas, no obstante el sellador UltraSeal XT presenta menos desalojos totales, probablemente debido al uso de un desecante.</w:t>
      </w:r>
    </w:p>
    <w:p>
      <w:pPr>
        <w:spacing w:after="0" w:line="360" w:lineRule="auto"/>
        <w:jc w:val="both"/>
        <w:sectPr>
          <w:pgSz w:w="12240" w:h="15840"/>
          <w:pgMar w:header="731" w:footer="1017" w:top="1360" w:bottom="1220" w:left="560" w:right="540"/>
        </w:sectPr>
      </w:pPr>
    </w:p>
    <w:p>
      <w:pPr>
        <w:pStyle w:val="BodyText"/>
        <w:spacing w:before="10"/>
        <w:rPr>
          <w:sz w:val="17"/>
        </w:rPr>
      </w:pPr>
    </w:p>
    <w:p>
      <w:pPr>
        <w:pStyle w:val="Heading1"/>
        <w:ind w:left="273" w:right="338"/>
      </w:pPr>
      <w:r>
        <w:rPr/>
        <w:t>ANEXO I</w:t>
      </w:r>
    </w:p>
    <w:p>
      <w:pPr>
        <w:pStyle w:val="BodyText"/>
        <w:spacing w:before="7"/>
        <w:rPr>
          <w:b/>
        </w:rPr>
      </w:pPr>
    </w:p>
    <w:p>
      <w:pPr>
        <w:pStyle w:val="Heading2"/>
        <w:ind w:left="271" w:right="338"/>
        <w:rPr>
          <w:rFonts w:ascii="Calibri"/>
        </w:rPr>
      </w:pPr>
      <w:r>
        <w:rPr>
          <w:rFonts w:ascii="Calibri"/>
        </w:rPr>
        <w:t>CUADRO 1. CUADRO DE REGISTRO POR  MARCA Y TIEMPO.</w:t>
      </w:r>
    </w:p>
    <w:p>
      <w:pPr>
        <w:pStyle w:val="BodyText"/>
        <w:rPr>
          <w:rFonts w:ascii="Calibri"/>
          <w:b/>
          <w:sz w:val="23"/>
        </w:rPr>
      </w:pPr>
    </w:p>
    <w:tbl>
      <w:tblPr>
        <w:tblW w:w="0" w:type="auto"/>
        <w:jc w:val="left"/>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79"/>
        <w:gridCol w:w="1702"/>
        <w:gridCol w:w="708"/>
        <w:gridCol w:w="1419"/>
        <w:gridCol w:w="994"/>
        <w:gridCol w:w="1274"/>
      </w:tblGrid>
      <w:tr>
        <w:trPr>
          <w:trHeight w:val="499" w:hRule="exact"/>
        </w:trPr>
        <w:tc>
          <w:tcPr>
            <w:tcW w:w="4679" w:type="dxa"/>
          </w:tcPr>
          <w:p>
            <w:pPr>
              <w:pStyle w:val="TableParagraph"/>
              <w:spacing w:before="1"/>
              <w:ind w:left="103"/>
              <w:rPr>
                <w:b/>
                <w:sz w:val="20"/>
              </w:rPr>
            </w:pPr>
            <w:r>
              <w:rPr>
                <w:b/>
                <w:sz w:val="20"/>
              </w:rPr>
              <w:t>NOMBRE DEL NIÑO</w:t>
            </w:r>
          </w:p>
        </w:tc>
        <w:tc>
          <w:tcPr>
            <w:tcW w:w="1702" w:type="dxa"/>
          </w:tcPr>
          <w:p>
            <w:pPr>
              <w:pStyle w:val="TableParagraph"/>
              <w:tabs>
                <w:tab w:pos="1314" w:val="left" w:leader="none"/>
              </w:tabs>
              <w:spacing w:before="1"/>
              <w:ind w:left="103" w:right="153"/>
              <w:rPr>
                <w:b/>
                <w:sz w:val="20"/>
              </w:rPr>
            </w:pPr>
            <w:r>
              <w:rPr>
                <w:b/>
                <w:sz w:val="20"/>
              </w:rPr>
              <w:t>FECHA</w:t>
              <w:tab/>
              <w:t>DE</w:t>
            </w:r>
            <w:r>
              <w:rPr>
                <w:b/>
                <w:w w:val="99"/>
                <w:sz w:val="20"/>
              </w:rPr>
              <w:t> </w:t>
            </w:r>
            <w:r>
              <w:rPr>
                <w:b/>
                <w:sz w:val="20"/>
              </w:rPr>
              <w:t>COLOCACIÓN</w:t>
            </w:r>
          </w:p>
        </w:tc>
        <w:tc>
          <w:tcPr>
            <w:tcW w:w="708" w:type="dxa"/>
          </w:tcPr>
          <w:p>
            <w:pPr>
              <w:pStyle w:val="TableParagraph"/>
              <w:spacing w:before="1"/>
              <w:ind w:left="103"/>
              <w:rPr>
                <w:b/>
                <w:sz w:val="20"/>
              </w:rPr>
            </w:pPr>
            <w:r>
              <w:rPr>
                <w:b/>
                <w:sz w:val="20"/>
              </w:rPr>
              <w:t>O.D</w:t>
            </w:r>
          </w:p>
        </w:tc>
        <w:tc>
          <w:tcPr>
            <w:tcW w:w="1419" w:type="dxa"/>
          </w:tcPr>
          <w:p>
            <w:pPr>
              <w:pStyle w:val="TableParagraph"/>
              <w:spacing w:before="1"/>
              <w:ind w:left="103"/>
              <w:rPr>
                <w:b/>
                <w:sz w:val="20"/>
              </w:rPr>
            </w:pPr>
            <w:r>
              <w:rPr>
                <w:b/>
                <w:sz w:val="20"/>
              </w:rPr>
              <w:t>NÚMERO DE SELLADOR</w:t>
            </w:r>
          </w:p>
        </w:tc>
        <w:tc>
          <w:tcPr>
            <w:tcW w:w="994" w:type="dxa"/>
          </w:tcPr>
          <w:p>
            <w:pPr>
              <w:pStyle w:val="TableParagraph"/>
              <w:spacing w:before="1"/>
              <w:ind w:left="103"/>
              <w:rPr>
                <w:b/>
                <w:sz w:val="20"/>
              </w:rPr>
            </w:pPr>
            <w:r>
              <w:rPr>
                <w:b/>
                <w:sz w:val="20"/>
              </w:rPr>
              <w:t>3 MESES</w:t>
            </w:r>
          </w:p>
        </w:tc>
        <w:tc>
          <w:tcPr>
            <w:tcW w:w="1274" w:type="dxa"/>
          </w:tcPr>
          <w:p>
            <w:pPr>
              <w:pStyle w:val="TableParagraph"/>
              <w:spacing w:before="1"/>
              <w:ind w:left="100"/>
              <w:rPr>
                <w:b/>
                <w:sz w:val="20"/>
              </w:rPr>
            </w:pPr>
            <w:r>
              <w:rPr>
                <w:b/>
                <w:sz w:val="20"/>
              </w:rPr>
              <w:t>6 MESES</w:t>
            </w: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2"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5"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2"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5"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2"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r>
        <w:trPr>
          <w:trHeight w:val="254" w:hRule="exact"/>
        </w:trPr>
        <w:tc>
          <w:tcPr>
            <w:tcW w:w="4679" w:type="dxa"/>
          </w:tcPr>
          <w:p>
            <w:pPr/>
          </w:p>
        </w:tc>
        <w:tc>
          <w:tcPr>
            <w:tcW w:w="1702" w:type="dxa"/>
          </w:tcPr>
          <w:p>
            <w:pPr/>
          </w:p>
        </w:tc>
        <w:tc>
          <w:tcPr>
            <w:tcW w:w="708" w:type="dxa"/>
          </w:tcPr>
          <w:p>
            <w:pPr/>
          </w:p>
        </w:tc>
        <w:tc>
          <w:tcPr>
            <w:tcW w:w="1419" w:type="dxa"/>
          </w:tcPr>
          <w:p>
            <w:pPr/>
          </w:p>
        </w:tc>
        <w:tc>
          <w:tcPr>
            <w:tcW w:w="994" w:type="dxa"/>
          </w:tcPr>
          <w:p>
            <w:pPr/>
          </w:p>
        </w:tc>
        <w:tc>
          <w:tcPr>
            <w:tcW w:w="1274" w:type="dxa"/>
          </w:tcPr>
          <w:p>
            <w:pPr/>
          </w:p>
        </w:tc>
      </w:tr>
    </w:tbl>
    <w:p>
      <w:pPr>
        <w:spacing w:after="0"/>
        <w:sectPr>
          <w:pgSz w:w="12240" w:h="15840"/>
          <w:pgMar w:header="731" w:footer="1017" w:top="1360" w:bottom="1220" w:left="560" w:right="540"/>
        </w:sectPr>
      </w:pPr>
    </w:p>
    <w:p>
      <w:pPr>
        <w:pStyle w:val="BodyText"/>
        <w:rPr>
          <w:rFonts w:ascii="Calibri"/>
          <w:b/>
          <w:sz w:val="17"/>
        </w:rPr>
      </w:pPr>
    </w:p>
    <w:p>
      <w:pPr>
        <w:spacing w:before="65"/>
        <w:ind w:left="313" w:right="328" w:firstLine="0"/>
        <w:jc w:val="center"/>
        <w:rPr>
          <w:b/>
          <w:sz w:val="28"/>
        </w:rPr>
      </w:pPr>
      <w:r>
        <w:rPr>
          <w:b/>
          <w:sz w:val="28"/>
        </w:rPr>
        <w:t>ANEXO II</w:t>
      </w:r>
    </w:p>
    <w:p>
      <w:pPr>
        <w:pStyle w:val="BodyText"/>
        <w:rPr>
          <w:b/>
          <w:sz w:val="28"/>
        </w:rPr>
      </w:pPr>
    </w:p>
    <w:p>
      <w:pPr>
        <w:pStyle w:val="BodyText"/>
        <w:spacing w:before="9"/>
        <w:rPr>
          <w:b/>
          <w:sz w:val="27"/>
        </w:rPr>
      </w:pPr>
    </w:p>
    <w:p>
      <w:pPr>
        <w:pStyle w:val="BodyText"/>
        <w:ind w:left="313" w:right="338"/>
        <w:jc w:val="center"/>
      </w:pPr>
      <w:r>
        <w:rPr/>
        <w:t>Con fundamento en la ley general de salud. Título quinto y capítulo único. Investigación para salud artículo 100. Fracción IV. Artículos 102 y 103. NOM 168 SSA1 1998 del expediente clínico en su numeral 42.</w:t>
      </w:r>
    </w:p>
    <w:p>
      <w:pPr>
        <w:pStyle w:val="BodyText"/>
      </w:pPr>
    </w:p>
    <w:p>
      <w:pPr>
        <w:pStyle w:val="Heading2"/>
        <w:ind w:right="5423"/>
        <w:jc w:val="left"/>
      </w:pPr>
      <w:r>
        <w:rPr/>
        <w:t>CONSENTIMIENTO INFORMADO</w:t>
      </w:r>
    </w:p>
    <w:p>
      <w:pPr>
        <w:pStyle w:val="BodyText"/>
        <w:rPr>
          <w:b/>
        </w:rPr>
      </w:pPr>
    </w:p>
    <w:p>
      <w:pPr>
        <w:pStyle w:val="BodyText"/>
        <w:tabs>
          <w:tab w:pos="580" w:val="left" w:leader="none"/>
          <w:tab w:pos="1347" w:val="left" w:leader="none"/>
          <w:tab w:pos="8240" w:val="left" w:leader="none"/>
          <w:tab w:pos="8672" w:val="left" w:leader="none"/>
          <w:tab w:pos="9316" w:val="left" w:leader="none"/>
          <w:tab w:pos="9935" w:val="left" w:leader="none"/>
        </w:tabs>
        <w:ind w:right="14"/>
        <w:jc w:val="center"/>
      </w:pPr>
      <w:r>
        <w:rPr/>
        <w:t>El</w:t>
        <w:tab/>
        <w:t>que</w:t>
        <w:tab/>
        <w:t>suscribe</w:t>
      </w:r>
      <w:r>
        <w:rPr>
          <w:u w:val="single"/>
        </w:rPr>
        <w:t> </w:t>
        <w:tab/>
      </w:r>
      <w:r>
        <w:rPr/>
        <w:t>,</w:t>
        <w:tab/>
        <w:t>en</w:t>
        <w:tab/>
        <w:t>mi</w:t>
        <w:tab/>
        <w:t>carácter</w:t>
      </w:r>
    </w:p>
    <w:p>
      <w:pPr>
        <w:pStyle w:val="BodyText"/>
        <w:tabs>
          <w:tab w:pos="3022" w:val="left" w:leader="none"/>
          <w:tab w:pos="3480" w:val="left" w:leader="none"/>
          <w:tab w:pos="4691" w:val="left" w:leader="none"/>
          <w:tab w:pos="5342" w:val="left" w:leader="none"/>
          <w:tab w:pos="6622" w:val="left" w:leader="none"/>
          <w:tab w:pos="7673" w:val="left" w:leader="none"/>
          <w:tab w:pos="8980" w:val="left" w:leader="none"/>
          <w:tab w:pos="9898" w:val="left" w:leader="none"/>
          <w:tab w:pos="10603" w:val="left" w:leader="none"/>
        </w:tabs>
        <w:ind w:left="160" w:right="4"/>
      </w:pPr>
      <w:r>
        <w:rPr/>
        <w:t>de</w:t>
      </w:r>
      <w:r>
        <w:rPr>
          <w:u w:val="single"/>
        </w:rPr>
        <w:t> </w:t>
        <w:tab/>
      </w:r>
      <w:r>
        <w:rPr/>
        <w:tab/>
        <w:t>(padre</w:t>
        <w:tab/>
        <w:t>o</w:t>
        <w:tab/>
        <w:t>madre)</w:t>
        <w:tab/>
        <w:t>hago</w:t>
        <w:tab/>
        <w:t>constar</w:t>
        <w:tab/>
        <w:t>que</w:t>
        <w:tab/>
        <w:t>el</w:t>
        <w:tab/>
        <w:t>(la)</w:t>
      </w:r>
    </w:p>
    <w:p>
      <w:pPr>
        <w:pStyle w:val="BodyText"/>
        <w:tabs>
          <w:tab w:pos="7290" w:val="left" w:leader="none"/>
          <w:tab w:pos="7972" w:val="left" w:leader="none"/>
          <w:tab w:pos="8447" w:val="left" w:leader="none"/>
          <w:tab w:pos="9662" w:val="left" w:leader="none"/>
          <w:tab w:pos="10135" w:val="left" w:leader="none"/>
        </w:tabs>
        <w:ind w:left="160" w:right="4"/>
      </w:pPr>
      <w:r>
        <w:rPr/>
        <w:t>doctora</w:t>
      </w:r>
      <w:r>
        <w:rPr>
          <w:u w:val="single"/>
        </w:rPr>
        <w:tab/>
      </w:r>
      <w:r>
        <w:rPr/>
        <w:t>me</w:t>
        <w:tab/>
        <w:t>ha</w:t>
        <w:tab/>
        <w:t>explicado</w:t>
        <w:tab/>
        <w:t>de</w:t>
        <w:tab/>
        <w:t>manera</w:t>
      </w:r>
    </w:p>
    <w:p>
      <w:pPr>
        <w:pStyle w:val="BodyText"/>
        <w:ind w:left="160" w:right="177"/>
        <w:jc w:val="both"/>
      </w:pPr>
      <w:r>
        <w:rPr/>
        <w:t>verbal, clara y sencilla, que recabará datos acerca de mi hijo y le practicará el examen bucal pertinente con el fin de llevar a cabo un proyecto de investigación. En dicho estudio colocaran selladores de fosetas y fisuras en los primeros molares permanentes sanos, y se realizará una evaluación de los selladores colocados en un periodo de 6 meses. Si el sellador se pierde durante los tres primeros meses se recolocara el sellador sin costo</w:t>
      </w:r>
      <w:r>
        <w:rPr>
          <w:spacing w:val="-21"/>
        </w:rPr>
        <w:t> </w:t>
      </w:r>
      <w:r>
        <w:rPr/>
        <w:t>alguno.</w:t>
      </w:r>
    </w:p>
    <w:p>
      <w:pPr>
        <w:pStyle w:val="BodyText"/>
      </w:pPr>
    </w:p>
    <w:p>
      <w:pPr>
        <w:pStyle w:val="BodyText"/>
      </w:pPr>
    </w:p>
    <w:p>
      <w:pPr>
        <w:pStyle w:val="BodyText"/>
      </w:pPr>
    </w:p>
    <w:p>
      <w:pPr>
        <w:pStyle w:val="BodyText"/>
        <w:ind w:left="3184" w:right="4"/>
      </w:pPr>
      <w:r>
        <w:rPr/>
        <w:t>Si acepto que mi hijo forme parte del estudio</w:t>
      </w:r>
    </w:p>
    <w:p>
      <w:pPr>
        <w:pStyle w:val="BodyText"/>
        <w:rPr>
          <w:sz w:val="20"/>
        </w:rPr>
      </w:pPr>
    </w:p>
    <w:p>
      <w:pPr>
        <w:pStyle w:val="BodyText"/>
        <w:spacing w:before="11"/>
        <w:rPr>
          <w:sz w:val="22"/>
        </w:rPr>
      </w:pPr>
      <w:r>
        <w:rPr/>
        <w:pict>
          <v:line style="position:absolute;mso-position-horizontal-relative:page;mso-position-vertical-relative:paragraph;z-index:1576;mso-wrap-distance-left:0;mso-wrap-distance-right:0" from="182.539993pt,15.568014pt" to="429.188005pt,15.568014pt" stroked="true" strokeweight=".756pt" strokecolor="#000000">
            <w10:wrap type="topAndBottom"/>
          </v:line>
        </w:pict>
      </w:r>
    </w:p>
    <w:p>
      <w:pPr>
        <w:pStyle w:val="BodyText"/>
        <w:spacing w:line="250" w:lineRule="exact"/>
        <w:ind w:left="313" w:right="330"/>
        <w:jc w:val="center"/>
      </w:pPr>
      <w:r>
        <w:rPr/>
        <w:t>Firma y Fecha</w:t>
      </w:r>
    </w:p>
    <w:p>
      <w:pPr>
        <w:pStyle w:val="BodyText"/>
      </w:pPr>
    </w:p>
    <w:p>
      <w:pPr>
        <w:pStyle w:val="BodyText"/>
      </w:pPr>
    </w:p>
    <w:p>
      <w:pPr>
        <w:pStyle w:val="BodyText"/>
        <w:ind w:left="313" w:right="332"/>
        <w:jc w:val="center"/>
      </w:pPr>
      <w:r>
        <w:rPr/>
        <w:t>Nombre, firma o huella del paciente.</w:t>
      </w:r>
    </w:p>
    <w:p>
      <w:pPr>
        <w:pStyle w:val="BodyText"/>
        <w:rPr>
          <w:sz w:val="20"/>
        </w:rPr>
      </w:pPr>
    </w:p>
    <w:p>
      <w:pPr>
        <w:pStyle w:val="BodyText"/>
        <w:rPr>
          <w:sz w:val="20"/>
        </w:rPr>
      </w:pPr>
    </w:p>
    <w:p>
      <w:pPr>
        <w:pStyle w:val="BodyText"/>
        <w:spacing w:before="11"/>
        <w:rPr>
          <w:sz w:val="26"/>
        </w:rPr>
      </w:pPr>
      <w:r>
        <w:rPr/>
        <w:pict>
          <v:line style="position:absolute;mso-position-horizontal-relative:page;mso-position-vertical-relative:paragraph;z-index:1600;mso-wrap-distance-left:0;mso-wrap-distance-right:0" from="205.970001pt,17.868979pt" to="405.986011pt,17.868979pt" stroked="true" strokeweight=".756pt" strokecolor="#000000">
            <w10:wrap type="topAndBottom"/>
          </v:line>
        </w:pict>
      </w:r>
    </w:p>
    <w:p>
      <w:pPr>
        <w:spacing w:after="0"/>
        <w:rPr>
          <w:sz w:val="26"/>
        </w:rPr>
        <w:sectPr>
          <w:pgSz w:w="12240" w:h="15840"/>
          <w:pgMar w:header="731" w:footer="1017" w:top="1360" w:bottom="1220" w:left="560" w:right="540"/>
        </w:sectPr>
      </w:pPr>
    </w:p>
    <w:p>
      <w:pPr>
        <w:pStyle w:val="BodyText"/>
        <w:spacing w:before="1"/>
        <w:rPr>
          <w:sz w:val="18"/>
        </w:rPr>
      </w:pPr>
    </w:p>
    <w:p>
      <w:pPr>
        <w:pStyle w:val="Heading1"/>
        <w:ind w:right="331"/>
      </w:pPr>
      <w:r>
        <w:rPr/>
        <w:t>ANEXO III</w:t>
      </w:r>
    </w:p>
    <w:p>
      <w:pPr>
        <w:pStyle w:val="BodyText"/>
        <w:rPr>
          <w:b/>
          <w:sz w:val="28"/>
        </w:rPr>
      </w:pPr>
    </w:p>
    <w:p>
      <w:pPr>
        <w:spacing w:before="203"/>
        <w:ind w:left="313" w:right="338" w:firstLine="0"/>
        <w:jc w:val="center"/>
        <w:rPr>
          <w:rFonts w:ascii="Tahoma" w:hAnsi="Tahoma"/>
          <w:sz w:val="20"/>
        </w:rPr>
      </w:pPr>
      <w:r>
        <w:rPr>
          <w:rFonts w:ascii="Tahoma" w:hAnsi="Tahoma"/>
          <w:color w:val="2A2A2A"/>
          <w:sz w:val="20"/>
        </w:rPr>
        <w:t>Con fundamento en la Ley General de Salud. Título quinto y capítulo único. Investigación para salud Artículo 100.</w:t>
      </w:r>
    </w:p>
    <w:p>
      <w:pPr>
        <w:spacing w:before="1"/>
        <w:ind w:left="313" w:right="334" w:firstLine="0"/>
        <w:jc w:val="center"/>
        <w:rPr>
          <w:rFonts w:ascii="Tahoma" w:hAnsi="Tahoma"/>
          <w:sz w:val="20"/>
        </w:rPr>
      </w:pPr>
      <w:r>
        <w:rPr>
          <w:rFonts w:ascii="Tahoma" w:hAnsi="Tahoma"/>
          <w:color w:val="2A2A2A"/>
          <w:sz w:val="20"/>
        </w:rPr>
        <w:t>Fracción IV. Artículos 102 y 103. NOM 168 SSA1 1998 del expediente clínico en su numeral 42.</w:t>
      </w:r>
    </w:p>
    <w:p>
      <w:pPr>
        <w:pStyle w:val="BodyText"/>
        <w:spacing w:before="11"/>
        <w:rPr>
          <w:rFonts w:ascii="Tahoma"/>
          <w:sz w:val="26"/>
        </w:rPr>
      </w:pPr>
    </w:p>
    <w:p>
      <w:pPr>
        <w:spacing w:before="0"/>
        <w:ind w:left="313" w:right="275" w:firstLine="0"/>
        <w:jc w:val="center"/>
        <w:rPr>
          <w:rFonts w:ascii="Tahoma"/>
          <w:b/>
          <w:sz w:val="20"/>
        </w:rPr>
      </w:pPr>
      <w:r>
        <w:rPr>
          <w:rFonts w:ascii="Tahoma"/>
          <w:b/>
          <w:color w:val="2A2A2A"/>
          <w:sz w:val="20"/>
        </w:rPr>
        <w:t>CONSENTIMIENTO INFORMADO</w:t>
      </w:r>
    </w:p>
    <w:p>
      <w:pPr>
        <w:pStyle w:val="BodyText"/>
        <w:spacing w:before="6"/>
        <w:rPr>
          <w:rFonts w:ascii="Tahoma"/>
          <w:b/>
          <w:sz w:val="26"/>
        </w:rPr>
      </w:pPr>
    </w:p>
    <w:p>
      <w:pPr>
        <w:spacing w:before="0"/>
        <w:ind w:left="160" w:right="176" w:firstLine="0"/>
        <w:jc w:val="both"/>
        <w:rPr>
          <w:rFonts w:ascii="Calibri" w:hAnsi="Calibri"/>
          <w:sz w:val="22"/>
        </w:rPr>
      </w:pPr>
      <w:r>
        <w:rPr>
          <w:rFonts w:ascii="Calibri" w:hAnsi="Calibri"/>
          <w:sz w:val="22"/>
        </w:rPr>
        <w:t>La caries dental es una enfermedad que afecta los tejidos de los dientes. La población con mayor riesgo a esta enfermedad son los niños, las superficies de los dientes que tienen fosas y fisuras son las más afectadas en los dientes posteriores permanentes. El método que ha revelado ser más efectivo en la prevención de caries en molares permanentes es la colocación de selladores de fosetas y fisuras. Ya que los selladores ayudan a disminuir la cantidad de microorganismos productores de la caries en los molares permanentes, y de igual manera facilitan la limpieza en el cepillado de fosetas y fisuras.</w:t>
      </w:r>
    </w:p>
    <w:p>
      <w:pPr>
        <w:pStyle w:val="BodyText"/>
        <w:spacing w:before="6"/>
        <w:rPr>
          <w:rFonts w:ascii="Calibri"/>
          <w:sz w:val="26"/>
        </w:rPr>
      </w:pPr>
    </w:p>
    <w:p>
      <w:pPr>
        <w:spacing w:line="240" w:lineRule="auto" w:before="1"/>
        <w:ind w:left="160" w:right="173" w:firstLine="0"/>
        <w:jc w:val="both"/>
        <w:rPr>
          <w:rFonts w:ascii="Calibri" w:hAnsi="Calibri"/>
          <w:sz w:val="22"/>
        </w:rPr>
      </w:pPr>
      <w:r>
        <w:rPr>
          <w:rFonts w:ascii="Calibri" w:hAnsi="Calibri"/>
          <w:sz w:val="22"/>
        </w:rPr>
        <w:t>El procedimiento que seguirá con mi hijo en la colocación de selladores será el siguiente: Se colocará una cantidad mínima de anestesia local  (lidocaína al 2%  con epinefrina 1:100,000) en el nervio que da sensibilidad a el/los molares  en los que se le  colocara  selladores  de  fosetas  y  fisuras,  posteriormente  se  procederá  a  aislar  absolutamente  el/los molares previamente anestesiados con ayuda de una grapa y un dique de hule, continuando  con  el  procedimiento se realizará profilaxis al/los molares aislados,  posteriormente  se  procederá  a  la  colocación  del  sellador en el/los molares aislados. Al término se retirara la grapa y el dique. Mi hijo(a) no podrá ingerir alimentos  sólidos ni líquidos hasta que desaparezca la sensación de anestesia. El instrumental que utilizarán para realizar el procedimiento en mi hijo(a) estará</w:t>
      </w:r>
      <w:r>
        <w:rPr>
          <w:rFonts w:ascii="Calibri" w:hAnsi="Calibri"/>
          <w:spacing w:val="-12"/>
          <w:sz w:val="22"/>
        </w:rPr>
        <w:t> </w:t>
      </w:r>
      <w:r>
        <w:rPr>
          <w:rFonts w:ascii="Calibri" w:hAnsi="Calibri"/>
          <w:sz w:val="22"/>
        </w:rPr>
        <w:t>esterilizado.</w:t>
      </w:r>
    </w:p>
    <w:p>
      <w:pPr>
        <w:pStyle w:val="BodyText"/>
        <w:spacing w:before="6"/>
        <w:rPr>
          <w:rFonts w:ascii="Calibri"/>
          <w:sz w:val="26"/>
        </w:rPr>
      </w:pPr>
    </w:p>
    <w:p>
      <w:pPr>
        <w:spacing w:before="1"/>
        <w:ind w:left="160" w:right="0" w:firstLine="0"/>
        <w:jc w:val="both"/>
        <w:rPr>
          <w:rFonts w:ascii="Calibri" w:hAnsi="Calibri"/>
          <w:sz w:val="22"/>
        </w:rPr>
      </w:pPr>
      <w:r>
        <w:rPr>
          <w:rFonts w:ascii="Calibri" w:hAnsi="Calibri"/>
          <w:sz w:val="22"/>
        </w:rPr>
        <w:t>Los selladores de fosetas y fisuras son de color blanco y algunas veces es difícil observarlos a simple vista.</w:t>
      </w:r>
    </w:p>
    <w:p>
      <w:pPr>
        <w:pStyle w:val="BodyText"/>
        <w:spacing w:before="7"/>
        <w:rPr>
          <w:rFonts w:ascii="Calibri"/>
          <w:sz w:val="26"/>
        </w:rPr>
      </w:pPr>
    </w:p>
    <w:p>
      <w:pPr>
        <w:tabs>
          <w:tab w:pos="6024" w:val="left" w:leader="none"/>
          <w:tab w:pos="6367" w:val="left" w:leader="none"/>
          <w:tab w:pos="9055" w:val="left" w:leader="none"/>
          <w:tab w:pos="10309" w:val="left" w:leader="none"/>
        </w:tabs>
        <w:spacing w:line="240" w:lineRule="auto" w:before="0"/>
        <w:ind w:left="160" w:right="174" w:firstLine="0"/>
        <w:jc w:val="both"/>
        <w:rPr>
          <w:rFonts w:ascii="Calibri" w:hAnsi="Calibri"/>
          <w:sz w:val="22"/>
        </w:rPr>
      </w:pPr>
      <w:r>
        <w:rPr>
          <w:rFonts w:ascii="Calibri" w:hAnsi="Calibri"/>
          <w:sz w:val="22"/>
        </w:rPr>
        <w:t>El </w:t>
      </w:r>
      <w:r>
        <w:rPr>
          <w:rFonts w:ascii="Calibri" w:hAnsi="Calibri"/>
          <w:spacing w:val="24"/>
          <w:sz w:val="22"/>
        </w:rPr>
        <w:t> </w:t>
      </w:r>
      <w:r>
        <w:rPr>
          <w:rFonts w:ascii="Calibri" w:hAnsi="Calibri"/>
          <w:sz w:val="22"/>
        </w:rPr>
        <w:t>que </w:t>
      </w:r>
      <w:r>
        <w:rPr>
          <w:rFonts w:ascii="Calibri" w:hAnsi="Calibri"/>
          <w:spacing w:val="25"/>
          <w:sz w:val="22"/>
        </w:rPr>
        <w:t> </w:t>
      </w:r>
      <w:r>
        <w:rPr>
          <w:rFonts w:ascii="Calibri" w:hAnsi="Calibri"/>
          <w:sz w:val="22"/>
        </w:rPr>
        <w:t>suscribe</w:t>
      </w:r>
      <w:r>
        <w:rPr>
          <w:rFonts w:ascii="Calibri" w:hAnsi="Calibri"/>
          <w:sz w:val="22"/>
          <w:u w:val="single"/>
        </w:rPr>
        <w:t> </w:t>
        <w:tab/>
      </w:r>
      <w:r>
        <w:rPr>
          <w:rFonts w:ascii="Calibri" w:hAnsi="Calibri"/>
          <w:sz w:val="22"/>
        </w:rPr>
        <w:t>,   en  mi </w:t>
      </w:r>
      <w:r>
        <w:rPr>
          <w:rFonts w:ascii="Calibri" w:hAnsi="Calibri"/>
          <w:spacing w:val="25"/>
          <w:sz w:val="22"/>
        </w:rPr>
        <w:t> </w:t>
      </w:r>
      <w:r>
        <w:rPr>
          <w:rFonts w:ascii="Calibri" w:hAnsi="Calibri"/>
          <w:sz w:val="22"/>
        </w:rPr>
        <w:t>carácter </w:t>
      </w:r>
      <w:r>
        <w:rPr>
          <w:rFonts w:ascii="Calibri" w:hAnsi="Calibri"/>
          <w:spacing w:val="27"/>
          <w:sz w:val="22"/>
        </w:rPr>
        <w:t> </w:t>
      </w:r>
      <w:r>
        <w:rPr>
          <w:rFonts w:ascii="Calibri" w:hAnsi="Calibri"/>
          <w:sz w:val="22"/>
        </w:rPr>
        <w:t>de</w:t>
      </w:r>
      <w:r>
        <w:rPr>
          <w:rFonts w:ascii="Calibri" w:hAnsi="Calibri"/>
          <w:sz w:val="22"/>
          <w:u w:val="single"/>
        </w:rPr>
        <w:t> </w:t>
        <w:tab/>
        <w:tab/>
      </w:r>
      <w:r>
        <w:rPr>
          <w:rFonts w:ascii="Calibri" w:hAnsi="Calibri"/>
          <w:sz w:val="22"/>
        </w:rPr>
        <w:t>(padre, madre      o      tutor),      al      haber      leído      lo      explicado      en      la    </w:t>
      </w:r>
      <w:r>
        <w:rPr>
          <w:rFonts w:ascii="Calibri" w:hAnsi="Calibri"/>
          <w:spacing w:val="30"/>
          <w:sz w:val="22"/>
        </w:rPr>
        <w:t> </w:t>
      </w:r>
      <w:r>
        <w:rPr>
          <w:rFonts w:ascii="Calibri" w:hAnsi="Calibri"/>
          <w:sz w:val="22"/>
        </w:rPr>
        <w:t>parte    </w:t>
      </w:r>
      <w:r>
        <w:rPr>
          <w:rFonts w:ascii="Calibri" w:hAnsi="Calibri"/>
          <w:spacing w:val="48"/>
          <w:sz w:val="22"/>
        </w:rPr>
        <w:t> </w:t>
      </w:r>
      <w:r>
        <w:rPr>
          <w:rFonts w:ascii="Calibri" w:hAnsi="Calibri"/>
          <w:sz w:val="22"/>
        </w:rPr>
        <w:t>superior</w:t>
        <w:tab/>
        <w:t>autorizo    </w:t>
      </w:r>
      <w:r>
        <w:rPr>
          <w:rFonts w:ascii="Calibri" w:hAnsi="Calibri"/>
          <w:spacing w:val="48"/>
          <w:sz w:val="22"/>
        </w:rPr>
        <w:t> </w:t>
      </w:r>
      <w:r>
        <w:rPr>
          <w:rFonts w:ascii="Calibri" w:hAnsi="Calibri"/>
          <w:sz w:val="22"/>
        </w:rPr>
        <w:t>que    </w:t>
      </w:r>
      <w:r>
        <w:rPr>
          <w:rFonts w:ascii="Calibri" w:hAnsi="Calibri"/>
          <w:spacing w:val="47"/>
          <w:sz w:val="22"/>
        </w:rPr>
        <w:t> </w:t>
      </w:r>
      <w:r>
        <w:rPr>
          <w:rFonts w:ascii="Calibri" w:hAnsi="Calibri"/>
          <w:sz w:val="22"/>
        </w:rPr>
        <w:t>mi</w:t>
      </w:r>
      <w:r>
        <w:rPr>
          <w:rFonts w:ascii="Calibri" w:hAnsi="Calibri"/>
          <w:w w:val="100"/>
          <w:sz w:val="22"/>
        </w:rPr>
        <w:t> </w:t>
      </w:r>
      <w:r>
        <w:rPr>
          <w:rFonts w:ascii="Calibri" w:hAnsi="Calibri"/>
          <w:sz w:val="22"/>
        </w:rPr>
        <w:t>hijo(a)</w:t>
      </w:r>
      <w:r>
        <w:rPr>
          <w:rFonts w:ascii="Calibri" w:hAnsi="Calibri"/>
          <w:sz w:val="22"/>
          <w:u w:val="single"/>
        </w:rPr>
        <w:t> </w:t>
        <w:tab/>
        <w:tab/>
      </w:r>
      <w:r>
        <w:rPr>
          <w:rFonts w:ascii="Calibri" w:hAnsi="Calibri"/>
          <w:sz w:val="22"/>
        </w:rPr>
        <w:t>participe en el proyecto de investigación de</w:t>
      </w:r>
      <w:r>
        <w:rPr>
          <w:rFonts w:ascii="Calibri" w:hAnsi="Calibri"/>
          <w:spacing w:val="40"/>
          <w:sz w:val="22"/>
        </w:rPr>
        <w:t> </w:t>
      </w:r>
      <w:r>
        <w:rPr>
          <w:rFonts w:ascii="Calibri" w:hAnsi="Calibri"/>
          <w:sz w:val="22"/>
        </w:rPr>
        <w:t>la</w:t>
      </w:r>
      <w:r>
        <w:rPr>
          <w:rFonts w:ascii="Calibri" w:hAnsi="Calibri"/>
          <w:spacing w:val="7"/>
          <w:sz w:val="22"/>
        </w:rPr>
        <w:t> </w:t>
      </w:r>
      <w:r>
        <w:rPr>
          <w:rFonts w:ascii="Calibri" w:hAnsi="Calibri"/>
          <w:b/>
          <w:sz w:val="22"/>
        </w:rPr>
        <w:t>C.D.</w:t>
      </w:r>
      <w:r>
        <w:rPr>
          <w:rFonts w:ascii="Calibri" w:hAnsi="Calibri"/>
          <w:b/>
          <w:w w:val="100"/>
          <w:sz w:val="22"/>
        </w:rPr>
        <w:t> </w:t>
      </w:r>
      <w:r>
        <w:rPr>
          <w:rFonts w:ascii="Calibri" w:hAnsi="Calibri"/>
          <w:b/>
          <w:sz w:val="22"/>
        </w:rPr>
        <w:t>Amalia Rojas Reynoso estudiante de la Especialidad en Odontopediatría</w:t>
      </w:r>
      <w:r>
        <w:rPr>
          <w:rFonts w:ascii="Calibri" w:hAnsi="Calibri"/>
          <w:sz w:val="22"/>
        </w:rPr>
        <w:t>, en el cual se le colocarán </w:t>
      </w:r>
      <w:r>
        <w:rPr>
          <w:rFonts w:ascii="Calibri" w:hAnsi="Calibri"/>
          <w:b/>
          <w:sz w:val="22"/>
        </w:rPr>
        <w:t>Selladores de Fosetas y Fisuras </w:t>
      </w:r>
      <w:r>
        <w:rPr>
          <w:rFonts w:ascii="Calibri" w:hAnsi="Calibri"/>
          <w:sz w:val="22"/>
        </w:rPr>
        <w:t>y se revisara a mi hijo a los tres meses y seis meses posteriores a la colocación de estos, en caso de pérdida parcial o total del sellador se recolocara sin costo</w:t>
      </w:r>
      <w:r>
        <w:rPr>
          <w:rFonts w:ascii="Calibri" w:hAnsi="Calibri"/>
          <w:spacing w:val="-20"/>
          <w:sz w:val="22"/>
        </w:rPr>
        <w:t> </w:t>
      </w:r>
      <w:r>
        <w:rPr>
          <w:rFonts w:ascii="Calibri" w:hAnsi="Calibri"/>
          <w:sz w:val="22"/>
        </w:rPr>
        <w:t>alguno.</w:t>
      </w:r>
    </w:p>
    <w:p>
      <w:pPr>
        <w:pStyle w:val="BodyText"/>
        <w:spacing w:before="9"/>
        <w:rPr>
          <w:rFonts w:ascii="Calibri"/>
          <w:sz w:val="26"/>
        </w:rPr>
      </w:pPr>
    </w:p>
    <w:p>
      <w:pPr>
        <w:spacing w:before="0"/>
        <w:ind w:left="313" w:right="333" w:firstLine="0"/>
        <w:jc w:val="center"/>
        <w:rPr>
          <w:rFonts w:ascii="Tahoma"/>
          <w:sz w:val="20"/>
        </w:rPr>
      </w:pPr>
      <w:r>
        <w:rPr>
          <w:rFonts w:ascii="Tahoma"/>
          <w:color w:val="2A2A2A"/>
          <w:sz w:val="20"/>
        </w:rPr>
        <w:t>Si autorizo que mi hijo se parte del proyecto</w:t>
      </w:r>
    </w:p>
    <w:p>
      <w:pPr>
        <w:pStyle w:val="BodyText"/>
        <w:rPr>
          <w:rFonts w:ascii="Tahoma"/>
          <w:sz w:val="20"/>
        </w:rPr>
      </w:pPr>
    </w:p>
    <w:p>
      <w:pPr>
        <w:pStyle w:val="BodyText"/>
        <w:spacing w:before="7"/>
        <w:rPr>
          <w:rFonts w:ascii="Tahoma"/>
          <w:sz w:val="21"/>
        </w:rPr>
      </w:pPr>
      <w:r>
        <w:rPr/>
        <w:pict>
          <v:line style="position:absolute;mso-position-horizontal-relative:page;mso-position-vertical-relative:paragraph;z-index:1624;mso-wrap-distance-left:0;mso-wrap-distance-right:0" from="203.929993pt,15.324685pt" to="410.967511pt,15.324685pt" stroked="true" strokeweight=".627480pt" strokecolor="#292929">
            <w10:wrap type="topAndBottom"/>
          </v:line>
        </w:pict>
      </w:r>
    </w:p>
    <w:p>
      <w:pPr>
        <w:pStyle w:val="BodyText"/>
        <w:spacing w:before="11"/>
        <w:rPr>
          <w:rFonts w:ascii="Tahoma"/>
          <w:sz w:val="19"/>
        </w:rPr>
      </w:pPr>
    </w:p>
    <w:p>
      <w:pPr>
        <w:spacing w:before="65"/>
        <w:ind w:left="313" w:right="334" w:firstLine="0"/>
        <w:jc w:val="center"/>
        <w:rPr>
          <w:rFonts w:ascii="Tahoma"/>
          <w:sz w:val="20"/>
        </w:rPr>
      </w:pPr>
      <w:r>
        <w:rPr>
          <w:rFonts w:ascii="Tahoma"/>
          <w:color w:val="2A2A2A"/>
          <w:sz w:val="20"/>
        </w:rPr>
        <w:t>Firma  del padre o tutor.</w:t>
      </w:r>
    </w:p>
    <w:p>
      <w:pPr>
        <w:pStyle w:val="BodyText"/>
        <w:rPr>
          <w:rFonts w:ascii="Tahoma"/>
          <w:sz w:val="20"/>
        </w:rPr>
      </w:pPr>
    </w:p>
    <w:p>
      <w:pPr>
        <w:pStyle w:val="BodyText"/>
        <w:spacing w:before="8"/>
        <w:rPr>
          <w:rFonts w:ascii="Tahoma"/>
          <w:sz w:val="21"/>
        </w:rPr>
      </w:pPr>
      <w:r>
        <w:rPr/>
        <w:pict>
          <v:line style="position:absolute;mso-position-horizontal-relative:page;mso-position-vertical-relative:paragraph;z-index:1648;mso-wrap-distance-left:0;mso-wrap-distance-right:0" from="205.490005pt,15.354669pt" to="412.655079pt,15.354669pt" stroked="true" strokeweight=".627480pt" strokecolor="#292929">
            <w10:wrap type="topAndBottom"/>
          </v:line>
        </w:pict>
      </w:r>
    </w:p>
    <w:p>
      <w:pPr>
        <w:pStyle w:val="BodyText"/>
        <w:spacing w:before="11"/>
        <w:rPr>
          <w:rFonts w:ascii="Tahoma"/>
          <w:sz w:val="19"/>
        </w:rPr>
      </w:pPr>
    </w:p>
    <w:p>
      <w:pPr>
        <w:spacing w:before="65"/>
        <w:ind w:left="313" w:right="334" w:firstLine="0"/>
        <w:jc w:val="center"/>
        <w:rPr>
          <w:rFonts w:ascii="Tahoma" w:hAnsi="Tahoma"/>
          <w:sz w:val="20"/>
        </w:rPr>
      </w:pPr>
      <w:r>
        <w:rPr>
          <w:rFonts w:ascii="Tahoma" w:hAnsi="Tahoma"/>
          <w:color w:val="2A2A2A"/>
          <w:sz w:val="20"/>
        </w:rPr>
        <w:t>Nombre del niño</w:t>
      </w:r>
    </w:p>
    <w:p>
      <w:pPr>
        <w:pStyle w:val="BodyText"/>
        <w:spacing w:before="11"/>
        <w:rPr>
          <w:rFonts w:ascii="Tahoma"/>
          <w:sz w:val="26"/>
        </w:rPr>
      </w:pPr>
    </w:p>
    <w:p>
      <w:pPr>
        <w:spacing w:before="0"/>
        <w:ind w:left="4039" w:right="4" w:firstLine="0"/>
        <w:jc w:val="left"/>
        <w:rPr>
          <w:rFonts w:ascii="Tahoma"/>
          <w:b/>
          <w:sz w:val="20"/>
        </w:rPr>
      </w:pPr>
      <w:r>
        <w:rPr>
          <w:rFonts w:ascii="Tahoma"/>
          <w:b/>
          <w:color w:val="2A2A2A"/>
          <w:sz w:val="20"/>
        </w:rPr>
        <w:t>C.D. AMALIA ROJAS REYNOSO</w:t>
      </w:r>
    </w:p>
    <w:p>
      <w:pPr>
        <w:pStyle w:val="BodyText"/>
        <w:spacing w:before="11"/>
        <w:rPr>
          <w:rFonts w:ascii="Tahoma"/>
          <w:b/>
          <w:sz w:val="26"/>
        </w:rPr>
      </w:pPr>
    </w:p>
    <w:p>
      <w:pPr>
        <w:spacing w:before="0"/>
        <w:ind w:left="313" w:right="337" w:firstLine="0"/>
        <w:jc w:val="center"/>
        <w:rPr>
          <w:rFonts w:ascii="Tahoma"/>
          <w:b/>
          <w:sz w:val="20"/>
        </w:rPr>
      </w:pPr>
      <w:r>
        <w:rPr>
          <w:rFonts w:ascii="Tahoma"/>
          <w:b/>
          <w:color w:val="2A2A2A"/>
          <w:sz w:val="20"/>
        </w:rPr>
        <w:t>ESTUDIANTE DE LA ESPECIALIDAD EN ODONTOPEDIATRIA</w:t>
      </w:r>
    </w:p>
    <w:p>
      <w:pPr>
        <w:spacing w:after="0"/>
        <w:jc w:val="center"/>
        <w:rPr>
          <w:rFonts w:ascii="Tahoma"/>
          <w:sz w:val="20"/>
        </w:rPr>
        <w:sectPr>
          <w:pgSz w:w="12240" w:h="15840"/>
          <w:pgMar w:header="731" w:footer="1017" w:top="1360" w:bottom="1220" w:left="560" w:right="540"/>
        </w:sectPr>
      </w:pPr>
    </w:p>
    <w:p>
      <w:pPr>
        <w:pStyle w:val="BodyText"/>
        <w:spacing w:before="2"/>
        <w:rPr>
          <w:rFonts w:ascii="Tahoma"/>
          <w:b/>
          <w:sz w:val="17"/>
        </w:rPr>
      </w:pPr>
    </w:p>
    <w:p>
      <w:pPr>
        <w:pStyle w:val="Heading1"/>
        <w:ind w:right="329"/>
      </w:pPr>
      <w:r>
        <w:rPr>
          <w:color w:val="2A2A2A"/>
        </w:rPr>
        <w:t>ANEXO IV</w:t>
      </w:r>
    </w:p>
    <w:p>
      <w:pPr>
        <w:pStyle w:val="BodyText"/>
        <w:rPr>
          <w:b/>
          <w:sz w:val="28"/>
        </w:rPr>
      </w:pPr>
    </w:p>
    <w:p>
      <w:pPr>
        <w:pStyle w:val="Heading2"/>
        <w:ind w:left="313" w:right="331"/>
      </w:pPr>
      <w:r>
        <w:rPr>
          <w:color w:val="2A2A2A"/>
        </w:rPr>
        <w:t>UNIVERSIDAD AUTONOMA DE ESTADO DE MÉXICO</w:t>
      </w:r>
    </w:p>
    <w:p>
      <w:pPr>
        <w:pStyle w:val="BodyText"/>
        <w:spacing w:before="2"/>
        <w:rPr>
          <w:b/>
          <w:sz w:val="28"/>
        </w:rPr>
      </w:pPr>
    </w:p>
    <w:p>
      <w:pPr>
        <w:pStyle w:val="BodyText"/>
        <w:ind w:left="160" w:right="187"/>
        <w:jc w:val="both"/>
      </w:pPr>
      <w:r>
        <w:rPr/>
        <w:t>Me dirijo a usted de la manera más atenta, solicitando me responda el siguiente cuestionario en relación a su hijo(a), ya que son datos necesarios para el procedimiento de colocación de selladores de fosetas y fisuras.</w:t>
      </w:r>
    </w:p>
    <w:p>
      <w:pPr>
        <w:pStyle w:val="BodyText"/>
      </w:pPr>
    </w:p>
    <w:p>
      <w:pPr>
        <w:pStyle w:val="BodyText"/>
      </w:pPr>
    </w:p>
    <w:p>
      <w:pPr>
        <w:pStyle w:val="BodyText"/>
        <w:spacing w:before="4"/>
        <w:rPr>
          <w:sz w:val="32"/>
        </w:rPr>
      </w:pPr>
    </w:p>
    <w:p>
      <w:pPr>
        <w:pStyle w:val="BodyText"/>
        <w:tabs>
          <w:tab w:pos="8614" w:val="left" w:leader="none"/>
        </w:tabs>
        <w:ind w:left="160"/>
        <w:jc w:val="both"/>
      </w:pPr>
      <w:r>
        <w:rPr/>
        <w:t>NOMBRE</w:t>
      </w:r>
      <w:r>
        <w:rPr>
          <w:w w:val="100"/>
          <w:u w:val="single"/>
        </w:rPr>
        <w:t> </w:t>
      </w:r>
      <w:r>
        <w:rPr>
          <w:u w:val="single"/>
        </w:rPr>
        <w:tab/>
      </w:r>
    </w:p>
    <w:p>
      <w:pPr>
        <w:pStyle w:val="BodyText"/>
        <w:spacing w:before="2"/>
        <w:rPr>
          <w:sz w:val="22"/>
        </w:rPr>
      </w:pPr>
    </w:p>
    <w:p>
      <w:pPr>
        <w:pStyle w:val="BodyText"/>
        <w:tabs>
          <w:tab w:pos="1889" w:val="left" w:leader="none"/>
          <w:tab w:pos="6757" w:val="left" w:leader="none"/>
          <w:tab w:pos="8038" w:val="left" w:leader="none"/>
          <w:tab w:pos="9377" w:val="left" w:leader="none"/>
        </w:tabs>
        <w:spacing w:before="69"/>
        <w:ind w:left="227" w:right="4"/>
      </w:pPr>
      <w:r>
        <w:rPr/>
        <w:t>EDAD</w:t>
      </w:r>
      <w:r>
        <w:rPr>
          <w:u w:val="single"/>
        </w:rPr>
        <w:t> </w:t>
        <w:tab/>
      </w:r>
      <w:r>
        <w:rPr/>
        <w:tab/>
        <w:t>GRADO</w:t>
      </w:r>
      <w:r>
        <w:rPr>
          <w:u w:val="single"/>
        </w:rPr>
        <w:t> </w:t>
        <w:tab/>
      </w:r>
      <w:r>
        <w:rPr/>
        <w:t>GRUPO</w:t>
      </w:r>
      <w:r>
        <w:rPr>
          <w:w w:val="100"/>
          <w:u w:val="single"/>
        </w:rPr>
        <w:t> </w:t>
      </w:r>
      <w:r>
        <w:rPr>
          <w:u w:val="single"/>
        </w:rPr>
        <w:tab/>
      </w: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tabs>
          <w:tab w:pos="6300" w:val="left" w:leader="none"/>
        </w:tabs>
        <w:ind w:left="160" w:right="4"/>
      </w:pPr>
      <w:r>
        <w:rPr/>
        <w:t>¿Es la primera vez que su hijo(a) acude</w:t>
      </w:r>
      <w:r>
        <w:rPr>
          <w:spacing w:val="-14"/>
        </w:rPr>
        <w:t> </w:t>
      </w:r>
      <w:r>
        <w:rPr/>
        <w:t>al</w:t>
      </w:r>
      <w:r>
        <w:rPr>
          <w:spacing w:val="-1"/>
        </w:rPr>
        <w:t> </w:t>
      </w:r>
      <w:r>
        <w:rPr/>
        <w:t>dentista?</w:t>
        <w:tab/>
        <w:t>SI </w:t>
      </w:r>
      <w:r>
        <w:rPr>
          <w:spacing w:val="63"/>
        </w:rPr>
        <w:t> </w:t>
      </w:r>
      <w:r>
        <w:rPr/>
        <w:t>NO</w:t>
      </w:r>
    </w:p>
    <w:p>
      <w:pPr>
        <w:pStyle w:val="BodyText"/>
      </w:pPr>
    </w:p>
    <w:p>
      <w:pPr>
        <w:pStyle w:val="BodyText"/>
      </w:pPr>
    </w:p>
    <w:p>
      <w:pPr>
        <w:pStyle w:val="BodyText"/>
        <w:spacing w:before="4"/>
        <w:rPr>
          <w:sz w:val="32"/>
        </w:rPr>
      </w:pPr>
    </w:p>
    <w:p>
      <w:pPr>
        <w:pStyle w:val="BodyText"/>
        <w:tabs>
          <w:tab w:pos="6286" w:val="left" w:leader="none"/>
        </w:tabs>
        <w:ind w:left="160" w:right="4"/>
      </w:pPr>
      <w:r>
        <w:rPr/>
        <w:t>¿El dentista le ha colocado anestesia local a</w:t>
      </w:r>
      <w:r>
        <w:rPr>
          <w:spacing w:val="-11"/>
        </w:rPr>
        <w:t> </w:t>
      </w:r>
      <w:r>
        <w:rPr/>
        <w:t>su</w:t>
      </w:r>
      <w:r>
        <w:rPr>
          <w:spacing w:val="-1"/>
        </w:rPr>
        <w:t> </w:t>
      </w:r>
      <w:r>
        <w:rPr/>
        <w:t>hijo(a)?</w:t>
        <w:tab/>
        <w:t>SI </w:t>
      </w:r>
      <w:r>
        <w:rPr>
          <w:spacing w:val="63"/>
        </w:rPr>
        <w:t> </w:t>
      </w:r>
      <w:r>
        <w:rPr/>
        <w:t>NO</w:t>
      </w:r>
    </w:p>
    <w:p>
      <w:pPr>
        <w:pStyle w:val="BodyText"/>
      </w:pPr>
    </w:p>
    <w:p>
      <w:pPr>
        <w:pStyle w:val="BodyText"/>
      </w:pPr>
    </w:p>
    <w:p>
      <w:pPr>
        <w:pStyle w:val="BodyText"/>
        <w:spacing w:before="4"/>
        <w:rPr>
          <w:sz w:val="32"/>
        </w:rPr>
      </w:pPr>
    </w:p>
    <w:p>
      <w:pPr>
        <w:pStyle w:val="BodyText"/>
        <w:tabs>
          <w:tab w:pos="598" w:val="left" w:leader="none"/>
          <w:tab w:pos="1011" w:val="left" w:leader="none"/>
          <w:tab w:pos="2289" w:val="left" w:leader="none"/>
          <w:tab w:pos="3327" w:val="left" w:leader="none"/>
          <w:tab w:pos="3807" w:val="left" w:leader="none"/>
          <w:tab w:pos="5070" w:val="left" w:leader="none"/>
          <w:tab w:pos="5696" w:val="left" w:leader="none"/>
          <w:tab w:pos="6589" w:val="left" w:leader="none"/>
          <w:tab w:pos="7265" w:val="left" w:leader="none"/>
          <w:tab w:pos="8211" w:val="left" w:leader="none"/>
          <w:tab w:pos="8792" w:val="left" w:leader="none"/>
          <w:tab w:pos="9344" w:val="left" w:leader="none"/>
          <w:tab w:pos="9485" w:val="left" w:leader="none"/>
          <w:tab w:pos="10406" w:val="left" w:leader="none"/>
          <w:tab w:pos="10766" w:val="left" w:leader="none"/>
        </w:tabs>
        <w:ind w:left="160" w:right="184"/>
      </w:pPr>
      <w:r>
        <w:rPr/>
        <w:t>Si</w:t>
        <w:tab/>
        <w:t>la</w:t>
        <w:tab/>
        <w:t>respuesta</w:t>
        <w:tab/>
        <w:t>anterior</w:t>
        <w:tab/>
        <w:t>es</w:t>
        <w:tab/>
        <w:t>afirmativa</w:t>
        <w:tab/>
        <w:t>¿su</w:t>
        <w:tab/>
        <w:t>hijo(a)</w:t>
        <w:tab/>
        <w:t>tuvo</w:t>
        <w:tab/>
        <w:t>alguna</w:t>
        <w:tab/>
        <w:t>reacción</w:t>
        <w:tab/>
        <w:t>alérgica</w:t>
        <w:tab/>
        <w:t>a</w:t>
        <w:tab/>
        <w:t>la anestesia?</w:t>
        <w:tab/>
        <w:tab/>
        <w:tab/>
        <w:tab/>
        <w:tab/>
        <w:tab/>
        <w:tab/>
        <w:tab/>
        <w:tab/>
        <w:t>SI</w:t>
        <w:tab/>
        <w:tab/>
        <w:t>NO</w:t>
      </w:r>
    </w:p>
    <w:p>
      <w:pPr>
        <w:pStyle w:val="BodyText"/>
      </w:pPr>
    </w:p>
    <w:p>
      <w:pPr>
        <w:pStyle w:val="BodyText"/>
      </w:pPr>
    </w:p>
    <w:p>
      <w:pPr>
        <w:pStyle w:val="BodyText"/>
        <w:spacing w:before="4"/>
        <w:rPr>
          <w:sz w:val="32"/>
        </w:rPr>
      </w:pPr>
    </w:p>
    <w:p>
      <w:pPr>
        <w:pStyle w:val="BodyText"/>
        <w:tabs>
          <w:tab w:pos="6634" w:val="left" w:leader="none"/>
          <w:tab w:pos="7063" w:val="left" w:leader="none"/>
        </w:tabs>
        <w:ind w:left="160" w:right="4"/>
      </w:pPr>
      <w:r>
        <w:rPr/>
        <w:t>¿Su hijo(a) es alérgico a algún</w:t>
      </w:r>
      <w:r>
        <w:rPr>
          <w:spacing w:val="-9"/>
        </w:rPr>
        <w:t> </w:t>
      </w:r>
      <w:r>
        <w:rPr/>
        <w:t>medicamento,</w:t>
      </w:r>
      <w:r>
        <w:rPr>
          <w:spacing w:val="-3"/>
        </w:rPr>
        <w:t> </w:t>
      </w:r>
      <w:r>
        <w:rPr/>
        <w:t>alimento?</w:t>
        <w:tab/>
        <w:t>SI</w:t>
        <w:tab/>
        <w:t>NO</w:t>
      </w:r>
    </w:p>
    <w:p>
      <w:pPr>
        <w:pStyle w:val="BodyText"/>
      </w:pPr>
    </w:p>
    <w:p>
      <w:pPr>
        <w:pStyle w:val="BodyText"/>
      </w:pPr>
    </w:p>
    <w:p>
      <w:pPr>
        <w:pStyle w:val="BodyText"/>
        <w:spacing w:before="4"/>
        <w:rPr>
          <w:sz w:val="32"/>
        </w:rPr>
      </w:pPr>
    </w:p>
    <w:p>
      <w:pPr>
        <w:pStyle w:val="BodyText"/>
        <w:ind w:left="160" w:right="5423"/>
      </w:pPr>
      <w:r>
        <w:rPr/>
        <w:t>Otras alergias</w:t>
      </w:r>
    </w:p>
    <w:p>
      <w:pPr>
        <w:pStyle w:val="BodyText"/>
        <w:rPr>
          <w:sz w:val="20"/>
        </w:rPr>
      </w:pPr>
    </w:p>
    <w:p>
      <w:pPr>
        <w:pStyle w:val="BodyText"/>
        <w:spacing w:before="2"/>
        <w:rPr>
          <w:sz w:val="27"/>
        </w:rPr>
      </w:pPr>
      <w:r>
        <w:rPr/>
        <w:pict>
          <v:line style="position:absolute;mso-position-horizontal-relative:page;mso-position-vertical-relative:paragraph;z-index:1672;mso-wrap-distance-left:0;mso-wrap-distance-right:0" from="182.539993pt,17.998007pt" to="429.188005pt,17.998007pt" stroked="true" strokeweight=".756pt" strokecolor="#000000">
            <w10:wrap type="topAndBottom"/>
          </v:line>
        </w:pict>
      </w:r>
    </w:p>
    <w:p>
      <w:pPr>
        <w:pStyle w:val="BodyText"/>
        <w:spacing w:before="9"/>
        <w:rPr>
          <w:sz w:val="19"/>
        </w:rPr>
      </w:pPr>
    </w:p>
    <w:p>
      <w:pPr>
        <w:pStyle w:val="BodyText"/>
        <w:spacing w:before="70"/>
        <w:ind w:left="313" w:right="330"/>
        <w:jc w:val="center"/>
      </w:pPr>
      <w:r>
        <w:rPr/>
        <w:t>Nombre y firma de padre o tutor.</w:t>
      </w:r>
    </w:p>
    <w:p>
      <w:pPr>
        <w:spacing w:after="0"/>
        <w:jc w:val="center"/>
        <w:sectPr>
          <w:pgSz w:w="12240" w:h="15840"/>
          <w:pgMar w:header="731" w:footer="1017" w:top="1360" w:bottom="1220" w:left="560" w:right="540"/>
        </w:sectPr>
      </w:pPr>
    </w:p>
    <w:p>
      <w:pPr>
        <w:pStyle w:val="BodyText"/>
        <w:spacing w:before="1"/>
        <w:rPr>
          <w:sz w:val="18"/>
        </w:rPr>
      </w:pPr>
    </w:p>
    <w:p>
      <w:pPr>
        <w:pStyle w:val="Heading1"/>
        <w:ind w:right="331"/>
      </w:pPr>
      <w:r>
        <w:rPr/>
        <w:t>ANEXO V</w:t>
      </w:r>
    </w:p>
    <w:p>
      <w:pPr>
        <w:pStyle w:val="BodyText"/>
        <w:spacing w:before="10"/>
        <w:rPr>
          <w:b/>
          <w:sz w:val="23"/>
        </w:rPr>
      </w:pPr>
    </w:p>
    <w:p>
      <w:pPr>
        <w:pStyle w:val="BodyText"/>
        <w:ind w:left="313" w:right="338"/>
        <w:jc w:val="center"/>
      </w:pPr>
      <w:r>
        <w:rPr/>
        <w:t>Con fundamento en la ley general de salud. Título quinto y capítulo único. Investigación para salud artículo 100. Fracción IV. Artículos 102 y 103. NOM 168 SSA1 1998 del expediente clínico en su numeral 42.</w:t>
      </w:r>
    </w:p>
    <w:p>
      <w:pPr>
        <w:pStyle w:val="BodyText"/>
      </w:pPr>
    </w:p>
    <w:p>
      <w:pPr>
        <w:pStyle w:val="BodyText"/>
      </w:pPr>
    </w:p>
    <w:p>
      <w:pPr>
        <w:pStyle w:val="BodyText"/>
      </w:pPr>
    </w:p>
    <w:p>
      <w:pPr>
        <w:pStyle w:val="Heading2"/>
        <w:jc w:val="both"/>
      </w:pPr>
      <w:r>
        <w:rPr/>
        <w:t>CONSENTIMIENTO INFORMADO</w:t>
      </w:r>
    </w:p>
    <w:p>
      <w:pPr>
        <w:pStyle w:val="BodyText"/>
        <w:rPr>
          <w:b/>
        </w:rPr>
      </w:pPr>
    </w:p>
    <w:p>
      <w:pPr>
        <w:tabs>
          <w:tab w:pos="3022" w:val="left" w:leader="none"/>
          <w:tab w:pos="8400" w:val="left" w:leader="none"/>
        </w:tabs>
        <w:spacing w:line="240" w:lineRule="auto" w:before="0"/>
        <w:ind w:left="160" w:right="176" w:firstLine="0"/>
        <w:jc w:val="both"/>
        <w:rPr>
          <w:sz w:val="24"/>
        </w:rPr>
      </w:pPr>
      <w:r>
        <w:rPr>
          <w:sz w:val="24"/>
        </w:rPr>
        <w:t>El    </w:t>
      </w:r>
      <w:r>
        <w:rPr>
          <w:spacing w:val="30"/>
          <w:sz w:val="24"/>
        </w:rPr>
        <w:t> </w:t>
      </w:r>
      <w:r>
        <w:rPr>
          <w:sz w:val="24"/>
        </w:rPr>
        <w:t>que    </w:t>
      </w:r>
      <w:r>
        <w:rPr>
          <w:spacing w:val="31"/>
          <w:sz w:val="24"/>
        </w:rPr>
        <w:t> </w:t>
      </w:r>
      <w:r>
        <w:rPr>
          <w:sz w:val="24"/>
        </w:rPr>
        <w:t>suscribe</w:t>
      </w:r>
      <w:r>
        <w:rPr>
          <w:sz w:val="24"/>
          <w:u w:val="single"/>
        </w:rPr>
        <w:t> </w:t>
        <w:tab/>
        <w:tab/>
      </w:r>
      <w:r>
        <w:rPr>
          <w:sz w:val="24"/>
        </w:rPr>
        <w:t>,     en    </w:t>
      </w:r>
      <w:r>
        <w:rPr>
          <w:spacing w:val="63"/>
          <w:sz w:val="24"/>
        </w:rPr>
        <w:t> </w:t>
      </w:r>
      <w:r>
        <w:rPr>
          <w:sz w:val="24"/>
        </w:rPr>
        <w:t>mi    </w:t>
      </w:r>
      <w:r>
        <w:rPr>
          <w:spacing w:val="30"/>
          <w:sz w:val="24"/>
        </w:rPr>
        <w:t> </w:t>
      </w:r>
      <w:r>
        <w:rPr>
          <w:sz w:val="24"/>
        </w:rPr>
        <w:t>carácter</w:t>
      </w:r>
      <w:r>
        <w:rPr>
          <w:w w:val="99"/>
          <w:sz w:val="24"/>
        </w:rPr>
        <w:t> </w:t>
      </w:r>
      <w:r>
        <w:rPr>
          <w:sz w:val="24"/>
        </w:rPr>
        <w:t>de</w:t>
      </w:r>
      <w:r>
        <w:rPr>
          <w:sz w:val="24"/>
          <w:u w:val="single"/>
        </w:rPr>
        <w:t> </w:t>
        <w:tab/>
      </w:r>
      <w:r>
        <w:rPr>
          <w:sz w:val="24"/>
        </w:rPr>
        <w:t>(padre, madre o tutor) autorizo que el  </w:t>
      </w:r>
      <w:r>
        <w:rPr>
          <w:b/>
          <w:i/>
          <w:sz w:val="24"/>
        </w:rPr>
        <w:t>C.D. AMALIA </w:t>
      </w:r>
      <w:r>
        <w:rPr>
          <w:b/>
          <w:i/>
          <w:spacing w:val="9"/>
          <w:sz w:val="24"/>
        </w:rPr>
        <w:t> </w:t>
      </w:r>
      <w:r>
        <w:rPr>
          <w:b/>
          <w:i/>
          <w:sz w:val="24"/>
        </w:rPr>
        <w:t>ROJAS</w:t>
      </w:r>
      <w:r>
        <w:rPr>
          <w:b/>
          <w:i/>
          <w:spacing w:val="8"/>
          <w:sz w:val="24"/>
        </w:rPr>
        <w:t> </w:t>
      </w:r>
      <w:r>
        <w:rPr>
          <w:b/>
          <w:i/>
          <w:sz w:val="24"/>
        </w:rPr>
        <w:t>REYNOSO,</w:t>
      </w:r>
      <w:r>
        <w:rPr>
          <w:b/>
          <w:i/>
          <w:sz w:val="24"/>
        </w:rPr>
        <w:t> estudiante de la Especialidad en Odontopediatría de la Universidad Autónoma del Estado de México</w:t>
      </w:r>
      <w:r>
        <w:rPr>
          <w:i/>
          <w:sz w:val="24"/>
        </w:rPr>
        <w:t>, </w:t>
      </w:r>
      <w:r>
        <w:rPr>
          <w:sz w:val="24"/>
        </w:rPr>
        <w:t>le practique un examen bucal a mi hijo (a) utilizando únicamente un espejo bucal esterilizado, con el fin de conocer si sus primeros molares permanentes se encuentran sanos y de ser así, si este es candidato a participar en proyecto de investigación, en el cual se verá beneficiado con la colocación de selladores de fosetas y fisuras sin costo</w:t>
      </w:r>
      <w:r>
        <w:rPr>
          <w:spacing w:val="-22"/>
          <w:sz w:val="24"/>
        </w:rPr>
        <w:t> </w:t>
      </w:r>
      <w:r>
        <w:rPr>
          <w:sz w:val="24"/>
        </w:rPr>
        <w:t>alguno.</w:t>
      </w:r>
    </w:p>
    <w:p>
      <w:pPr>
        <w:pStyle w:val="BodyText"/>
        <w:ind w:left="160" w:right="186"/>
        <w:jc w:val="both"/>
      </w:pPr>
      <w:r>
        <w:rPr/>
        <w:t>De igual manera si al practicar el examen bucal a mi hijo(a), se observa alguna alteración de la cavidad bucal se me notificará.</w:t>
      </w:r>
    </w:p>
    <w:p>
      <w:pPr>
        <w:pStyle w:val="BodyText"/>
      </w:pPr>
    </w:p>
    <w:p>
      <w:pPr>
        <w:pStyle w:val="BodyText"/>
      </w:pPr>
    </w:p>
    <w:p>
      <w:pPr>
        <w:pStyle w:val="BodyText"/>
      </w:pPr>
    </w:p>
    <w:p>
      <w:pPr>
        <w:pStyle w:val="BodyText"/>
        <w:ind w:left="313" w:right="334"/>
        <w:jc w:val="center"/>
      </w:pPr>
      <w:r>
        <w:rPr/>
        <w:t>Si acepto que mi hijo forme parte del estudio</w:t>
      </w:r>
    </w:p>
    <w:p>
      <w:pPr>
        <w:pStyle w:val="BodyText"/>
        <w:rPr>
          <w:sz w:val="20"/>
        </w:rPr>
      </w:pPr>
    </w:p>
    <w:p>
      <w:pPr>
        <w:pStyle w:val="BodyText"/>
        <w:spacing w:before="11"/>
        <w:rPr>
          <w:sz w:val="22"/>
        </w:rPr>
      </w:pPr>
      <w:r>
        <w:rPr/>
        <w:pict>
          <v:line style="position:absolute;mso-position-horizontal-relative:page;mso-position-vertical-relative:paragraph;z-index:1696;mso-wrap-distance-left:0;mso-wrap-distance-right:0" from="182.539993pt,15.568014pt" to="429.188005pt,15.568014pt" stroked="true" strokeweight=".756pt" strokecolor="#000000">
            <w10:wrap type="topAndBottom"/>
          </v:line>
        </w:pict>
      </w:r>
    </w:p>
    <w:p>
      <w:pPr>
        <w:pStyle w:val="BodyText"/>
        <w:spacing w:line="250" w:lineRule="exact"/>
        <w:ind w:left="4792" w:right="4"/>
      </w:pPr>
      <w:r>
        <w:rPr/>
        <w:t>Firma y Fecha</w:t>
      </w:r>
    </w:p>
    <w:p>
      <w:pPr>
        <w:pStyle w:val="BodyText"/>
      </w:pPr>
    </w:p>
    <w:p>
      <w:pPr>
        <w:pStyle w:val="BodyText"/>
      </w:pPr>
    </w:p>
    <w:p>
      <w:pPr>
        <w:pStyle w:val="BodyText"/>
        <w:ind w:left="313" w:right="329"/>
        <w:jc w:val="center"/>
      </w:pPr>
      <w:r>
        <w:rPr/>
        <w:t>Nombre o huella del paciente.</w:t>
      </w:r>
    </w:p>
    <w:p>
      <w:pPr>
        <w:pStyle w:val="BodyText"/>
        <w:rPr>
          <w:sz w:val="20"/>
        </w:rPr>
      </w:pPr>
    </w:p>
    <w:p>
      <w:pPr>
        <w:pStyle w:val="BodyText"/>
        <w:spacing w:before="11"/>
        <w:rPr>
          <w:sz w:val="22"/>
        </w:rPr>
      </w:pPr>
      <w:r>
        <w:rPr/>
        <w:pict>
          <v:line style="position:absolute;mso-position-horizontal-relative:page;mso-position-vertical-relative:paragraph;z-index:1720;mso-wrap-distance-left:0;mso-wrap-distance-right:0" from="209.210007pt,15.568014pt" to="402.626016pt,15.568014pt" stroked="true" strokeweight=".756pt" strokecolor="#000000">
            <w10:wrap type="topAndBottom"/>
          </v:line>
        </w:pict>
      </w:r>
    </w:p>
    <w:p>
      <w:pPr>
        <w:spacing w:after="0"/>
        <w:rPr>
          <w:sz w:val="22"/>
        </w:rPr>
        <w:sectPr>
          <w:pgSz w:w="12240" w:h="15840"/>
          <w:pgMar w:header="731" w:footer="1017" w:top="1360" w:bottom="1220" w:left="560" w:right="540"/>
        </w:sectPr>
      </w:pPr>
    </w:p>
    <w:p>
      <w:pPr>
        <w:pStyle w:val="BodyText"/>
        <w:spacing w:before="1"/>
        <w:rPr>
          <w:sz w:val="18"/>
        </w:rPr>
      </w:pPr>
    </w:p>
    <w:p>
      <w:pPr>
        <w:pStyle w:val="Heading1"/>
        <w:ind w:left="4891"/>
        <w:jc w:val="left"/>
      </w:pPr>
      <w:r>
        <w:rPr/>
        <w:t>ANEXO VI</w:t>
      </w:r>
    </w:p>
    <w:p>
      <w:pPr>
        <w:pStyle w:val="BodyText"/>
        <w:rPr>
          <w:b/>
          <w:sz w:val="28"/>
        </w:rPr>
      </w:pPr>
    </w:p>
    <w:p>
      <w:pPr>
        <w:pStyle w:val="BodyText"/>
        <w:rPr>
          <w:b/>
          <w:sz w:val="28"/>
        </w:rPr>
      </w:pPr>
    </w:p>
    <w:p>
      <w:pPr>
        <w:pStyle w:val="Heading2"/>
        <w:spacing w:before="237"/>
        <w:ind w:left="313" w:right="331"/>
        <w:rPr>
          <w:rFonts w:ascii="Calibri"/>
        </w:rPr>
      </w:pPr>
      <w:r>
        <w:rPr>
          <w:rFonts w:ascii="Calibri"/>
        </w:rPr>
        <w:t>INSTRUCCIONES PARA OPERADOR.</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9"/>
        <w:rPr>
          <w:rFonts w:ascii="Calibri"/>
          <w:b/>
          <w:sz w:val="27"/>
        </w:rPr>
      </w:pPr>
    </w:p>
    <w:tbl>
      <w:tblPr>
        <w:tblW w:w="0" w:type="auto"/>
        <w:jc w:val="left"/>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6078"/>
      </w:tblGrid>
      <w:tr>
        <w:trPr>
          <w:trHeight w:val="230" w:hRule="exact"/>
        </w:trPr>
        <w:tc>
          <w:tcPr>
            <w:tcW w:w="4220" w:type="dxa"/>
          </w:tcPr>
          <w:p>
            <w:pPr>
              <w:pStyle w:val="TableParagraph"/>
              <w:spacing w:line="219" w:lineRule="exact"/>
              <w:ind w:left="103"/>
              <w:rPr>
                <w:b/>
                <w:sz w:val="18"/>
              </w:rPr>
            </w:pPr>
            <w:r>
              <w:rPr>
                <w:b/>
                <w:sz w:val="18"/>
              </w:rPr>
              <w:t>MATERIAL</w:t>
            </w:r>
          </w:p>
        </w:tc>
        <w:tc>
          <w:tcPr>
            <w:tcW w:w="6078" w:type="dxa"/>
          </w:tcPr>
          <w:p>
            <w:pPr>
              <w:pStyle w:val="TableParagraph"/>
              <w:spacing w:line="219" w:lineRule="exact"/>
              <w:ind w:left="103" w:right="2080"/>
              <w:rPr>
                <w:b/>
                <w:sz w:val="18"/>
              </w:rPr>
            </w:pPr>
            <w:r>
              <w:rPr>
                <w:b/>
                <w:sz w:val="18"/>
              </w:rPr>
              <w:t>INSTRUCCIONES DEL FABRICANTE</w:t>
            </w:r>
          </w:p>
        </w:tc>
      </w:tr>
      <w:tr>
        <w:trPr>
          <w:trHeight w:val="1328" w:hRule="exact"/>
        </w:trPr>
        <w:tc>
          <w:tcPr>
            <w:tcW w:w="4220" w:type="dxa"/>
          </w:tcPr>
          <w:p>
            <w:pPr>
              <w:pStyle w:val="TableParagraph"/>
              <w:spacing w:line="219" w:lineRule="exact"/>
              <w:ind w:left="103"/>
              <w:rPr>
                <w:sz w:val="18"/>
              </w:rPr>
            </w:pPr>
            <w:r>
              <w:rPr>
                <w:sz w:val="18"/>
              </w:rPr>
              <w:t>Helioseal®F (Vivadent – Ivoclar):</w:t>
            </w:r>
          </w:p>
        </w:tc>
        <w:tc>
          <w:tcPr>
            <w:tcW w:w="6078" w:type="dxa"/>
          </w:tcPr>
          <w:p>
            <w:pPr>
              <w:pStyle w:val="TableParagraph"/>
              <w:ind w:left="103" w:right="3666"/>
              <w:rPr>
                <w:sz w:val="18"/>
              </w:rPr>
            </w:pPr>
            <w:r>
              <w:rPr>
                <w:sz w:val="18"/>
              </w:rPr>
              <w:t>Limpie la superficie del</w:t>
            </w:r>
            <w:r>
              <w:rPr>
                <w:spacing w:val="-9"/>
                <w:sz w:val="18"/>
              </w:rPr>
              <w:t> </w:t>
            </w:r>
            <w:r>
              <w:rPr>
                <w:sz w:val="18"/>
              </w:rPr>
              <w:t>esmalte Aisle el campo de trabajo Grabe por 15</w:t>
            </w:r>
            <w:r>
              <w:rPr>
                <w:spacing w:val="-5"/>
                <w:sz w:val="18"/>
              </w:rPr>
              <w:t> </w:t>
            </w:r>
            <w:r>
              <w:rPr>
                <w:sz w:val="18"/>
              </w:rPr>
              <w:t>seg</w:t>
            </w:r>
          </w:p>
          <w:p>
            <w:pPr>
              <w:pStyle w:val="TableParagraph"/>
              <w:spacing w:before="1"/>
              <w:ind w:left="103" w:right="2080"/>
              <w:rPr>
                <w:sz w:val="18"/>
              </w:rPr>
            </w:pPr>
            <w:r>
              <w:rPr>
                <w:sz w:val="18"/>
              </w:rPr>
              <w:t>Aclare bien y seque con aire sin aceite o grasa Aplique helioseal F</w:t>
            </w:r>
          </w:p>
          <w:p>
            <w:pPr>
              <w:pStyle w:val="TableParagraph"/>
              <w:spacing w:before="1"/>
              <w:ind w:left="103" w:right="2080"/>
              <w:rPr>
                <w:sz w:val="18"/>
              </w:rPr>
            </w:pPr>
            <w:r>
              <w:rPr>
                <w:sz w:val="18"/>
              </w:rPr>
              <w:t>Espero por 15 seg y fotopolimerize por  20 seg</w:t>
            </w:r>
          </w:p>
        </w:tc>
      </w:tr>
      <w:tr>
        <w:trPr>
          <w:trHeight w:val="1769" w:hRule="exact"/>
        </w:trPr>
        <w:tc>
          <w:tcPr>
            <w:tcW w:w="4220" w:type="dxa"/>
          </w:tcPr>
          <w:p>
            <w:pPr>
              <w:pStyle w:val="TableParagraph"/>
              <w:spacing w:before="1"/>
              <w:ind w:left="103"/>
              <w:rPr>
                <w:sz w:val="18"/>
              </w:rPr>
            </w:pPr>
            <w:r>
              <w:rPr>
                <w:sz w:val="18"/>
              </w:rPr>
              <w:t>Clinpro TM Sealant ( 3M ESPE ):</w:t>
            </w:r>
          </w:p>
        </w:tc>
        <w:tc>
          <w:tcPr>
            <w:tcW w:w="6078" w:type="dxa"/>
          </w:tcPr>
          <w:p>
            <w:pPr>
              <w:pStyle w:val="TableParagraph"/>
              <w:spacing w:before="1"/>
              <w:ind w:left="103" w:right="3588"/>
              <w:rPr>
                <w:sz w:val="18"/>
              </w:rPr>
            </w:pPr>
            <w:r>
              <w:rPr>
                <w:sz w:val="18"/>
              </w:rPr>
              <w:t>Limpie profusamente el esmalte Aísle los dientes y seque.</w:t>
            </w:r>
          </w:p>
          <w:p>
            <w:pPr>
              <w:pStyle w:val="TableParagraph"/>
              <w:spacing w:before="1"/>
              <w:ind w:left="103" w:right="966"/>
              <w:rPr>
                <w:sz w:val="18"/>
              </w:rPr>
            </w:pPr>
            <w:r>
              <w:rPr>
                <w:sz w:val="18"/>
              </w:rPr>
              <w:t>Grabe por un mínimo de 15 segundos, pero no más de 60 segundos. Enjuague profusamente los dientes con spray de aire/agua para remover el grabador.</w:t>
            </w:r>
          </w:p>
          <w:p>
            <w:pPr>
              <w:pStyle w:val="TableParagraph"/>
              <w:ind w:left="103" w:right="2080"/>
              <w:rPr>
                <w:sz w:val="18"/>
              </w:rPr>
            </w:pPr>
            <w:r>
              <w:rPr>
                <w:sz w:val="18"/>
              </w:rPr>
              <w:t>Seque profusamente las superficies grabadas. Aplique el Sellador</w:t>
            </w:r>
          </w:p>
          <w:p>
            <w:pPr>
              <w:pStyle w:val="TableParagraph"/>
              <w:spacing w:line="232" w:lineRule="exact"/>
              <w:ind w:left="103" w:right="966"/>
              <w:rPr>
                <w:sz w:val="12"/>
              </w:rPr>
            </w:pPr>
            <w:r>
              <w:rPr>
                <w:sz w:val="18"/>
              </w:rPr>
              <w:t>Se necesita 20 segundos de exposición por cada superficie.</w:t>
            </w:r>
            <w:r>
              <w:rPr>
                <w:position w:val="-2"/>
                <w:sz w:val="12"/>
              </w:rPr>
              <w:t>(</w:t>
            </w:r>
          </w:p>
        </w:tc>
      </w:tr>
      <w:tr>
        <w:trPr>
          <w:trHeight w:val="1109" w:hRule="exact"/>
        </w:trPr>
        <w:tc>
          <w:tcPr>
            <w:tcW w:w="4220" w:type="dxa"/>
          </w:tcPr>
          <w:p>
            <w:pPr>
              <w:pStyle w:val="TableParagraph"/>
              <w:spacing w:line="219" w:lineRule="exact"/>
              <w:ind w:left="103"/>
              <w:rPr>
                <w:sz w:val="18"/>
              </w:rPr>
            </w:pPr>
            <w:r>
              <w:rPr>
                <w:sz w:val="18"/>
              </w:rPr>
              <w:t>UltraSeal XT® plus  (Ultradent):</w:t>
            </w:r>
          </w:p>
        </w:tc>
        <w:tc>
          <w:tcPr>
            <w:tcW w:w="6078" w:type="dxa"/>
          </w:tcPr>
          <w:p>
            <w:pPr>
              <w:pStyle w:val="TableParagraph"/>
              <w:ind w:left="103" w:right="3228"/>
              <w:rPr>
                <w:sz w:val="18"/>
              </w:rPr>
            </w:pPr>
            <w:r>
              <w:rPr>
                <w:sz w:val="18"/>
              </w:rPr>
              <w:t>Aislar los dientes con dique de goma. Limpie los dientes antes de grabar.</w:t>
            </w:r>
          </w:p>
          <w:p>
            <w:pPr>
              <w:pStyle w:val="TableParagraph"/>
              <w:ind w:left="103" w:right="104"/>
              <w:rPr>
                <w:sz w:val="18"/>
              </w:rPr>
            </w:pPr>
            <w:r>
              <w:rPr>
                <w:sz w:val="18"/>
              </w:rPr>
              <w:t>Grabe el esmalte durante 15-20 seg, enjuague y seque Aplique primaDry y deje 5 seg y seque con aire</w:t>
            </w:r>
          </w:p>
          <w:p>
            <w:pPr>
              <w:pStyle w:val="TableParagraph"/>
              <w:spacing w:line="219" w:lineRule="exact"/>
              <w:ind w:left="103" w:right="2080"/>
              <w:rPr>
                <w:sz w:val="18"/>
              </w:rPr>
            </w:pPr>
            <w:r>
              <w:rPr>
                <w:sz w:val="18"/>
              </w:rPr>
              <w:t>Coloque el sellador y fotocure por 20 seg.</w:t>
            </w:r>
          </w:p>
        </w:tc>
      </w:tr>
    </w:tbl>
    <w:p>
      <w:pPr>
        <w:spacing w:after="0" w:line="219" w:lineRule="exact"/>
        <w:rPr>
          <w:sz w:val="18"/>
        </w:rPr>
        <w:sectPr>
          <w:pgSz w:w="12240" w:h="15840"/>
          <w:pgMar w:header="731" w:footer="1017" w:top="1360" w:bottom="1220" w:left="560" w:right="540"/>
        </w:sectPr>
      </w:pPr>
    </w:p>
    <w:p>
      <w:pPr>
        <w:pStyle w:val="BodyText"/>
        <w:rPr>
          <w:rFonts w:ascii="Calibri"/>
          <w:b/>
          <w:sz w:val="20"/>
        </w:rPr>
      </w:pPr>
    </w:p>
    <w:p>
      <w:pPr>
        <w:pStyle w:val="BodyText"/>
        <w:rPr>
          <w:rFonts w:ascii="Calibri"/>
          <w:b/>
          <w:sz w:val="20"/>
        </w:rPr>
      </w:pPr>
    </w:p>
    <w:p>
      <w:pPr>
        <w:pStyle w:val="BodyText"/>
        <w:spacing w:before="7"/>
        <w:rPr>
          <w:rFonts w:ascii="Calibri"/>
          <w:b/>
          <w:sz w:val="23"/>
        </w:rPr>
      </w:pPr>
    </w:p>
    <w:p>
      <w:pPr>
        <w:spacing w:before="65"/>
        <w:ind w:left="313" w:right="336" w:firstLine="0"/>
        <w:jc w:val="center"/>
        <w:rPr>
          <w:b/>
          <w:sz w:val="28"/>
        </w:rPr>
      </w:pPr>
      <w:r>
        <w:rPr>
          <w:b/>
          <w:sz w:val="28"/>
        </w:rPr>
        <w:t>BIBLIOGRAFÍA.</w:t>
      </w:r>
    </w:p>
    <w:p>
      <w:pPr>
        <w:pStyle w:val="BodyText"/>
        <w:rPr>
          <w:b/>
          <w:sz w:val="28"/>
        </w:rPr>
      </w:pPr>
    </w:p>
    <w:p>
      <w:pPr>
        <w:pStyle w:val="BodyText"/>
        <w:rPr>
          <w:b/>
          <w:sz w:val="32"/>
        </w:rPr>
      </w:pPr>
    </w:p>
    <w:p>
      <w:pPr>
        <w:pStyle w:val="BodyText"/>
        <w:spacing w:line="360" w:lineRule="auto"/>
        <w:ind w:left="160" w:right="187"/>
        <w:jc w:val="both"/>
      </w:pPr>
      <w:r>
        <w:rPr/>
        <w:t>1.- Ramirez OP, Barceló SF, Pacheco ML, Ramirez F. Adhesión y microfiltración de dos selladores de fosetas y fisuras con diferente sistema de polimerización. Rev Odont Mex.2007;11:</w:t>
      </w:r>
      <w:r>
        <w:rPr>
          <w:spacing w:val="-23"/>
        </w:rPr>
        <w:t> </w:t>
      </w:r>
      <w:r>
        <w:rPr/>
        <w:t>70-75</w:t>
      </w:r>
    </w:p>
    <w:p>
      <w:pPr>
        <w:pStyle w:val="BodyText"/>
        <w:spacing w:line="360" w:lineRule="auto" w:before="2"/>
        <w:ind w:left="160" w:right="181"/>
        <w:jc w:val="both"/>
      </w:pPr>
      <w:r>
        <w:rPr/>
        <w:t>2.- Heredia C. Sellantes de fosetas y fisuras. Revisión de las técnicas de aplicación clínica.Rev Estomatol herediana 1998;7-8(1-2):36-39</w:t>
      </w:r>
    </w:p>
    <w:p>
      <w:pPr>
        <w:pStyle w:val="BodyText"/>
        <w:spacing w:before="2"/>
        <w:ind w:left="160"/>
        <w:jc w:val="both"/>
      </w:pPr>
      <w:r>
        <w:rPr/>
        <w:t>3.-  Feigal R. The use of pit and fissure sealants. Pediatr Dent. 2002;24(5):415-22.</w:t>
      </w:r>
    </w:p>
    <w:p>
      <w:pPr>
        <w:pStyle w:val="BodyText"/>
        <w:spacing w:line="360" w:lineRule="auto" w:before="140"/>
        <w:ind w:left="160" w:right="173"/>
        <w:jc w:val="both"/>
      </w:pPr>
      <w:r>
        <w:rPr/>
        <w:t>4.- Lygidakis NA.A comparison of fluroshield with Delton fissure sealant: four year results. </w:t>
      </w:r>
      <w:hyperlink r:id="rId14">
        <w:r>
          <w:rPr/>
          <w:t>Pediatr</w:t>
        </w:r>
      </w:hyperlink>
      <w:r>
        <w:rPr/>
        <w:t> </w:t>
      </w:r>
      <w:hyperlink r:id="rId14">
        <w:r>
          <w:rPr/>
          <w:t>Dent.</w:t>
        </w:r>
      </w:hyperlink>
      <w:r>
        <w:rPr/>
        <w:t> 1999;21(7):429-431</w:t>
      </w:r>
    </w:p>
    <w:p>
      <w:pPr>
        <w:pStyle w:val="BodyText"/>
        <w:spacing w:line="360" w:lineRule="auto" w:before="5"/>
        <w:ind w:left="160" w:right="182"/>
        <w:jc w:val="both"/>
      </w:pPr>
      <w:r>
        <w:rPr/>
        <w:t>5.- Wendt LK, Koch G, Brirkhed D. On the retention and effectiveness of fissure sealant in permanent molars after 15-20 years: a cohort study. Community Dent Oral Epidemiol 2001; 29: 302-7</w:t>
      </w:r>
    </w:p>
    <w:p>
      <w:pPr>
        <w:pStyle w:val="BodyText"/>
        <w:spacing w:line="360" w:lineRule="auto" w:before="5"/>
        <w:ind w:left="160" w:right="174"/>
        <w:jc w:val="both"/>
      </w:pPr>
      <w:r>
        <w:rPr/>
        <w:t>6.-Fuks AB, Eidelman E, Lewinstein I. Shear strength of sealants placed with non-rinse conditioning compared to a conventional acid etch-rinse technique. J Dent Child 2002; 69(3) 239-242</w:t>
      </w:r>
    </w:p>
    <w:p>
      <w:pPr>
        <w:pStyle w:val="BodyText"/>
        <w:spacing w:line="360" w:lineRule="auto" w:before="2"/>
        <w:ind w:left="160" w:right="176"/>
        <w:jc w:val="both"/>
      </w:pPr>
      <w:r>
        <w:rPr/>
        <w:t>7.- Fuente-Hernández J, González M, Ortega-Maldonado M, Sifuentes-Valenzuela MC. Caries y pérdida dental en estudiantes preuniversitarios mexicanos. Salud Publica Mex 2008;50:235-240.</w:t>
      </w:r>
    </w:p>
    <w:p>
      <w:pPr>
        <w:pStyle w:val="BodyText"/>
        <w:spacing w:line="360" w:lineRule="auto" w:before="3"/>
        <w:ind w:left="160" w:right="184"/>
        <w:jc w:val="both"/>
      </w:pPr>
      <w:r>
        <w:rPr/>
        <w:t>8.- Irigoyen-Camacho ME. Caries dental en escolares del Distrito Federal. Salud Publica Mex 1997;39:133-136.</w:t>
      </w:r>
    </w:p>
    <w:p>
      <w:pPr>
        <w:pStyle w:val="BodyText"/>
        <w:spacing w:line="360" w:lineRule="auto" w:before="2"/>
        <w:ind w:left="160" w:right="185"/>
        <w:jc w:val="both"/>
      </w:pPr>
      <w:r>
        <w:rPr/>
        <w:t>9.- Segura JJ. Sensibilidad y especificidad de los métodos diagnósticos convencionales de la caries oclusal según la evidencia científica disponible. RCOE. 2002;7(5)491-501 .</w:t>
      </w:r>
    </w:p>
    <w:p>
      <w:pPr>
        <w:pStyle w:val="BodyText"/>
        <w:spacing w:line="360" w:lineRule="auto" w:before="2"/>
        <w:ind w:left="160" w:right="177"/>
        <w:jc w:val="both"/>
      </w:pPr>
      <w:r>
        <w:rPr/>
        <w:t>10.- Puppin-Rontani RM, Baglioni-Gouvea MA, De Goes MF, Garcia-Godoy F. Compomer as a pit and fissure sealant. Effectiveness and retention after 24 monts. J Dent Child 2006;73:31-36</w:t>
      </w:r>
    </w:p>
    <w:p>
      <w:pPr>
        <w:pStyle w:val="BodyText"/>
        <w:spacing w:line="360" w:lineRule="auto" w:before="2"/>
        <w:ind w:left="160" w:right="175"/>
        <w:jc w:val="both"/>
      </w:pPr>
      <w:r>
        <w:rPr/>
        <w:t>11.- Folke BD, Walton JL, Feigal RJ. Occlusal sealant success over ten years in a private practice: comparing longevity of sealants placed by dentists, hygienists, and assistants. Pediatr Dent. 2004;26(5):426-432.</w:t>
      </w:r>
    </w:p>
    <w:p>
      <w:pPr>
        <w:pStyle w:val="BodyText"/>
        <w:spacing w:line="360" w:lineRule="auto" w:before="5"/>
        <w:ind w:left="160" w:right="188"/>
        <w:jc w:val="both"/>
      </w:pPr>
      <w:r>
        <w:rPr/>
        <w:t>12.- Sol S.E., Espasa S.E, Boj Q. J.R. Influencia de diferentes sistemas de profilaxis en la adhesión de un sellador de fisuras al esmalte. RCOE.  2005, 11:90-95</w:t>
      </w:r>
    </w:p>
    <w:p>
      <w:pPr>
        <w:pStyle w:val="BodyText"/>
        <w:tabs>
          <w:tab w:pos="2126" w:val="left" w:leader="none"/>
          <w:tab w:pos="3234" w:val="left" w:leader="none"/>
          <w:tab w:pos="4280" w:val="left" w:leader="none"/>
          <w:tab w:pos="5671" w:val="left" w:leader="none"/>
          <w:tab w:pos="6716" w:val="left" w:leader="none"/>
          <w:tab w:pos="8721" w:val="left" w:leader="none"/>
          <w:tab w:pos="10619" w:val="left" w:leader="none"/>
        </w:tabs>
        <w:spacing w:line="360" w:lineRule="auto" w:before="5"/>
        <w:ind w:left="160" w:right="178"/>
        <w:jc w:val="both"/>
      </w:pPr>
      <w:r>
        <w:rPr/>
        <w:t>13.- Gil P. MA, Sáenz GM, Hernández D, González E. Los sellantes de fosas y fisuras: una alternativa de tratamiento preventivo o terapéutico</w:t>
      </w:r>
      <w:r>
        <w:rPr>
          <w:b/>
        </w:rPr>
        <w:t>. </w:t>
      </w:r>
      <w:r>
        <w:rPr/>
        <w:t>Acta odontológica venezolana [revista en línea].2002</w:t>
        <w:tab/>
        <w:t>[10</w:t>
        <w:tab/>
        <w:t>de</w:t>
        <w:tab/>
        <w:t>enero</w:t>
        <w:tab/>
        <w:t>de</w:t>
        <w:tab/>
        <w:t>2011]40(2).</w:t>
        <w:tab/>
        <w:t>Disponible</w:t>
        <w:tab/>
        <w:t>en:</w:t>
      </w:r>
    </w:p>
    <w:p>
      <w:pPr>
        <w:spacing w:after="0" w:line="360" w:lineRule="auto"/>
        <w:jc w:val="both"/>
        <w:sectPr>
          <w:pgSz w:w="12240" w:h="15840"/>
          <w:pgMar w:header="731" w:footer="1017" w:top="1360" w:bottom="1220" w:left="560" w:right="540"/>
        </w:sectPr>
      </w:pPr>
    </w:p>
    <w:p>
      <w:pPr>
        <w:pStyle w:val="BodyText"/>
        <w:spacing w:before="9"/>
        <w:rPr>
          <w:sz w:val="17"/>
        </w:rPr>
      </w:pPr>
    </w:p>
    <w:p>
      <w:pPr>
        <w:pStyle w:val="BodyText"/>
        <w:spacing w:line="360" w:lineRule="auto" w:before="70"/>
        <w:ind w:left="160" w:right="4"/>
      </w:pPr>
      <w:r>
        <w:rPr/>
        <w:t>&lt;</w:t>
      </w:r>
      <w:hyperlink r:id="rId15">
        <w:r>
          <w:rPr/>
          <w:t>http://www.scielo.org.ve/scielo.php?script=sci_arttext&amp;pid=S0001</w:t>
        </w:r>
      </w:hyperlink>
      <w:r>
        <w:rPr/>
        <w:t> 63652002000200017&amp;lng=es&amp;nrm=iso&gt;.</w:t>
      </w:r>
    </w:p>
    <w:p>
      <w:pPr>
        <w:pStyle w:val="BodyText"/>
        <w:spacing w:before="5"/>
        <w:ind w:left="160"/>
        <w:jc w:val="both"/>
      </w:pPr>
      <w:r>
        <w:rPr/>
        <w:t>14.- Barberia LE. Odontopediatría. 2° ed. España: Masson; 1995. pp</w:t>
      </w:r>
    </w:p>
    <w:p>
      <w:pPr>
        <w:pStyle w:val="BodyText"/>
        <w:spacing w:line="360" w:lineRule="auto" w:before="137"/>
        <w:ind w:left="160" w:right="185"/>
        <w:jc w:val="both"/>
      </w:pPr>
      <w:r>
        <w:rPr/>
        <w:t>15.- Katz, Mc Donald/ Stookey. Odontología preventiva en acción.3° ed.México:Panamericana;1983. pp</w:t>
      </w:r>
    </w:p>
    <w:p>
      <w:pPr>
        <w:pStyle w:val="BodyText"/>
        <w:tabs>
          <w:tab w:pos="10627" w:val="left" w:leader="none"/>
        </w:tabs>
        <w:spacing w:line="360" w:lineRule="auto" w:before="2"/>
        <w:ind w:left="160" w:right="175"/>
        <w:jc w:val="both"/>
      </w:pPr>
      <w:r>
        <w:rPr/>
        <w:t>16.- González DE.2002 Selladores de fisuras con y sin ameloplastia. A propósito de  un  caso. Revista Odontológica de Especialidades [revista en línea]2002 [10 de enero de 2011]40(2). Disponible</w:t>
        <w:tab/>
        <w:t>en:</w:t>
      </w:r>
    </w:p>
    <w:p>
      <w:pPr>
        <w:pStyle w:val="BodyText"/>
        <w:spacing w:before="5"/>
        <w:ind w:left="160"/>
        <w:jc w:val="both"/>
      </w:pPr>
      <w:hyperlink r:id="rId16">
        <w:r>
          <w:rPr/>
          <w:t>http://www.infomed.es/rode/index.php?option=com_content&amp;task=view&amp;id179&amp;Itemid=1</w:t>
        </w:r>
      </w:hyperlink>
      <w:r>
        <w:rPr/>
        <w:t>.</w:t>
      </w:r>
    </w:p>
    <w:p>
      <w:pPr>
        <w:pStyle w:val="BodyText"/>
        <w:spacing w:line="360" w:lineRule="auto" w:before="137"/>
        <w:ind w:left="160" w:right="181" w:firstLine="67"/>
        <w:jc w:val="both"/>
      </w:pPr>
      <w:r>
        <w:rPr/>
        <w:t>17.- Navarro MI, Peso OL, Herrera BMA, González SA. Evaluación de la aplicación de selladores en el marco asistencial de un programa público de salud bucodental. Av en Odontoestomatol. 2004 20(1):33-40</w:t>
      </w:r>
    </w:p>
    <w:p>
      <w:pPr>
        <w:pStyle w:val="BodyText"/>
        <w:spacing w:line="360" w:lineRule="auto" w:before="5"/>
        <w:ind w:left="160" w:right="182"/>
        <w:jc w:val="both"/>
      </w:pPr>
      <w:r>
        <w:rPr/>
        <w:t>18.- Simancas PY, Camejo DA, Rosales LJ, Vallejo BE. Comparación de la capacidad de  penetración de un sellador convencional de fosetas y fisuras con un sellador a base de resina fluida. Acta odontológica Venezolana [revista en línea].2006[10 enero de 2011]44(2).Disponible en: </w:t>
      </w:r>
      <w:hyperlink r:id="rId17">
        <w:r>
          <w:rPr/>
          <w:t>http://www.actaodontologica.com/ediciones/2006/2/sellador_convencional.asp</w:t>
        </w:r>
      </w:hyperlink>
      <w:r>
        <w:rPr/>
        <w:t>.</w:t>
      </w:r>
    </w:p>
    <w:p>
      <w:pPr>
        <w:pStyle w:val="BodyText"/>
        <w:tabs>
          <w:tab w:pos="4884" w:val="left" w:leader="none"/>
          <w:tab w:pos="6601" w:val="left" w:leader="none"/>
          <w:tab w:pos="7878" w:val="left" w:leader="none"/>
          <w:tab w:pos="9835" w:val="left" w:leader="none"/>
        </w:tabs>
        <w:spacing w:line="281" w:lineRule="exact"/>
        <w:ind w:left="160"/>
        <w:jc w:val="both"/>
      </w:pPr>
      <w:r>
        <w:rPr/>
        <w:t>19.-3MESPEClinpro</w:t>
      </w:r>
      <w:r>
        <w:rPr>
          <w:position w:val="11"/>
          <w:sz w:val="16"/>
        </w:rPr>
        <w:t>TM</w:t>
      </w:r>
      <w:r>
        <w:rPr/>
        <w:t>sealant.Perfil</w:t>
        <w:tab/>
        <w:t>técnico</w:t>
        <w:tab/>
        <w:t>del</w:t>
        <w:tab/>
        <w:t>producto.</w:t>
        <w:tab/>
        <w:t>Disponible</w:t>
      </w:r>
    </w:p>
    <w:p>
      <w:pPr>
        <w:pStyle w:val="BodyText"/>
        <w:spacing w:line="360" w:lineRule="auto" w:before="137"/>
        <w:ind w:left="160" w:right="341"/>
      </w:pPr>
      <w:r>
        <w:rPr/>
        <w:t>en</w:t>
      </w:r>
      <w:hyperlink r:id="rId18">
        <w:r>
          <w:rPr/>
          <w:t>:htt</w:t>
        </w:r>
      </w:hyperlink>
      <w:r>
        <w:rPr/>
        <w:t>p</w:t>
      </w:r>
      <w:hyperlink r:id="rId18">
        <w:r>
          <w:rPr/>
          <w:t>://multimedia.mmm.com/mws/mediawebserver.dyn?7777771amfi7oYv7HYv777otYFuuuu:[</w:t>
        </w:r>
      </w:hyperlink>
      <w:r>
        <w:rPr/>
        <w:t>10 enero 2011].</w:t>
      </w:r>
    </w:p>
    <w:p>
      <w:pPr>
        <w:pStyle w:val="BodyText"/>
        <w:ind w:left="160" w:right="175"/>
        <w:jc w:val="both"/>
      </w:pPr>
      <w:r>
        <w:rPr/>
        <w:t>20.- Declaración de Helsinki de la Asociación Médica Mundial. Principios éticos para las investigaciones médicas en seres humanos. </w:t>
      </w:r>
      <w:hyperlink r:id="rId19">
        <w:r>
          <w:rPr/>
          <w:t>http://www.wma.net/s/policy/17-c_s.html [27</w:t>
        </w:r>
      </w:hyperlink>
      <w:r>
        <w:rPr/>
        <w:t> febrero de 2013]</w:t>
      </w:r>
    </w:p>
    <w:p>
      <w:pPr>
        <w:pStyle w:val="BodyText"/>
      </w:pPr>
    </w:p>
    <w:p>
      <w:pPr>
        <w:pStyle w:val="BodyText"/>
        <w:ind w:left="160" w:right="186"/>
        <w:jc w:val="both"/>
      </w:pPr>
      <w:r>
        <w:rPr/>
        <w:t>21.- Reglamento de la Ley General de Salud en Materia de Investigación para la salud. 2005; </w:t>
      </w:r>
      <w:hyperlink r:id="rId20">
        <w:r>
          <w:rPr/>
          <w:t>http://www.salud.gob.mx/unidades/cdi/nom/compi/rlgsmpsam.html</w:t>
        </w:r>
      </w:hyperlink>
      <w:r>
        <w:rPr/>
        <w:t>. [27 febrero de 2013]</w:t>
      </w:r>
    </w:p>
    <w:p>
      <w:pPr>
        <w:pStyle w:val="BodyText"/>
      </w:pPr>
    </w:p>
    <w:p>
      <w:pPr>
        <w:pStyle w:val="BodyText"/>
        <w:spacing w:line="360" w:lineRule="auto" w:before="139"/>
        <w:ind w:left="160" w:right="174"/>
        <w:jc w:val="both"/>
      </w:pPr>
      <w:r>
        <w:rPr/>
        <w:t>20.- Ultradent. Disponible en: </w:t>
      </w:r>
      <w:hyperlink r:id="rId21">
        <w:r>
          <w:rPr/>
          <w:t>http://www.ultradent.com/products/instructions/ultraseal_xt_pls.pdf</w:t>
        </w:r>
      </w:hyperlink>
      <w:r>
        <w:rPr/>
        <w:t>. [10 de enero de 2011].</w:t>
      </w:r>
    </w:p>
    <w:p>
      <w:pPr>
        <w:pStyle w:val="BodyText"/>
        <w:spacing w:before="1"/>
        <w:ind w:left="160" w:right="183"/>
        <w:jc w:val="both"/>
      </w:pPr>
      <w:r>
        <w:rPr/>
        <w:t>22.- Taboada O A, Medina GJL. Cronología de erupción dentaria en escolares de una población indígena del Estado de México. Rev ADM.2005 42(3):94-100</w:t>
      </w:r>
    </w:p>
    <w:p>
      <w:pPr>
        <w:pStyle w:val="BodyText"/>
        <w:spacing w:before="2"/>
      </w:pPr>
    </w:p>
    <w:p>
      <w:pPr>
        <w:pStyle w:val="BodyText"/>
        <w:spacing w:line="360" w:lineRule="auto"/>
        <w:ind w:left="160" w:right="184"/>
        <w:jc w:val="both"/>
      </w:pPr>
      <w:r>
        <w:rPr/>
        <w:t>23.- Poulsen S, Beiruti N. A comparison of retention and the effect on caries of fissure sealing with a glass-ionomer and resin-based sealant. Community Dent Oral Epidemiol.2001 29(4): 298-301</w:t>
      </w:r>
    </w:p>
    <w:p>
      <w:pPr>
        <w:spacing w:after="0" w:line="360" w:lineRule="auto"/>
        <w:jc w:val="both"/>
        <w:sectPr>
          <w:pgSz w:w="12240" w:h="15840"/>
          <w:pgMar w:header="731" w:footer="1017" w:top="1360" w:bottom="1220" w:left="560" w:right="540"/>
        </w:sectPr>
      </w:pPr>
    </w:p>
    <w:p>
      <w:pPr>
        <w:pStyle w:val="BodyText"/>
        <w:spacing w:before="9"/>
        <w:rPr>
          <w:sz w:val="17"/>
        </w:rPr>
      </w:pPr>
    </w:p>
    <w:p>
      <w:pPr>
        <w:pStyle w:val="BodyText"/>
        <w:spacing w:line="360" w:lineRule="auto" w:before="70"/>
        <w:ind w:left="160" w:right="174"/>
        <w:jc w:val="both"/>
      </w:pPr>
      <w:r>
        <w:rPr/>
        <w:t>24.- Ramírez OP, Barceló SF, Pacheco FML, Ramírez FF. Adhesión y microfiltración de dos selladores de fosetas y fisuras con diferente sistema de polimerización. Rev Odont Mex. 2007 11(2): 70-75</w:t>
      </w:r>
    </w:p>
    <w:p>
      <w:pPr>
        <w:pStyle w:val="BodyText"/>
        <w:spacing w:line="360" w:lineRule="auto" w:before="2"/>
        <w:ind w:left="160" w:right="175"/>
        <w:jc w:val="both"/>
      </w:pPr>
      <w:r>
        <w:rPr/>
        <w:t>25.- Lavonius E, Pietila I, Pitkaniemi J. Comparing the caries-preventive effect of two fissure sealing modalities in public health care: a single application of glass ionomer and a rotune resin-based sealant programme. Pediatr Dent.2008</w:t>
      </w:r>
      <w:r>
        <w:rPr>
          <w:spacing w:val="-12"/>
        </w:rPr>
        <w:t> </w:t>
      </w:r>
      <w:r>
        <w:rPr/>
        <w:t>18(1):56-61</w:t>
      </w:r>
    </w:p>
    <w:p>
      <w:pPr>
        <w:pStyle w:val="BodyText"/>
        <w:spacing w:before="2"/>
        <w:ind w:left="160" w:right="4"/>
      </w:pPr>
      <w:r>
        <w:rPr/>
        <w:t>26.- Sandeclemente c, Guinot F, Martínez GV, Bellet LJ. Dique de goma en Odontopediatría: comodidad del paciente. Dentum 2005 5(4): 136</w:t>
      </w:r>
    </w:p>
    <w:p>
      <w:pPr>
        <w:pStyle w:val="BodyText"/>
        <w:spacing w:line="480" w:lineRule="auto"/>
        <w:ind w:left="160" w:right="176"/>
        <w:jc w:val="both"/>
      </w:pPr>
      <w:r>
        <w:rPr/>
        <w:t>27.- Hervás GA, Martínez LMA, Cabanes VJ, Barjau EA, Fos GP. Composite resins. A review of the materials and clinical indications. Med Oral Patol Oral Cir Bucal 2006;11:E215-20.</w:t>
      </w:r>
    </w:p>
    <w:p>
      <w:pPr>
        <w:spacing w:after="0" w:line="480" w:lineRule="auto"/>
        <w:jc w:val="both"/>
        <w:sectPr>
          <w:pgSz w:w="12240" w:h="15840"/>
          <w:pgMar w:header="731" w:footer="1017" w:top="1360" w:bottom="1220" w:left="560" w:right="540"/>
        </w:sectPr>
      </w:pPr>
    </w:p>
    <w:p>
      <w:pPr>
        <w:pStyle w:val="BodyText"/>
        <w:spacing w:before="4"/>
        <w:rPr>
          <w:rFonts w:ascii="Times New Roman"/>
          <w:sz w:val="17"/>
        </w:rPr>
      </w:pPr>
    </w:p>
    <w:p>
      <w:pPr>
        <w:spacing w:after="0"/>
        <w:rPr>
          <w:rFonts w:ascii="Times New Roman"/>
          <w:sz w:val="17"/>
        </w:rPr>
        <w:sectPr>
          <w:pgSz w:w="12240" w:h="15840"/>
          <w:pgMar w:header="731" w:footer="1017" w:top="1360" w:bottom="1220" w:left="560" w:right="540"/>
        </w:sectPr>
      </w:pPr>
    </w:p>
    <w:p>
      <w:pPr>
        <w:pStyle w:val="BodyText"/>
        <w:spacing w:before="9"/>
        <w:rPr>
          <w:rFonts w:ascii="Times New Roman"/>
          <w:sz w:val="2"/>
        </w:rPr>
      </w:pPr>
      <w:r>
        <w:rPr/>
        <w:pict>
          <v:shape style="position:absolute;margin-left:34.560001pt;margin-top:82.316002pt;width:543pt;height:659.95pt;mso-position-horizontal-relative:page;mso-position-vertical-relative:page;z-index:-70672"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2"/>
                    <w:rPr>
                      <w:rFonts w:ascii="Times New Roman"/>
                      <w:sz w:val="20"/>
                    </w:rPr>
                  </w:pPr>
                </w:p>
                <w:p>
                  <w:pPr>
                    <w:pStyle w:val="BodyText"/>
                    <w:spacing w:line="271" w:lineRule="exact"/>
                    <w:ind w:right="26"/>
                    <w:jc w:val="right"/>
                    <w:rPr>
                      <w:rFonts w:ascii="Times New Roman"/>
                    </w:rPr>
                  </w:pPr>
                  <w:r>
                    <w:rPr>
                      <w:rFonts w:ascii="Times New Roman"/>
                    </w:rPr>
                    <w:t>51</w:t>
                  </w:r>
                </w:p>
              </w:txbxContent>
            </v:textbox>
            <w10:wrap type="none"/>
          </v:shape>
        </w:pict>
      </w:r>
    </w:p>
    <w:p>
      <w:pPr>
        <w:pStyle w:val="BodyText"/>
        <w:spacing w:line="89" w:lineRule="exact"/>
        <w:ind w:left="101"/>
        <w:rPr>
          <w:rFonts w:ascii="Times New Roman"/>
          <w:sz w:val="8"/>
        </w:rPr>
      </w:pPr>
      <w:r>
        <w:rPr>
          <w:rFonts w:ascii="Times New Roman"/>
          <w:position w:val="-1"/>
          <w:sz w:val="8"/>
        </w:rPr>
        <w:pict>
          <v:group style="width:546pt;height:4.5pt;mso-position-horizontal-relative:char;mso-position-vertical-relative:line" coordorigin="0,0" coordsize="10920,90">
            <v:line style="position:absolute" from="30,59" to="10890,59" stroked="true" strokeweight="3pt" strokecolor="#612322"/>
            <v:line style="position:absolute" from="30,8" to="10890,8" stroked="true" strokeweight=".72pt" strokecolor="#612322"/>
          </v:group>
        </w:pict>
      </w:r>
      <w:r>
        <w:rPr>
          <w:rFonts w:ascii="Times New Roman"/>
          <w:position w:val="-1"/>
          <w:sz w:val="8"/>
        </w:rPr>
      </w:r>
    </w:p>
    <w:p>
      <w:pPr>
        <w:pStyle w:val="BodyText"/>
        <w:spacing w:before="7"/>
        <w:rPr>
          <w:rFonts w:ascii="Times New Roman"/>
          <w:sz w:val="20"/>
        </w:rPr>
      </w:pPr>
      <w:r>
        <w:rPr/>
        <w:pict>
          <v:group style="position:absolute;margin-left:34.560001pt;margin-top:13.802182pt;width:543pt;height:654.5pt;mso-position-horizontal-relative:page;mso-position-vertical-relative:paragraph;z-index:1768;mso-wrap-distance-left:0;mso-wrap-distance-right:0" coordorigin="691,276" coordsize="10860,13090">
            <v:rect style="position:absolute;left:691;top:276;width:10860;height:13089" filled="true" fillcolor="#ffffff" stroked="false">
              <v:fill type="solid"/>
            </v:rect>
            <v:shape style="position:absolute;left:1374;top:276;width:9493;height:13087" type="#_x0000_t75" stroked="false">
              <v:imagedata r:id="rId24" o:title=""/>
            </v:shape>
            <w10:wrap type="topAndBottom"/>
          </v:group>
        </w:pict>
      </w:r>
    </w:p>
    <w:sectPr>
      <w:headerReference w:type="default" r:id="rId22"/>
      <w:footerReference w:type="default" r:id="rId23"/>
      <w:pgSz w:w="12240" w:h="15840"/>
      <w:pgMar w:header="731" w:footer="0" w:top="1240" w:bottom="280" w:left="560" w:right="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libri">
    <w:altName w:val="Calibri"/>
    <w:charset w:val="0"/>
    <w:family w:val="swiss"/>
    <w:pitch w:val="variable"/>
  </w:font>
  <w:font w:name="Tahoma">
    <w:altName w:val="Tahom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62.099976pt;margin-top:729.239929pt;width:16pt;height:14pt;mso-position-horizontal-relative:page;mso-position-vertical-relative:page;z-index:-7144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1416" from="34.560001pt,64.440002pt" to="577.540001pt,64.440002pt" stroked="true" strokeweight=".72pt" strokecolor="#612322">
          <w10:wrap type="none"/>
        </v:line>
      </w:pict>
    </w:r>
    <w:r>
      <w:rPr/>
      <w:pict>
        <v:line style="position:absolute;mso-position-horizontal-relative:page;mso-position-vertical-relative:page;z-index:-71392" from="34.560001pt,67.019997pt" to="577.540001pt,67.019997pt" stroked="true" strokeweight="3pt" strokecolor="#612322">
          <w10:wrap type="none"/>
        </v:line>
      </w:pict>
    </w:r>
    <w:r>
      <w:rPr/>
      <w:pict>
        <v:shape style="position:absolute;margin-left:37.040001pt;margin-top:35.543915pt;width:537.75pt;height:27.95pt;mso-position-horizontal-relative:page;mso-position-vertical-relative:page;z-index:-71368" type="#_x0000_t202" filled="false" stroked="false">
          <v:textbox inset="0,0,0,0">
            <w:txbxContent>
              <w:p>
                <w:pPr>
                  <w:pStyle w:val="BodyText"/>
                  <w:spacing w:line="242" w:lineRule="auto"/>
                  <w:ind w:left="3400" w:right="-4" w:hanging="3381"/>
                  <w:rPr>
                    <w:rFonts w:ascii="Times New Roman" w:hAnsi="Times New Roman"/>
                  </w:rPr>
                </w:pPr>
                <w:r>
                  <w:rPr>
                    <w:rFonts w:ascii="Times New Roman" w:hAnsi="Times New Roman"/>
                  </w:rPr>
                  <w:t>ESTUDIO CLÍNICO COMPARATIVO DE LA RETENCION DE TRES SELLADORES EN UN GRUPO DE NIÑOS DE LA CIUDAD DE TOLUCA.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40001pt;margin-top:35.543915pt;width:537.75pt;height:27.95pt;mso-position-horizontal-relative:page;mso-position-vertical-relative:page;z-index:-71344" type="#_x0000_t202" filled="false" stroked="false">
          <v:textbox inset="0,0,0,0">
            <w:txbxContent>
              <w:p>
                <w:pPr>
                  <w:pStyle w:val="BodyText"/>
                  <w:spacing w:line="242" w:lineRule="auto"/>
                  <w:ind w:left="3400" w:right="-4" w:hanging="3381"/>
                  <w:rPr>
                    <w:rFonts w:ascii="Times New Roman" w:hAnsi="Times New Roman"/>
                  </w:rPr>
                </w:pPr>
                <w:r>
                  <w:rPr>
                    <w:rFonts w:ascii="Times New Roman" w:hAnsi="Times New Roman"/>
                  </w:rPr>
                  <w:t>ESTUDIO CLÍNICO COMPARATIVO DE LA RETENCION DE TRES SELLADORES EN UN GRUPO DE NIÑOS DE LA CIUDAD DE TOLUCA.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upperLetter"/>
      <w:lvlText w:val="%1)"/>
      <w:lvlJc w:val="left"/>
      <w:pPr>
        <w:ind w:left="520" w:hanging="415"/>
        <w:jc w:val="left"/>
      </w:pPr>
      <w:rPr>
        <w:rFonts w:hint="default" w:ascii="Arial" w:hAnsi="Arial" w:eastAsia="Arial" w:cs="Arial"/>
        <w:b/>
        <w:bCs/>
        <w:spacing w:val="-3"/>
        <w:w w:val="99"/>
        <w:sz w:val="24"/>
        <w:szCs w:val="24"/>
      </w:rPr>
    </w:lvl>
    <w:lvl w:ilvl="1">
      <w:start w:val="1"/>
      <w:numFmt w:val="bullet"/>
      <w:lvlText w:val="•"/>
      <w:lvlJc w:val="left"/>
      <w:pPr>
        <w:ind w:left="1582" w:hanging="415"/>
      </w:pPr>
      <w:rPr>
        <w:rFonts w:hint="default"/>
      </w:rPr>
    </w:lvl>
    <w:lvl w:ilvl="2">
      <w:start w:val="1"/>
      <w:numFmt w:val="bullet"/>
      <w:lvlText w:val="•"/>
      <w:lvlJc w:val="left"/>
      <w:pPr>
        <w:ind w:left="2644" w:hanging="415"/>
      </w:pPr>
      <w:rPr>
        <w:rFonts w:hint="default"/>
      </w:rPr>
    </w:lvl>
    <w:lvl w:ilvl="3">
      <w:start w:val="1"/>
      <w:numFmt w:val="bullet"/>
      <w:lvlText w:val="•"/>
      <w:lvlJc w:val="left"/>
      <w:pPr>
        <w:ind w:left="3706" w:hanging="415"/>
      </w:pPr>
      <w:rPr>
        <w:rFonts w:hint="default"/>
      </w:rPr>
    </w:lvl>
    <w:lvl w:ilvl="4">
      <w:start w:val="1"/>
      <w:numFmt w:val="bullet"/>
      <w:lvlText w:val="•"/>
      <w:lvlJc w:val="left"/>
      <w:pPr>
        <w:ind w:left="4768" w:hanging="415"/>
      </w:pPr>
      <w:rPr>
        <w:rFonts w:hint="default"/>
      </w:rPr>
    </w:lvl>
    <w:lvl w:ilvl="5">
      <w:start w:val="1"/>
      <w:numFmt w:val="bullet"/>
      <w:lvlText w:val="•"/>
      <w:lvlJc w:val="left"/>
      <w:pPr>
        <w:ind w:left="5830" w:hanging="415"/>
      </w:pPr>
      <w:rPr>
        <w:rFonts w:hint="default"/>
      </w:rPr>
    </w:lvl>
    <w:lvl w:ilvl="6">
      <w:start w:val="1"/>
      <w:numFmt w:val="bullet"/>
      <w:lvlText w:val="•"/>
      <w:lvlJc w:val="left"/>
      <w:pPr>
        <w:ind w:left="6892" w:hanging="415"/>
      </w:pPr>
      <w:rPr>
        <w:rFonts w:hint="default"/>
      </w:rPr>
    </w:lvl>
    <w:lvl w:ilvl="7">
      <w:start w:val="1"/>
      <w:numFmt w:val="bullet"/>
      <w:lvlText w:val="•"/>
      <w:lvlJc w:val="left"/>
      <w:pPr>
        <w:ind w:left="7954" w:hanging="415"/>
      </w:pPr>
      <w:rPr>
        <w:rFonts w:hint="default"/>
      </w:rPr>
    </w:lvl>
    <w:lvl w:ilvl="8">
      <w:start w:val="1"/>
      <w:numFmt w:val="bullet"/>
      <w:lvlText w:val="•"/>
      <w:lvlJc w:val="left"/>
      <w:pPr>
        <w:ind w:left="9016" w:hanging="415"/>
      </w:pPr>
      <w:rPr>
        <w:rFonts w:hint="default"/>
      </w:rPr>
    </w:lvl>
  </w:abstractNum>
  <w:abstractNum w:abstractNumId="1">
    <w:multiLevelType w:val="hybridMultilevel"/>
    <w:lvl w:ilvl="0">
      <w:start w:val="1"/>
      <w:numFmt w:val="decimal"/>
      <w:lvlText w:val="%1."/>
      <w:lvlJc w:val="left"/>
      <w:pPr>
        <w:ind w:left="880" w:hanging="361"/>
        <w:jc w:val="left"/>
      </w:pPr>
      <w:rPr>
        <w:rFonts w:hint="default" w:ascii="Arial" w:hAnsi="Arial" w:eastAsia="Arial" w:cs="Arial"/>
        <w:b/>
        <w:bCs/>
        <w:w w:val="99"/>
        <w:sz w:val="24"/>
        <w:szCs w:val="24"/>
      </w:rPr>
    </w:lvl>
    <w:lvl w:ilvl="1">
      <w:start w:val="1"/>
      <w:numFmt w:val="bullet"/>
      <w:lvlText w:val="•"/>
      <w:lvlJc w:val="left"/>
      <w:pPr>
        <w:ind w:left="1906" w:hanging="361"/>
      </w:pPr>
      <w:rPr>
        <w:rFonts w:hint="default"/>
      </w:rPr>
    </w:lvl>
    <w:lvl w:ilvl="2">
      <w:start w:val="1"/>
      <w:numFmt w:val="bullet"/>
      <w:lvlText w:val="•"/>
      <w:lvlJc w:val="left"/>
      <w:pPr>
        <w:ind w:left="2932" w:hanging="361"/>
      </w:pPr>
      <w:rPr>
        <w:rFonts w:hint="default"/>
      </w:rPr>
    </w:lvl>
    <w:lvl w:ilvl="3">
      <w:start w:val="1"/>
      <w:numFmt w:val="bullet"/>
      <w:lvlText w:val="•"/>
      <w:lvlJc w:val="left"/>
      <w:pPr>
        <w:ind w:left="3958" w:hanging="361"/>
      </w:pPr>
      <w:rPr>
        <w:rFonts w:hint="default"/>
      </w:rPr>
    </w:lvl>
    <w:lvl w:ilvl="4">
      <w:start w:val="1"/>
      <w:numFmt w:val="bullet"/>
      <w:lvlText w:val="•"/>
      <w:lvlJc w:val="left"/>
      <w:pPr>
        <w:ind w:left="4984" w:hanging="361"/>
      </w:pPr>
      <w:rPr>
        <w:rFonts w:hint="default"/>
      </w:rPr>
    </w:lvl>
    <w:lvl w:ilvl="5">
      <w:start w:val="1"/>
      <w:numFmt w:val="bullet"/>
      <w:lvlText w:val="•"/>
      <w:lvlJc w:val="left"/>
      <w:pPr>
        <w:ind w:left="6010" w:hanging="361"/>
      </w:pPr>
      <w:rPr>
        <w:rFonts w:hint="default"/>
      </w:rPr>
    </w:lvl>
    <w:lvl w:ilvl="6">
      <w:start w:val="1"/>
      <w:numFmt w:val="bullet"/>
      <w:lvlText w:val="•"/>
      <w:lvlJc w:val="left"/>
      <w:pPr>
        <w:ind w:left="7036" w:hanging="361"/>
      </w:pPr>
      <w:rPr>
        <w:rFonts w:hint="default"/>
      </w:rPr>
    </w:lvl>
    <w:lvl w:ilvl="7">
      <w:start w:val="1"/>
      <w:numFmt w:val="bullet"/>
      <w:lvlText w:val="•"/>
      <w:lvlJc w:val="left"/>
      <w:pPr>
        <w:ind w:left="8062" w:hanging="361"/>
      </w:pPr>
      <w:rPr>
        <w:rFonts w:hint="default"/>
      </w:rPr>
    </w:lvl>
    <w:lvl w:ilvl="8">
      <w:start w:val="1"/>
      <w:numFmt w:val="bullet"/>
      <w:lvlText w:val="•"/>
      <w:lvlJc w:val="left"/>
      <w:pPr>
        <w:ind w:left="9088" w:hanging="361"/>
      </w:pPr>
      <w:rPr>
        <w:rFonts w:hint="default"/>
      </w:rPr>
    </w:lvl>
  </w:abstractNum>
  <w:abstractNum w:abstractNumId="0">
    <w:multiLevelType w:val="hybridMultilevel"/>
    <w:lvl w:ilvl="0">
      <w:start w:val="1"/>
      <w:numFmt w:val="bullet"/>
      <w:lvlText w:val="•"/>
      <w:lvlJc w:val="left"/>
      <w:pPr>
        <w:ind w:left="160" w:hanging="353"/>
      </w:pPr>
      <w:rPr>
        <w:rFonts w:hint="default" w:ascii="Arial" w:hAnsi="Arial" w:eastAsia="Arial" w:cs="Arial"/>
        <w:w w:val="99"/>
        <w:sz w:val="24"/>
        <w:szCs w:val="24"/>
      </w:rPr>
    </w:lvl>
    <w:lvl w:ilvl="1">
      <w:start w:val="1"/>
      <w:numFmt w:val="bullet"/>
      <w:lvlText w:val="•"/>
      <w:lvlJc w:val="left"/>
      <w:pPr>
        <w:ind w:left="1258" w:hanging="353"/>
      </w:pPr>
      <w:rPr>
        <w:rFonts w:hint="default"/>
      </w:rPr>
    </w:lvl>
    <w:lvl w:ilvl="2">
      <w:start w:val="1"/>
      <w:numFmt w:val="bullet"/>
      <w:lvlText w:val="•"/>
      <w:lvlJc w:val="left"/>
      <w:pPr>
        <w:ind w:left="2356" w:hanging="353"/>
      </w:pPr>
      <w:rPr>
        <w:rFonts w:hint="default"/>
      </w:rPr>
    </w:lvl>
    <w:lvl w:ilvl="3">
      <w:start w:val="1"/>
      <w:numFmt w:val="bullet"/>
      <w:lvlText w:val="•"/>
      <w:lvlJc w:val="left"/>
      <w:pPr>
        <w:ind w:left="3454" w:hanging="353"/>
      </w:pPr>
      <w:rPr>
        <w:rFonts w:hint="default"/>
      </w:rPr>
    </w:lvl>
    <w:lvl w:ilvl="4">
      <w:start w:val="1"/>
      <w:numFmt w:val="bullet"/>
      <w:lvlText w:val="•"/>
      <w:lvlJc w:val="left"/>
      <w:pPr>
        <w:ind w:left="4552" w:hanging="353"/>
      </w:pPr>
      <w:rPr>
        <w:rFonts w:hint="default"/>
      </w:rPr>
    </w:lvl>
    <w:lvl w:ilvl="5">
      <w:start w:val="1"/>
      <w:numFmt w:val="bullet"/>
      <w:lvlText w:val="•"/>
      <w:lvlJc w:val="left"/>
      <w:pPr>
        <w:ind w:left="5650" w:hanging="353"/>
      </w:pPr>
      <w:rPr>
        <w:rFonts w:hint="default"/>
      </w:rPr>
    </w:lvl>
    <w:lvl w:ilvl="6">
      <w:start w:val="1"/>
      <w:numFmt w:val="bullet"/>
      <w:lvlText w:val="•"/>
      <w:lvlJc w:val="left"/>
      <w:pPr>
        <w:ind w:left="6748" w:hanging="353"/>
      </w:pPr>
      <w:rPr>
        <w:rFonts w:hint="default"/>
      </w:rPr>
    </w:lvl>
    <w:lvl w:ilvl="7">
      <w:start w:val="1"/>
      <w:numFmt w:val="bullet"/>
      <w:lvlText w:val="•"/>
      <w:lvlJc w:val="left"/>
      <w:pPr>
        <w:ind w:left="7846" w:hanging="353"/>
      </w:pPr>
      <w:rPr>
        <w:rFonts w:hint="default"/>
      </w:rPr>
    </w:lvl>
    <w:lvl w:ilvl="8">
      <w:start w:val="1"/>
      <w:numFmt w:val="bullet"/>
      <w:lvlText w:val="•"/>
      <w:lvlJc w:val="left"/>
      <w:pPr>
        <w:ind w:left="8944" w:hanging="353"/>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5"/>
      <w:ind w:left="313" w:right="4"/>
      <w:jc w:val="center"/>
      <w:outlineLvl w:val="1"/>
    </w:pPr>
    <w:rPr>
      <w:rFonts w:ascii="Arial" w:hAnsi="Arial" w:eastAsia="Arial" w:cs="Arial"/>
      <w:b/>
      <w:bCs/>
      <w:sz w:val="28"/>
      <w:szCs w:val="28"/>
    </w:rPr>
  </w:style>
  <w:style w:styleId="Heading2" w:type="paragraph">
    <w:name w:val="Heading 2"/>
    <w:basedOn w:val="Normal"/>
    <w:uiPriority w:val="1"/>
    <w:qFormat/>
    <w:pPr>
      <w:ind w:left="160"/>
      <w:jc w:val="center"/>
      <w:outlineLvl w:val="2"/>
    </w:pPr>
    <w:rPr>
      <w:rFonts w:ascii="Arial" w:hAnsi="Arial" w:eastAsia="Arial" w:cs="Arial"/>
      <w:b/>
      <w:bCs/>
      <w:sz w:val="24"/>
      <w:szCs w:val="24"/>
    </w:rPr>
  </w:style>
  <w:style w:styleId="ListParagraph" w:type="paragraph">
    <w:name w:val="List Paragraph"/>
    <w:basedOn w:val="Normal"/>
    <w:uiPriority w:val="1"/>
    <w:qFormat/>
    <w:pPr>
      <w:ind w:left="512" w:hanging="352"/>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header" Target="header1.xml"/><Relationship Id="rId9" Type="http://schemas.openxmlformats.org/officeDocument/2006/relationships/hyperlink" Target="http://es.wikipedia.org/wiki/Femenino" TargetMode="External"/><Relationship Id="rId10" Type="http://schemas.openxmlformats.org/officeDocument/2006/relationships/hyperlink" Target="http://es.wikipedia.org/wiki/Masculino" TargetMode="External"/><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hyperlink" Target="http://www.ncbi.nlm.nih.gov/pubmed/10633516" TargetMode="External"/><Relationship Id="rId15" Type="http://schemas.openxmlformats.org/officeDocument/2006/relationships/hyperlink" Target="http://www.scielo.org.ve/scielo.php?script=sci_arttext&amp;amp;pid=S0001" TargetMode="External"/><Relationship Id="rId16" Type="http://schemas.openxmlformats.org/officeDocument/2006/relationships/hyperlink" Target="http://www.infomed.es/rode/index.php?option=com_content&amp;amp;task=view&amp;amp;id179&amp;amp;Itemid=1" TargetMode="External"/><Relationship Id="rId17" Type="http://schemas.openxmlformats.org/officeDocument/2006/relationships/hyperlink" Target="http://www.actaodontologica.com/ediciones/2006/2/sellador_convencional.asp" TargetMode="External"/><Relationship Id="rId18" Type="http://schemas.openxmlformats.org/officeDocument/2006/relationships/hyperlink" Target="http://multimedia.mmm.com/mws/mediawebserver.dyn?7777771amfi7oYv7HYv777otYFuuuu" TargetMode="External"/><Relationship Id="rId19" Type="http://schemas.openxmlformats.org/officeDocument/2006/relationships/hyperlink" Target="http://www.wma.net/s/policy/17-c_s.html%20%5b27" TargetMode="External"/><Relationship Id="rId20" Type="http://schemas.openxmlformats.org/officeDocument/2006/relationships/hyperlink" Target="http://www.salud.gob.mx/unidades/cdi/nom/compi/rlgsmpsam.html" TargetMode="External"/><Relationship Id="rId21" Type="http://schemas.openxmlformats.org/officeDocument/2006/relationships/hyperlink" Target="http://www.ultradent.com/products/instructions/ultraseal_xt_pls.pdf" TargetMode="External"/><Relationship Id="rId22" Type="http://schemas.openxmlformats.org/officeDocument/2006/relationships/header" Target="header2.xml"/><Relationship Id="rId23" Type="http://schemas.openxmlformats.org/officeDocument/2006/relationships/footer" Target="footer2.xml"/><Relationship Id="rId24" Type="http://schemas.openxmlformats.org/officeDocument/2006/relationships/image" Target="media/image6.jpeg"/><Relationship Id="rId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2017-05-24T17:26:18Z</dcterms:created>
  <dcterms:modified xsi:type="dcterms:W3CDTF">2017-05-24T17:26:18Z</dcterms:modified>
</cp:coreProperties>
</file>