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r>
        <w:rPr/>
        <w:pict>
          <v:group style="position:absolute;margin-left:56.950001pt;margin-top:54.900002pt;width:497.1pt;height:686.1pt;mso-position-horizontal-relative:page;mso-position-vertical-relative:page;z-index:-63424" coordorigin="1139,1098" coordsize="9942,13722">
            <v:shape style="position:absolute;left:5192;top:3565;width:644;height:720" type="#_x0000_t75" stroked="false">
              <v:imagedata r:id="rId5" o:title=""/>
            </v:shape>
            <v:shape style="position:absolute;left:5836;top:3595;width:1212;height:682" type="#_x0000_t75" stroked="false">
              <v:imagedata r:id="rId6" o:title=""/>
            </v:shape>
            <v:shape style="position:absolute;left:1139;top:1098;width:2507;height:2122" type="#_x0000_t75" stroked="false">
              <v:imagedata r:id="rId7" o:title=""/>
            </v:shape>
            <v:rect style="position:absolute;left:3675;top:1515;width:7406;height:13305" filled="true" fillcolor="#ffffff" stroked="false">
              <v:fill type="solid"/>
            </v:rect>
            <v:shape style="position:absolute;left:2304;top:3559;width:221;height:8448" type="#_x0000_t75" stroked="false">
              <v:imagedata r:id="rId8" o:title=""/>
            </v:shape>
            <v:line style="position:absolute" from="2415,3599" to="2415,11897" stroked="true" strokeweight="3.55pt" strokecolor="#4f6128"/>
            <v:rect style="position:absolute;left:2379;top:3599;width:71;height:8298" filled="false" stroked="true" strokeweight=".75pt" strokecolor="#97b853"/>
            <v:shape style="position:absolute;left:1403;top:12471;width:1895;height:2349" type="#_x0000_t75" stroked="false">
              <v:imagedata r:id="rId9" o:title=""/>
            </v:shape>
            <w10:wrap type="none"/>
          </v:group>
        </w:pict>
      </w:r>
    </w:p>
    <w:p>
      <w:pPr>
        <w:pStyle w:val="BodyText"/>
        <w:spacing w:before="2"/>
        <w:rPr>
          <w:rFonts w:ascii="Times New Roman"/>
          <w:sz w:val="18"/>
        </w:rPr>
      </w:pPr>
    </w:p>
    <w:p>
      <w:pPr>
        <w:pStyle w:val="BodyText"/>
        <w:spacing w:line="441" w:lineRule="auto" w:before="52"/>
        <w:ind w:left="3800" w:right="1268"/>
        <w:jc w:val="center"/>
        <w:rPr>
          <w:rFonts w:ascii="Calibri" w:hAnsi="Calibri"/>
        </w:rPr>
      </w:pPr>
      <w:r>
        <w:rPr>
          <w:rFonts w:ascii="Calibri" w:hAnsi="Calibri"/>
        </w:rPr>
        <w:t>UNIVERSIDAD AUTÓNOMA DEL ESTADO DE MÉXICO FACULTAD DE ODONTOLOGÍA</w:t>
      </w:r>
    </w:p>
    <w:p>
      <w:pPr>
        <w:pStyle w:val="BodyText"/>
        <w:rPr>
          <w:rFonts w:ascii="Calibri"/>
        </w:rPr>
      </w:pPr>
    </w:p>
    <w:p>
      <w:pPr>
        <w:pStyle w:val="BodyText"/>
        <w:spacing w:before="204"/>
        <w:ind w:left="3800" w:right="1268"/>
        <w:jc w:val="center"/>
        <w:rPr>
          <w:rFonts w:ascii="Calibri" w:hAnsi="Calibri"/>
        </w:rPr>
      </w:pPr>
      <w:r>
        <w:rPr>
          <w:rFonts w:ascii="Calibri" w:hAnsi="Calibri"/>
        </w:rPr>
        <w:t>CENTRO DE INVESTIGACIÓN</w:t>
      </w:r>
    </w:p>
    <w:p>
      <w:pPr>
        <w:pStyle w:val="BodyText"/>
        <w:spacing w:line="360" w:lineRule="auto" w:before="148"/>
        <w:ind w:left="4196" w:right="1656"/>
        <w:jc w:val="center"/>
        <w:rPr>
          <w:rFonts w:ascii="Calibri" w:hAnsi="Calibri"/>
        </w:rPr>
      </w:pPr>
      <w:r>
        <w:rPr>
          <w:rFonts w:ascii="Calibri" w:hAnsi="Calibri"/>
        </w:rPr>
        <w:t>Y ESTUDIOS AVANZADOS EN ODONTOLOGÍA “DR. KEISABURO MIYATA”</w:t>
      </w:r>
    </w:p>
    <w:p>
      <w:pPr>
        <w:pStyle w:val="BodyText"/>
        <w:rPr>
          <w:rFonts w:ascii="Calibri"/>
        </w:rPr>
      </w:pPr>
    </w:p>
    <w:p>
      <w:pPr>
        <w:pStyle w:val="BodyText"/>
        <w:spacing w:before="5"/>
        <w:rPr>
          <w:rFonts w:ascii="Calibri"/>
          <w:sz w:val="19"/>
        </w:rPr>
      </w:pPr>
    </w:p>
    <w:p>
      <w:pPr>
        <w:pStyle w:val="Heading3"/>
        <w:spacing w:before="1"/>
        <w:ind w:left="3077" w:right="539"/>
        <w:jc w:val="center"/>
        <w:rPr>
          <w:rFonts w:ascii="Calibri" w:hAnsi="Calibri"/>
        </w:rPr>
      </w:pPr>
      <w:r>
        <w:rPr>
          <w:rFonts w:ascii="Calibri" w:hAnsi="Calibri"/>
        </w:rPr>
        <w:t>“ANÁLISIS DE KIM EN ADOLESCENTES Y ADULTOS MEXIQUENSES”</w:t>
      </w:r>
    </w:p>
    <w:p>
      <w:pPr>
        <w:pStyle w:val="BodyText"/>
        <w:rPr>
          <w:rFonts w:ascii="Calibri"/>
          <w:b/>
        </w:rPr>
      </w:pPr>
    </w:p>
    <w:p>
      <w:pPr>
        <w:pStyle w:val="BodyText"/>
        <w:rPr>
          <w:rFonts w:ascii="Calibri"/>
          <w:b/>
        </w:rPr>
      </w:pPr>
    </w:p>
    <w:p>
      <w:pPr>
        <w:pStyle w:val="BodyText"/>
        <w:spacing w:before="158"/>
        <w:ind w:left="3800" w:right="1207"/>
        <w:jc w:val="center"/>
        <w:rPr>
          <w:rFonts w:ascii="Calibri"/>
        </w:rPr>
      </w:pPr>
      <w:r>
        <w:rPr>
          <w:rFonts w:ascii="Calibri"/>
        </w:rPr>
        <w:t>PROYECTO TERMINAL</w:t>
      </w:r>
    </w:p>
    <w:p>
      <w:pPr>
        <w:pStyle w:val="BodyText"/>
        <w:spacing w:before="148"/>
        <w:ind w:left="3800" w:right="1263"/>
        <w:jc w:val="center"/>
        <w:rPr>
          <w:rFonts w:ascii="Calibri"/>
        </w:rPr>
      </w:pPr>
      <w:r>
        <w:rPr>
          <w:rFonts w:ascii="Calibri"/>
        </w:rPr>
        <w:t>QUE PARA OBTENER EL DIPLOMA DE:</w:t>
      </w:r>
    </w:p>
    <w:p>
      <w:pPr>
        <w:pStyle w:val="BodyText"/>
        <w:rPr>
          <w:rFonts w:ascii="Calibri"/>
        </w:rPr>
      </w:pPr>
    </w:p>
    <w:p>
      <w:pPr>
        <w:pStyle w:val="BodyText"/>
        <w:spacing w:before="11"/>
        <w:rPr>
          <w:rFonts w:ascii="Calibri"/>
          <w:sz w:val="34"/>
        </w:rPr>
      </w:pPr>
    </w:p>
    <w:p>
      <w:pPr>
        <w:pStyle w:val="BodyText"/>
        <w:spacing w:before="1"/>
        <w:ind w:left="3800" w:right="1265"/>
        <w:jc w:val="center"/>
        <w:rPr>
          <w:rFonts w:ascii="Calibri"/>
        </w:rPr>
      </w:pPr>
      <w:r>
        <w:rPr>
          <w:rFonts w:ascii="Calibri"/>
        </w:rPr>
        <w:t>ESPECIALISTA EN ORTODONCIA</w:t>
      </w:r>
    </w:p>
    <w:p>
      <w:pPr>
        <w:pStyle w:val="BodyText"/>
        <w:rPr>
          <w:rFonts w:ascii="Calibri"/>
        </w:rPr>
      </w:pPr>
    </w:p>
    <w:p>
      <w:pPr>
        <w:pStyle w:val="BodyText"/>
        <w:rPr>
          <w:rFonts w:ascii="Calibri"/>
        </w:rPr>
      </w:pPr>
    </w:p>
    <w:p>
      <w:pPr>
        <w:pStyle w:val="BodyText"/>
        <w:spacing w:before="194"/>
        <w:ind w:left="3800" w:right="1264"/>
        <w:jc w:val="center"/>
        <w:rPr>
          <w:rFonts w:ascii="Calibri"/>
        </w:rPr>
      </w:pPr>
      <w:r>
        <w:rPr>
          <w:rFonts w:ascii="Calibri"/>
        </w:rPr>
        <w:t>PRESENTA:</w:t>
      </w:r>
    </w:p>
    <w:p>
      <w:pPr>
        <w:pStyle w:val="BodyText"/>
        <w:rPr>
          <w:rFonts w:ascii="Calibri"/>
          <w:sz w:val="20"/>
        </w:rPr>
      </w:pPr>
    </w:p>
    <w:p>
      <w:pPr>
        <w:pStyle w:val="BodyText"/>
        <w:ind w:left="4671" w:right="1965"/>
        <w:rPr>
          <w:rFonts w:ascii="Calibri" w:hAnsi="Calibri"/>
        </w:rPr>
      </w:pPr>
      <w:r>
        <w:rPr>
          <w:rFonts w:ascii="Calibri" w:hAnsi="Calibri"/>
        </w:rPr>
        <w:t>C.D. THANIA CASTAÑEDA RENDÓN</w:t>
      </w:r>
    </w:p>
    <w:p>
      <w:pPr>
        <w:pStyle w:val="BodyText"/>
        <w:rPr>
          <w:rFonts w:ascii="Calibri"/>
        </w:rPr>
      </w:pPr>
    </w:p>
    <w:p>
      <w:pPr>
        <w:pStyle w:val="BodyText"/>
        <w:rPr>
          <w:rFonts w:ascii="Calibri"/>
        </w:rPr>
      </w:pPr>
    </w:p>
    <w:p>
      <w:pPr>
        <w:pStyle w:val="BodyText"/>
        <w:spacing w:before="194"/>
        <w:ind w:left="3800" w:right="1266"/>
        <w:jc w:val="center"/>
        <w:rPr>
          <w:rFonts w:ascii="Calibri"/>
        </w:rPr>
      </w:pPr>
      <w:r>
        <w:rPr>
          <w:rFonts w:ascii="Calibri"/>
        </w:rPr>
        <w:t>DIRECTOR:</w:t>
      </w:r>
    </w:p>
    <w:p>
      <w:pPr>
        <w:pStyle w:val="BodyText"/>
        <w:rPr>
          <w:rFonts w:ascii="Calibri"/>
          <w:sz w:val="20"/>
        </w:rPr>
      </w:pPr>
    </w:p>
    <w:p>
      <w:pPr>
        <w:pStyle w:val="BodyText"/>
        <w:ind w:left="3800" w:right="1265"/>
        <w:jc w:val="center"/>
        <w:rPr>
          <w:rFonts w:ascii="Calibri"/>
        </w:rPr>
      </w:pPr>
      <w:r>
        <w:rPr>
          <w:rFonts w:ascii="Calibri"/>
        </w:rPr>
        <w:t>DR. EN O. TOSHIO KUBODERA ITO</w:t>
      </w:r>
    </w:p>
    <w:p>
      <w:pPr>
        <w:pStyle w:val="BodyText"/>
        <w:rPr>
          <w:rFonts w:ascii="Calibri"/>
        </w:rPr>
      </w:pPr>
    </w:p>
    <w:p>
      <w:pPr>
        <w:pStyle w:val="BodyText"/>
        <w:rPr>
          <w:rFonts w:ascii="Calibri"/>
        </w:rPr>
      </w:pPr>
    </w:p>
    <w:p>
      <w:pPr>
        <w:pStyle w:val="BodyText"/>
        <w:spacing w:before="194"/>
        <w:ind w:left="3800" w:right="1265"/>
        <w:jc w:val="center"/>
        <w:rPr>
          <w:rFonts w:ascii="Calibri"/>
        </w:rPr>
      </w:pPr>
      <w:r>
        <w:rPr>
          <w:rFonts w:ascii="Calibri"/>
        </w:rPr>
        <w:t>ASESORES:</w:t>
      </w:r>
    </w:p>
    <w:p>
      <w:pPr>
        <w:pStyle w:val="BodyText"/>
        <w:rPr>
          <w:rFonts w:ascii="Calibri"/>
          <w:sz w:val="20"/>
        </w:rPr>
      </w:pPr>
    </w:p>
    <w:p>
      <w:pPr>
        <w:pStyle w:val="BodyText"/>
        <w:spacing w:line="441" w:lineRule="auto"/>
        <w:ind w:left="4642" w:right="1965" w:hanging="123"/>
        <w:rPr>
          <w:rFonts w:ascii="Calibri" w:hAnsi="Calibri"/>
        </w:rPr>
      </w:pPr>
      <w:r>
        <w:rPr>
          <w:rFonts w:ascii="Calibri" w:hAnsi="Calibri"/>
        </w:rPr>
        <w:t>M. EN C.O.O. SARAÍ LÓPEZ GONZÁLEZ DRA. EN C.S. EDITH LARA CARRILLO</w:t>
      </w:r>
    </w:p>
    <w:p>
      <w:pPr>
        <w:pStyle w:val="BodyText"/>
        <w:rPr>
          <w:rFonts w:ascii="Calibri"/>
        </w:rPr>
      </w:pPr>
    </w:p>
    <w:p>
      <w:pPr>
        <w:pStyle w:val="BodyText"/>
        <w:spacing w:before="8"/>
        <w:rPr>
          <w:rFonts w:ascii="Calibri"/>
          <w:sz w:val="19"/>
        </w:rPr>
      </w:pPr>
    </w:p>
    <w:p>
      <w:pPr>
        <w:pStyle w:val="BodyText"/>
        <w:ind w:left="3800" w:right="1262"/>
        <w:jc w:val="center"/>
        <w:rPr>
          <w:rFonts w:ascii="Calibri" w:hAnsi="Calibri"/>
        </w:rPr>
      </w:pPr>
      <w:r>
        <w:rPr>
          <w:rFonts w:ascii="Calibri" w:hAnsi="Calibri"/>
        </w:rPr>
        <w:t>TOLUCA, ESTADO DE MÉXICO, DICIEMBRE 2015.</w:t>
      </w:r>
    </w:p>
    <w:p>
      <w:pPr>
        <w:spacing w:after="0"/>
        <w:jc w:val="center"/>
        <w:rPr>
          <w:rFonts w:ascii="Calibri" w:hAnsi="Calibri"/>
        </w:rPr>
        <w:sectPr>
          <w:type w:val="continuous"/>
          <w:pgSz w:w="12240" w:h="15840"/>
          <w:pgMar w:top="1100" w:bottom="280" w:left="1020" w:right="1040"/>
        </w:sectPr>
      </w:pPr>
    </w:p>
    <w:p>
      <w:pPr>
        <w:pStyle w:val="Heading1"/>
        <w:spacing w:before="50"/>
        <w:ind w:left="3688" w:right="3807" w:firstLine="0"/>
        <w:jc w:val="center"/>
      </w:pPr>
      <w:r>
        <w:rPr/>
        <w:t>Contenido</w:t>
      </w:r>
    </w:p>
    <w:p>
      <w:pPr>
        <w:pStyle w:val="BodyText"/>
        <w:rPr>
          <w:b/>
          <w:sz w:val="20"/>
        </w:rPr>
      </w:pPr>
    </w:p>
    <w:p>
      <w:pPr>
        <w:pStyle w:val="BodyText"/>
        <w:spacing w:before="8"/>
        <w:rPr>
          <w:b/>
          <w:sz w:val="19"/>
        </w:rPr>
      </w:pPr>
    </w:p>
    <w:tbl>
      <w:tblPr>
        <w:tblW w:w="0" w:type="auto"/>
        <w:jc w:val="left"/>
        <w:tblInd w:w="13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044"/>
        <w:gridCol w:w="638"/>
      </w:tblGrid>
      <w:tr>
        <w:trPr>
          <w:trHeight w:val="396" w:hRule="exact"/>
        </w:trPr>
        <w:tc>
          <w:tcPr>
            <w:tcW w:w="8044" w:type="dxa"/>
          </w:tcPr>
          <w:p>
            <w:pPr>
              <w:pStyle w:val="TableParagraph"/>
              <w:spacing w:line="245" w:lineRule="exact"/>
              <w:ind w:left="560"/>
              <w:jc w:val="left"/>
              <w:rPr>
                <w:sz w:val="24"/>
              </w:rPr>
            </w:pPr>
            <w:r>
              <w:rPr>
                <w:sz w:val="24"/>
              </w:rPr>
              <w:t>Resumen</w:t>
            </w:r>
          </w:p>
        </w:tc>
        <w:tc>
          <w:tcPr>
            <w:tcW w:w="638" w:type="dxa"/>
          </w:tcPr>
          <w:p>
            <w:pPr/>
          </w:p>
        </w:tc>
      </w:tr>
      <w:tr>
        <w:trPr>
          <w:trHeight w:val="552" w:hRule="exact"/>
        </w:trPr>
        <w:tc>
          <w:tcPr>
            <w:tcW w:w="8044" w:type="dxa"/>
          </w:tcPr>
          <w:p>
            <w:pPr>
              <w:pStyle w:val="TableParagraph"/>
              <w:spacing w:before="125"/>
              <w:ind w:left="560"/>
              <w:jc w:val="left"/>
              <w:rPr>
                <w:sz w:val="24"/>
              </w:rPr>
            </w:pPr>
            <w:r>
              <w:rPr>
                <w:sz w:val="24"/>
              </w:rPr>
              <w:t>Introducción</w:t>
            </w:r>
          </w:p>
        </w:tc>
        <w:tc>
          <w:tcPr>
            <w:tcW w:w="638" w:type="dxa"/>
          </w:tcPr>
          <w:p>
            <w:pPr/>
          </w:p>
        </w:tc>
      </w:tr>
      <w:tr>
        <w:trPr>
          <w:trHeight w:val="575" w:hRule="exact"/>
        </w:trPr>
        <w:tc>
          <w:tcPr>
            <w:tcW w:w="8044" w:type="dxa"/>
          </w:tcPr>
          <w:p>
            <w:pPr>
              <w:pStyle w:val="TableParagraph"/>
              <w:spacing w:before="125"/>
              <w:ind w:left="200"/>
              <w:jc w:val="left"/>
              <w:rPr>
                <w:sz w:val="24"/>
              </w:rPr>
            </w:pPr>
            <w:r>
              <w:rPr>
                <w:b/>
                <w:sz w:val="24"/>
              </w:rPr>
              <w:t>1.  </w:t>
            </w:r>
            <w:r>
              <w:rPr>
                <w:sz w:val="24"/>
              </w:rPr>
              <w:t>Antecedentes</w:t>
            </w:r>
          </w:p>
        </w:tc>
        <w:tc>
          <w:tcPr>
            <w:tcW w:w="638" w:type="dxa"/>
          </w:tcPr>
          <w:p>
            <w:pPr>
              <w:pStyle w:val="TableParagraph"/>
              <w:spacing w:before="125"/>
              <w:ind w:right="34"/>
              <w:rPr>
                <w:sz w:val="24"/>
              </w:rPr>
            </w:pPr>
            <w:r>
              <w:rPr>
                <w:w w:val="99"/>
                <w:sz w:val="24"/>
              </w:rPr>
              <w:t>1</w:t>
            </w:r>
          </w:p>
        </w:tc>
      </w:tr>
      <w:tr>
        <w:trPr>
          <w:trHeight w:val="598" w:hRule="exact"/>
        </w:trPr>
        <w:tc>
          <w:tcPr>
            <w:tcW w:w="8044" w:type="dxa"/>
          </w:tcPr>
          <w:p>
            <w:pPr>
              <w:pStyle w:val="TableParagraph"/>
              <w:spacing w:before="148"/>
              <w:ind w:left="571"/>
              <w:jc w:val="left"/>
              <w:rPr>
                <w:sz w:val="24"/>
              </w:rPr>
            </w:pPr>
            <w:r>
              <w:rPr>
                <w:b/>
                <w:sz w:val="24"/>
              </w:rPr>
              <w:t>1.1</w:t>
            </w:r>
            <w:r>
              <w:rPr>
                <w:b/>
                <w:spacing w:val="-50"/>
                <w:sz w:val="24"/>
              </w:rPr>
              <w:t> </w:t>
            </w:r>
            <w:r>
              <w:rPr>
                <w:sz w:val="24"/>
              </w:rPr>
              <w:t>Diagnóstico en Ortodoncia</w:t>
            </w:r>
          </w:p>
        </w:tc>
        <w:tc>
          <w:tcPr>
            <w:tcW w:w="638" w:type="dxa"/>
          </w:tcPr>
          <w:p>
            <w:pPr>
              <w:pStyle w:val="TableParagraph"/>
              <w:spacing w:before="148"/>
              <w:ind w:right="34"/>
              <w:rPr>
                <w:sz w:val="24"/>
              </w:rPr>
            </w:pPr>
            <w:r>
              <w:rPr>
                <w:w w:val="99"/>
                <w:sz w:val="24"/>
              </w:rPr>
              <w:t>1</w:t>
            </w:r>
          </w:p>
        </w:tc>
      </w:tr>
      <w:tr>
        <w:trPr>
          <w:trHeight w:val="1679" w:hRule="exact"/>
        </w:trPr>
        <w:tc>
          <w:tcPr>
            <w:tcW w:w="8044" w:type="dxa"/>
          </w:tcPr>
          <w:p>
            <w:pPr>
              <w:pStyle w:val="TableParagraph"/>
              <w:numPr>
                <w:ilvl w:val="2"/>
                <w:numId w:val="1"/>
              </w:numPr>
              <w:tabs>
                <w:tab w:pos="1979" w:val="left" w:leader="none"/>
              </w:tabs>
              <w:spacing w:line="240" w:lineRule="auto" w:before="148" w:after="0"/>
              <w:ind w:left="1978" w:right="0" w:hanging="720"/>
              <w:jc w:val="left"/>
              <w:rPr>
                <w:sz w:val="24"/>
              </w:rPr>
            </w:pPr>
            <w:r>
              <w:rPr>
                <w:sz w:val="24"/>
              </w:rPr>
              <w:t>Auxiliares del</w:t>
            </w:r>
            <w:r>
              <w:rPr>
                <w:spacing w:val="-8"/>
                <w:sz w:val="24"/>
              </w:rPr>
              <w:t> </w:t>
            </w:r>
            <w:r>
              <w:rPr>
                <w:sz w:val="24"/>
              </w:rPr>
              <w:t>diagnóstico</w:t>
            </w:r>
          </w:p>
          <w:p>
            <w:pPr>
              <w:pStyle w:val="TableParagraph"/>
              <w:jc w:val="left"/>
              <w:rPr>
                <w:b/>
                <w:sz w:val="24"/>
              </w:rPr>
            </w:pPr>
          </w:p>
          <w:p>
            <w:pPr>
              <w:pStyle w:val="TableParagraph"/>
              <w:numPr>
                <w:ilvl w:val="3"/>
                <w:numId w:val="1"/>
              </w:numPr>
              <w:tabs>
                <w:tab w:pos="3045" w:val="left" w:leader="none"/>
              </w:tabs>
              <w:spacing w:line="240" w:lineRule="auto" w:before="0" w:after="0"/>
              <w:ind w:left="3044" w:right="0" w:hanging="360"/>
              <w:jc w:val="left"/>
              <w:rPr>
                <w:sz w:val="24"/>
              </w:rPr>
            </w:pPr>
            <w:r>
              <w:rPr>
                <w:sz w:val="24"/>
              </w:rPr>
              <w:t>Fotografías</w:t>
            </w:r>
            <w:r>
              <w:rPr>
                <w:spacing w:val="-9"/>
                <w:sz w:val="24"/>
              </w:rPr>
              <w:t> </w:t>
            </w:r>
            <w:r>
              <w:rPr>
                <w:sz w:val="24"/>
              </w:rPr>
              <w:t>extraorales</w:t>
            </w:r>
          </w:p>
          <w:p>
            <w:pPr>
              <w:pStyle w:val="TableParagraph"/>
              <w:jc w:val="left"/>
              <w:rPr>
                <w:b/>
                <w:sz w:val="24"/>
              </w:rPr>
            </w:pPr>
          </w:p>
          <w:p>
            <w:pPr>
              <w:pStyle w:val="TableParagraph"/>
              <w:numPr>
                <w:ilvl w:val="3"/>
                <w:numId w:val="1"/>
              </w:numPr>
              <w:tabs>
                <w:tab w:pos="3045" w:val="left" w:leader="none"/>
              </w:tabs>
              <w:spacing w:line="240" w:lineRule="auto" w:before="0" w:after="0"/>
              <w:ind w:left="3044" w:right="0" w:hanging="360"/>
              <w:jc w:val="left"/>
              <w:rPr>
                <w:sz w:val="24"/>
              </w:rPr>
            </w:pPr>
            <w:r>
              <w:rPr>
                <w:sz w:val="24"/>
              </w:rPr>
              <w:t>Fotografías</w:t>
            </w:r>
            <w:r>
              <w:rPr>
                <w:spacing w:val="-5"/>
                <w:sz w:val="24"/>
              </w:rPr>
              <w:t> </w:t>
            </w:r>
            <w:r>
              <w:rPr>
                <w:sz w:val="24"/>
              </w:rPr>
              <w:t>intraorales</w:t>
            </w:r>
          </w:p>
        </w:tc>
        <w:tc>
          <w:tcPr>
            <w:tcW w:w="638" w:type="dxa"/>
          </w:tcPr>
          <w:p>
            <w:pPr>
              <w:pStyle w:val="TableParagraph"/>
              <w:spacing w:before="148"/>
              <w:ind w:right="34"/>
              <w:rPr>
                <w:sz w:val="24"/>
              </w:rPr>
            </w:pPr>
            <w:r>
              <w:rPr>
                <w:w w:val="99"/>
                <w:sz w:val="24"/>
              </w:rPr>
              <w:t>3</w:t>
            </w:r>
          </w:p>
          <w:p>
            <w:pPr>
              <w:pStyle w:val="TableParagraph"/>
              <w:jc w:val="left"/>
              <w:rPr>
                <w:b/>
                <w:sz w:val="24"/>
              </w:rPr>
            </w:pPr>
          </w:p>
          <w:p>
            <w:pPr>
              <w:pStyle w:val="TableParagraph"/>
              <w:ind w:right="34"/>
              <w:rPr>
                <w:sz w:val="24"/>
              </w:rPr>
            </w:pPr>
            <w:r>
              <w:rPr>
                <w:w w:val="99"/>
                <w:sz w:val="24"/>
              </w:rPr>
              <w:t>3</w:t>
            </w:r>
          </w:p>
          <w:p>
            <w:pPr>
              <w:pStyle w:val="TableParagraph"/>
              <w:jc w:val="left"/>
              <w:rPr>
                <w:b/>
                <w:sz w:val="24"/>
              </w:rPr>
            </w:pPr>
          </w:p>
          <w:p>
            <w:pPr>
              <w:pStyle w:val="TableParagraph"/>
              <w:ind w:right="34"/>
              <w:rPr>
                <w:sz w:val="24"/>
              </w:rPr>
            </w:pPr>
            <w:r>
              <w:rPr>
                <w:w w:val="99"/>
                <w:sz w:val="24"/>
              </w:rPr>
              <w:t>4</w:t>
            </w:r>
          </w:p>
        </w:tc>
      </w:tr>
      <w:tr>
        <w:trPr>
          <w:trHeight w:val="552" w:hRule="exact"/>
        </w:trPr>
        <w:tc>
          <w:tcPr>
            <w:tcW w:w="8044" w:type="dxa"/>
          </w:tcPr>
          <w:p>
            <w:pPr>
              <w:pStyle w:val="TableParagraph"/>
              <w:spacing w:before="125"/>
              <w:ind w:left="1258"/>
              <w:jc w:val="left"/>
              <w:rPr>
                <w:sz w:val="24"/>
              </w:rPr>
            </w:pPr>
            <w:r>
              <w:rPr>
                <w:b/>
                <w:sz w:val="24"/>
              </w:rPr>
              <w:t>1.1.2   </w:t>
            </w:r>
            <w:r>
              <w:rPr>
                <w:sz w:val="24"/>
              </w:rPr>
              <w:t>Evaluación y análisis de radiografías</w:t>
            </w:r>
          </w:p>
        </w:tc>
        <w:tc>
          <w:tcPr>
            <w:tcW w:w="638" w:type="dxa"/>
          </w:tcPr>
          <w:p>
            <w:pPr>
              <w:pStyle w:val="TableParagraph"/>
              <w:spacing w:before="125"/>
              <w:ind w:right="34"/>
              <w:rPr>
                <w:sz w:val="24"/>
              </w:rPr>
            </w:pPr>
            <w:r>
              <w:rPr>
                <w:w w:val="99"/>
                <w:sz w:val="24"/>
              </w:rPr>
              <w:t>5</w:t>
            </w:r>
          </w:p>
        </w:tc>
      </w:tr>
      <w:tr>
        <w:trPr>
          <w:trHeight w:val="552" w:hRule="exact"/>
        </w:trPr>
        <w:tc>
          <w:tcPr>
            <w:tcW w:w="8044" w:type="dxa"/>
          </w:tcPr>
          <w:p>
            <w:pPr>
              <w:pStyle w:val="TableParagraph"/>
              <w:spacing w:before="125"/>
              <w:ind w:left="1268"/>
              <w:jc w:val="left"/>
              <w:rPr>
                <w:sz w:val="24"/>
              </w:rPr>
            </w:pPr>
            <w:r>
              <w:rPr>
                <w:b/>
                <w:sz w:val="24"/>
              </w:rPr>
              <w:t>1.1.3  </w:t>
            </w:r>
            <w:r>
              <w:rPr>
                <w:sz w:val="24"/>
              </w:rPr>
              <w:t>Evaluación y análisis de modelos de estudio</w:t>
            </w:r>
          </w:p>
        </w:tc>
        <w:tc>
          <w:tcPr>
            <w:tcW w:w="638" w:type="dxa"/>
          </w:tcPr>
          <w:p>
            <w:pPr>
              <w:pStyle w:val="TableParagraph"/>
              <w:spacing w:before="125"/>
              <w:ind w:right="34"/>
              <w:rPr>
                <w:sz w:val="24"/>
              </w:rPr>
            </w:pPr>
            <w:r>
              <w:rPr>
                <w:w w:val="99"/>
                <w:sz w:val="24"/>
              </w:rPr>
              <w:t>7</w:t>
            </w:r>
          </w:p>
        </w:tc>
      </w:tr>
      <w:tr>
        <w:trPr>
          <w:trHeight w:val="575" w:hRule="exact"/>
        </w:trPr>
        <w:tc>
          <w:tcPr>
            <w:tcW w:w="8044" w:type="dxa"/>
          </w:tcPr>
          <w:p>
            <w:pPr>
              <w:pStyle w:val="TableParagraph"/>
              <w:spacing w:before="125"/>
              <w:ind w:left="560"/>
              <w:jc w:val="left"/>
              <w:rPr>
                <w:sz w:val="24"/>
              </w:rPr>
            </w:pPr>
            <w:r>
              <w:rPr>
                <w:b/>
                <w:sz w:val="24"/>
              </w:rPr>
              <w:t>1.2 </w:t>
            </w:r>
            <w:r>
              <w:rPr>
                <w:sz w:val="24"/>
              </w:rPr>
              <w:t>Cefalometría</w:t>
            </w:r>
          </w:p>
        </w:tc>
        <w:tc>
          <w:tcPr>
            <w:tcW w:w="638" w:type="dxa"/>
          </w:tcPr>
          <w:p>
            <w:pPr>
              <w:pStyle w:val="TableParagraph"/>
              <w:spacing w:before="125"/>
              <w:ind w:left="150" w:right="179"/>
              <w:rPr>
                <w:sz w:val="24"/>
              </w:rPr>
            </w:pPr>
            <w:r>
              <w:rPr>
                <w:sz w:val="24"/>
              </w:rPr>
              <w:t>10</w:t>
            </w:r>
          </w:p>
        </w:tc>
      </w:tr>
      <w:tr>
        <w:trPr>
          <w:trHeight w:val="575" w:hRule="exact"/>
        </w:trPr>
        <w:tc>
          <w:tcPr>
            <w:tcW w:w="8044" w:type="dxa"/>
          </w:tcPr>
          <w:p>
            <w:pPr>
              <w:pStyle w:val="TableParagraph"/>
              <w:spacing w:before="148"/>
              <w:ind w:left="1268"/>
              <w:jc w:val="left"/>
              <w:rPr>
                <w:sz w:val="24"/>
              </w:rPr>
            </w:pPr>
            <w:r>
              <w:rPr>
                <w:b/>
                <w:sz w:val="24"/>
              </w:rPr>
              <w:t>1.2.1 </w:t>
            </w:r>
            <w:r>
              <w:rPr>
                <w:sz w:val="24"/>
              </w:rPr>
              <w:t>Usos de la cefalometría</w:t>
            </w:r>
          </w:p>
        </w:tc>
        <w:tc>
          <w:tcPr>
            <w:tcW w:w="638" w:type="dxa"/>
          </w:tcPr>
          <w:p>
            <w:pPr>
              <w:pStyle w:val="TableParagraph"/>
              <w:spacing w:before="148"/>
              <w:ind w:left="150" w:right="179"/>
              <w:rPr>
                <w:sz w:val="24"/>
              </w:rPr>
            </w:pPr>
            <w:r>
              <w:rPr>
                <w:sz w:val="24"/>
              </w:rPr>
              <w:t>11</w:t>
            </w:r>
          </w:p>
        </w:tc>
      </w:tr>
      <w:tr>
        <w:trPr>
          <w:trHeight w:val="575" w:hRule="exact"/>
        </w:trPr>
        <w:tc>
          <w:tcPr>
            <w:tcW w:w="8044" w:type="dxa"/>
          </w:tcPr>
          <w:p>
            <w:pPr>
              <w:pStyle w:val="TableParagraph"/>
              <w:spacing w:before="125"/>
              <w:ind w:left="1268"/>
              <w:jc w:val="left"/>
              <w:rPr>
                <w:sz w:val="24"/>
              </w:rPr>
            </w:pPr>
            <w:r>
              <w:rPr>
                <w:b/>
                <w:sz w:val="24"/>
              </w:rPr>
              <w:t>1.2.2 </w:t>
            </w:r>
            <w:r>
              <w:rPr>
                <w:sz w:val="24"/>
              </w:rPr>
              <w:t>Evolución histórica de la cefalometría</w:t>
            </w:r>
          </w:p>
        </w:tc>
        <w:tc>
          <w:tcPr>
            <w:tcW w:w="638" w:type="dxa"/>
          </w:tcPr>
          <w:p>
            <w:pPr>
              <w:pStyle w:val="TableParagraph"/>
              <w:spacing w:before="125"/>
              <w:ind w:left="150" w:right="179"/>
              <w:rPr>
                <w:sz w:val="24"/>
              </w:rPr>
            </w:pPr>
            <w:r>
              <w:rPr>
                <w:sz w:val="24"/>
              </w:rPr>
              <w:t>12</w:t>
            </w:r>
          </w:p>
        </w:tc>
      </w:tr>
      <w:tr>
        <w:trPr>
          <w:trHeight w:val="598" w:hRule="exact"/>
        </w:trPr>
        <w:tc>
          <w:tcPr>
            <w:tcW w:w="8044" w:type="dxa"/>
          </w:tcPr>
          <w:p>
            <w:pPr>
              <w:pStyle w:val="TableParagraph"/>
              <w:spacing w:before="148"/>
              <w:ind w:left="1268"/>
              <w:jc w:val="left"/>
              <w:rPr>
                <w:sz w:val="24"/>
              </w:rPr>
            </w:pPr>
            <w:r>
              <w:rPr>
                <w:b/>
                <w:sz w:val="24"/>
              </w:rPr>
              <w:t>1.2.3 </w:t>
            </w:r>
            <w:r>
              <w:rPr>
                <w:sz w:val="24"/>
              </w:rPr>
              <w:t>Análisis cefalométricos</w:t>
            </w:r>
          </w:p>
        </w:tc>
        <w:tc>
          <w:tcPr>
            <w:tcW w:w="638" w:type="dxa"/>
          </w:tcPr>
          <w:p>
            <w:pPr>
              <w:pStyle w:val="TableParagraph"/>
              <w:spacing w:before="148"/>
              <w:ind w:left="150" w:right="179"/>
              <w:rPr>
                <w:sz w:val="24"/>
              </w:rPr>
            </w:pPr>
            <w:r>
              <w:rPr>
                <w:sz w:val="24"/>
              </w:rPr>
              <w:t>19</w:t>
            </w:r>
          </w:p>
        </w:tc>
      </w:tr>
      <w:tr>
        <w:trPr>
          <w:trHeight w:val="598" w:hRule="exact"/>
        </w:trPr>
        <w:tc>
          <w:tcPr>
            <w:tcW w:w="8044" w:type="dxa"/>
          </w:tcPr>
          <w:p>
            <w:pPr>
              <w:pStyle w:val="TableParagraph"/>
              <w:spacing w:before="148"/>
              <w:ind w:left="560"/>
              <w:jc w:val="left"/>
              <w:rPr>
                <w:sz w:val="24"/>
              </w:rPr>
            </w:pPr>
            <w:r>
              <w:rPr>
                <w:b/>
                <w:sz w:val="24"/>
              </w:rPr>
              <w:t>1.3 </w:t>
            </w:r>
            <w:r>
              <w:rPr>
                <w:sz w:val="24"/>
              </w:rPr>
              <w:t>Análisis de Kim</w:t>
            </w:r>
          </w:p>
        </w:tc>
        <w:tc>
          <w:tcPr>
            <w:tcW w:w="638" w:type="dxa"/>
          </w:tcPr>
          <w:p>
            <w:pPr>
              <w:pStyle w:val="TableParagraph"/>
              <w:spacing w:before="148"/>
              <w:ind w:left="150" w:right="179"/>
              <w:rPr>
                <w:sz w:val="24"/>
              </w:rPr>
            </w:pPr>
            <w:r>
              <w:rPr>
                <w:sz w:val="24"/>
              </w:rPr>
              <w:t>26</w:t>
            </w:r>
          </w:p>
        </w:tc>
      </w:tr>
      <w:tr>
        <w:trPr>
          <w:trHeight w:val="575" w:hRule="exact"/>
        </w:trPr>
        <w:tc>
          <w:tcPr>
            <w:tcW w:w="8044" w:type="dxa"/>
          </w:tcPr>
          <w:p>
            <w:pPr>
              <w:pStyle w:val="TableParagraph"/>
              <w:spacing w:before="148"/>
              <w:ind w:left="1268"/>
              <w:jc w:val="left"/>
              <w:rPr>
                <w:b/>
                <w:sz w:val="24"/>
              </w:rPr>
            </w:pPr>
            <w:r>
              <w:rPr>
                <w:b/>
                <w:sz w:val="24"/>
              </w:rPr>
              <w:t>1.3.1 </w:t>
            </w:r>
            <w:r>
              <w:rPr>
                <w:sz w:val="24"/>
              </w:rPr>
              <w:t>Indicador de profundidad de sobremordida vertical (ODI</w:t>
            </w:r>
            <w:r>
              <w:rPr>
                <w:b/>
                <w:sz w:val="24"/>
              </w:rPr>
              <w:t>)</w:t>
            </w:r>
          </w:p>
        </w:tc>
        <w:tc>
          <w:tcPr>
            <w:tcW w:w="638" w:type="dxa"/>
          </w:tcPr>
          <w:p>
            <w:pPr>
              <w:pStyle w:val="TableParagraph"/>
              <w:spacing w:before="148"/>
              <w:ind w:left="150" w:right="179"/>
              <w:rPr>
                <w:sz w:val="24"/>
              </w:rPr>
            </w:pPr>
            <w:r>
              <w:rPr>
                <w:sz w:val="24"/>
              </w:rPr>
              <w:t>30</w:t>
            </w:r>
          </w:p>
        </w:tc>
      </w:tr>
      <w:tr>
        <w:trPr>
          <w:trHeight w:val="552" w:hRule="exact"/>
        </w:trPr>
        <w:tc>
          <w:tcPr>
            <w:tcW w:w="8044" w:type="dxa"/>
          </w:tcPr>
          <w:p>
            <w:pPr>
              <w:pStyle w:val="TableParagraph"/>
              <w:spacing w:before="125"/>
              <w:ind w:left="1268"/>
              <w:jc w:val="left"/>
              <w:rPr>
                <w:sz w:val="24"/>
              </w:rPr>
            </w:pPr>
            <w:r>
              <w:rPr>
                <w:b/>
                <w:sz w:val="24"/>
              </w:rPr>
              <w:t>1.3.2 </w:t>
            </w:r>
            <w:r>
              <w:rPr>
                <w:sz w:val="24"/>
              </w:rPr>
              <w:t>Indicador de displasia antero posterior (APDI)</w:t>
            </w:r>
          </w:p>
        </w:tc>
        <w:tc>
          <w:tcPr>
            <w:tcW w:w="638" w:type="dxa"/>
          </w:tcPr>
          <w:p>
            <w:pPr>
              <w:pStyle w:val="TableParagraph"/>
              <w:spacing w:before="125"/>
              <w:ind w:left="150" w:right="179"/>
              <w:rPr>
                <w:sz w:val="24"/>
              </w:rPr>
            </w:pPr>
            <w:r>
              <w:rPr>
                <w:sz w:val="24"/>
              </w:rPr>
              <w:t>35</w:t>
            </w:r>
          </w:p>
        </w:tc>
      </w:tr>
      <w:tr>
        <w:trPr>
          <w:trHeight w:val="552" w:hRule="exact"/>
        </w:trPr>
        <w:tc>
          <w:tcPr>
            <w:tcW w:w="8044" w:type="dxa"/>
          </w:tcPr>
          <w:p>
            <w:pPr>
              <w:pStyle w:val="TableParagraph"/>
              <w:spacing w:before="125"/>
              <w:ind w:left="1268"/>
              <w:jc w:val="left"/>
              <w:rPr>
                <w:sz w:val="24"/>
              </w:rPr>
            </w:pPr>
            <w:r>
              <w:rPr>
                <w:b/>
                <w:sz w:val="24"/>
              </w:rPr>
              <w:t>1.3.3 </w:t>
            </w:r>
            <w:r>
              <w:rPr>
                <w:sz w:val="24"/>
              </w:rPr>
              <w:t>Índice de extracciones</w:t>
            </w:r>
          </w:p>
        </w:tc>
        <w:tc>
          <w:tcPr>
            <w:tcW w:w="638" w:type="dxa"/>
          </w:tcPr>
          <w:p>
            <w:pPr>
              <w:pStyle w:val="TableParagraph"/>
              <w:spacing w:before="125"/>
              <w:ind w:left="150" w:right="179"/>
              <w:rPr>
                <w:sz w:val="24"/>
              </w:rPr>
            </w:pPr>
            <w:r>
              <w:rPr>
                <w:sz w:val="24"/>
              </w:rPr>
              <w:t>39</w:t>
            </w:r>
          </w:p>
        </w:tc>
      </w:tr>
      <w:tr>
        <w:trPr>
          <w:trHeight w:val="552" w:hRule="exact"/>
        </w:trPr>
        <w:tc>
          <w:tcPr>
            <w:tcW w:w="8044" w:type="dxa"/>
          </w:tcPr>
          <w:p>
            <w:pPr>
              <w:pStyle w:val="TableParagraph"/>
              <w:spacing w:before="125"/>
              <w:ind w:left="560"/>
              <w:jc w:val="left"/>
              <w:rPr>
                <w:sz w:val="24"/>
              </w:rPr>
            </w:pPr>
            <w:r>
              <w:rPr>
                <w:b/>
                <w:sz w:val="24"/>
              </w:rPr>
              <w:t>1.4 </w:t>
            </w:r>
            <w:r>
              <w:rPr>
                <w:sz w:val="24"/>
              </w:rPr>
              <w:t>Grupos étnicos y raciales</w:t>
            </w:r>
          </w:p>
        </w:tc>
        <w:tc>
          <w:tcPr>
            <w:tcW w:w="638" w:type="dxa"/>
          </w:tcPr>
          <w:p>
            <w:pPr>
              <w:pStyle w:val="TableParagraph"/>
              <w:spacing w:before="125"/>
              <w:ind w:left="150" w:right="179"/>
              <w:rPr>
                <w:sz w:val="24"/>
              </w:rPr>
            </w:pPr>
            <w:r>
              <w:rPr>
                <w:sz w:val="24"/>
              </w:rPr>
              <w:t>41</w:t>
            </w:r>
          </w:p>
        </w:tc>
      </w:tr>
      <w:tr>
        <w:trPr>
          <w:trHeight w:val="575" w:hRule="exact"/>
        </w:trPr>
        <w:tc>
          <w:tcPr>
            <w:tcW w:w="8044" w:type="dxa"/>
          </w:tcPr>
          <w:p>
            <w:pPr>
              <w:pStyle w:val="TableParagraph"/>
              <w:spacing w:before="125"/>
              <w:ind w:left="200"/>
              <w:jc w:val="left"/>
              <w:rPr>
                <w:sz w:val="24"/>
              </w:rPr>
            </w:pPr>
            <w:r>
              <w:rPr>
                <w:b/>
                <w:sz w:val="24"/>
              </w:rPr>
              <w:t>2.  </w:t>
            </w:r>
            <w:r>
              <w:rPr>
                <w:sz w:val="24"/>
              </w:rPr>
              <w:t>Planteamiento del Problema</w:t>
            </w:r>
          </w:p>
        </w:tc>
        <w:tc>
          <w:tcPr>
            <w:tcW w:w="638" w:type="dxa"/>
          </w:tcPr>
          <w:p>
            <w:pPr>
              <w:pStyle w:val="TableParagraph"/>
              <w:spacing w:before="125"/>
              <w:ind w:left="150" w:right="179"/>
              <w:rPr>
                <w:sz w:val="24"/>
              </w:rPr>
            </w:pPr>
            <w:r>
              <w:rPr>
                <w:sz w:val="24"/>
              </w:rPr>
              <w:t>44</w:t>
            </w:r>
          </w:p>
        </w:tc>
      </w:tr>
      <w:tr>
        <w:trPr>
          <w:trHeight w:val="599" w:hRule="exact"/>
        </w:trPr>
        <w:tc>
          <w:tcPr>
            <w:tcW w:w="8044" w:type="dxa"/>
          </w:tcPr>
          <w:p>
            <w:pPr>
              <w:pStyle w:val="TableParagraph"/>
              <w:spacing w:before="148"/>
              <w:ind w:left="200"/>
              <w:jc w:val="left"/>
              <w:rPr>
                <w:sz w:val="24"/>
              </w:rPr>
            </w:pPr>
            <w:r>
              <w:rPr>
                <w:b/>
                <w:sz w:val="24"/>
              </w:rPr>
              <w:t>3.  </w:t>
            </w:r>
            <w:r>
              <w:rPr>
                <w:sz w:val="24"/>
              </w:rPr>
              <w:t>Justificación</w:t>
            </w:r>
          </w:p>
        </w:tc>
        <w:tc>
          <w:tcPr>
            <w:tcW w:w="638" w:type="dxa"/>
          </w:tcPr>
          <w:p>
            <w:pPr>
              <w:pStyle w:val="TableParagraph"/>
              <w:spacing w:before="148"/>
              <w:ind w:left="150" w:right="179"/>
              <w:rPr>
                <w:sz w:val="24"/>
              </w:rPr>
            </w:pPr>
            <w:r>
              <w:rPr>
                <w:sz w:val="24"/>
              </w:rPr>
              <w:t>46</w:t>
            </w:r>
          </w:p>
        </w:tc>
      </w:tr>
      <w:tr>
        <w:trPr>
          <w:trHeight w:val="420" w:hRule="exact"/>
        </w:trPr>
        <w:tc>
          <w:tcPr>
            <w:tcW w:w="8044" w:type="dxa"/>
          </w:tcPr>
          <w:p>
            <w:pPr>
              <w:pStyle w:val="TableParagraph"/>
              <w:spacing w:before="149"/>
              <w:ind w:left="200"/>
              <w:jc w:val="left"/>
              <w:rPr>
                <w:sz w:val="24"/>
              </w:rPr>
            </w:pPr>
            <w:r>
              <w:rPr>
                <w:b/>
                <w:sz w:val="24"/>
              </w:rPr>
              <w:t>4.  </w:t>
            </w:r>
            <w:r>
              <w:rPr>
                <w:sz w:val="24"/>
              </w:rPr>
              <w:t>Objetivos</w:t>
            </w:r>
          </w:p>
        </w:tc>
        <w:tc>
          <w:tcPr>
            <w:tcW w:w="638" w:type="dxa"/>
          </w:tcPr>
          <w:p>
            <w:pPr>
              <w:pStyle w:val="TableParagraph"/>
              <w:spacing w:before="149"/>
              <w:ind w:left="150" w:right="179"/>
              <w:rPr>
                <w:sz w:val="24"/>
              </w:rPr>
            </w:pPr>
            <w:r>
              <w:rPr>
                <w:sz w:val="24"/>
              </w:rPr>
              <w:t>48</w:t>
            </w:r>
          </w:p>
        </w:tc>
      </w:tr>
    </w:tbl>
    <w:p>
      <w:pPr>
        <w:spacing w:after="0"/>
        <w:rPr>
          <w:sz w:val="24"/>
        </w:rPr>
        <w:sectPr>
          <w:pgSz w:w="12240" w:h="15840"/>
          <w:pgMar w:top="1360" w:bottom="280" w:left="1720" w:right="1600"/>
        </w:sectPr>
      </w:pPr>
    </w:p>
    <w:tbl>
      <w:tblPr>
        <w:tblW w:w="0" w:type="auto"/>
        <w:jc w:val="left"/>
        <w:tblInd w:w="13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401"/>
        <w:gridCol w:w="3281"/>
      </w:tblGrid>
      <w:tr>
        <w:trPr>
          <w:trHeight w:val="420" w:hRule="exact"/>
        </w:trPr>
        <w:tc>
          <w:tcPr>
            <w:tcW w:w="5401" w:type="dxa"/>
          </w:tcPr>
          <w:p>
            <w:pPr>
              <w:pStyle w:val="TableParagraph"/>
              <w:spacing w:line="245" w:lineRule="exact"/>
              <w:ind w:left="200"/>
              <w:jc w:val="left"/>
              <w:rPr>
                <w:sz w:val="24"/>
              </w:rPr>
            </w:pPr>
            <w:r>
              <w:rPr>
                <w:b/>
                <w:sz w:val="24"/>
              </w:rPr>
              <w:t>5.  </w:t>
            </w:r>
            <w:r>
              <w:rPr>
                <w:sz w:val="24"/>
              </w:rPr>
              <w:t>Material y Métodos</w:t>
            </w:r>
          </w:p>
        </w:tc>
        <w:tc>
          <w:tcPr>
            <w:tcW w:w="3281" w:type="dxa"/>
          </w:tcPr>
          <w:p>
            <w:pPr>
              <w:pStyle w:val="TableParagraph"/>
              <w:spacing w:line="245" w:lineRule="exact"/>
              <w:ind w:right="198"/>
              <w:jc w:val="right"/>
              <w:rPr>
                <w:sz w:val="24"/>
              </w:rPr>
            </w:pPr>
            <w:r>
              <w:rPr>
                <w:sz w:val="24"/>
              </w:rPr>
              <w:t>49</w:t>
            </w:r>
          </w:p>
        </w:tc>
      </w:tr>
      <w:tr>
        <w:trPr>
          <w:trHeight w:val="599" w:hRule="exact"/>
        </w:trPr>
        <w:tc>
          <w:tcPr>
            <w:tcW w:w="5401" w:type="dxa"/>
          </w:tcPr>
          <w:p>
            <w:pPr>
              <w:pStyle w:val="TableParagraph"/>
              <w:spacing w:before="149"/>
              <w:ind w:left="200"/>
              <w:jc w:val="left"/>
              <w:rPr>
                <w:sz w:val="24"/>
              </w:rPr>
            </w:pPr>
            <w:r>
              <w:rPr>
                <w:b/>
                <w:sz w:val="24"/>
              </w:rPr>
              <w:t>6.  </w:t>
            </w:r>
            <w:r>
              <w:rPr>
                <w:sz w:val="24"/>
              </w:rPr>
              <w:t>Resultados</w:t>
            </w:r>
          </w:p>
        </w:tc>
        <w:tc>
          <w:tcPr>
            <w:tcW w:w="3281" w:type="dxa"/>
          </w:tcPr>
          <w:p>
            <w:pPr>
              <w:pStyle w:val="TableParagraph"/>
              <w:spacing w:before="149"/>
              <w:ind w:right="198"/>
              <w:jc w:val="right"/>
              <w:rPr>
                <w:sz w:val="24"/>
              </w:rPr>
            </w:pPr>
            <w:r>
              <w:rPr>
                <w:sz w:val="24"/>
              </w:rPr>
              <w:t>59</w:t>
            </w:r>
          </w:p>
        </w:tc>
      </w:tr>
      <w:tr>
        <w:trPr>
          <w:trHeight w:val="598" w:hRule="exact"/>
        </w:trPr>
        <w:tc>
          <w:tcPr>
            <w:tcW w:w="5401" w:type="dxa"/>
          </w:tcPr>
          <w:p>
            <w:pPr>
              <w:pStyle w:val="TableParagraph"/>
              <w:spacing w:before="148"/>
              <w:ind w:left="200"/>
              <w:jc w:val="left"/>
              <w:rPr>
                <w:sz w:val="24"/>
              </w:rPr>
            </w:pPr>
            <w:r>
              <w:rPr>
                <w:b/>
                <w:sz w:val="24"/>
              </w:rPr>
              <w:t>7.  </w:t>
            </w:r>
            <w:r>
              <w:rPr>
                <w:sz w:val="24"/>
              </w:rPr>
              <w:t>Discusión</w:t>
            </w:r>
          </w:p>
        </w:tc>
        <w:tc>
          <w:tcPr>
            <w:tcW w:w="3281" w:type="dxa"/>
          </w:tcPr>
          <w:p>
            <w:pPr>
              <w:pStyle w:val="TableParagraph"/>
              <w:spacing w:before="148"/>
              <w:ind w:right="198"/>
              <w:jc w:val="right"/>
              <w:rPr>
                <w:sz w:val="24"/>
              </w:rPr>
            </w:pPr>
            <w:r>
              <w:rPr>
                <w:sz w:val="24"/>
              </w:rPr>
              <w:t>66</w:t>
            </w:r>
          </w:p>
        </w:tc>
      </w:tr>
      <w:tr>
        <w:trPr>
          <w:trHeight w:val="598" w:hRule="exact"/>
        </w:trPr>
        <w:tc>
          <w:tcPr>
            <w:tcW w:w="5401" w:type="dxa"/>
          </w:tcPr>
          <w:p>
            <w:pPr>
              <w:pStyle w:val="TableParagraph"/>
              <w:spacing w:before="148"/>
              <w:ind w:left="200"/>
              <w:jc w:val="left"/>
              <w:rPr>
                <w:sz w:val="24"/>
              </w:rPr>
            </w:pPr>
            <w:r>
              <w:rPr>
                <w:b/>
                <w:sz w:val="24"/>
              </w:rPr>
              <w:t>8.  </w:t>
            </w:r>
            <w:r>
              <w:rPr>
                <w:sz w:val="24"/>
              </w:rPr>
              <w:t>Conclusiones</w:t>
            </w:r>
          </w:p>
        </w:tc>
        <w:tc>
          <w:tcPr>
            <w:tcW w:w="3281" w:type="dxa"/>
          </w:tcPr>
          <w:p>
            <w:pPr>
              <w:pStyle w:val="TableParagraph"/>
              <w:spacing w:before="148"/>
              <w:ind w:right="198"/>
              <w:jc w:val="right"/>
              <w:rPr>
                <w:sz w:val="24"/>
              </w:rPr>
            </w:pPr>
            <w:r>
              <w:rPr>
                <w:sz w:val="24"/>
              </w:rPr>
              <w:t>69</w:t>
            </w:r>
          </w:p>
        </w:tc>
      </w:tr>
      <w:tr>
        <w:trPr>
          <w:trHeight w:val="598" w:hRule="exact"/>
        </w:trPr>
        <w:tc>
          <w:tcPr>
            <w:tcW w:w="5401" w:type="dxa"/>
          </w:tcPr>
          <w:p>
            <w:pPr>
              <w:pStyle w:val="TableParagraph"/>
              <w:spacing w:before="148"/>
              <w:ind w:left="200"/>
              <w:jc w:val="left"/>
              <w:rPr>
                <w:sz w:val="24"/>
              </w:rPr>
            </w:pPr>
            <w:r>
              <w:rPr>
                <w:b/>
                <w:sz w:val="24"/>
              </w:rPr>
              <w:t>9.  </w:t>
            </w:r>
            <w:r>
              <w:rPr>
                <w:sz w:val="24"/>
              </w:rPr>
              <w:t>Referencias</w:t>
            </w:r>
          </w:p>
        </w:tc>
        <w:tc>
          <w:tcPr>
            <w:tcW w:w="3281" w:type="dxa"/>
          </w:tcPr>
          <w:p>
            <w:pPr>
              <w:pStyle w:val="TableParagraph"/>
              <w:spacing w:before="148"/>
              <w:ind w:right="198"/>
              <w:jc w:val="right"/>
              <w:rPr>
                <w:sz w:val="24"/>
              </w:rPr>
            </w:pPr>
            <w:r>
              <w:rPr>
                <w:sz w:val="24"/>
              </w:rPr>
              <w:t>70</w:t>
            </w:r>
          </w:p>
        </w:tc>
      </w:tr>
      <w:tr>
        <w:trPr>
          <w:trHeight w:val="421" w:hRule="exact"/>
        </w:trPr>
        <w:tc>
          <w:tcPr>
            <w:tcW w:w="5401" w:type="dxa"/>
          </w:tcPr>
          <w:p>
            <w:pPr>
              <w:pStyle w:val="TableParagraph"/>
              <w:spacing w:before="150"/>
              <w:ind w:left="200"/>
              <w:jc w:val="left"/>
              <w:rPr>
                <w:sz w:val="24"/>
              </w:rPr>
            </w:pPr>
            <w:r>
              <w:rPr>
                <w:b/>
                <w:sz w:val="24"/>
              </w:rPr>
              <w:t>10. </w:t>
            </w:r>
            <w:r>
              <w:rPr>
                <w:sz w:val="24"/>
              </w:rPr>
              <w:t>Anexos</w:t>
            </w:r>
          </w:p>
        </w:tc>
        <w:tc>
          <w:tcPr>
            <w:tcW w:w="3281" w:type="dxa"/>
          </w:tcPr>
          <w:p>
            <w:pPr>
              <w:pStyle w:val="TableParagraph"/>
              <w:spacing w:before="148"/>
              <w:ind w:right="198"/>
              <w:jc w:val="right"/>
              <w:rPr>
                <w:sz w:val="24"/>
              </w:rPr>
            </w:pPr>
            <w:r>
              <w:rPr>
                <w:sz w:val="24"/>
              </w:rPr>
              <w:t>75</w:t>
            </w:r>
          </w:p>
        </w:tc>
      </w:tr>
    </w:tbl>
    <w:p>
      <w:pPr>
        <w:spacing w:after="0"/>
        <w:jc w:val="right"/>
        <w:rPr>
          <w:sz w:val="24"/>
        </w:rPr>
        <w:sectPr>
          <w:pgSz w:w="12240" w:h="15840"/>
          <w:pgMar w:top="1440" w:bottom="280" w:left="1720" w:right="1600"/>
        </w:sectPr>
      </w:pPr>
    </w:p>
    <w:p>
      <w:pPr>
        <w:spacing w:before="52"/>
        <w:ind w:left="804" w:right="821" w:firstLine="0"/>
        <w:jc w:val="center"/>
        <w:rPr>
          <w:b/>
          <w:sz w:val="28"/>
        </w:rPr>
      </w:pPr>
      <w:r>
        <w:rPr>
          <w:b/>
          <w:sz w:val="28"/>
        </w:rPr>
        <w:t>Resumen</w:t>
      </w:r>
    </w:p>
    <w:p>
      <w:pPr>
        <w:pStyle w:val="Heading3"/>
        <w:spacing w:before="251"/>
        <w:ind w:left="799" w:right="821"/>
        <w:jc w:val="center"/>
      </w:pPr>
      <w:r>
        <w:rPr/>
        <w:t>Análisis de Kim en adolescentes y adultos mexiquenses</w:t>
      </w:r>
    </w:p>
    <w:p>
      <w:pPr>
        <w:pStyle w:val="BodyText"/>
        <w:rPr>
          <w:b/>
        </w:rPr>
      </w:pPr>
    </w:p>
    <w:p>
      <w:pPr>
        <w:pStyle w:val="BodyText"/>
        <w:spacing w:before="6"/>
        <w:rPr>
          <w:b/>
          <w:sz w:val="21"/>
        </w:rPr>
      </w:pPr>
    </w:p>
    <w:p>
      <w:pPr>
        <w:spacing w:line="247" w:lineRule="auto" w:before="0"/>
        <w:ind w:left="102" w:right="115" w:firstLine="0"/>
        <w:jc w:val="both"/>
        <w:rPr>
          <w:sz w:val="23"/>
        </w:rPr>
      </w:pPr>
      <w:r>
        <w:rPr>
          <w:sz w:val="23"/>
        </w:rPr>
        <w:t>Thania Castañeda Rendón</w:t>
      </w:r>
      <w:r>
        <w:rPr>
          <w:position w:val="11"/>
          <w:sz w:val="15"/>
        </w:rPr>
        <w:t>1</w:t>
      </w:r>
      <w:r>
        <w:rPr>
          <w:sz w:val="23"/>
        </w:rPr>
        <w:t>, Toshio Kubodera Ito</w:t>
      </w:r>
      <w:r>
        <w:rPr>
          <w:position w:val="11"/>
          <w:sz w:val="15"/>
        </w:rPr>
        <w:t>1</w:t>
      </w:r>
      <w:r>
        <w:rPr>
          <w:sz w:val="23"/>
        </w:rPr>
        <w:t>, Saraí López González</w:t>
      </w:r>
      <w:r>
        <w:rPr>
          <w:position w:val="11"/>
          <w:sz w:val="15"/>
        </w:rPr>
        <w:t>1</w:t>
      </w:r>
      <w:r>
        <w:rPr>
          <w:sz w:val="23"/>
        </w:rPr>
        <w:t>, Edith Lara Carrillo</w:t>
      </w:r>
      <w:r>
        <w:rPr>
          <w:position w:val="11"/>
          <w:sz w:val="15"/>
        </w:rPr>
        <w:t>1</w:t>
      </w:r>
      <w:r>
        <w:rPr>
          <w:sz w:val="23"/>
        </w:rPr>
        <w:t>.</w:t>
      </w:r>
    </w:p>
    <w:p>
      <w:pPr>
        <w:spacing w:before="195"/>
        <w:ind w:left="102" w:right="0" w:firstLine="0"/>
        <w:jc w:val="both"/>
        <w:rPr>
          <w:sz w:val="23"/>
        </w:rPr>
      </w:pPr>
      <w:r>
        <w:rPr>
          <w:position w:val="11"/>
          <w:sz w:val="15"/>
        </w:rPr>
        <w:t>1 </w:t>
      </w:r>
      <w:r>
        <w:rPr>
          <w:sz w:val="23"/>
        </w:rPr>
        <w:t>Centro de Investigación y Estudios Avanzados en Odontología. UAEM.</w:t>
      </w:r>
    </w:p>
    <w:p>
      <w:pPr>
        <w:pStyle w:val="BodyText"/>
        <w:rPr>
          <w:sz w:val="28"/>
        </w:rPr>
      </w:pPr>
    </w:p>
    <w:p>
      <w:pPr>
        <w:spacing w:line="278" w:lineRule="auto" w:before="172"/>
        <w:ind w:left="102" w:right="118" w:firstLine="0"/>
        <w:jc w:val="both"/>
        <w:rPr>
          <w:sz w:val="23"/>
        </w:rPr>
      </w:pPr>
      <w:r>
        <w:rPr>
          <w:b/>
          <w:sz w:val="23"/>
        </w:rPr>
        <w:t>Introducción: </w:t>
      </w:r>
      <w:r>
        <w:rPr>
          <w:sz w:val="23"/>
        </w:rPr>
        <w:t>El análisis cefalométrico permite comparar las características esqueléticas de un paciente con un grupo de referencia normal. El análisis de Kim evalúa maloclusiones, en sentido vertical con ayuda del Índice de Sobremordida Vertical (ODI), y horizontal mediante el Índice de Discrepancia Antero Posterior (APDI).</w:t>
      </w:r>
    </w:p>
    <w:p>
      <w:pPr>
        <w:spacing w:line="278" w:lineRule="auto" w:before="193"/>
        <w:ind w:left="102" w:right="121" w:firstLine="0"/>
        <w:jc w:val="both"/>
        <w:rPr>
          <w:sz w:val="23"/>
        </w:rPr>
      </w:pPr>
      <w:r>
        <w:rPr>
          <w:b/>
          <w:sz w:val="23"/>
        </w:rPr>
        <w:t>Problema de Investigación: </w:t>
      </w:r>
      <w:r>
        <w:rPr>
          <w:sz w:val="23"/>
        </w:rPr>
        <w:t>¿Cuáles son los estándares cefalométricos del análisis de Kim en la población mexiquense en adolescentes entre 15-17 y mayores de 18 años?</w:t>
      </w:r>
    </w:p>
    <w:p>
      <w:pPr>
        <w:spacing w:line="278" w:lineRule="auto" w:before="193"/>
        <w:ind w:left="102" w:right="125" w:firstLine="0"/>
        <w:jc w:val="both"/>
        <w:rPr>
          <w:sz w:val="23"/>
        </w:rPr>
      </w:pPr>
      <w:r>
        <w:rPr>
          <w:b/>
          <w:sz w:val="23"/>
        </w:rPr>
        <w:t>Objetivo: </w:t>
      </w:r>
      <w:r>
        <w:rPr>
          <w:sz w:val="23"/>
        </w:rPr>
        <w:t>Establecer los parámetros cefalométricos ideales de acuerdo al Análisis de Kim para población mexiquense de 15 a 17 y mayores de 18 años de edad.</w:t>
      </w:r>
    </w:p>
    <w:p>
      <w:pPr>
        <w:spacing w:line="276" w:lineRule="auto" w:before="193"/>
        <w:ind w:left="102" w:right="118" w:firstLine="0"/>
        <w:jc w:val="both"/>
        <w:rPr>
          <w:sz w:val="23"/>
        </w:rPr>
      </w:pPr>
      <w:r>
        <w:rPr>
          <w:b/>
          <w:sz w:val="23"/>
        </w:rPr>
        <w:t>Metodología: </w:t>
      </w:r>
      <w:r>
        <w:rPr>
          <w:sz w:val="23"/>
        </w:rPr>
        <w:t>Descriptivo, transversal, comparativo. Muestra: 97 estudiantes mayores de 15 años, con padres y abuelos mexiquenses, relación Clase I canina, molar y esquelética; buen perfil y simetría facial, overjet y overbite menor de 2.5mm, dentición permanente, sin apiñamiento, caries, ni tratamiento ortodóntico o quirúrgico; divididos en 2 grupos G1:15</w:t>
      </w:r>
      <w:r>
        <w:rPr>
          <w:rFonts w:ascii="Sylfaen" w:hAnsi="Sylfaen"/>
          <w:sz w:val="23"/>
        </w:rPr>
        <w:t>-</w:t>
      </w:r>
      <w:r>
        <w:rPr>
          <w:sz w:val="23"/>
        </w:rPr>
        <w:t>17 años y G2:mayores de 18 años, y por sexo. Se tomó  radiografía lateral de cráneo y realizó trazado cefalométrico de acuerdo a los parámetros establecidos por Kim para obtener ODI y APDI. Con las mediciones obtenidas se aplicó la prueba T de Student para muestras</w:t>
      </w:r>
      <w:r>
        <w:rPr>
          <w:spacing w:val="-17"/>
          <w:sz w:val="23"/>
        </w:rPr>
        <w:t> </w:t>
      </w:r>
      <w:r>
        <w:rPr>
          <w:sz w:val="23"/>
        </w:rPr>
        <w:t>independientes.</w:t>
      </w:r>
    </w:p>
    <w:p>
      <w:pPr>
        <w:spacing w:line="276" w:lineRule="auto" w:before="196"/>
        <w:ind w:left="102" w:right="118" w:firstLine="0"/>
        <w:jc w:val="both"/>
        <w:rPr>
          <w:sz w:val="23"/>
        </w:rPr>
      </w:pPr>
      <w:r>
        <w:rPr>
          <w:b/>
          <w:sz w:val="23"/>
        </w:rPr>
        <w:t>Resultados: </w:t>
      </w:r>
      <w:r>
        <w:rPr>
          <w:sz w:val="23"/>
        </w:rPr>
        <w:t>ODI de 71.43º y APDI de 85.92º para el total de la muestra. Por grupos, se encontró una diferencia significativa en APDI (p=0.057), siendo mayor en G1, y en comparación entre sexos en MP</w:t>
      </w:r>
      <w:r>
        <w:rPr>
          <w:rFonts w:ascii="Sylfaen" w:hAnsi="Sylfaen"/>
          <w:sz w:val="23"/>
        </w:rPr>
        <w:t>-</w:t>
      </w:r>
      <w:r>
        <w:rPr>
          <w:sz w:val="23"/>
        </w:rPr>
        <w:t>AB (p=0.013) con resultado mayor en hombres. En comparación por sexo en ambos grupos, las diferencias significativas encontradas son: G1 en APDI (p=0.027), mayor en mujeres, y G2 en MP</w:t>
      </w:r>
      <w:r>
        <w:rPr>
          <w:rFonts w:ascii="Sylfaen" w:hAnsi="Sylfaen"/>
          <w:sz w:val="23"/>
        </w:rPr>
        <w:t>-</w:t>
      </w:r>
      <w:r>
        <w:rPr>
          <w:sz w:val="23"/>
        </w:rPr>
        <w:t>AB (p=0.036) mayor en hombres.</w:t>
      </w:r>
    </w:p>
    <w:p>
      <w:pPr>
        <w:pStyle w:val="BodyText"/>
        <w:spacing w:before="3"/>
        <w:rPr>
          <w:sz w:val="17"/>
        </w:rPr>
      </w:pPr>
    </w:p>
    <w:p>
      <w:pPr>
        <w:spacing w:line="278" w:lineRule="auto" w:before="0"/>
        <w:ind w:left="102" w:right="122" w:firstLine="0"/>
        <w:jc w:val="both"/>
        <w:rPr>
          <w:sz w:val="23"/>
        </w:rPr>
      </w:pPr>
      <w:r>
        <w:rPr>
          <w:b/>
          <w:sz w:val="23"/>
        </w:rPr>
        <w:t>Conclusiones: </w:t>
      </w:r>
      <w:r>
        <w:rPr>
          <w:sz w:val="23"/>
        </w:rPr>
        <w:t>En el presente estudio, el grupo de 15 a 17 años presenta un mayor crecimiento horizontal, siendo más evidente en las mujeres; mientras que los hombres en general muestran mayor crecimiento vertical, siendo significativamente superior para mayores de 18 años.</w:t>
      </w:r>
    </w:p>
    <w:p>
      <w:pPr>
        <w:spacing w:after="0" w:line="278" w:lineRule="auto"/>
        <w:jc w:val="both"/>
        <w:rPr>
          <w:sz w:val="23"/>
        </w:rPr>
        <w:sectPr>
          <w:pgSz w:w="12240" w:h="15840"/>
          <w:pgMar w:top="1360" w:bottom="280" w:left="1600" w:right="1580"/>
        </w:sectPr>
      </w:pPr>
    </w:p>
    <w:p>
      <w:pPr>
        <w:pStyle w:val="Heading1"/>
        <w:ind w:left="1186" w:right="122" w:firstLine="0"/>
        <w:jc w:val="center"/>
      </w:pPr>
      <w:r>
        <w:rPr/>
        <w:t>Introducción</w:t>
      </w:r>
    </w:p>
    <w:p>
      <w:pPr>
        <w:pStyle w:val="BodyText"/>
        <w:rPr>
          <w:b/>
          <w:sz w:val="28"/>
        </w:rPr>
      </w:pPr>
    </w:p>
    <w:p>
      <w:pPr>
        <w:pStyle w:val="BodyText"/>
        <w:spacing w:before="3"/>
        <w:rPr>
          <w:b/>
          <w:sz w:val="28"/>
        </w:rPr>
      </w:pPr>
    </w:p>
    <w:p>
      <w:pPr>
        <w:pStyle w:val="BodyText"/>
        <w:spacing w:line="276" w:lineRule="auto"/>
        <w:ind w:left="102" w:right="121"/>
        <w:jc w:val="both"/>
      </w:pPr>
      <w:r>
        <w:rPr/>
        <w:t>El diagnóstico es la guía que nos muestra el camino a seguir para el establecimiento del plan de tratamiento, y poder diagnosticar en el área de Ortodoncia, implica conocer primeramente todas las características que presenta el paciente, auxiliándose de los medios existentes que consisten en radiografías, modelos de estudio y</w:t>
      </w:r>
      <w:r>
        <w:rPr>
          <w:spacing w:val="-14"/>
        </w:rPr>
        <w:t> </w:t>
      </w:r>
      <w:r>
        <w:rPr/>
        <w:t>fotografías.</w:t>
      </w:r>
    </w:p>
    <w:p>
      <w:pPr>
        <w:pStyle w:val="BodyText"/>
        <w:spacing w:line="276" w:lineRule="auto" w:before="200"/>
        <w:ind w:left="102" w:right="124"/>
        <w:jc w:val="both"/>
      </w:pPr>
      <w:r>
        <w:rPr/>
        <w:t>Las radiografías cefalométricas nos revelan la condición craneofacial y dental de cada individuo, por lo que es un método irremplazable para el establecimiento del diagnóstico, además que ayuda a analizar los cambios logrados durante y después del</w:t>
      </w:r>
      <w:r>
        <w:rPr>
          <w:spacing w:val="-10"/>
        </w:rPr>
        <w:t> </w:t>
      </w:r>
      <w:r>
        <w:rPr/>
        <w:t>tratamiento.</w:t>
      </w:r>
    </w:p>
    <w:p>
      <w:pPr>
        <w:pStyle w:val="BodyText"/>
        <w:spacing w:line="276" w:lineRule="auto" w:before="202"/>
        <w:ind w:left="102" w:right="123"/>
        <w:jc w:val="both"/>
      </w:pPr>
      <w:r>
        <w:rPr/>
        <w:t>El ortodoncista debe encontrar en un análisis cefalométrico los elementos necesarios que le permitan evaluar las estructuras craneofaciales e identificar las posibles causas de la maloclusión</w:t>
      </w:r>
    </w:p>
    <w:p>
      <w:pPr>
        <w:pStyle w:val="BodyText"/>
        <w:spacing w:line="276" w:lineRule="auto" w:before="202"/>
        <w:ind w:left="102" w:right="126"/>
        <w:jc w:val="both"/>
      </w:pPr>
      <w:r>
        <w:rPr/>
        <w:t>Desde 1931 con la aparición de la cefalometría radiográfica de la mano de Hofrath en Alemania y Broadbent en E.U, comienza una vertiginosa carrera con la aparición de numerosos análisis, por lo que en la actualidad nos encontramos con esta vasta variedad.</w:t>
      </w:r>
    </w:p>
    <w:p>
      <w:pPr>
        <w:pStyle w:val="BodyText"/>
        <w:spacing w:line="276" w:lineRule="auto" w:before="202"/>
        <w:ind w:left="102" w:right="119"/>
        <w:jc w:val="both"/>
      </w:pPr>
      <w:r>
        <w:rPr/>
        <w:t>Los análisis cefalométricos están siempre dirigidos a una población específica, por lo que resulta erróneo utilizarlo arbitrariamente por las diferencias morfológicas conocidas de cada región; se debe primeramente alcanzar una estandarización para la población a la que se pretende aplicar; esto nos permitirá conocer con certeza todas las variaciones morfológicas en las etapas de crecimiento, en cada sexo y será útil para hacer comparaciones entre regiones étnicas.</w:t>
      </w:r>
    </w:p>
    <w:p>
      <w:pPr>
        <w:pStyle w:val="BodyText"/>
        <w:spacing w:line="276" w:lineRule="auto" w:before="202"/>
        <w:ind w:left="102" w:right="119"/>
        <w:jc w:val="both"/>
      </w:pPr>
      <w:r>
        <w:rPr/>
        <w:t>El análisis de Kim, es una gran propuesta para la determinación de las  condiciones del paciente, permite evaluar el patrón de una maloclusión mediante tres simples indicadores, así puede tenerse un panorama desde el punto de vista vertical con el Indicador de Profundidad de Sobremordida Vertical (ODI), la visión desde el punto de vista horizontal mediante el Indicador de Displasia Antero Posterior (APDI), además de que ofrece un Índice de Extracciones que contribuye a la determinación de este procedimiento con fines</w:t>
      </w:r>
      <w:r>
        <w:rPr>
          <w:spacing w:val="-16"/>
        </w:rPr>
        <w:t> </w:t>
      </w:r>
      <w:r>
        <w:rPr/>
        <w:t>ortodónticos.</w:t>
      </w:r>
    </w:p>
    <w:p>
      <w:pPr>
        <w:pStyle w:val="BodyText"/>
        <w:spacing w:line="276" w:lineRule="auto" w:before="202"/>
        <w:ind w:left="102" w:right="117"/>
        <w:jc w:val="both"/>
      </w:pPr>
      <w:r>
        <w:rPr/>
        <w:t>Este trabajo de investigación tiene como objetivo establecer los estándares cefalométricos de adolescentes de 15-17 y mayores de 18 años, apoyados en los exámenes radiográficos preexistentes en los archivos clínicos de la Clínica de Ortodoncia del Centro de Investigación y Estudios Avanzados en Odontología de la UAEM, mencionando que los parámetros correspondientes a los grupos de</w:t>
      </w:r>
      <w:r>
        <w:rPr>
          <w:spacing w:val="7"/>
        </w:rPr>
        <w:t> </w:t>
      </w:r>
      <w:r>
        <w:rPr/>
        <w:t>9-11</w:t>
      </w:r>
    </w:p>
    <w:p>
      <w:pPr>
        <w:spacing w:after="0" w:line="276" w:lineRule="auto"/>
        <w:jc w:val="both"/>
        <w:sectPr>
          <w:pgSz w:w="12240" w:h="15840"/>
          <w:pgMar w:top="1360" w:bottom="280" w:left="1600" w:right="1580"/>
        </w:sectPr>
      </w:pPr>
    </w:p>
    <w:p>
      <w:pPr>
        <w:pStyle w:val="BodyText"/>
        <w:spacing w:line="276" w:lineRule="auto" w:before="54"/>
        <w:ind w:left="102" w:right="101"/>
        <w:jc w:val="both"/>
      </w:pPr>
      <w:r>
        <w:rPr/>
        <w:t>y 12-14 años de edad, ya han sido analizados; y estos rangos representarían la completa integración de dicho análisis para poder ser implementado en nuestra población.</w:t>
      </w:r>
    </w:p>
    <w:p>
      <w:pPr>
        <w:pStyle w:val="BodyText"/>
        <w:spacing w:line="360" w:lineRule="auto" w:before="200"/>
        <w:ind w:left="102" w:right="104"/>
      </w:pPr>
      <w:r>
        <w:rPr/>
        <w:t>Se pretende que la aplicación de los estándares del Análisis de Kim sean de gran utilidad como auxiliar del diagnóstico aplicado a la población mexiquense, para de esta manera, proporcionar un tratamiento más certero y eficaz de las distintas maloclusiones que padecen los pacientes.</w:t>
      </w:r>
    </w:p>
    <w:p>
      <w:pPr>
        <w:spacing w:after="0" w:line="360" w:lineRule="auto"/>
        <w:sectPr>
          <w:pgSz w:w="12240" w:h="15840"/>
          <w:pgMar w:top="1360" w:bottom="280" w:left="1600" w:right="1600"/>
        </w:sectPr>
      </w:pPr>
    </w:p>
    <w:p>
      <w:pPr>
        <w:pStyle w:val="Heading1"/>
        <w:ind w:left="3445" w:right="139" w:firstLine="0"/>
      </w:pPr>
      <w:r>
        <w:rPr/>
        <w:t>1. Antecedentes</w:t>
      </w:r>
    </w:p>
    <w:p>
      <w:pPr>
        <w:pStyle w:val="Heading3"/>
        <w:spacing w:before="251"/>
        <w:ind w:right="139"/>
      </w:pPr>
      <w:r>
        <w:rPr/>
        <w:t>1.1 Diagnóstico en Ortodoncia.</w:t>
      </w:r>
    </w:p>
    <w:p>
      <w:pPr>
        <w:pStyle w:val="BodyText"/>
        <w:spacing w:before="4"/>
        <w:rPr>
          <w:b/>
          <w:sz w:val="29"/>
        </w:rPr>
      </w:pPr>
    </w:p>
    <w:p>
      <w:pPr>
        <w:pStyle w:val="BodyText"/>
        <w:spacing w:line="345" w:lineRule="auto" w:before="1"/>
        <w:ind w:left="102" w:right="123"/>
        <w:jc w:val="both"/>
        <w:rPr>
          <w:sz w:val="16"/>
        </w:rPr>
      </w:pPr>
      <w:r>
        <w:rPr/>
        <w:t>Diagnóstico es una palabra que proviene del griego diagnosis y significa a través del conocimiento. Es la parte de la medicina que se ocupa de la determinación de las enfermedades por sus signos y síntomas.</w:t>
      </w:r>
      <w:r>
        <w:rPr>
          <w:position w:val="11"/>
          <w:sz w:val="16"/>
        </w:rPr>
        <w:t>1</w:t>
      </w:r>
    </w:p>
    <w:p>
      <w:pPr>
        <w:pStyle w:val="BodyText"/>
        <w:spacing w:line="350" w:lineRule="auto" w:before="204"/>
        <w:ind w:left="102" w:right="118"/>
        <w:jc w:val="both"/>
        <w:rPr>
          <w:sz w:val="16"/>
        </w:rPr>
      </w:pPr>
      <w:r>
        <w:rPr/>
        <w:t>Diagnosticar es un proceso que involucra la síntesis de la información obtenida luego de un examen clínico exhaustivo, en el cual primeramente se emite un “diagnóstico presuntivo”, que es corroborado o mejorado a través de exámenes complementarios, para finalmente establecer un diagnóstico definitivo.</w:t>
      </w:r>
      <w:r>
        <w:rPr>
          <w:position w:val="11"/>
          <w:sz w:val="16"/>
        </w:rPr>
        <w:t>2</w:t>
      </w:r>
    </w:p>
    <w:p>
      <w:pPr>
        <w:pStyle w:val="BodyText"/>
        <w:spacing w:line="360" w:lineRule="auto" w:before="198"/>
        <w:ind w:left="102" w:right="117"/>
        <w:jc w:val="both"/>
      </w:pPr>
      <w:r>
        <w:rPr/>
        <w:t>El diagnóstico en Ortodoncia, como en cualquier otra especialidad médica, es el elemento principal para establecer y precisar las metas de un tratamiento; el diagnóstico indica el tratamiento para un padecimiento. Conocer y reconocer la etiología de los problemas que se presentan y definir la relaciones entre los problemas esqueletales, dentales, faciales y funcionales, juegan un papel fundamental al especificar las características individuales y considerar un orden de prioridad en el plan de tratamiento. Requiere de la síntesis en una lista discernida de problemas, cada uno definido tan claramente que el plan de tratamiento surge por  sí  mismo;  tradicionalmente   se   acepta   que   se  debe   realizar  un   </w:t>
      </w:r>
      <w:r>
        <w:rPr>
          <w:spacing w:val="53"/>
        </w:rPr>
        <w:t> </w:t>
      </w:r>
      <w:r>
        <w:rPr/>
        <w:t>buen</w:t>
      </w:r>
    </w:p>
    <w:p>
      <w:pPr>
        <w:pStyle w:val="BodyText"/>
        <w:spacing w:line="279" w:lineRule="exact"/>
        <w:ind w:left="102"/>
        <w:jc w:val="both"/>
        <w:rPr>
          <w:sz w:val="16"/>
        </w:rPr>
      </w:pPr>
      <w:r>
        <w:rPr/>
        <w:t>diagnóstico, y que éste es base fundamental para lograr el éxito terapéutico.</w:t>
      </w:r>
      <w:r>
        <w:rPr>
          <w:position w:val="11"/>
          <w:sz w:val="16"/>
        </w:rPr>
        <w:t>2,3</w:t>
      </w:r>
    </w:p>
    <w:p>
      <w:pPr>
        <w:pStyle w:val="BodyText"/>
        <w:spacing w:before="4"/>
        <w:rPr>
          <w:sz w:val="29"/>
        </w:rPr>
      </w:pPr>
    </w:p>
    <w:p>
      <w:pPr>
        <w:pStyle w:val="BodyText"/>
        <w:spacing w:line="331" w:lineRule="auto" w:before="1"/>
        <w:ind w:left="102" w:right="121"/>
        <w:jc w:val="both"/>
        <w:rPr>
          <w:sz w:val="16"/>
        </w:rPr>
      </w:pPr>
      <w:r>
        <w:rPr/>
        <w:t>Al término de un tratamiento de Ortodoncia los preceptos esenciales que se deben conseguir son: función, estabilidad, salud periodontal, salud articular y estética.</w:t>
      </w:r>
      <w:r>
        <w:rPr>
          <w:position w:val="11"/>
          <w:sz w:val="16"/>
        </w:rPr>
        <w:t>1,3</w:t>
      </w:r>
    </w:p>
    <w:p>
      <w:pPr>
        <w:pStyle w:val="BodyText"/>
        <w:spacing w:before="220"/>
        <w:ind w:left="102"/>
        <w:jc w:val="both"/>
      </w:pPr>
      <w:r>
        <w:rPr/>
        <w:t>En el diagnóstico y plan de tratamiento el ortodoncista debe:</w:t>
      </w:r>
    </w:p>
    <w:p>
      <w:pPr>
        <w:pStyle w:val="BodyText"/>
        <w:spacing w:before="6"/>
        <w:rPr>
          <w:sz w:val="29"/>
        </w:rPr>
      </w:pPr>
    </w:p>
    <w:p>
      <w:pPr>
        <w:pStyle w:val="ListParagraph"/>
        <w:numPr>
          <w:ilvl w:val="0"/>
          <w:numId w:val="2"/>
        </w:numPr>
        <w:tabs>
          <w:tab w:pos="821" w:val="left" w:leader="none"/>
          <w:tab w:pos="822" w:val="left" w:leader="none"/>
        </w:tabs>
        <w:spacing w:line="350" w:lineRule="auto" w:before="0" w:after="0"/>
        <w:ind w:left="822" w:right="123" w:hanging="360"/>
        <w:jc w:val="left"/>
        <w:rPr>
          <w:sz w:val="24"/>
        </w:rPr>
      </w:pPr>
      <w:r>
        <w:rPr>
          <w:sz w:val="24"/>
        </w:rPr>
        <w:t>Reconocer las diversas características de la maloclusión y deformidad dentofacial.</w:t>
      </w:r>
    </w:p>
    <w:p>
      <w:pPr>
        <w:pStyle w:val="ListParagraph"/>
        <w:numPr>
          <w:ilvl w:val="0"/>
          <w:numId w:val="2"/>
        </w:numPr>
        <w:tabs>
          <w:tab w:pos="821" w:val="left" w:leader="none"/>
          <w:tab w:pos="822" w:val="left" w:leader="none"/>
        </w:tabs>
        <w:spacing w:line="240" w:lineRule="auto" w:before="16" w:after="0"/>
        <w:ind w:left="822" w:right="0" w:hanging="360"/>
        <w:jc w:val="left"/>
        <w:rPr>
          <w:sz w:val="24"/>
        </w:rPr>
      </w:pPr>
      <w:r>
        <w:rPr>
          <w:sz w:val="24"/>
        </w:rPr>
        <w:t>Definir la naturaleza del</w:t>
      </w:r>
      <w:r>
        <w:rPr>
          <w:spacing w:val="-6"/>
          <w:sz w:val="24"/>
        </w:rPr>
        <w:t> </w:t>
      </w:r>
      <w:r>
        <w:rPr>
          <w:sz w:val="24"/>
        </w:rPr>
        <w:t>problema.</w:t>
      </w:r>
    </w:p>
    <w:p>
      <w:pPr>
        <w:pStyle w:val="ListParagraph"/>
        <w:numPr>
          <w:ilvl w:val="0"/>
          <w:numId w:val="2"/>
        </w:numPr>
        <w:tabs>
          <w:tab w:pos="821" w:val="left" w:leader="none"/>
          <w:tab w:pos="822" w:val="left" w:leader="none"/>
        </w:tabs>
        <w:spacing w:line="321" w:lineRule="auto" w:before="135" w:after="0"/>
        <w:ind w:left="822" w:right="123" w:hanging="360"/>
        <w:jc w:val="left"/>
        <w:rPr>
          <w:sz w:val="16"/>
        </w:rPr>
      </w:pPr>
      <w:r>
        <w:rPr>
          <w:sz w:val="24"/>
        </w:rPr>
        <w:t>Proyectar una estrategia de tratamiento basada en las necesidades específicas del</w:t>
      </w:r>
      <w:r>
        <w:rPr>
          <w:spacing w:val="-4"/>
          <w:sz w:val="24"/>
        </w:rPr>
        <w:t> </w:t>
      </w:r>
      <w:r>
        <w:rPr>
          <w:sz w:val="24"/>
        </w:rPr>
        <w:t>individuo.</w:t>
      </w:r>
      <w:r>
        <w:rPr>
          <w:position w:val="11"/>
          <w:sz w:val="16"/>
        </w:rPr>
        <w:t>3</w:t>
      </w:r>
    </w:p>
    <w:p>
      <w:pPr>
        <w:spacing w:after="0" w:line="321" w:lineRule="auto"/>
        <w:jc w:val="left"/>
        <w:rPr>
          <w:sz w:val="16"/>
        </w:rPr>
        <w:sectPr>
          <w:footerReference w:type="default" r:id="rId10"/>
          <w:pgSz w:w="12240" w:h="15840"/>
          <w:pgMar w:footer="1003" w:header="0" w:top="1360" w:bottom="1200" w:left="1600" w:right="1580"/>
          <w:pgNumType w:start="1"/>
        </w:sectPr>
      </w:pPr>
    </w:p>
    <w:p>
      <w:pPr>
        <w:pStyle w:val="BodyText"/>
        <w:spacing w:before="54"/>
        <w:ind w:left="102"/>
      </w:pPr>
      <w:r>
        <w:rPr/>
        <w:t>Los elementos que son necesarios para el diagnóstico en esta área son:</w:t>
      </w:r>
    </w:p>
    <w:p>
      <w:pPr>
        <w:pStyle w:val="BodyText"/>
        <w:spacing w:before="5"/>
        <w:rPr>
          <w:sz w:val="29"/>
        </w:rPr>
      </w:pPr>
    </w:p>
    <w:p>
      <w:pPr>
        <w:pStyle w:val="ListParagraph"/>
        <w:numPr>
          <w:ilvl w:val="0"/>
          <w:numId w:val="2"/>
        </w:numPr>
        <w:tabs>
          <w:tab w:pos="821" w:val="left" w:leader="none"/>
          <w:tab w:pos="822" w:val="left" w:leader="none"/>
        </w:tabs>
        <w:spacing w:line="240" w:lineRule="auto" w:before="1" w:after="0"/>
        <w:ind w:left="822" w:right="0" w:hanging="360"/>
        <w:jc w:val="left"/>
        <w:rPr>
          <w:sz w:val="24"/>
        </w:rPr>
      </w:pPr>
      <w:r>
        <w:rPr>
          <w:sz w:val="24"/>
        </w:rPr>
        <w:t>Historia clínica general completa con todos sus</w:t>
      </w:r>
      <w:r>
        <w:rPr>
          <w:spacing w:val="-16"/>
          <w:sz w:val="24"/>
        </w:rPr>
        <w:t> </w:t>
      </w:r>
      <w:r>
        <w:rPr>
          <w:sz w:val="24"/>
        </w:rPr>
        <w:t>elementos:</w:t>
      </w:r>
    </w:p>
    <w:p>
      <w:pPr>
        <w:pStyle w:val="ListParagraph"/>
        <w:numPr>
          <w:ilvl w:val="1"/>
          <w:numId w:val="2"/>
        </w:numPr>
        <w:tabs>
          <w:tab w:pos="1542" w:val="left" w:leader="none"/>
        </w:tabs>
        <w:spacing w:line="240" w:lineRule="auto" w:before="135" w:after="0"/>
        <w:ind w:left="1542" w:right="0" w:hanging="360"/>
        <w:jc w:val="left"/>
        <w:rPr>
          <w:rFonts w:ascii="Courier New" w:hAnsi="Courier New"/>
          <w:sz w:val="24"/>
        </w:rPr>
      </w:pPr>
      <w:r>
        <w:rPr>
          <w:sz w:val="24"/>
        </w:rPr>
        <w:t>Ficha de</w:t>
      </w:r>
      <w:r>
        <w:rPr>
          <w:spacing w:val="-4"/>
          <w:sz w:val="24"/>
        </w:rPr>
        <w:t> </w:t>
      </w:r>
      <w:r>
        <w:rPr>
          <w:sz w:val="24"/>
        </w:rPr>
        <w:t>identificación</w:t>
      </w:r>
    </w:p>
    <w:p>
      <w:pPr>
        <w:pStyle w:val="ListParagraph"/>
        <w:numPr>
          <w:ilvl w:val="1"/>
          <w:numId w:val="2"/>
        </w:numPr>
        <w:tabs>
          <w:tab w:pos="1542" w:val="left" w:leader="none"/>
        </w:tabs>
        <w:spacing w:line="240" w:lineRule="auto" w:before="118" w:after="0"/>
        <w:ind w:left="1542" w:right="0" w:hanging="360"/>
        <w:jc w:val="left"/>
        <w:rPr>
          <w:rFonts w:ascii="Courier New"/>
          <w:sz w:val="24"/>
        </w:rPr>
      </w:pPr>
      <w:r>
        <w:rPr>
          <w:sz w:val="24"/>
        </w:rPr>
        <w:t>Antecedentes</w:t>
      </w:r>
      <w:r>
        <w:rPr>
          <w:spacing w:val="-10"/>
          <w:sz w:val="24"/>
        </w:rPr>
        <w:t> </w:t>
      </w:r>
      <w:r>
        <w:rPr>
          <w:sz w:val="24"/>
        </w:rPr>
        <w:t>heredofamiliares</w:t>
      </w:r>
    </w:p>
    <w:p>
      <w:pPr>
        <w:pStyle w:val="ListParagraph"/>
        <w:numPr>
          <w:ilvl w:val="1"/>
          <w:numId w:val="2"/>
        </w:numPr>
        <w:tabs>
          <w:tab w:pos="1542" w:val="left" w:leader="none"/>
        </w:tabs>
        <w:spacing w:line="240" w:lineRule="auto" w:before="115" w:after="0"/>
        <w:ind w:left="1542" w:right="0" w:hanging="360"/>
        <w:jc w:val="left"/>
        <w:rPr>
          <w:rFonts w:ascii="Courier New" w:hAnsi="Courier New"/>
          <w:sz w:val="24"/>
        </w:rPr>
      </w:pPr>
      <w:r>
        <w:rPr>
          <w:sz w:val="24"/>
        </w:rPr>
        <w:t>Antecedentes personales no</w:t>
      </w:r>
      <w:r>
        <w:rPr>
          <w:spacing w:val="-14"/>
          <w:sz w:val="24"/>
        </w:rPr>
        <w:t> </w:t>
      </w:r>
      <w:r>
        <w:rPr>
          <w:sz w:val="24"/>
        </w:rPr>
        <w:t>patológicos</w:t>
      </w:r>
    </w:p>
    <w:p>
      <w:pPr>
        <w:pStyle w:val="ListParagraph"/>
        <w:numPr>
          <w:ilvl w:val="1"/>
          <w:numId w:val="2"/>
        </w:numPr>
        <w:tabs>
          <w:tab w:pos="1542" w:val="left" w:leader="none"/>
        </w:tabs>
        <w:spacing w:line="240" w:lineRule="auto" w:before="118" w:after="0"/>
        <w:ind w:left="1542" w:right="0" w:hanging="360"/>
        <w:jc w:val="left"/>
        <w:rPr>
          <w:rFonts w:ascii="Courier New" w:hAnsi="Courier New"/>
          <w:sz w:val="24"/>
        </w:rPr>
      </w:pPr>
      <w:r>
        <w:rPr>
          <w:sz w:val="24"/>
        </w:rPr>
        <w:t>Antecedentes personales</w:t>
      </w:r>
      <w:r>
        <w:rPr>
          <w:spacing w:val="-13"/>
          <w:sz w:val="24"/>
        </w:rPr>
        <w:t> </w:t>
      </w:r>
      <w:r>
        <w:rPr>
          <w:sz w:val="24"/>
        </w:rPr>
        <w:t>patológicos</w:t>
      </w:r>
    </w:p>
    <w:p>
      <w:pPr>
        <w:pStyle w:val="ListParagraph"/>
        <w:numPr>
          <w:ilvl w:val="1"/>
          <w:numId w:val="2"/>
        </w:numPr>
        <w:tabs>
          <w:tab w:pos="1542" w:val="left" w:leader="none"/>
        </w:tabs>
        <w:spacing w:line="240" w:lineRule="auto" w:before="115" w:after="0"/>
        <w:ind w:left="1542" w:right="0" w:hanging="360"/>
        <w:jc w:val="left"/>
        <w:rPr>
          <w:rFonts w:ascii="Courier New"/>
          <w:sz w:val="24"/>
        </w:rPr>
      </w:pPr>
      <w:r>
        <w:rPr>
          <w:sz w:val="24"/>
        </w:rPr>
        <w:t>Interrogatorio por aparatos y</w:t>
      </w:r>
      <w:r>
        <w:rPr>
          <w:spacing w:val="-13"/>
          <w:sz w:val="24"/>
        </w:rPr>
        <w:t> </w:t>
      </w:r>
      <w:r>
        <w:rPr>
          <w:sz w:val="24"/>
        </w:rPr>
        <w:t>sistemas</w:t>
      </w:r>
    </w:p>
    <w:p>
      <w:pPr>
        <w:pStyle w:val="ListParagraph"/>
        <w:numPr>
          <w:ilvl w:val="1"/>
          <w:numId w:val="2"/>
        </w:numPr>
        <w:tabs>
          <w:tab w:pos="1542" w:val="left" w:leader="none"/>
        </w:tabs>
        <w:spacing w:line="240" w:lineRule="auto" w:before="118" w:after="0"/>
        <w:ind w:left="1542" w:right="0" w:hanging="360"/>
        <w:jc w:val="left"/>
        <w:rPr>
          <w:rFonts w:ascii="Courier New"/>
          <w:sz w:val="24"/>
        </w:rPr>
      </w:pPr>
      <w:r>
        <w:rPr>
          <w:sz w:val="24"/>
        </w:rPr>
        <w:t>Padecimiento</w:t>
      </w:r>
      <w:r>
        <w:rPr>
          <w:spacing w:val="-6"/>
          <w:sz w:val="24"/>
        </w:rPr>
        <w:t> </w:t>
      </w:r>
      <w:r>
        <w:rPr>
          <w:sz w:val="24"/>
        </w:rPr>
        <w:t>actual</w:t>
      </w:r>
    </w:p>
    <w:p>
      <w:pPr>
        <w:pStyle w:val="ListParagraph"/>
        <w:numPr>
          <w:ilvl w:val="0"/>
          <w:numId w:val="2"/>
        </w:numPr>
        <w:tabs>
          <w:tab w:pos="821" w:val="left" w:leader="none"/>
          <w:tab w:pos="822" w:val="left" w:leader="none"/>
        </w:tabs>
        <w:spacing w:line="352" w:lineRule="auto" w:before="117" w:after="0"/>
        <w:ind w:left="822" w:right="157" w:hanging="360"/>
        <w:jc w:val="left"/>
        <w:rPr>
          <w:sz w:val="24"/>
        </w:rPr>
      </w:pPr>
      <w:r>
        <w:rPr>
          <w:sz w:val="24"/>
        </w:rPr>
        <w:t>Exploración extra e intrabucal rutinaria y cada vez que se ve al paciente en la</w:t>
      </w:r>
      <w:r>
        <w:rPr>
          <w:spacing w:val="-4"/>
          <w:sz w:val="24"/>
        </w:rPr>
        <w:t> </w:t>
      </w:r>
      <w:r>
        <w:rPr>
          <w:sz w:val="24"/>
        </w:rPr>
        <w:t>consulta.</w:t>
      </w:r>
    </w:p>
    <w:p>
      <w:pPr>
        <w:pStyle w:val="ListParagraph"/>
        <w:numPr>
          <w:ilvl w:val="0"/>
          <w:numId w:val="2"/>
        </w:numPr>
        <w:tabs>
          <w:tab w:pos="821" w:val="left" w:leader="none"/>
          <w:tab w:pos="822" w:val="left" w:leader="none"/>
        </w:tabs>
        <w:spacing w:line="240" w:lineRule="auto" w:before="11" w:after="0"/>
        <w:ind w:left="822" w:right="0" w:hanging="360"/>
        <w:jc w:val="left"/>
        <w:rPr>
          <w:sz w:val="24"/>
        </w:rPr>
      </w:pPr>
      <w:r>
        <w:rPr>
          <w:sz w:val="24"/>
        </w:rPr>
        <w:t>Evaluación y análisis de los auxiliares de diagnóstico en Ortodoncia</w:t>
      </w:r>
      <w:r>
        <w:rPr>
          <w:spacing w:val="-18"/>
          <w:sz w:val="24"/>
        </w:rPr>
        <w:t> </w:t>
      </w:r>
      <w:r>
        <w:rPr>
          <w:sz w:val="24"/>
        </w:rPr>
        <w:t>(Fig.1):</w:t>
      </w:r>
    </w:p>
    <w:p>
      <w:pPr>
        <w:pStyle w:val="ListParagraph"/>
        <w:numPr>
          <w:ilvl w:val="1"/>
          <w:numId w:val="2"/>
        </w:numPr>
        <w:tabs>
          <w:tab w:pos="1542" w:val="left" w:leader="none"/>
        </w:tabs>
        <w:spacing w:line="240" w:lineRule="auto" w:before="135" w:after="0"/>
        <w:ind w:left="1542" w:right="0" w:hanging="360"/>
        <w:jc w:val="left"/>
        <w:rPr>
          <w:rFonts w:ascii="Courier New" w:hAnsi="Courier New"/>
          <w:sz w:val="24"/>
        </w:rPr>
      </w:pPr>
      <w:r>
        <w:rPr>
          <w:sz w:val="24"/>
        </w:rPr>
        <w:t>Análisis de Rx</w:t>
      </w:r>
      <w:r>
        <w:rPr>
          <w:spacing w:val="-9"/>
          <w:sz w:val="24"/>
        </w:rPr>
        <w:t> </w:t>
      </w:r>
      <w:r>
        <w:rPr>
          <w:sz w:val="24"/>
        </w:rPr>
        <w:t>Panorámica</w:t>
      </w:r>
    </w:p>
    <w:p>
      <w:pPr>
        <w:pStyle w:val="ListParagraph"/>
        <w:numPr>
          <w:ilvl w:val="1"/>
          <w:numId w:val="2"/>
        </w:numPr>
        <w:tabs>
          <w:tab w:pos="1542" w:val="left" w:leader="none"/>
        </w:tabs>
        <w:spacing w:line="240" w:lineRule="auto" w:before="118" w:after="0"/>
        <w:ind w:left="1542" w:right="0" w:hanging="360"/>
        <w:jc w:val="left"/>
        <w:rPr>
          <w:rFonts w:ascii="Courier New" w:hAnsi="Courier New"/>
          <w:sz w:val="24"/>
        </w:rPr>
      </w:pPr>
      <w:r>
        <w:rPr>
          <w:sz w:val="24"/>
        </w:rPr>
        <w:t>Análisis</w:t>
      </w:r>
      <w:r>
        <w:rPr>
          <w:spacing w:val="-6"/>
          <w:sz w:val="24"/>
        </w:rPr>
        <w:t> </w:t>
      </w:r>
      <w:r>
        <w:rPr>
          <w:sz w:val="24"/>
        </w:rPr>
        <w:t>Cefalométrico</w:t>
      </w:r>
    </w:p>
    <w:p>
      <w:pPr>
        <w:pStyle w:val="ListParagraph"/>
        <w:numPr>
          <w:ilvl w:val="1"/>
          <w:numId w:val="2"/>
        </w:numPr>
        <w:tabs>
          <w:tab w:pos="1542" w:val="left" w:leader="none"/>
        </w:tabs>
        <w:spacing w:line="240" w:lineRule="auto" w:before="115" w:after="0"/>
        <w:ind w:left="1542" w:right="0" w:hanging="360"/>
        <w:jc w:val="left"/>
        <w:rPr>
          <w:rFonts w:ascii="Courier New" w:hAnsi="Courier New"/>
          <w:sz w:val="24"/>
        </w:rPr>
      </w:pPr>
      <w:r>
        <w:rPr>
          <w:sz w:val="24"/>
        </w:rPr>
        <w:t>Radiografía</w:t>
      </w:r>
      <w:r>
        <w:rPr>
          <w:spacing w:val="-4"/>
          <w:sz w:val="24"/>
        </w:rPr>
        <w:t> </w:t>
      </w:r>
      <w:r>
        <w:rPr>
          <w:sz w:val="24"/>
        </w:rPr>
        <w:t>Carpal</w:t>
      </w:r>
    </w:p>
    <w:p>
      <w:pPr>
        <w:pStyle w:val="ListParagraph"/>
        <w:numPr>
          <w:ilvl w:val="1"/>
          <w:numId w:val="2"/>
        </w:numPr>
        <w:tabs>
          <w:tab w:pos="1542" w:val="left" w:leader="none"/>
        </w:tabs>
        <w:spacing w:line="240" w:lineRule="auto" w:before="118" w:after="0"/>
        <w:ind w:left="1542" w:right="0" w:hanging="360"/>
        <w:jc w:val="left"/>
        <w:rPr>
          <w:rFonts w:ascii="Courier New" w:hAnsi="Courier New"/>
          <w:sz w:val="24"/>
        </w:rPr>
      </w:pPr>
      <w:r>
        <w:rPr>
          <w:sz w:val="24"/>
        </w:rPr>
        <w:t>Análisis</w:t>
      </w:r>
      <w:r>
        <w:rPr>
          <w:spacing w:val="-8"/>
          <w:sz w:val="24"/>
        </w:rPr>
        <w:t> </w:t>
      </w:r>
      <w:r>
        <w:rPr>
          <w:sz w:val="24"/>
        </w:rPr>
        <w:t>fotográfico</w:t>
      </w:r>
    </w:p>
    <w:p>
      <w:pPr>
        <w:pStyle w:val="ListParagraph"/>
        <w:numPr>
          <w:ilvl w:val="1"/>
          <w:numId w:val="2"/>
        </w:numPr>
        <w:tabs>
          <w:tab w:pos="1542" w:val="left" w:leader="none"/>
        </w:tabs>
        <w:spacing w:line="240" w:lineRule="auto" w:before="115" w:after="0"/>
        <w:ind w:left="1542" w:right="0" w:hanging="360"/>
        <w:jc w:val="left"/>
        <w:rPr>
          <w:rFonts w:ascii="Courier New"/>
          <w:sz w:val="24"/>
        </w:rPr>
      </w:pPr>
      <w:r>
        <w:rPr>
          <w:sz w:val="24"/>
        </w:rPr>
        <w:t>Modelos de</w:t>
      </w:r>
      <w:r>
        <w:rPr>
          <w:spacing w:val="-7"/>
          <w:sz w:val="24"/>
        </w:rPr>
        <w:t> </w:t>
      </w:r>
      <w:r>
        <w:rPr>
          <w:sz w:val="24"/>
        </w:rPr>
        <w:t>estudio</w:t>
      </w:r>
    </w:p>
    <w:p>
      <w:pPr>
        <w:pStyle w:val="ListParagraph"/>
        <w:numPr>
          <w:ilvl w:val="1"/>
          <w:numId w:val="2"/>
        </w:numPr>
        <w:tabs>
          <w:tab w:pos="1541" w:val="left" w:leader="none"/>
          <w:tab w:pos="1542" w:val="left" w:leader="none"/>
        </w:tabs>
        <w:spacing w:line="240" w:lineRule="auto" w:before="83" w:after="0"/>
        <w:ind w:left="1542" w:right="0" w:hanging="360"/>
        <w:jc w:val="left"/>
        <w:rPr>
          <w:rFonts w:ascii="Courier New"/>
          <w:sz w:val="22"/>
        </w:rPr>
      </w:pPr>
      <w:r>
        <w:rPr>
          <w:sz w:val="24"/>
        </w:rPr>
        <w:t>Oclusograma</w:t>
      </w:r>
      <w:r>
        <w:rPr>
          <w:spacing w:val="-3"/>
          <w:sz w:val="24"/>
        </w:rPr>
        <w:t> </w:t>
      </w:r>
      <w:r>
        <w:rPr>
          <w:position w:val="11"/>
          <w:sz w:val="16"/>
        </w:rPr>
        <w:t>1,3,4</w:t>
      </w:r>
    </w:p>
    <w:p>
      <w:pPr>
        <w:pStyle w:val="BodyText"/>
        <w:rPr>
          <w:sz w:val="20"/>
        </w:rPr>
      </w:pPr>
    </w:p>
    <w:p>
      <w:pPr>
        <w:pStyle w:val="BodyText"/>
        <w:rPr>
          <w:sz w:val="20"/>
        </w:rPr>
      </w:pPr>
    </w:p>
    <w:p>
      <w:pPr>
        <w:pStyle w:val="BodyText"/>
        <w:spacing w:before="5"/>
        <w:rPr>
          <w:sz w:val="20"/>
        </w:rPr>
      </w:pPr>
      <w:r>
        <w:rPr/>
        <w:drawing>
          <wp:anchor distT="0" distB="0" distL="0" distR="0" allowOverlap="1" layoutInCell="1" locked="0" behindDoc="0" simplePos="0" relativeHeight="1048">
            <wp:simplePos x="0" y="0"/>
            <wp:positionH relativeFrom="page">
              <wp:posOffset>2647314</wp:posOffset>
            </wp:positionH>
            <wp:positionV relativeFrom="paragraph">
              <wp:posOffset>174481</wp:posOffset>
            </wp:positionV>
            <wp:extent cx="2989893" cy="1988629"/>
            <wp:effectExtent l="0" t="0" r="0" b="0"/>
            <wp:wrapTopAndBottom/>
            <wp:docPr id="1" name="image6.jpeg" descr=""/>
            <wp:cNvGraphicFramePr>
              <a:graphicFrameLocks noChangeAspect="1"/>
            </wp:cNvGraphicFramePr>
            <a:graphic>
              <a:graphicData uri="http://schemas.openxmlformats.org/drawingml/2006/picture">
                <pic:pic>
                  <pic:nvPicPr>
                    <pic:cNvPr id="2" name="image6.jpeg"/>
                    <pic:cNvPicPr/>
                  </pic:nvPicPr>
                  <pic:blipFill>
                    <a:blip r:embed="rId11" cstate="print"/>
                    <a:stretch>
                      <a:fillRect/>
                    </a:stretch>
                  </pic:blipFill>
                  <pic:spPr>
                    <a:xfrm>
                      <a:off x="0" y="0"/>
                      <a:ext cx="2989893" cy="1988629"/>
                    </a:xfrm>
                    <a:prstGeom prst="rect">
                      <a:avLst/>
                    </a:prstGeom>
                  </pic:spPr>
                </pic:pic>
              </a:graphicData>
            </a:graphic>
          </wp:anchor>
        </w:drawing>
      </w:r>
    </w:p>
    <w:p>
      <w:pPr>
        <w:pStyle w:val="BodyText"/>
        <w:rPr>
          <w:sz w:val="30"/>
        </w:rPr>
      </w:pPr>
    </w:p>
    <w:p>
      <w:pPr>
        <w:pStyle w:val="BodyText"/>
        <w:spacing w:before="11"/>
        <w:rPr>
          <w:sz w:val="38"/>
        </w:rPr>
      </w:pPr>
    </w:p>
    <w:p>
      <w:pPr>
        <w:spacing w:before="0"/>
        <w:ind w:left="3318" w:right="0" w:firstLine="0"/>
        <w:jc w:val="left"/>
        <w:rPr>
          <w:sz w:val="20"/>
        </w:rPr>
      </w:pPr>
      <w:r>
        <w:rPr>
          <w:sz w:val="20"/>
        </w:rPr>
        <w:t>Fig. 1. Auxiliares del diagnóstico.</w:t>
      </w:r>
    </w:p>
    <w:p>
      <w:pPr>
        <w:spacing w:before="0"/>
        <w:ind w:left="1155" w:right="0" w:firstLine="0"/>
        <w:jc w:val="left"/>
        <w:rPr>
          <w:sz w:val="20"/>
        </w:rPr>
      </w:pPr>
      <w:r>
        <w:rPr>
          <w:sz w:val="20"/>
        </w:rPr>
        <w:t>Fuente: </w:t>
      </w:r>
      <w:hyperlink r:id="rId12">
        <w:r>
          <w:rPr>
            <w:sz w:val="20"/>
          </w:rPr>
          <w:t>http://www.ceobaza.es/es/producto/como-llevamos-a-cabo-los-tratamientos/</w:t>
        </w:r>
      </w:hyperlink>
    </w:p>
    <w:p>
      <w:pPr>
        <w:spacing w:after="0"/>
        <w:jc w:val="left"/>
        <w:rPr>
          <w:sz w:val="20"/>
        </w:rPr>
        <w:sectPr>
          <w:pgSz w:w="12240" w:h="15840"/>
          <w:pgMar w:header="0" w:footer="1003" w:top="1360" w:bottom="1200" w:left="1600" w:right="1680"/>
        </w:sectPr>
      </w:pPr>
    </w:p>
    <w:p>
      <w:pPr>
        <w:pStyle w:val="Heading3"/>
        <w:numPr>
          <w:ilvl w:val="2"/>
          <w:numId w:val="3"/>
        </w:numPr>
        <w:tabs>
          <w:tab w:pos="707" w:val="left" w:leader="none"/>
        </w:tabs>
        <w:spacing w:line="240" w:lineRule="auto" w:before="54" w:after="0"/>
        <w:ind w:left="706" w:right="0" w:hanging="604"/>
        <w:jc w:val="both"/>
      </w:pPr>
      <w:r>
        <w:rPr/>
        <w:t>Auxiliares del</w:t>
      </w:r>
      <w:r>
        <w:rPr>
          <w:spacing w:val="-12"/>
        </w:rPr>
        <w:t> </w:t>
      </w:r>
      <w:r>
        <w:rPr/>
        <w:t>diagnóstico</w:t>
      </w:r>
    </w:p>
    <w:p>
      <w:pPr>
        <w:pStyle w:val="BodyText"/>
        <w:spacing w:before="5"/>
        <w:rPr>
          <w:b/>
          <w:sz w:val="29"/>
        </w:rPr>
      </w:pPr>
    </w:p>
    <w:p>
      <w:pPr>
        <w:pStyle w:val="BodyText"/>
        <w:spacing w:line="352" w:lineRule="auto"/>
        <w:ind w:left="102" w:right="122"/>
        <w:jc w:val="both"/>
        <w:rPr>
          <w:sz w:val="16"/>
        </w:rPr>
      </w:pPr>
      <w:r>
        <w:rPr/>
        <w:t>Los registros ortodóncicos son una herramienta fundamental a la hora de realizar un correcto diagnóstico y plan de tratamiento. Estos registros pueden dividirse básicamente en tres grandes grupos: radiografías, fotografías y modelos de estudio. Estos deben realizarse antes, en muchas ocasiones durante, y al finalizar cualquier tratamiento de Ortodoncia.</w:t>
      </w:r>
      <w:r>
        <w:rPr>
          <w:position w:val="11"/>
          <w:sz w:val="16"/>
        </w:rPr>
        <w:t>5</w:t>
      </w:r>
    </w:p>
    <w:p>
      <w:pPr>
        <w:pStyle w:val="BodyText"/>
        <w:spacing w:before="5"/>
        <w:rPr>
          <w:sz w:val="35"/>
        </w:rPr>
      </w:pPr>
    </w:p>
    <w:p>
      <w:pPr>
        <w:pStyle w:val="Heading3"/>
        <w:numPr>
          <w:ilvl w:val="0"/>
          <w:numId w:val="4"/>
        </w:numPr>
        <w:tabs>
          <w:tab w:pos="383" w:val="left" w:leader="none"/>
        </w:tabs>
        <w:spacing w:line="240" w:lineRule="auto" w:before="1" w:after="0"/>
        <w:ind w:left="382" w:right="0" w:hanging="280"/>
        <w:jc w:val="both"/>
      </w:pPr>
      <w:r>
        <w:rPr/>
        <w:t>Fotografías</w:t>
      </w:r>
      <w:r>
        <w:rPr>
          <w:spacing w:val="-7"/>
        </w:rPr>
        <w:t> </w:t>
      </w:r>
      <w:r>
        <w:rPr/>
        <w:t>extraorales</w:t>
      </w:r>
    </w:p>
    <w:p>
      <w:pPr>
        <w:pStyle w:val="BodyText"/>
        <w:spacing w:before="5"/>
        <w:rPr>
          <w:b/>
          <w:sz w:val="29"/>
        </w:rPr>
      </w:pPr>
    </w:p>
    <w:p>
      <w:pPr>
        <w:pStyle w:val="BodyText"/>
        <w:spacing w:line="345" w:lineRule="auto"/>
        <w:ind w:left="102" w:right="120"/>
        <w:jc w:val="both"/>
        <w:rPr>
          <w:sz w:val="16"/>
        </w:rPr>
      </w:pPr>
      <w:r>
        <w:rPr/>
        <w:t>La evaluación y análisis facial de un paciente se lleva a cabo de forma subjetiva, ya que se compara con estereotipos definidos por la sociedad. Se han propuesto análisis con medidas lineales y angulares consideradas ideales.</w:t>
      </w:r>
      <w:r>
        <w:rPr>
          <w:position w:val="11"/>
          <w:sz w:val="16"/>
        </w:rPr>
        <w:t>1,</w:t>
      </w:r>
      <w:r>
        <w:rPr>
          <w:spacing w:val="-9"/>
          <w:position w:val="11"/>
          <w:sz w:val="16"/>
        </w:rPr>
        <w:t> </w:t>
      </w:r>
      <w:r>
        <w:rPr>
          <w:position w:val="11"/>
          <w:sz w:val="16"/>
        </w:rPr>
        <w:t>5</w:t>
      </w:r>
    </w:p>
    <w:p>
      <w:pPr>
        <w:pStyle w:val="BodyText"/>
        <w:spacing w:line="345" w:lineRule="auto" w:before="204"/>
        <w:ind w:left="102" w:right="126"/>
        <w:jc w:val="both"/>
        <w:rPr>
          <w:sz w:val="16"/>
        </w:rPr>
      </w:pPr>
      <w:r>
        <w:rPr/>
        <w:t>La serie de fotografías clínicas extrabucales o faciales comprende: fotografía de frente, fotografía de perfil derecho e izquierdo, fotografía de tres cuartos derecho e izquierdo y fotografía de sonrisa, como se muestran en la Fig. 2. </w:t>
      </w:r>
      <w:r>
        <w:rPr>
          <w:position w:val="11"/>
          <w:sz w:val="16"/>
        </w:rPr>
        <w:t>3</w:t>
      </w:r>
    </w:p>
    <w:p>
      <w:pPr>
        <w:pStyle w:val="BodyText"/>
        <w:rPr>
          <w:sz w:val="28"/>
        </w:rPr>
      </w:pPr>
    </w:p>
    <w:p>
      <w:pPr>
        <w:pStyle w:val="BodyText"/>
        <w:spacing w:before="8"/>
        <w:rPr>
          <w:sz w:val="34"/>
        </w:rPr>
      </w:pPr>
    </w:p>
    <w:p>
      <w:pPr>
        <w:pStyle w:val="ListParagraph"/>
        <w:numPr>
          <w:ilvl w:val="1"/>
          <w:numId w:val="4"/>
        </w:numPr>
        <w:tabs>
          <w:tab w:pos="822" w:val="left" w:leader="none"/>
        </w:tabs>
        <w:spacing w:line="350" w:lineRule="auto" w:before="0" w:after="0"/>
        <w:ind w:left="822" w:right="120" w:hanging="360"/>
        <w:jc w:val="both"/>
        <w:rPr>
          <w:rFonts w:ascii="Symbol" w:hAnsi="Symbol"/>
          <w:sz w:val="24"/>
        </w:rPr>
      </w:pPr>
      <w:r>
        <w:rPr>
          <w:sz w:val="24"/>
        </w:rPr>
        <w:t>Fotografía de frente. Se emplea para hacer análisis transversales y verticales de la cara del paciente y evidenciar</w:t>
      </w:r>
      <w:r>
        <w:rPr>
          <w:spacing w:val="-14"/>
          <w:sz w:val="24"/>
        </w:rPr>
        <w:t> </w:t>
      </w:r>
      <w:r>
        <w:rPr>
          <w:sz w:val="24"/>
        </w:rPr>
        <w:t>asimetrías.</w:t>
      </w:r>
    </w:p>
    <w:p>
      <w:pPr>
        <w:pStyle w:val="BodyText"/>
      </w:pPr>
    </w:p>
    <w:p>
      <w:pPr>
        <w:pStyle w:val="ListParagraph"/>
        <w:numPr>
          <w:ilvl w:val="1"/>
          <w:numId w:val="4"/>
        </w:numPr>
        <w:tabs>
          <w:tab w:pos="822" w:val="left" w:leader="none"/>
        </w:tabs>
        <w:spacing w:line="355" w:lineRule="auto" w:before="153" w:after="0"/>
        <w:ind w:left="822" w:right="115" w:hanging="360"/>
        <w:jc w:val="both"/>
        <w:rPr>
          <w:rFonts w:ascii="Symbol" w:hAnsi="Symbol"/>
          <w:sz w:val="24"/>
        </w:rPr>
      </w:pPr>
      <w:r>
        <w:rPr>
          <w:sz w:val="24"/>
        </w:rPr>
        <w:t>Fotografía de perfil. Se usa para efectuar análisis verticales de la cara del paciente, obtener tipo de perfil, medidas lineales y angulares de labios, frente, nariz y</w:t>
      </w:r>
      <w:r>
        <w:rPr>
          <w:spacing w:val="-9"/>
          <w:sz w:val="24"/>
        </w:rPr>
        <w:t> </w:t>
      </w:r>
      <w:r>
        <w:rPr>
          <w:sz w:val="24"/>
        </w:rPr>
        <w:t>mentón.</w:t>
      </w:r>
    </w:p>
    <w:p>
      <w:pPr>
        <w:pStyle w:val="BodyText"/>
        <w:spacing w:before="5"/>
        <w:rPr>
          <w:sz w:val="28"/>
        </w:rPr>
      </w:pPr>
    </w:p>
    <w:p>
      <w:pPr>
        <w:pStyle w:val="ListParagraph"/>
        <w:numPr>
          <w:ilvl w:val="1"/>
          <w:numId w:val="4"/>
        </w:numPr>
        <w:tabs>
          <w:tab w:pos="822" w:val="left" w:leader="none"/>
        </w:tabs>
        <w:spacing w:line="350" w:lineRule="auto" w:before="1" w:after="0"/>
        <w:ind w:left="822" w:right="124" w:hanging="360"/>
        <w:jc w:val="both"/>
        <w:rPr>
          <w:rFonts w:ascii="Symbol" w:hAnsi="Symbol"/>
          <w:sz w:val="24"/>
        </w:rPr>
      </w:pPr>
      <w:r>
        <w:rPr>
          <w:sz w:val="24"/>
        </w:rPr>
        <w:t>Fotografía de tres cuartos. Se utiliza para hacer análisis transversales y verticales de la cara del paciente y evidenciar</w:t>
      </w:r>
      <w:r>
        <w:rPr>
          <w:spacing w:val="-14"/>
          <w:sz w:val="24"/>
        </w:rPr>
        <w:t> </w:t>
      </w:r>
      <w:r>
        <w:rPr>
          <w:sz w:val="24"/>
        </w:rPr>
        <w:t>asimetrías.</w:t>
      </w:r>
    </w:p>
    <w:p>
      <w:pPr>
        <w:pStyle w:val="BodyText"/>
        <w:spacing w:before="4"/>
        <w:rPr>
          <w:sz w:val="26"/>
        </w:rPr>
      </w:pPr>
    </w:p>
    <w:p>
      <w:pPr>
        <w:pStyle w:val="ListParagraph"/>
        <w:numPr>
          <w:ilvl w:val="1"/>
          <w:numId w:val="4"/>
        </w:numPr>
        <w:tabs>
          <w:tab w:pos="822" w:val="left" w:leader="none"/>
        </w:tabs>
        <w:spacing w:line="328" w:lineRule="auto" w:before="0" w:after="0"/>
        <w:ind w:left="822" w:right="126" w:hanging="360"/>
        <w:jc w:val="both"/>
        <w:rPr>
          <w:rFonts w:ascii="Symbol" w:hAnsi="Symbol"/>
          <w:sz w:val="16"/>
        </w:rPr>
      </w:pPr>
      <w:r>
        <w:rPr>
          <w:sz w:val="24"/>
        </w:rPr>
        <w:t>Fotografía de sonrisa. Sirve para llevar a cabo el análisis de los labios y exposición de los dientes del paciente durante la sonrisa</w:t>
      </w:r>
      <w:r>
        <w:rPr>
          <w:position w:val="11"/>
          <w:sz w:val="16"/>
        </w:rPr>
        <w:t>1,</w:t>
      </w:r>
      <w:r>
        <w:rPr>
          <w:spacing w:val="-15"/>
          <w:position w:val="11"/>
          <w:sz w:val="16"/>
        </w:rPr>
        <w:t> </w:t>
      </w:r>
      <w:r>
        <w:rPr>
          <w:position w:val="11"/>
          <w:sz w:val="16"/>
        </w:rPr>
        <w:t>3</w:t>
      </w:r>
    </w:p>
    <w:p>
      <w:pPr>
        <w:spacing w:after="0" w:line="328" w:lineRule="auto"/>
        <w:jc w:val="both"/>
        <w:rPr>
          <w:rFonts w:ascii="Symbol" w:hAnsi="Symbol"/>
          <w:sz w:val="16"/>
        </w:rPr>
        <w:sectPr>
          <w:pgSz w:w="12240" w:h="15840"/>
          <w:pgMar w:header="0" w:footer="1003" w:top="1360" w:bottom="1200" w:left="1600" w:right="1580"/>
        </w:sectPr>
      </w:pPr>
    </w:p>
    <w:p>
      <w:pPr>
        <w:pStyle w:val="BodyText"/>
        <w:ind w:left="1930"/>
        <w:rPr>
          <w:sz w:val="20"/>
        </w:rPr>
      </w:pPr>
      <w:r>
        <w:rPr>
          <w:sz w:val="20"/>
        </w:rPr>
        <w:drawing>
          <wp:inline distT="0" distB="0" distL="0" distR="0">
            <wp:extent cx="3351788" cy="3411854"/>
            <wp:effectExtent l="0" t="0" r="0" b="0"/>
            <wp:docPr id="3" name="image7.jpeg" descr=""/>
            <wp:cNvGraphicFramePr>
              <a:graphicFrameLocks noChangeAspect="1"/>
            </wp:cNvGraphicFramePr>
            <a:graphic>
              <a:graphicData uri="http://schemas.openxmlformats.org/drawingml/2006/picture">
                <pic:pic>
                  <pic:nvPicPr>
                    <pic:cNvPr id="4" name="image7.jpeg"/>
                    <pic:cNvPicPr/>
                  </pic:nvPicPr>
                  <pic:blipFill>
                    <a:blip r:embed="rId13" cstate="print"/>
                    <a:stretch>
                      <a:fillRect/>
                    </a:stretch>
                  </pic:blipFill>
                  <pic:spPr>
                    <a:xfrm>
                      <a:off x="0" y="0"/>
                      <a:ext cx="3351788" cy="3411854"/>
                    </a:xfrm>
                    <a:prstGeom prst="rect">
                      <a:avLst/>
                    </a:prstGeom>
                  </pic:spPr>
                </pic:pic>
              </a:graphicData>
            </a:graphic>
          </wp:inline>
        </w:drawing>
      </w:r>
      <w:r>
        <w:rPr>
          <w:sz w:val="20"/>
        </w:rPr>
      </w:r>
    </w:p>
    <w:p>
      <w:pPr>
        <w:pStyle w:val="BodyText"/>
        <w:spacing w:before="6"/>
        <w:rPr>
          <w:sz w:val="27"/>
        </w:rPr>
      </w:pPr>
    </w:p>
    <w:p>
      <w:pPr>
        <w:spacing w:before="74"/>
        <w:ind w:left="2077" w:right="1996" w:firstLine="0"/>
        <w:jc w:val="center"/>
        <w:rPr>
          <w:sz w:val="20"/>
        </w:rPr>
      </w:pPr>
      <w:r>
        <w:rPr>
          <w:sz w:val="20"/>
        </w:rPr>
        <w:t>Fig. 2. Serie fotográfica extraoral</w:t>
      </w:r>
    </w:p>
    <w:p>
      <w:pPr>
        <w:spacing w:before="3"/>
        <w:ind w:left="2077" w:right="2000" w:firstLine="0"/>
        <w:jc w:val="center"/>
        <w:rPr>
          <w:sz w:val="20"/>
        </w:rPr>
      </w:pPr>
      <w:r>
        <w:rPr>
          <w:sz w:val="20"/>
        </w:rPr>
        <w:t>Fuente: Ortodoncia Contemporánea. Proffit WR, pp.230.</w:t>
      </w:r>
    </w:p>
    <w:p>
      <w:pPr>
        <w:pStyle w:val="BodyText"/>
        <w:rPr>
          <w:sz w:val="20"/>
        </w:rPr>
      </w:pPr>
    </w:p>
    <w:p>
      <w:pPr>
        <w:pStyle w:val="BodyText"/>
        <w:rPr>
          <w:sz w:val="20"/>
        </w:rPr>
      </w:pPr>
    </w:p>
    <w:p>
      <w:pPr>
        <w:pStyle w:val="BodyText"/>
        <w:spacing w:before="1"/>
        <w:rPr>
          <w:sz w:val="22"/>
        </w:rPr>
      </w:pPr>
    </w:p>
    <w:p>
      <w:pPr>
        <w:pStyle w:val="Heading3"/>
        <w:numPr>
          <w:ilvl w:val="0"/>
          <w:numId w:val="4"/>
        </w:numPr>
        <w:tabs>
          <w:tab w:pos="475" w:val="left" w:leader="none"/>
        </w:tabs>
        <w:spacing w:line="240" w:lineRule="auto" w:before="0" w:after="0"/>
        <w:ind w:left="474" w:right="0" w:hanging="292"/>
        <w:jc w:val="both"/>
      </w:pPr>
      <w:r>
        <w:rPr/>
        <w:t>Fotografías</w:t>
      </w:r>
      <w:r>
        <w:rPr>
          <w:spacing w:val="-6"/>
        </w:rPr>
        <w:t> </w:t>
      </w:r>
      <w:r>
        <w:rPr/>
        <w:t>intraorales</w:t>
      </w:r>
    </w:p>
    <w:p>
      <w:pPr>
        <w:pStyle w:val="BodyText"/>
        <w:spacing w:before="4"/>
        <w:rPr>
          <w:b/>
          <w:sz w:val="29"/>
        </w:rPr>
      </w:pPr>
    </w:p>
    <w:p>
      <w:pPr>
        <w:pStyle w:val="BodyText"/>
        <w:spacing w:line="345" w:lineRule="auto" w:before="1"/>
        <w:ind w:left="182" w:right="106"/>
        <w:jc w:val="both"/>
        <w:rPr>
          <w:sz w:val="16"/>
        </w:rPr>
      </w:pPr>
      <w:r>
        <w:rPr/>
        <w:t>La evaluación y análisis de las fotografías clínicas intrabucales proporcionan un panorama general del estado de salud bucal, dental y oclusal del paciente. La serie de fotografías clínicas comprende</w:t>
      </w:r>
      <w:r>
        <w:rPr>
          <w:spacing w:val="-13"/>
        </w:rPr>
        <w:t> </w:t>
      </w:r>
      <w:r>
        <w:rPr/>
        <w:t>(Fig.3):</w:t>
      </w:r>
      <w:r>
        <w:rPr>
          <w:position w:val="11"/>
          <w:sz w:val="16"/>
        </w:rPr>
        <w:t>6</w:t>
      </w:r>
    </w:p>
    <w:p>
      <w:pPr>
        <w:pStyle w:val="ListParagraph"/>
        <w:numPr>
          <w:ilvl w:val="0"/>
          <w:numId w:val="5"/>
        </w:numPr>
        <w:tabs>
          <w:tab w:pos="466" w:val="left" w:leader="none"/>
        </w:tabs>
        <w:spacing w:line="355" w:lineRule="auto" w:before="204" w:after="0"/>
        <w:ind w:left="465" w:right="103" w:hanging="360"/>
        <w:jc w:val="both"/>
        <w:rPr>
          <w:rFonts w:ascii="Symbol" w:hAnsi="Symbol"/>
          <w:sz w:val="24"/>
        </w:rPr>
      </w:pPr>
      <w:r>
        <w:rPr>
          <w:sz w:val="24"/>
        </w:rPr>
        <w:t>Fotografía de frente de oclusión. Se utiliza para mostrar el estado de salud periodontal y dental, la relación de las líneas medias dentales superiores e inferiores, la sobremordida vertical y las posiciones</w:t>
      </w:r>
      <w:r>
        <w:rPr>
          <w:spacing w:val="-23"/>
          <w:sz w:val="24"/>
        </w:rPr>
        <w:t> </w:t>
      </w:r>
      <w:r>
        <w:rPr>
          <w:sz w:val="24"/>
        </w:rPr>
        <w:t>dentarias.</w:t>
      </w:r>
    </w:p>
    <w:p>
      <w:pPr>
        <w:pStyle w:val="BodyText"/>
      </w:pPr>
    </w:p>
    <w:p>
      <w:pPr>
        <w:pStyle w:val="ListParagraph"/>
        <w:numPr>
          <w:ilvl w:val="0"/>
          <w:numId w:val="5"/>
        </w:numPr>
        <w:tabs>
          <w:tab w:pos="466" w:val="left" w:leader="none"/>
        </w:tabs>
        <w:spacing w:line="355" w:lineRule="auto" w:before="148" w:after="0"/>
        <w:ind w:left="465" w:right="99" w:hanging="360"/>
        <w:jc w:val="both"/>
        <w:rPr>
          <w:rFonts w:ascii="Symbol" w:hAnsi="Symbol"/>
          <w:sz w:val="24"/>
        </w:rPr>
      </w:pPr>
      <w:r>
        <w:rPr>
          <w:sz w:val="24"/>
        </w:rPr>
        <w:t>Fotografía lateral derecha en oclusión. Es útil para mostrar el estado de salud periodontal y dental, las relaciones caninas y molares, la intercuspidación dental y la relación del plano</w:t>
      </w:r>
      <w:r>
        <w:rPr>
          <w:spacing w:val="-7"/>
          <w:sz w:val="24"/>
        </w:rPr>
        <w:t> </w:t>
      </w:r>
      <w:r>
        <w:rPr>
          <w:sz w:val="24"/>
        </w:rPr>
        <w:t>oclusal.</w:t>
      </w:r>
    </w:p>
    <w:p>
      <w:pPr>
        <w:spacing w:after="0" w:line="355" w:lineRule="auto"/>
        <w:jc w:val="both"/>
        <w:rPr>
          <w:rFonts w:ascii="Symbol" w:hAnsi="Symbol"/>
          <w:sz w:val="24"/>
        </w:rPr>
        <w:sectPr>
          <w:pgSz w:w="12240" w:h="15840"/>
          <w:pgMar w:header="0" w:footer="1003" w:top="1420" w:bottom="1200" w:left="1520" w:right="1600"/>
        </w:sectPr>
      </w:pPr>
    </w:p>
    <w:p>
      <w:pPr>
        <w:pStyle w:val="ListParagraph"/>
        <w:numPr>
          <w:ilvl w:val="0"/>
          <w:numId w:val="5"/>
        </w:numPr>
        <w:tabs>
          <w:tab w:pos="466" w:val="left" w:leader="none"/>
        </w:tabs>
        <w:spacing w:line="355" w:lineRule="auto" w:before="34" w:after="0"/>
        <w:ind w:left="465" w:right="119" w:hanging="360"/>
        <w:jc w:val="both"/>
        <w:rPr>
          <w:rFonts w:ascii="Symbol" w:hAnsi="Symbol"/>
          <w:sz w:val="24"/>
        </w:rPr>
      </w:pPr>
      <w:r>
        <w:rPr>
          <w:sz w:val="24"/>
        </w:rPr>
        <w:t>Fotografía lateral izquierda en oclusión. Sirve para conocer el estado de salud periodontal y dental, las relaciones caninas y molares, la intercuspidación dental y relación del plano</w:t>
      </w:r>
      <w:r>
        <w:rPr>
          <w:spacing w:val="-10"/>
          <w:sz w:val="24"/>
        </w:rPr>
        <w:t> </w:t>
      </w:r>
      <w:r>
        <w:rPr>
          <w:sz w:val="24"/>
        </w:rPr>
        <w:t>oclusal.</w:t>
      </w:r>
    </w:p>
    <w:p>
      <w:pPr>
        <w:pStyle w:val="BodyText"/>
        <w:spacing w:before="5"/>
        <w:rPr>
          <w:sz w:val="28"/>
        </w:rPr>
      </w:pPr>
    </w:p>
    <w:p>
      <w:pPr>
        <w:pStyle w:val="ListParagraph"/>
        <w:numPr>
          <w:ilvl w:val="0"/>
          <w:numId w:val="5"/>
        </w:numPr>
        <w:tabs>
          <w:tab w:pos="466" w:val="left" w:leader="none"/>
        </w:tabs>
        <w:spacing w:line="350" w:lineRule="auto" w:before="1" w:after="0"/>
        <w:ind w:left="465" w:right="123" w:hanging="360"/>
        <w:jc w:val="both"/>
        <w:rPr>
          <w:rFonts w:ascii="Symbol" w:hAnsi="Symbol"/>
          <w:sz w:val="24"/>
        </w:rPr>
      </w:pPr>
      <w:r>
        <w:rPr>
          <w:sz w:val="24"/>
        </w:rPr>
        <w:t>Fotografía oclusal superior. Se usa para observar el estado de salud periodontal y dental, forma del arco y posiciones</w:t>
      </w:r>
      <w:r>
        <w:rPr>
          <w:spacing w:val="-20"/>
          <w:sz w:val="24"/>
        </w:rPr>
        <w:t> </w:t>
      </w:r>
      <w:r>
        <w:rPr>
          <w:sz w:val="24"/>
        </w:rPr>
        <w:t>dentarias.</w:t>
      </w:r>
    </w:p>
    <w:p>
      <w:pPr>
        <w:pStyle w:val="BodyText"/>
        <w:spacing w:before="11"/>
        <w:rPr>
          <w:sz w:val="28"/>
        </w:rPr>
      </w:pPr>
    </w:p>
    <w:p>
      <w:pPr>
        <w:pStyle w:val="ListParagraph"/>
        <w:numPr>
          <w:ilvl w:val="0"/>
          <w:numId w:val="5"/>
        </w:numPr>
        <w:tabs>
          <w:tab w:pos="466" w:val="left" w:leader="none"/>
        </w:tabs>
        <w:spacing w:line="350" w:lineRule="auto" w:before="0" w:after="0"/>
        <w:ind w:left="465" w:right="119" w:hanging="360"/>
        <w:jc w:val="both"/>
        <w:rPr>
          <w:rFonts w:ascii="Symbol" w:hAnsi="Symbol"/>
          <w:sz w:val="24"/>
        </w:rPr>
      </w:pPr>
      <w:r>
        <w:rPr>
          <w:sz w:val="24"/>
        </w:rPr>
        <w:t>Fotografía oclusal inferior. Se emplea para conocer el estado de salud periodontal y dental, forma del arco y posiciones</w:t>
      </w:r>
      <w:r>
        <w:rPr>
          <w:spacing w:val="-23"/>
          <w:sz w:val="24"/>
        </w:rPr>
        <w:t> </w:t>
      </w:r>
      <w:r>
        <w:rPr>
          <w:sz w:val="24"/>
        </w:rPr>
        <w:t>dentarias.</w:t>
      </w:r>
    </w:p>
    <w:p>
      <w:pPr>
        <w:pStyle w:val="BodyText"/>
        <w:rPr>
          <w:sz w:val="29"/>
        </w:rPr>
      </w:pPr>
    </w:p>
    <w:p>
      <w:pPr>
        <w:pStyle w:val="ListParagraph"/>
        <w:numPr>
          <w:ilvl w:val="0"/>
          <w:numId w:val="5"/>
        </w:numPr>
        <w:tabs>
          <w:tab w:pos="466" w:val="left" w:leader="none"/>
        </w:tabs>
        <w:spacing w:line="350" w:lineRule="auto" w:before="0" w:after="0"/>
        <w:ind w:left="465" w:right="125" w:hanging="360"/>
        <w:jc w:val="both"/>
        <w:rPr>
          <w:rFonts w:ascii="Symbol" w:hAnsi="Symbol"/>
          <w:sz w:val="24"/>
        </w:rPr>
      </w:pPr>
      <w:r>
        <w:rPr>
          <w:sz w:val="24"/>
        </w:rPr>
        <w:t>Fotografía de sobremordida vertical. Es útil para conocer el estado de salud periodontal y dental, cantidad de sobremordida vertical y posiciones  </w:t>
      </w:r>
      <w:r>
        <w:rPr>
          <w:spacing w:val="46"/>
          <w:sz w:val="24"/>
        </w:rPr>
        <w:t> </w:t>
      </w:r>
      <w:r>
        <w:rPr>
          <w:sz w:val="24"/>
        </w:rPr>
        <w:t>dentarias.</w:t>
      </w:r>
    </w:p>
    <w:p>
      <w:pPr>
        <w:spacing w:line="162" w:lineRule="exact" w:before="0"/>
        <w:ind w:left="465" w:right="0" w:firstLine="0"/>
        <w:jc w:val="left"/>
        <w:rPr>
          <w:sz w:val="16"/>
        </w:rPr>
      </w:pPr>
      <w:r>
        <w:rPr>
          <w:sz w:val="16"/>
        </w:rPr>
        <w:t>1,3,5</w:t>
      </w:r>
    </w:p>
    <w:p>
      <w:pPr>
        <w:pStyle w:val="BodyText"/>
        <w:rPr>
          <w:sz w:val="20"/>
        </w:rPr>
      </w:pPr>
    </w:p>
    <w:p>
      <w:pPr>
        <w:pStyle w:val="BodyText"/>
        <w:spacing w:before="2"/>
        <w:rPr>
          <w:sz w:val="17"/>
        </w:rPr>
      </w:pPr>
      <w:r>
        <w:rPr/>
        <w:drawing>
          <wp:anchor distT="0" distB="0" distL="0" distR="0" allowOverlap="1" layoutInCell="1" locked="0" behindDoc="0" simplePos="0" relativeHeight="1072">
            <wp:simplePos x="0" y="0"/>
            <wp:positionH relativeFrom="page">
              <wp:posOffset>1676400</wp:posOffset>
            </wp:positionH>
            <wp:positionV relativeFrom="paragraph">
              <wp:posOffset>150742</wp:posOffset>
            </wp:positionV>
            <wp:extent cx="4373440" cy="1983771"/>
            <wp:effectExtent l="0" t="0" r="0" b="0"/>
            <wp:wrapTopAndBottom/>
            <wp:docPr id="5" name="image8.jpeg" descr=""/>
            <wp:cNvGraphicFramePr>
              <a:graphicFrameLocks noChangeAspect="1"/>
            </wp:cNvGraphicFramePr>
            <a:graphic>
              <a:graphicData uri="http://schemas.openxmlformats.org/drawingml/2006/picture">
                <pic:pic>
                  <pic:nvPicPr>
                    <pic:cNvPr id="6" name="image8.jpeg"/>
                    <pic:cNvPicPr/>
                  </pic:nvPicPr>
                  <pic:blipFill>
                    <a:blip r:embed="rId14" cstate="print"/>
                    <a:stretch>
                      <a:fillRect/>
                    </a:stretch>
                  </pic:blipFill>
                  <pic:spPr>
                    <a:xfrm>
                      <a:off x="0" y="0"/>
                      <a:ext cx="4373440" cy="1983771"/>
                    </a:xfrm>
                    <a:prstGeom prst="rect">
                      <a:avLst/>
                    </a:prstGeom>
                  </pic:spPr>
                </pic:pic>
              </a:graphicData>
            </a:graphic>
          </wp:anchor>
        </w:drawing>
      </w:r>
    </w:p>
    <w:p>
      <w:pPr>
        <w:spacing w:before="133"/>
        <w:ind w:left="2076" w:right="2019" w:firstLine="0"/>
        <w:jc w:val="center"/>
        <w:rPr>
          <w:sz w:val="20"/>
        </w:rPr>
      </w:pPr>
      <w:r>
        <w:rPr>
          <w:sz w:val="20"/>
        </w:rPr>
        <w:t>Fig. 3: Serie de fotografías intraorales</w:t>
      </w:r>
    </w:p>
    <w:p>
      <w:pPr>
        <w:spacing w:before="0"/>
        <w:ind w:left="2076" w:right="2020" w:firstLine="0"/>
        <w:jc w:val="center"/>
        <w:rPr>
          <w:sz w:val="20"/>
        </w:rPr>
      </w:pPr>
      <w:r>
        <w:rPr>
          <w:sz w:val="20"/>
        </w:rPr>
        <w:t>Fuente: Ortodoncia Contemporánea. Proffit WR, pp.231.</w:t>
      </w:r>
    </w:p>
    <w:p>
      <w:pPr>
        <w:pStyle w:val="BodyText"/>
        <w:rPr>
          <w:sz w:val="20"/>
        </w:rPr>
      </w:pPr>
    </w:p>
    <w:p>
      <w:pPr>
        <w:pStyle w:val="BodyText"/>
        <w:spacing w:before="2"/>
        <w:rPr>
          <w:sz w:val="20"/>
        </w:rPr>
      </w:pPr>
    </w:p>
    <w:p>
      <w:pPr>
        <w:pStyle w:val="Heading3"/>
        <w:numPr>
          <w:ilvl w:val="2"/>
          <w:numId w:val="3"/>
        </w:numPr>
        <w:tabs>
          <w:tab w:pos="785" w:val="left" w:leader="none"/>
        </w:tabs>
        <w:spacing w:line="240" w:lineRule="auto" w:before="0" w:after="0"/>
        <w:ind w:left="784" w:right="0" w:hanging="602"/>
        <w:jc w:val="left"/>
      </w:pPr>
      <w:r>
        <w:rPr/>
        <w:t>Evaluación y análisis de</w:t>
      </w:r>
      <w:r>
        <w:rPr>
          <w:spacing w:val="-12"/>
        </w:rPr>
        <w:t> </w:t>
      </w:r>
      <w:r>
        <w:rPr/>
        <w:t>radiografías</w:t>
      </w:r>
    </w:p>
    <w:p>
      <w:pPr>
        <w:pStyle w:val="BodyText"/>
        <w:rPr>
          <w:b/>
        </w:rPr>
      </w:pPr>
    </w:p>
    <w:p>
      <w:pPr>
        <w:pStyle w:val="BodyText"/>
        <w:rPr>
          <w:b/>
        </w:rPr>
      </w:pPr>
    </w:p>
    <w:p>
      <w:pPr>
        <w:pStyle w:val="BodyText"/>
        <w:spacing w:line="360" w:lineRule="auto"/>
        <w:ind w:left="182" w:right="114"/>
        <w:jc w:val="both"/>
      </w:pPr>
      <w:r>
        <w:rPr/>
        <w:t>Las radiografías son exámenes médicos no dolorosos que ayudan a diagnosticar y tratar las enfermedades. Es de vital importancia la capacidad de interpretación radiográfica del clínico para establecer el diagnóstico. En Ortodoncia, sobre las radiografías, se localizan puntos y planos para obtener mediciones comparativas, lineales y angulares denominados trazados cefalométricos; su finalidad es detectar</w:t>
      </w:r>
    </w:p>
    <w:p>
      <w:pPr>
        <w:spacing w:after="0" w:line="360" w:lineRule="auto"/>
        <w:jc w:val="both"/>
        <w:sectPr>
          <w:pgSz w:w="12240" w:h="15840"/>
          <w:pgMar w:header="0" w:footer="1003" w:top="1380" w:bottom="1200" w:left="1520" w:right="1580"/>
        </w:sectPr>
      </w:pPr>
    </w:p>
    <w:p>
      <w:pPr>
        <w:pStyle w:val="BodyText"/>
        <w:spacing w:line="362" w:lineRule="auto" w:before="59"/>
        <w:ind w:left="102" w:right="139"/>
      </w:pPr>
      <w:r>
        <w:rPr/>
        <w:t>anomalías y discrepancias esqueléticas y dentales. </w:t>
      </w:r>
      <w:r>
        <w:rPr>
          <w:position w:val="11"/>
          <w:sz w:val="16"/>
        </w:rPr>
        <w:t>1,7 </w:t>
      </w:r>
      <w:r>
        <w:rPr/>
        <w:t>Las radiografías que se  usan en ortodoncia</w:t>
      </w:r>
      <w:r>
        <w:rPr>
          <w:spacing w:val="-9"/>
        </w:rPr>
        <w:t> </w:t>
      </w:r>
      <w:r>
        <w:rPr/>
        <w:t>son:</w:t>
      </w:r>
    </w:p>
    <w:p>
      <w:pPr>
        <w:pStyle w:val="BodyText"/>
        <w:spacing w:line="345" w:lineRule="auto" w:before="166"/>
        <w:ind w:left="529" w:right="119" w:hanging="360"/>
        <w:jc w:val="both"/>
        <w:rPr>
          <w:sz w:val="16"/>
        </w:rPr>
      </w:pPr>
      <w:r>
        <w:rPr>
          <w:position w:val="11"/>
          <w:sz w:val="16"/>
        </w:rPr>
        <w:t>a) </w:t>
      </w:r>
      <w:r>
        <w:rPr/>
        <w:t>Ortopantomografía o radiografía panorámica (Fig.4). Muestra un aspecto  general de las estructuras óseas y dentarias de la zona de los maxilares, abarca desde un cóndilo hasta el cóndilo del lado</w:t>
      </w:r>
      <w:r>
        <w:rPr>
          <w:spacing w:val="-20"/>
        </w:rPr>
        <w:t> </w:t>
      </w:r>
      <w:r>
        <w:rPr/>
        <w:t>opuesto.</w:t>
      </w:r>
      <w:r>
        <w:rPr>
          <w:position w:val="11"/>
          <w:sz w:val="16"/>
        </w:rPr>
        <w:t>1,8</w:t>
      </w:r>
    </w:p>
    <w:p>
      <w:pPr>
        <w:pStyle w:val="BodyText"/>
        <w:spacing w:before="9"/>
        <w:rPr>
          <w:sz w:val="17"/>
        </w:rPr>
      </w:pPr>
      <w:r>
        <w:rPr/>
        <w:drawing>
          <wp:anchor distT="0" distB="0" distL="0" distR="0" allowOverlap="1" layoutInCell="1" locked="0" behindDoc="0" simplePos="0" relativeHeight="1096">
            <wp:simplePos x="0" y="0"/>
            <wp:positionH relativeFrom="page">
              <wp:posOffset>2320670</wp:posOffset>
            </wp:positionH>
            <wp:positionV relativeFrom="paragraph">
              <wp:posOffset>155139</wp:posOffset>
            </wp:positionV>
            <wp:extent cx="3108898" cy="1686115"/>
            <wp:effectExtent l="0" t="0" r="0" b="0"/>
            <wp:wrapTopAndBottom/>
            <wp:docPr id="7" name="image9.jpeg" descr=""/>
            <wp:cNvGraphicFramePr>
              <a:graphicFrameLocks noChangeAspect="1"/>
            </wp:cNvGraphicFramePr>
            <a:graphic>
              <a:graphicData uri="http://schemas.openxmlformats.org/drawingml/2006/picture">
                <pic:pic>
                  <pic:nvPicPr>
                    <pic:cNvPr id="8" name="image9.jpeg"/>
                    <pic:cNvPicPr/>
                  </pic:nvPicPr>
                  <pic:blipFill>
                    <a:blip r:embed="rId15" cstate="print"/>
                    <a:stretch>
                      <a:fillRect/>
                    </a:stretch>
                  </pic:blipFill>
                  <pic:spPr>
                    <a:xfrm>
                      <a:off x="0" y="0"/>
                      <a:ext cx="3108898" cy="1686115"/>
                    </a:xfrm>
                    <a:prstGeom prst="rect">
                      <a:avLst/>
                    </a:prstGeom>
                  </pic:spPr>
                </pic:pic>
              </a:graphicData>
            </a:graphic>
          </wp:anchor>
        </w:drawing>
      </w:r>
    </w:p>
    <w:p>
      <w:pPr>
        <w:spacing w:line="212" w:lineRule="exact" w:before="121"/>
        <w:ind w:left="801" w:right="821" w:firstLine="0"/>
        <w:jc w:val="center"/>
        <w:rPr>
          <w:sz w:val="20"/>
        </w:rPr>
      </w:pPr>
      <w:r>
        <w:rPr>
          <w:sz w:val="20"/>
        </w:rPr>
        <w:t>Fig.  4. Radiografía panorámica.</w:t>
      </w:r>
    </w:p>
    <w:p>
      <w:pPr>
        <w:spacing w:line="284" w:lineRule="exact" w:before="0"/>
        <w:ind w:left="804" w:right="821" w:firstLine="0"/>
        <w:jc w:val="center"/>
        <w:rPr>
          <w:sz w:val="16"/>
        </w:rPr>
      </w:pPr>
      <w:r>
        <w:rPr>
          <w:sz w:val="20"/>
        </w:rPr>
        <w:t>Fuente: Ortodoncia Contemporánea. Proffit WR, pp.265</w:t>
      </w:r>
      <w:r>
        <w:rPr>
          <w:position w:val="11"/>
          <w:sz w:val="16"/>
        </w:rPr>
        <w:t>.</w:t>
      </w:r>
    </w:p>
    <w:p>
      <w:pPr>
        <w:pStyle w:val="BodyText"/>
        <w:rPr>
          <w:sz w:val="28"/>
        </w:rPr>
      </w:pPr>
    </w:p>
    <w:p>
      <w:pPr>
        <w:pStyle w:val="BodyText"/>
        <w:spacing w:line="360" w:lineRule="auto" w:before="198"/>
        <w:ind w:left="529" w:right="123" w:hanging="360"/>
        <w:jc w:val="both"/>
      </w:pPr>
      <w:r>
        <w:rPr>
          <w:position w:val="11"/>
          <w:sz w:val="16"/>
        </w:rPr>
        <w:t>b) </w:t>
      </w:r>
      <w:r>
        <w:rPr/>
        <w:t>Cefalografía o radiografía lateral de cráneo (Fig.5).  Permite  obtener  mediciones verticales y posteroanteriores y compararlas con valores promedio de la población, así como detectar anomalías y discrepancias esqueléticas y dentales.  Otro  uso  es  la  realización  de  sobreposiciones  de  los   </w:t>
      </w:r>
      <w:r>
        <w:rPr>
          <w:spacing w:val="6"/>
        </w:rPr>
        <w:t> </w:t>
      </w:r>
      <w:r>
        <w:rPr/>
        <w:t>trazados</w:t>
      </w:r>
    </w:p>
    <w:p>
      <w:pPr>
        <w:pStyle w:val="BodyText"/>
        <w:spacing w:line="328" w:lineRule="auto" w:before="2"/>
        <w:ind w:left="529" w:right="139"/>
        <w:rPr>
          <w:sz w:val="16"/>
        </w:rPr>
      </w:pPr>
      <w:r>
        <w:rPr/>
        <w:t>cefalométricos entre radiografías iniciales, de seguimiento y finales para comparar los resultados.</w:t>
      </w:r>
      <w:r>
        <w:rPr>
          <w:position w:val="11"/>
          <w:sz w:val="16"/>
        </w:rPr>
        <w:t>1,3,4</w:t>
      </w:r>
    </w:p>
    <w:p>
      <w:pPr>
        <w:pStyle w:val="BodyText"/>
        <w:spacing w:before="1"/>
        <w:rPr>
          <w:sz w:val="18"/>
        </w:rPr>
      </w:pPr>
      <w:r>
        <w:rPr/>
        <w:pict>
          <v:group style="position:absolute;margin-left:158.630005pt;margin-top:12.371511pt;width:293.3pt;height:166.45pt;mso-position-horizontal-relative:page;mso-position-vertical-relative:paragraph;z-index:1120;mso-wrap-distance-left:0;mso-wrap-distance-right:0" coordorigin="3173,247" coordsize="5866,3329">
            <v:shape style="position:absolute;left:3173;top:381;width:3143;height:3195" type="#_x0000_t75" stroked="false">
              <v:imagedata r:id="rId16" o:title=""/>
            </v:shape>
            <v:shape style="position:absolute;left:6322;top:247;width:2716;height:3317" type="#_x0000_t75" stroked="false">
              <v:imagedata r:id="rId17" o:title=""/>
            </v:shape>
            <w10:wrap type="topAndBottom"/>
          </v:group>
        </w:pict>
      </w:r>
    </w:p>
    <w:p>
      <w:pPr>
        <w:spacing w:before="109"/>
        <w:ind w:left="801" w:right="821" w:firstLine="0"/>
        <w:jc w:val="center"/>
        <w:rPr>
          <w:sz w:val="20"/>
        </w:rPr>
      </w:pPr>
      <w:r>
        <w:rPr>
          <w:sz w:val="20"/>
        </w:rPr>
        <w:t>Fig. 5. Radiografia lateral de cráneo y sobreposición de imágenes.</w:t>
      </w:r>
    </w:p>
    <w:p>
      <w:pPr>
        <w:spacing w:before="0"/>
        <w:ind w:left="803" w:right="821" w:firstLine="0"/>
        <w:jc w:val="center"/>
        <w:rPr>
          <w:sz w:val="20"/>
        </w:rPr>
      </w:pPr>
      <w:r>
        <w:rPr>
          <w:sz w:val="20"/>
        </w:rPr>
        <w:t>Fuente: Ortodoncia Contemporánea. Proffit WR, pp.267</w:t>
      </w:r>
    </w:p>
    <w:p>
      <w:pPr>
        <w:spacing w:after="0"/>
        <w:jc w:val="center"/>
        <w:rPr>
          <w:sz w:val="20"/>
        </w:rPr>
        <w:sectPr>
          <w:pgSz w:w="12240" w:h="15840"/>
          <w:pgMar w:header="0" w:footer="1003" w:top="1320" w:bottom="1200" w:left="1600" w:right="1580"/>
        </w:sectPr>
      </w:pPr>
    </w:p>
    <w:p>
      <w:pPr>
        <w:pStyle w:val="BodyText"/>
        <w:spacing w:line="331" w:lineRule="auto" w:before="59"/>
        <w:ind w:left="529" w:right="123" w:hanging="360"/>
        <w:jc w:val="both"/>
        <w:rPr>
          <w:sz w:val="16"/>
        </w:rPr>
      </w:pPr>
      <w:r>
        <w:rPr>
          <w:position w:val="11"/>
          <w:sz w:val="16"/>
        </w:rPr>
        <w:t>c) </w:t>
      </w:r>
      <w:r>
        <w:rPr/>
        <w:t>Radiografías dentoalveolares o periapicales (Fig. 6). Muestra imágenes más detalladas de las estructuras óseo-dentarias.</w:t>
      </w:r>
      <w:r>
        <w:rPr>
          <w:position w:val="11"/>
          <w:sz w:val="16"/>
        </w:rPr>
        <w:t>3</w:t>
      </w:r>
    </w:p>
    <w:p>
      <w:pPr>
        <w:pStyle w:val="BodyText"/>
        <w:rPr>
          <w:sz w:val="20"/>
        </w:rPr>
      </w:pPr>
    </w:p>
    <w:p>
      <w:pPr>
        <w:pStyle w:val="BodyText"/>
        <w:spacing w:before="7"/>
        <w:rPr>
          <w:sz w:val="23"/>
        </w:rPr>
      </w:pPr>
      <w:r>
        <w:rPr/>
        <w:drawing>
          <wp:anchor distT="0" distB="0" distL="0" distR="0" allowOverlap="1" layoutInCell="1" locked="0" behindDoc="0" simplePos="0" relativeHeight="1144">
            <wp:simplePos x="0" y="0"/>
            <wp:positionH relativeFrom="page">
              <wp:posOffset>3000375</wp:posOffset>
            </wp:positionH>
            <wp:positionV relativeFrom="paragraph">
              <wp:posOffset>197226</wp:posOffset>
            </wp:positionV>
            <wp:extent cx="1760807" cy="1230153"/>
            <wp:effectExtent l="0" t="0" r="0" b="0"/>
            <wp:wrapTopAndBottom/>
            <wp:docPr id="9" name="image12.jpeg" descr=""/>
            <wp:cNvGraphicFramePr>
              <a:graphicFrameLocks noChangeAspect="1"/>
            </wp:cNvGraphicFramePr>
            <a:graphic>
              <a:graphicData uri="http://schemas.openxmlformats.org/drawingml/2006/picture">
                <pic:pic>
                  <pic:nvPicPr>
                    <pic:cNvPr id="10" name="image12.jpeg"/>
                    <pic:cNvPicPr/>
                  </pic:nvPicPr>
                  <pic:blipFill>
                    <a:blip r:embed="rId18" cstate="print"/>
                    <a:stretch>
                      <a:fillRect/>
                    </a:stretch>
                  </pic:blipFill>
                  <pic:spPr>
                    <a:xfrm>
                      <a:off x="0" y="0"/>
                      <a:ext cx="1760807" cy="1230153"/>
                    </a:xfrm>
                    <a:prstGeom prst="rect">
                      <a:avLst/>
                    </a:prstGeom>
                  </pic:spPr>
                </pic:pic>
              </a:graphicData>
            </a:graphic>
          </wp:anchor>
        </w:drawing>
      </w:r>
    </w:p>
    <w:p>
      <w:pPr>
        <w:spacing w:before="97"/>
        <w:ind w:left="804" w:right="821" w:firstLine="0"/>
        <w:jc w:val="center"/>
        <w:rPr>
          <w:sz w:val="20"/>
        </w:rPr>
      </w:pPr>
      <w:r>
        <w:rPr>
          <w:sz w:val="20"/>
        </w:rPr>
        <w:t>Fig. 6. Radiografía periapical.</w:t>
      </w:r>
    </w:p>
    <w:p>
      <w:pPr>
        <w:spacing w:before="1"/>
        <w:ind w:left="801" w:right="821" w:firstLine="0"/>
        <w:jc w:val="center"/>
        <w:rPr>
          <w:sz w:val="20"/>
        </w:rPr>
      </w:pPr>
      <w:r>
        <w:rPr>
          <w:sz w:val="20"/>
        </w:rPr>
        <w:t>Fuente: Ortodoncia Contemporánea. Proffit WR, pp.247.</w:t>
      </w:r>
    </w:p>
    <w:p>
      <w:pPr>
        <w:pStyle w:val="BodyText"/>
        <w:rPr>
          <w:sz w:val="20"/>
        </w:rPr>
      </w:pPr>
    </w:p>
    <w:p>
      <w:pPr>
        <w:pStyle w:val="BodyText"/>
        <w:spacing w:before="5"/>
      </w:pPr>
    </w:p>
    <w:p>
      <w:pPr>
        <w:pStyle w:val="BodyText"/>
        <w:spacing w:line="345" w:lineRule="auto"/>
        <w:ind w:left="529" w:right="119" w:hanging="360"/>
        <w:jc w:val="both"/>
        <w:rPr>
          <w:sz w:val="16"/>
        </w:rPr>
      </w:pPr>
      <w:r>
        <w:rPr>
          <w:position w:val="11"/>
          <w:sz w:val="16"/>
        </w:rPr>
        <w:t>d) </w:t>
      </w:r>
      <w:r>
        <w:rPr/>
        <w:t>Radiografía digitopalmar o carpal (Fig.7). Es de gran ayuda para calcular la  edad ósea o maduración esquelética de un paciente en crecimiento y definir el tipo de tratamiento que se debe</w:t>
      </w:r>
      <w:r>
        <w:rPr>
          <w:spacing w:val="-10"/>
        </w:rPr>
        <w:t> </w:t>
      </w:r>
      <w:r>
        <w:rPr/>
        <w:t>seguir.</w:t>
      </w:r>
      <w:r>
        <w:rPr>
          <w:position w:val="11"/>
          <w:sz w:val="16"/>
        </w:rPr>
        <w:t>1,3</w:t>
      </w:r>
    </w:p>
    <w:p>
      <w:pPr>
        <w:pStyle w:val="BodyText"/>
        <w:rPr>
          <w:sz w:val="20"/>
        </w:rPr>
      </w:pPr>
    </w:p>
    <w:p>
      <w:pPr>
        <w:pStyle w:val="BodyText"/>
        <w:spacing w:before="11"/>
        <w:rPr>
          <w:sz w:val="21"/>
        </w:rPr>
      </w:pPr>
      <w:r>
        <w:rPr/>
        <w:drawing>
          <wp:anchor distT="0" distB="0" distL="0" distR="0" allowOverlap="1" layoutInCell="1" locked="0" behindDoc="0" simplePos="0" relativeHeight="1168">
            <wp:simplePos x="0" y="0"/>
            <wp:positionH relativeFrom="page">
              <wp:posOffset>3162300</wp:posOffset>
            </wp:positionH>
            <wp:positionV relativeFrom="paragraph">
              <wp:posOffset>185198</wp:posOffset>
            </wp:positionV>
            <wp:extent cx="1439586" cy="2037778"/>
            <wp:effectExtent l="0" t="0" r="0" b="0"/>
            <wp:wrapTopAndBottom/>
            <wp:docPr id="11" name="image13.jpeg" descr=""/>
            <wp:cNvGraphicFramePr>
              <a:graphicFrameLocks noChangeAspect="1"/>
            </wp:cNvGraphicFramePr>
            <a:graphic>
              <a:graphicData uri="http://schemas.openxmlformats.org/drawingml/2006/picture">
                <pic:pic>
                  <pic:nvPicPr>
                    <pic:cNvPr id="12" name="image13.jpeg"/>
                    <pic:cNvPicPr/>
                  </pic:nvPicPr>
                  <pic:blipFill>
                    <a:blip r:embed="rId19" cstate="print"/>
                    <a:stretch>
                      <a:fillRect/>
                    </a:stretch>
                  </pic:blipFill>
                  <pic:spPr>
                    <a:xfrm>
                      <a:off x="0" y="0"/>
                      <a:ext cx="1439586" cy="2037778"/>
                    </a:xfrm>
                    <a:prstGeom prst="rect">
                      <a:avLst/>
                    </a:prstGeom>
                  </pic:spPr>
                </pic:pic>
              </a:graphicData>
            </a:graphic>
          </wp:anchor>
        </w:drawing>
      </w:r>
    </w:p>
    <w:p>
      <w:pPr>
        <w:spacing w:before="108"/>
        <w:ind w:left="802" w:right="821" w:firstLine="0"/>
        <w:jc w:val="center"/>
        <w:rPr>
          <w:sz w:val="20"/>
        </w:rPr>
      </w:pPr>
      <w:r>
        <w:rPr>
          <w:sz w:val="20"/>
        </w:rPr>
        <w:t>Fig. 7. Radiografia carpal.</w:t>
      </w:r>
    </w:p>
    <w:p>
      <w:pPr>
        <w:spacing w:before="0"/>
        <w:ind w:left="803" w:right="821" w:firstLine="0"/>
        <w:jc w:val="center"/>
        <w:rPr>
          <w:sz w:val="20"/>
        </w:rPr>
      </w:pPr>
      <w:r>
        <w:rPr>
          <w:sz w:val="20"/>
        </w:rPr>
        <w:t>Fuente: Ortodoncia Contemporánea. Proffit WR, pp.552</w:t>
      </w:r>
    </w:p>
    <w:p>
      <w:pPr>
        <w:pStyle w:val="BodyText"/>
        <w:rPr>
          <w:sz w:val="20"/>
        </w:rPr>
      </w:pPr>
    </w:p>
    <w:p>
      <w:pPr>
        <w:pStyle w:val="BodyText"/>
        <w:rPr>
          <w:sz w:val="20"/>
        </w:rPr>
      </w:pPr>
    </w:p>
    <w:p>
      <w:pPr>
        <w:pStyle w:val="BodyText"/>
        <w:rPr>
          <w:sz w:val="20"/>
        </w:rPr>
      </w:pPr>
    </w:p>
    <w:p>
      <w:pPr>
        <w:pStyle w:val="Heading3"/>
        <w:numPr>
          <w:ilvl w:val="2"/>
          <w:numId w:val="3"/>
        </w:numPr>
        <w:tabs>
          <w:tab w:pos="772" w:val="left" w:leader="none"/>
        </w:tabs>
        <w:spacing w:line="240" w:lineRule="auto" w:before="0" w:after="0"/>
        <w:ind w:left="771" w:right="0" w:hanging="669"/>
        <w:jc w:val="both"/>
      </w:pPr>
      <w:r>
        <w:rPr/>
        <w:t>Evaluación y análisis de los modelos de</w:t>
      </w:r>
      <w:r>
        <w:rPr>
          <w:spacing w:val="-13"/>
        </w:rPr>
        <w:t> </w:t>
      </w:r>
      <w:r>
        <w:rPr/>
        <w:t>estudio</w:t>
      </w:r>
    </w:p>
    <w:p>
      <w:pPr>
        <w:pStyle w:val="BodyText"/>
        <w:rPr>
          <w:b/>
        </w:rPr>
      </w:pPr>
    </w:p>
    <w:p>
      <w:pPr>
        <w:pStyle w:val="BodyText"/>
        <w:spacing w:line="360" w:lineRule="auto" w:before="180"/>
        <w:ind w:left="102" w:right="115"/>
        <w:jc w:val="both"/>
      </w:pPr>
      <w:r>
        <w:rPr/>
        <w:t>En los modelos de estudio se hacen mediciones de discrepancia entre los arcos dentarios y arcos basales (análisis de Moyers, Tanaka, Johnston) para obtener grados de apiñamiento, falta de espacio y valorar la profundidad de la curva de Spee y líneas medias. (Fig.8)</w:t>
      </w:r>
    </w:p>
    <w:p>
      <w:pPr>
        <w:spacing w:after="0" w:line="360" w:lineRule="auto"/>
        <w:jc w:val="both"/>
        <w:sectPr>
          <w:pgSz w:w="12240" w:h="15840"/>
          <w:pgMar w:header="0" w:footer="1003" w:top="1320" w:bottom="1200" w:left="1600" w:right="1580"/>
        </w:sectPr>
      </w:pPr>
    </w:p>
    <w:p>
      <w:pPr>
        <w:pStyle w:val="ListParagraph"/>
        <w:numPr>
          <w:ilvl w:val="0"/>
          <w:numId w:val="5"/>
        </w:numPr>
        <w:tabs>
          <w:tab w:pos="466" w:val="left" w:leader="none"/>
        </w:tabs>
        <w:spacing w:line="331" w:lineRule="auto" w:before="45" w:after="0"/>
        <w:ind w:left="465" w:right="126" w:hanging="360"/>
        <w:jc w:val="both"/>
        <w:rPr>
          <w:rFonts w:ascii="Symbol" w:hAnsi="Symbol"/>
          <w:sz w:val="16"/>
        </w:rPr>
      </w:pPr>
      <w:r>
        <w:rPr>
          <w:sz w:val="24"/>
        </w:rPr>
        <w:t>Vista de frente en oclusión. Sirve para observar la relación de las líneas medias dentales superiores e inferiores, sobremordida vertical y posiciones</w:t>
      </w:r>
      <w:r>
        <w:rPr>
          <w:spacing w:val="-23"/>
          <w:sz w:val="24"/>
        </w:rPr>
        <w:t> </w:t>
      </w:r>
      <w:r>
        <w:rPr>
          <w:sz w:val="24"/>
        </w:rPr>
        <w:t>dentarias.</w:t>
      </w:r>
      <w:r>
        <w:rPr>
          <w:position w:val="11"/>
          <w:sz w:val="16"/>
        </w:rPr>
        <w:t>5</w:t>
      </w:r>
    </w:p>
    <w:p>
      <w:pPr>
        <w:pStyle w:val="BodyText"/>
        <w:spacing w:before="4"/>
        <w:rPr>
          <w:sz w:val="35"/>
        </w:rPr>
      </w:pPr>
    </w:p>
    <w:p>
      <w:pPr>
        <w:pStyle w:val="ListParagraph"/>
        <w:numPr>
          <w:ilvl w:val="0"/>
          <w:numId w:val="5"/>
        </w:numPr>
        <w:tabs>
          <w:tab w:pos="466" w:val="left" w:leader="none"/>
        </w:tabs>
        <w:spacing w:line="360" w:lineRule="auto" w:before="0" w:after="0"/>
        <w:ind w:left="465" w:right="124" w:hanging="360"/>
        <w:jc w:val="both"/>
        <w:rPr>
          <w:rFonts w:ascii="Symbol" w:hAnsi="Symbol"/>
          <w:sz w:val="16"/>
        </w:rPr>
      </w:pPr>
      <w:r>
        <w:rPr>
          <w:sz w:val="24"/>
        </w:rPr>
        <w:t>Vista en posterior en oclusión. Se utiliza para mostrar las relaciones de líneas medias superiores e inferiores, relaciones caninas y molares e intercuspidaciones</w:t>
      </w:r>
      <w:r>
        <w:rPr>
          <w:spacing w:val="-6"/>
          <w:sz w:val="24"/>
        </w:rPr>
        <w:t> </w:t>
      </w:r>
      <w:r>
        <w:rPr>
          <w:sz w:val="24"/>
        </w:rPr>
        <w:t>dentales.</w:t>
      </w:r>
    </w:p>
    <w:p>
      <w:pPr>
        <w:pStyle w:val="BodyText"/>
        <w:spacing w:before="5"/>
        <w:rPr>
          <w:sz w:val="25"/>
        </w:rPr>
      </w:pPr>
    </w:p>
    <w:p>
      <w:pPr>
        <w:pStyle w:val="ListParagraph"/>
        <w:numPr>
          <w:ilvl w:val="0"/>
          <w:numId w:val="5"/>
        </w:numPr>
        <w:tabs>
          <w:tab w:pos="466" w:val="left" w:leader="none"/>
        </w:tabs>
        <w:spacing w:line="360" w:lineRule="auto" w:before="0" w:after="0"/>
        <w:ind w:left="465" w:right="115" w:hanging="360"/>
        <w:jc w:val="both"/>
        <w:rPr>
          <w:rFonts w:ascii="Symbol" w:hAnsi="Symbol"/>
          <w:sz w:val="16"/>
        </w:rPr>
      </w:pPr>
      <w:r>
        <w:rPr>
          <w:sz w:val="24"/>
        </w:rPr>
        <w:t>Vista derecha en oclusión. Es útil para conocer las relaciones caninas y molares, intercuspidación dental y la relación del plano</w:t>
      </w:r>
      <w:r>
        <w:rPr>
          <w:spacing w:val="-18"/>
          <w:sz w:val="24"/>
        </w:rPr>
        <w:t> </w:t>
      </w:r>
      <w:r>
        <w:rPr>
          <w:sz w:val="24"/>
        </w:rPr>
        <w:t>oclusal.</w:t>
      </w:r>
    </w:p>
    <w:p>
      <w:pPr>
        <w:pStyle w:val="BodyText"/>
        <w:spacing w:before="6"/>
        <w:rPr>
          <w:sz w:val="25"/>
        </w:rPr>
      </w:pPr>
    </w:p>
    <w:p>
      <w:pPr>
        <w:pStyle w:val="ListParagraph"/>
        <w:numPr>
          <w:ilvl w:val="0"/>
          <w:numId w:val="5"/>
        </w:numPr>
        <w:tabs>
          <w:tab w:pos="466" w:val="left" w:leader="none"/>
        </w:tabs>
        <w:spacing w:line="360" w:lineRule="auto" w:before="0" w:after="0"/>
        <w:ind w:left="465" w:right="117" w:hanging="360"/>
        <w:jc w:val="both"/>
        <w:rPr>
          <w:rFonts w:ascii="Symbol" w:hAnsi="Symbol"/>
          <w:sz w:val="16"/>
        </w:rPr>
      </w:pPr>
      <w:r>
        <w:rPr>
          <w:sz w:val="24"/>
        </w:rPr>
        <w:t>Vista izquierda en oclusión. Se utiliza para mostrar las relaciones caninas y molares, intercuspidación dental y la relación del plano</w:t>
      </w:r>
      <w:r>
        <w:rPr>
          <w:spacing w:val="-13"/>
          <w:sz w:val="24"/>
        </w:rPr>
        <w:t> </w:t>
      </w:r>
      <w:r>
        <w:rPr>
          <w:sz w:val="24"/>
        </w:rPr>
        <w:t>oclusal.</w:t>
      </w:r>
    </w:p>
    <w:p>
      <w:pPr>
        <w:pStyle w:val="BodyText"/>
        <w:spacing w:before="5"/>
        <w:rPr>
          <w:sz w:val="25"/>
        </w:rPr>
      </w:pPr>
    </w:p>
    <w:p>
      <w:pPr>
        <w:pStyle w:val="ListParagraph"/>
        <w:numPr>
          <w:ilvl w:val="0"/>
          <w:numId w:val="5"/>
        </w:numPr>
        <w:tabs>
          <w:tab w:pos="466" w:val="left" w:leader="none"/>
        </w:tabs>
        <w:spacing w:line="360" w:lineRule="auto" w:before="0" w:after="0"/>
        <w:ind w:left="465" w:right="118" w:hanging="360"/>
        <w:jc w:val="both"/>
        <w:rPr>
          <w:rFonts w:ascii="Symbol"/>
          <w:sz w:val="16"/>
        </w:rPr>
      </w:pPr>
      <w:r>
        <w:rPr>
          <w:sz w:val="24"/>
        </w:rPr>
        <w:t>Vista oclusal superior. Se emplea para observar las formas de los arcos y posiciones</w:t>
      </w:r>
      <w:r>
        <w:rPr>
          <w:spacing w:val="-7"/>
          <w:sz w:val="24"/>
        </w:rPr>
        <w:t> </w:t>
      </w:r>
      <w:r>
        <w:rPr>
          <w:sz w:val="24"/>
        </w:rPr>
        <w:t>dentarias.</w:t>
      </w:r>
    </w:p>
    <w:p>
      <w:pPr>
        <w:pStyle w:val="BodyText"/>
        <w:spacing w:before="5"/>
        <w:rPr>
          <w:sz w:val="25"/>
        </w:rPr>
      </w:pPr>
    </w:p>
    <w:p>
      <w:pPr>
        <w:pStyle w:val="ListParagraph"/>
        <w:numPr>
          <w:ilvl w:val="0"/>
          <w:numId w:val="5"/>
        </w:numPr>
        <w:tabs>
          <w:tab w:pos="466" w:val="left" w:leader="none"/>
        </w:tabs>
        <w:spacing w:line="328" w:lineRule="auto" w:before="0" w:after="0"/>
        <w:ind w:left="465" w:right="116" w:hanging="360"/>
        <w:jc w:val="both"/>
        <w:rPr>
          <w:rFonts w:ascii="Symbol"/>
          <w:sz w:val="16"/>
        </w:rPr>
      </w:pPr>
      <w:r>
        <w:rPr>
          <w:sz w:val="24"/>
        </w:rPr>
        <w:t>Vista oclusal inferior. Permiten observar las formas de los arcos y posiciones dentarias.</w:t>
      </w:r>
      <w:r>
        <w:rPr>
          <w:position w:val="11"/>
          <w:sz w:val="16"/>
        </w:rPr>
        <w:t>1,5</w:t>
      </w:r>
    </w:p>
    <w:p>
      <w:pPr>
        <w:pStyle w:val="BodyText"/>
        <w:rPr>
          <w:sz w:val="20"/>
        </w:rPr>
      </w:pPr>
    </w:p>
    <w:p>
      <w:pPr>
        <w:pStyle w:val="BodyText"/>
        <w:spacing w:before="9"/>
        <w:rPr>
          <w:sz w:val="23"/>
        </w:rPr>
      </w:pPr>
      <w:r>
        <w:rPr/>
        <w:drawing>
          <wp:anchor distT="0" distB="0" distL="0" distR="0" allowOverlap="1" layoutInCell="1" locked="0" behindDoc="0" simplePos="0" relativeHeight="1192">
            <wp:simplePos x="0" y="0"/>
            <wp:positionH relativeFrom="page">
              <wp:posOffset>1978914</wp:posOffset>
            </wp:positionH>
            <wp:positionV relativeFrom="paragraph">
              <wp:posOffset>199040</wp:posOffset>
            </wp:positionV>
            <wp:extent cx="3800538" cy="2533650"/>
            <wp:effectExtent l="0" t="0" r="0" b="0"/>
            <wp:wrapTopAndBottom/>
            <wp:docPr id="13" name="image14.jpeg" descr=""/>
            <wp:cNvGraphicFramePr>
              <a:graphicFrameLocks noChangeAspect="1"/>
            </wp:cNvGraphicFramePr>
            <a:graphic>
              <a:graphicData uri="http://schemas.openxmlformats.org/drawingml/2006/picture">
                <pic:pic>
                  <pic:nvPicPr>
                    <pic:cNvPr id="14" name="image14.jpeg"/>
                    <pic:cNvPicPr/>
                  </pic:nvPicPr>
                  <pic:blipFill>
                    <a:blip r:embed="rId20" cstate="print"/>
                    <a:stretch>
                      <a:fillRect/>
                    </a:stretch>
                  </pic:blipFill>
                  <pic:spPr>
                    <a:xfrm>
                      <a:off x="0" y="0"/>
                      <a:ext cx="3800538" cy="2533650"/>
                    </a:xfrm>
                    <a:prstGeom prst="rect">
                      <a:avLst/>
                    </a:prstGeom>
                  </pic:spPr>
                </pic:pic>
              </a:graphicData>
            </a:graphic>
          </wp:anchor>
        </w:drawing>
      </w:r>
    </w:p>
    <w:p>
      <w:pPr>
        <w:spacing w:before="122"/>
        <w:ind w:left="2075" w:right="2020" w:firstLine="0"/>
        <w:jc w:val="center"/>
        <w:rPr>
          <w:sz w:val="20"/>
        </w:rPr>
      </w:pPr>
      <w:r>
        <w:rPr>
          <w:sz w:val="20"/>
        </w:rPr>
        <w:t>Fig. 8. Modelos de estudio.</w:t>
      </w:r>
    </w:p>
    <w:p>
      <w:pPr>
        <w:spacing w:before="0"/>
        <w:ind w:left="2076" w:right="2020" w:firstLine="0"/>
        <w:jc w:val="center"/>
        <w:rPr>
          <w:sz w:val="20"/>
        </w:rPr>
      </w:pPr>
      <w:r>
        <w:rPr>
          <w:sz w:val="20"/>
        </w:rPr>
        <w:t>Fuente: Ortodoncia Contemporánea. Proffit WR, pp.201.</w:t>
      </w:r>
    </w:p>
    <w:p>
      <w:pPr>
        <w:spacing w:after="0"/>
        <w:jc w:val="center"/>
        <w:rPr>
          <w:sz w:val="20"/>
        </w:rPr>
        <w:sectPr>
          <w:pgSz w:w="12240" w:h="15840"/>
          <w:pgMar w:header="0" w:footer="1003" w:top="1340" w:bottom="1200" w:left="1520" w:right="1580"/>
        </w:sectPr>
      </w:pPr>
    </w:p>
    <w:p>
      <w:pPr>
        <w:pStyle w:val="BodyText"/>
        <w:spacing w:line="355" w:lineRule="auto" w:before="54"/>
        <w:ind w:left="102" w:right="100"/>
        <w:jc w:val="both"/>
        <w:rPr>
          <w:sz w:val="16"/>
        </w:rPr>
      </w:pPr>
      <w:r>
        <w:rPr/>
        <w:t>El diagnóstico diferencial es esencial en la planificación del tratamiento. Por lo tanto, un análisis cefalométrico debe ser capaz de diferenciar entre varios tipos de maloclusión. El desafío de ciencias como la Ortodoncia y la Ortopedia maxilofacial es obtener un diagnóstico lo más preciso posible de los problemas faciales, dentarios y esqueléticos, destacando si el paciente se encuentra aún en etapa de crecimiento.</w:t>
      </w:r>
      <w:r>
        <w:rPr>
          <w:position w:val="11"/>
          <w:sz w:val="16"/>
        </w:rPr>
        <w:t>9,10</w:t>
      </w:r>
    </w:p>
    <w:p>
      <w:pPr>
        <w:pStyle w:val="BodyText"/>
        <w:spacing w:before="2"/>
        <w:rPr>
          <w:sz w:val="35"/>
        </w:rPr>
      </w:pPr>
    </w:p>
    <w:p>
      <w:pPr>
        <w:pStyle w:val="BodyText"/>
        <w:spacing w:line="350" w:lineRule="auto" w:before="1"/>
        <w:ind w:left="102" w:right="99"/>
        <w:jc w:val="both"/>
        <w:rPr>
          <w:sz w:val="16"/>
        </w:rPr>
      </w:pPr>
      <w:r>
        <w:rPr/>
        <w:t>El resultado bueno o malo del tratamiento de Ortodoncia depende de nuestras habilidades para establecer un diagnóstico, planificación del tratamiento y las mecánicas a emplear; como bien menciona Yogi Berra: "Si usted no sabe a dónde va, probablemente terminará en otro lugar".</w:t>
      </w:r>
      <w:r>
        <w:rPr>
          <w:position w:val="11"/>
          <w:sz w:val="16"/>
        </w:rPr>
        <w:t>11</w:t>
      </w:r>
    </w:p>
    <w:p>
      <w:pPr>
        <w:spacing w:after="0" w:line="350" w:lineRule="auto"/>
        <w:jc w:val="both"/>
        <w:rPr>
          <w:sz w:val="16"/>
        </w:rPr>
        <w:sectPr>
          <w:pgSz w:w="12240" w:h="15840"/>
          <w:pgMar w:header="0" w:footer="1003" w:top="1360" w:bottom="1200" w:left="1600" w:right="1600"/>
        </w:sectPr>
      </w:pPr>
    </w:p>
    <w:p>
      <w:pPr>
        <w:pStyle w:val="Heading3"/>
        <w:spacing w:before="54"/>
        <w:ind w:right="139"/>
      </w:pPr>
      <w:r>
        <w:rPr/>
        <w:t>1.2 Cefalometría</w:t>
      </w:r>
    </w:p>
    <w:p>
      <w:pPr>
        <w:pStyle w:val="BodyText"/>
        <w:spacing w:before="5"/>
        <w:rPr>
          <w:b/>
          <w:sz w:val="29"/>
        </w:rPr>
      </w:pPr>
    </w:p>
    <w:p>
      <w:pPr>
        <w:pStyle w:val="BodyText"/>
        <w:spacing w:line="352" w:lineRule="auto"/>
        <w:ind w:left="102" w:right="115"/>
        <w:jc w:val="both"/>
        <w:rPr>
          <w:sz w:val="16"/>
        </w:rPr>
      </w:pPr>
      <w:r>
        <w:rPr/>
        <w:t>El concepto de Cefalometría deriva del griego céfalo: cabeza y metría: medida. Se define como el conjunto de mediciones, que hacemos sobre radiografías cefálicas de frente o de perfil, utilizando una serie de puntos, líneas, planos y ángulos preestablecidos por investigadores que realizaron y publicaron sus respectivos estudios.</w:t>
      </w:r>
      <w:r>
        <w:rPr>
          <w:position w:val="11"/>
          <w:sz w:val="16"/>
        </w:rPr>
        <w:t>12</w:t>
      </w:r>
    </w:p>
    <w:p>
      <w:pPr>
        <w:pStyle w:val="BodyText"/>
        <w:spacing w:before="10"/>
        <w:rPr>
          <w:sz w:val="40"/>
        </w:rPr>
      </w:pPr>
    </w:p>
    <w:p>
      <w:pPr>
        <w:pStyle w:val="BodyText"/>
        <w:spacing w:line="350" w:lineRule="auto"/>
        <w:ind w:left="102" w:right="124"/>
        <w:jc w:val="both"/>
        <w:rPr>
          <w:sz w:val="16"/>
        </w:rPr>
      </w:pPr>
      <w:r>
        <w:rPr/>
        <w:t>Análisis cefalométrico, es el nombre que se le da a las medidas que se obtienen  en las radiografías del cráneo humano. Estas medidas tienen aplicación médica para la evaluación de las vías aéreas superiores por otorrinolaringólogos, seguimiento de la maduración fetal por obstetricia, etc.</w:t>
      </w:r>
      <w:r>
        <w:rPr>
          <w:position w:val="11"/>
          <w:sz w:val="16"/>
        </w:rPr>
        <w:t>13,</w:t>
      </w:r>
      <w:r>
        <w:rPr>
          <w:spacing w:val="-15"/>
          <w:position w:val="11"/>
          <w:sz w:val="16"/>
        </w:rPr>
        <w:t> </w:t>
      </w:r>
      <w:r>
        <w:rPr>
          <w:position w:val="11"/>
          <w:sz w:val="16"/>
        </w:rPr>
        <w:t>14</w:t>
      </w:r>
    </w:p>
    <w:p>
      <w:pPr>
        <w:pStyle w:val="BodyText"/>
        <w:spacing w:line="360" w:lineRule="auto" w:before="198"/>
        <w:ind w:left="102" w:right="118"/>
        <w:jc w:val="both"/>
      </w:pPr>
      <w:r>
        <w:rPr/>
        <w:t>Es importante definir el objetivo del análisis cefalométrico como el estudio de las relaciones horizontales y verticales de los cinco componentes funcionales más importantes de la cara: el cráneo, y la base craneal; el maxilar; la dentición y procesos alveolares superiores; la mandíbula; la dentición y procesos alveolares inferiores. En este sentido, todo análisis cefalométrico es un procedimiento</w:t>
      </w:r>
      <w:r>
        <w:rPr>
          <w:spacing w:val="55"/>
        </w:rPr>
        <w:t> </w:t>
      </w:r>
      <w:r>
        <w:rPr/>
        <w:t>ideado</w:t>
      </w:r>
    </w:p>
    <w:p>
      <w:pPr>
        <w:pStyle w:val="BodyText"/>
        <w:spacing w:line="328" w:lineRule="auto" w:before="5"/>
        <w:ind w:left="102" w:right="125"/>
        <w:jc w:val="both"/>
        <w:rPr>
          <w:sz w:val="16"/>
        </w:rPr>
      </w:pPr>
      <w:r>
        <w:rPr/>
        <w:t>para obtener una descripción de las relaciones que existen entre estas unidades funcionales.</w:t>
      </w:r>
      <w:r>
        <w:rPr>
          <w:position w:val="11"/>
          <w:sz w:val="16"/>
        </w:rPr>
        <w:t>14</w:t>
      </w:r>
    </w:p>
    <w:p>
      <w:pPr>
        <w:pStyle w:val="BodyText"/>
        <w:spacing w:line="360" w:lineRule="auto" w:before="225"/>
        <w:ind w:left="102" w:right="116"/>
        <w:jc w:val="both"/>
      </w:pPr>
      <w:r>
        <w:rPr/>
        <w:t>El análisis cefalométrico es un medio indispensable en el diagnóstico correcto en Ortodoncia. Como parte de la evaluación en esta área, la relación sagital entre maxilar y mandíbula es uno de los criterios diagnósticos más importantes y complejos, pues una de las mayores preocupaciones en cefalometría es la de relacionar de manera anteroposterior la maxila y la mandíbula con la finalidad    de</w:t>
      </w:r>
    </w:p>
    <w:p>
      <w:pPr>
        <w:pStyle w:val="BodyText"/>
        <w:spacing w:line="279" w:lineRule="exact"/>
        <w:ind w:left="102"/>
        <w:jc w:val="both"/>
        <w:rPr>
          <w:sz w:val="16"/>
        </w:rPr>
      </w:pPr>
      <w:r>
        <w:rPr/>
        <w:t>cuantificar el posible grado de desarmonía esquelética entre ellas.</w:t>
      </w:r>
      <w:r>
        <w:rPr>
          <w:position w:val="11"/>
          <w:sz w:val="16"/>
        </w:rPr>
        <w:t>13</w:t>
      </w:r>
    </w:p>
    <w:p>
      <w:pPr>
        <w:pStyle w:val="BodyText"/>
        <w:spacing w:before="4"/>
        <w:rPr>
          <w:sz w:val="29"/>
        </w:rPr>
      </w:pPr>
    </w:p>
    <w:p>
      <w:pPr>
        <w:pStyle w:val="BodyText"/>
        <w:spacing w:line="350" w:lineRule="auto" w:before="1"/>
        <w:ind w:left="102" w:right="123"/>
        <w:jc w:val="both"/>
        <w:rPr>
          <w:sz w:val="16"/>
        </w:rPr>
      </w:pPr>
      <w:r>
        <w:rPr/>
        <w:t>La aplicación del análisis cefalométrico permite al clínico conocer mejor la maloclusión del paciente, localizar la o las anomalías, predecir el crecimiento de la cara y conocer el pronóstico que tendrá el paciente si se aplica el tratamiento adecuado.</w:t>
      </w:r>
      <w:r>
        <w:rPr>
          <w:position w:val="11"/>
          <w:sz w:val="16"/>
        </w:rPr>
        <w:t>9</w:t>
      </w:r>
    </w:p>
    <w:p>
      <w:pPr>
        <w:spacing w:after="0" w:line="350" w:lineRule="auto"/>
        <w:jc w:val="both"/>
        <w:rPr>
          <w:sz w:val="16"/>
        </w:rPr>
        <w:sectPr>
          <w:footerReference w:type="default" r:id="rId21"/>
          <w:pgSz w:w="12240" w:h="15840"/>
          <w:pgMar w:footer="1003" w:header="0" w:top="1360" w:bottom="1200" w:left="1600" w:right="1580"/>
        </w:sectPr>
      </w:pPr>
    </w:p>
    <w:p>
      <w:pPr>
        <w:pStyle w:val="BodyText"/>
        <w:spacing w:line="352" w:lineRule="auto" w:before="54"/>
        <w:ind w:left="102" w:right="102"/>
        <w:jc w:val="both"/>
        <w:rPr>
          <w:sz w:val="16"/>
        </w:rPr>
      </w:pPr>
      <w:r>
        <w:rPr/>
        <w:t>Los estudios cefalométricos tradicionales consisten en un trazado de puntos en papel acetato y a partir de estos puntos se miden los valores angulares y lineales deseados para obtener una descripción concisa y comprensible del patrón craneofacial y clasificar al paciente, identificar cuáles serán los objetivos del tratamiento, escoger la modalidad del tratamiento y predecir su éxito (Fig 9).</w:t>
      </w:r>
      <w:r>
        <w:rPr>
          <w:position w:val="11"/>
          <w:sz w:val="16"/>
        </w:rPr>
        <w:t>14</w:t>
      </w:r>
    </w:p>
    <w:p>
      <w:pPr>
        <w:pStyle w:val="BodyText"/>
        <w:spacing w:before="8"/>
        <w:rPr>
          <w:sz w:val="13"/>
        </w:rPr>
      </w:pPr>
      <w:r>
        <w:rPr/>
        <w:drawing>
          <wp:anchor distT="0" distB="0" distL="0" distR="0" allowOverlap="1" layoutInCell="1" locked="0" behindDoc="0" simplePos="0" relativeHeight="1216">
            <wp:simplePos x="0" y="0"/>
            <wp:positionH relativeFrom="page">
              <wp:posOffset>2552700</wp:posOffset>
            </wp:positionH>
            <wp:positionV relativeFrom="paragraph">
              <wp:posOffset>124878</wp:posOffset>
            </wp:positionV>
            <wp:extent cx="2657813" cy="1993392"/>
            <wp:effectExtent l="0" t="0" r="0" b="0"/>
            <wp:wrapTopAndBottom/>
            <wp:docPr id="15" name="image15.jpeg" descr=""/>
            <wp:cNvGraphicFramePr>
              <a:graphicFrameLocks noChangeAspect="1"/>
            </wp:cNvGraphicFramePr>
            <a:graphic>
              <a:graphicData uri="http://schemas.openxmlformats.org/drawingml/2006/picture">
                <pic:pic>
                  <pic:nvPicPr>
                    <pic:cNvPr id="16" name="image15.jpeg"/>
                    <pic:cNvPicPr/>
                  </pic:nvPicPr>
                  <pic:blipFill>
                    <a:blip r:embed="rId23" cstate="print"/>
                    <a:stretch>
                      <a:fillRect/>
                    </a:stretch>
                  </pic:blipFill>
                  <pic:spPr>
                    <a:xfrm>
                      <a:off x="0" y="0"/>
                      <a:ext cx="2657813" cy="1993392"/>
                    </a:xfrm>
                    <a:prstGeom prst="rect">
                      <a:avLst/>
                    </a:prstGeom>
                  </pic:spPr>
                </pic:pic>
              </a:graphicData>
            </a:graphic>
          </wp:anchor>
        </w:drawing>
      </w:r>
    </w:p>
    <w:p>
      <w:pPr>
        <w:pStyle w:val="BodyText"/>
        <w:spacing w:before="6"/>
        <w:rPr>
          <w:sz w:val="23"/>
        </w:rPr>
      </w:pPr>
    </w:p>
    <w:p>
      <w:pPr>
        <w:spacing w:before="0"/>
        <w:ind w:left="183" w:right="181" w:firstLine="0"/>
        <w:jc w:val="center"/>
        <w:rPr>
          <w:sz w:val="20"/>
        </w:rPr>
      </w:pPr>
      <w:r>
        <w:rPr>
          <w:sz w:val="20"/>
        </w:rPr>
        <w:t>Fig. 9. Representación de la importancia de la cefalometría.</w:t>
      </w:r>
    </w:p>
    <w:p>
      <w:pPr>
        <w:spacing w:before="3"/>
        <w:ind w:left="183" w:right="182" w:firstLine="0"/>
        <w:jc w:val="center"/>
        <w:rPr>
          <w:sz w:val="20"/>
        </w:rPr>
      </w:pPr>
      <w:r>
        <w:rPr>
          <w:sz w:val="20"/>
        </w:rPr>
        <w:t>Fuente: </w:t>
      </w:r>
      <w:hyperlink r:id="rId24">
        <w:r>
          <w:rPr>
            <w:sz w:val="20"/>
          </w:rPr>
          <w:t>http://maxilofacial.obolog.es/historia-cefalometria-radiografica-457832</w:t>
        </w:r>
      </w:hyperlink>
    </w:p>
    <w:p>
      <w:pPr>
        <w:pStyle w:val="BodyText"/>
        <w:rPr>
          <w:sz w:val="20"/>
        </w:rPr>
      </w:pPr>
    </w:p>
    <w:p>
      <w:pPr>
        <w:pStyle w:val="BodyText"/>
        <w:rPr>
          <w:sz w:val="20"/>
        </w:rPr>
      </w:pPr>
    </w:p>
    <w:p>
      <w:pPr>
        <w:pStyle w:val="BodyText"/>
        <w:spacing w:before="9"/>
        <w:rPr>
          <w:sz w:val="18"/>
        </w:rPr>
      </w:pPr>
    </w:p>
    <w:p>
      <w:pPr>
        <w:pStyle w:val="Heading3"/>
        <w:numPr>
          <w:ilvl w:val="2"/>
          <w:numId w:val="6"/>
        </w:numPr>
        <w:tabs>
          <w:tab w:pos="704" w:val="left" w:leader="none"/>
        </w:tabs>
        <w:spacing w:line="240" w:lineRule="auto" w:before="0" w:after="0"/>
        <w:ind w:left="703" w:right="0" w:hanging="601"/>
        <w:jc w:val="both"/>
      </w:pPr>
      <w:r>
        <w:rPr/>
        <w:t>Usos de la</w:t>
      </w:r>
      <w:r>
        <w:rPr>
          <w:spacing w:val="-6"/>
        </w:rPr>
        <w:t> </w:t>
      </w:r>
      <w:r>
        <w:rPr/>
        <w:t>cefalometría</w:t>
      </w:r>
    </w:p>
    <w:p>
      <w:pPr>
        <w:pStyle w:val="BodyText"/>
        <w:spacing w:before="2"/>
        <w:rPr>
          <w:b/>
          <w:sz w:val="29"/>
        </w:rPr>
      </w:pPr>
    </w:p>
    <w:p>
      <w:pPr>
        <w:pStyle w:val="BodyText"/>
        <w:tabs>
          <w:tab w:pos="6588" w:val="left" w:leader="none"/>
        </w:tabs>
        <w:spacing w:line="360" w:lineRule="auto"/>
        <w:ind w:left="102" w:right="104"/>
      </w:pPr>
      <w:r>
        <w:rPr/>
        <w:t>La  radiografía  cefalométrica  cumple </w:t>
      </w:r>
      <w:r>
        <w:rPr>
          <w:spacing w:val="9"/>
        </w:rPr>
        <w:t> </w:t>
      </w:r>
      <w:r>
        <w:rPr/>
        <w:t>distintas  funciones</w:t>
        <w:tab/>
        <w:t>entre  ellas </w:t>
      </w:r>
      <w:r>
        <w:rPr>
          <w:spacing w:val="3"/>
        </w:rPr>
        <w:t> </w:t>
      </w:r>
      <w:r>
        <w:rPr/>
        <w:t>están </w:t>
      </w:r>
      <w:r>
        <w:rPr>
          <w:spacing w:val="1"/>
        </w:rPr>
        <w:t> </w:t>
      </w:r>
      <w:r>
        <w:rPr/>
        <w:t>las siguientes:</w:t>
      </w:r>
    </w:p>
    <w:p>
      <w:pPr>
        <w:pStyle w:val="ListParagraph"/>
        <w:numPr>
          <w:ilvl w:val="0"/>
          <w:numId w:val="7"/>
        </w:numPr>
        <w:tabs>
          <w:tab w:pos="414" w:val="left" w:leader="none"/>
        </w:tabs>
        <w:spacing w:line="360" w:lineRule="auto" w:before="204" w:after="0"/>
        <w:ind w:left="102" w:right="104" w:firstLine="0"/>
        <w:jc w:val="left"/>
        <w:rPr>
          <w:sz w:val="24"/>
        </w:rPr>
      </w:pPr>
      <w:r>
        <w:rPr>
          <w:sz w:val="24"/>
        </w:rPr>
        <w:t>Evaluación de las relaciones craneofaciales antes del tratamiento o medidas terapéuticas.</w:t>
      </w:r>
    </w:p>
    <w:p>
      <w:pPr>
        <w:pStyle w:val="ListParagraph"/>
        <w:numPr>
          <w:ilvl w:val="0"/>
          <w:numId w:val="7"/>
        </w:numPr>
        <w:tabs>
          <w:tab w:pos="371" w:val="left" w:leader="none"/>
        </w:tabs>
        <w:spacing w:line="240" w:lineRule="auto" w:before="204" w:after="0"/>
        <w:ind w:left="370" w:right="0" w:hanging="268"/>
        <w:jc w:val="both"/>
        <w:rPr>
          <w:sz w:val="24"/>
        </w:rPr>
      </w:pPr>
      <w:r>
        <w:rPr>
          <w:sz w:val="24"/>
        </w:rPr>
        <w:t>Evaluación de la matriz de los tejidos</w:t>
      </w:r>
      <w:r>
        <w:rPr>
          <w:spacing w:val="-18"/>
          <w:sz w:val="24"/>
        </w:rPr>
        <w:t> </w:t>
      </w:r>
      <w:r>
        <w:rPr>
          <w:sz w:val="24"/>
        </w:rPr>
        <w:t>blandos.</w:t>
      </w:r>
    </w:p>
    <w:p>
      <w:pPr>
        <w:pStyle w:val="BodyText"/>
        <w:spacing w:before="5"/>
        <w:rPr>
          <w:sz w:val="29"/>
        </w:rPr>
      </w:pPr>
    </w:p>
    <w:p>
      <w:pPr>
        <w:pStyle w:val="ListParagraph"/>
        <w:numPr>
          <w:ilvl w:val="0"/>
          <w:numId w:val="7"/>
        </w:numPr>
        <w:tabs>
          <w:tab w:pos="371" w:val="left" w:leader="none"/>
        </w:tabs>
        <w:spacing w:line="240" w:lineRule="auto" w:before="0" w:after="0"/>
        <w:ind w:left="370" w:right="0" w:hanging="268"/>
        <w:jc w:val="both"/>
        <w:rPr>
          <w:sz w:val="24"/>
        </w:rPr>
      </w:pPr>
      <w:r>
        <w:rPr>
          <w:sz w:val="24"/>
        </w:rPr>
        <w:t>Clasificación de los patrones faciales (como en el análisis facial</w:t>
      </w:r>
      <w:r>
        <w:rPr>
          <w:spacing w:val="-26"/>
          <w:sz w:val="24"/>
        </w:rPr>
        <w:t> </w:t>
      </w:r>
      <w:r>
        <w:rPr>
          <w:sz w:val="24"/>
        </w:rPr>
        <w:t>proporcional).</w:t>
      </w:r>
    </w:p>
    <w:p>
      <w:pPr>
        <w:pStyle w:val="BodyText"/>
        <w:spacing w:before="4"/>
        <w:rPr>
          <w:sz w:val="29"/>
        </w:rPr>
      </w:pPr>
    </w:p>
    <w:p>
      <w:pPr>
        <w:pStyle w:val="ListParagraph"/>
        <w:numPr>
          <w:ilvl w:val="0"/>
          <w:numId w:val="7"/>
        </w:numPr>
        <w:tabs>
          <w:tab w:pos="385" w:val="left" w:leader="none"/>
        </w:tabs>
        <w:spacing w:line="360" w:lineRule="auto" w:before="1" w:after="0"/>
        <w:ind w:left="102" w:right="105" w:firstLine="0"/>
        <w:jc w:val="left"/>
        <w:rPr>
          <w:sz w:val="24"/>
        </w:rPr>
      </w:pPr>
      <w:r>
        <w:rPr>
          <w:sz w:val="24"/>
        </w:rPr>
        <w:t>Cálculo de la discrepancia tamaño dentario, tamaño de los maxilares (como en el  análisis de espacio</w:t>
      </w:r>
      <w:r>
        <w:rPr>
          <w:spacing w:val="-8"/>
          <w:sz w:val="24"/>
        </w:rPr>
        <w:t> </w:t>
      </w:r>
      <w:r>
        <w:rPr>
          <w:sz w:val="24"/>
        </w:rPr>
        <w:t>total).</w:t>
      </w:r>
    </w:p>
    <w:p>
      <w:pPr>
        <w:pStyle w:val="ListParagraph"/>
        <w:numPr>
          <w:ilvl w:val="0"/>
          <w:numId w:val="7"/>
        </w:numPr>
        <w:tabs>
          <w:tab w:pos="385" w:val="left" w:leader="none"/>
        </w:tabs>
        <w:spacing w:line="360" w:lineRule="auto" w:before="204" w:after="0"/>
        <w:ind w:left="102" w:right="107" w:firstLine="0"/>
        <w:jc w:val="left"/>
        <w:rPr>
          <w:sz w:val="24"/>
        </w:rPr>
      </w:pPr>
      <w:r>
        <w:rPr>
          <w:sz w:val="24"/>
        </w:rPr>
        <w:t>Determinación de la posición de reposo mandibular (como en el análisis de las curvas</w:t>
      </w:r>
      <w:r>
        <w:rPr>
          <w:spacing w:val="63"/>
          <w:sz w:val="24"/>
        </w:rPr>
        <w:t> </w:t>
      </w:r>
      <w:r>
        <w:rPr>
          <w:sz w:val="24"/>
        </w:rPr>
        <w:t>oclusales).</w:t>
      </w:r>
    </w:p>
    <w:p>
      <w:pPr>
        <w:spacing w:after="0" w:line="360" w:lineRule="auto"/>
        <w:jc w:val="left"/>
        <w:rPr>
          <w:sz w:val="24"/>
        </w:rPr>
        <w:sectPr>
          <w:footerReference w:type="default" r:id="rId22"/>
          <w:pgSz w:w="12240" w:h="15840"/>
          <w:pgMar w:footer="1003" w:header="0" w:top="1360" w:bottom="1200" w:left="1600" w:right="1600"/>
          <w:pgNumType w:start="11"/>
        </w:sectPr>
      </w:pPr>
    </w:p>
    <w:p>
      <w:pPr>
        <w:pStyle w:val="ListParagraph"/>
        <w:numPr>
          <w:ilvl w:val="0"/>
          <w:numId w:val="7"/>
        </w:numPr>
        <w:tabs>
          <w:tab w:pos="371" w:val="left" w:leader="none"/>
        </w:tabs>
        <w:spacing w:line="240" w:lineRule="auto" w:before="54" w:after="0"/>
        <w:ind w:left="370" w:right="0" w:hanging="268"/>
        <w:jc w:val="both"/>
        <w:rPr>
          <w:sz w:val="24"/>
        </w:rPr>
      </w:pPr>
      <w:r>
        <w:rPr>
          <w:sz w:val="24"/>
        </w:rPr>
        <w:t>Predicción del crecimiento y</w:t>
      </w:r>
      <w:r>
        <w:rPr>
          <w:spacing w:val="-13"/>
          <w:sz w:val="24"/>
        </w:rPr>
        <w:t> </w:t>
      </w:r>
      <w:r>
        <w:rPr>
          <w:sz w:val="24"/>
        </w:rPr>
        <w:t>desarrollo.</w:t>
      </w:r>
    </w:p>
    <w:p>
      <w:pPr>
        <w:pStyle w:val="BodyText"/>
        <w:spacing w:before="5"/>
        <w:rPr>
          <w:sz w:val="29"/>
        </w:rPr>
      </w:pPr>
    </w:p>
    <w:p>
      <w:pPr>
        <w:pStyle w:val="ListParagraph"/>
        <w:numPr>
          <w:ilvl w:val="0"/>
          <w:numId w:val="7"/>
        </w:numPr>
        <w:tabs>
          <w:tab w:pos="371" w:val="left" w:leader="none"/>
        </w:tabs>
        <w:spacing w:line="240" w:lineRule="auto" w:before="0" w:after="0"/>
        <w:ind w:left="370" w:right="0" w:hanging="268"/>
        <w:jc w:val="both"/>
        <w:rPr>
          <w:sz w:val="24"/>
        </w:rPr>
      </w:pPr>
      <w:r>
        <w:rPr>
          <w:sz w:val="24"/>
        </w:rPr>
        <w:t>Monitoreo de las relaciones esquelético-dentales durante el</w:t>
      </w:r>
      <w:r>
        <w:rPr>
          <w:spacing w:val="-26"/>
          <w:sz w:val="24"/>
        </w:rPr>
        <w:t> </w:t>
      </w:r>
      <w:r>
        <w:rPr>
          <w:sz w:val="24"/>
        </w:rPr>
        <w:t>tratamiento.</w:t>
      </w:r>
    </w:p>
    <w:p>
      <w:pPr>
        <w:pStyle w:val="BodyText"/>
        <w:spacing w:before="4"/>
        <w:rPr>
          <w:sz w:val="29"/>
        </w:rPr>
      </w:pPr>
    </w:p>
    <w:p>
      <w:pPr>
        <w:pStyle w:val="ListParagraph"/>
        <w:numPr>
          <w:ilvl w:val="0"/>
          <w:numId w:val="7"/>
        </w:numPr>
        <w:tabs>
          <w:tab w:pos="474" w:val="left" w:leader="none"/>
        </w:tabs>
        <w:spacing w:line="360" w:lineRule="auto" w:before="1" w:after="0"/>
        <w:ind w:left="102" w:right="121" w:firstLine="0"/>
        <w:jc w:val="both"/>
        <w:rPr>
          <w:sz w:val="24"/>
        </w:rPr>
      </w:pPr>
      <w:r>
        <w:rPr>
          <w:sz w:val="24"/>
        </w:rPr>
        <w:t>Detección de las condiciones patológicas antes, durante y después del tratamiento.</w:t>
      </w:r>
    </w:p>
    <w:p>
      <w:pPr>
        <w:pStyle w:val="ListParagraph"/>
        <w:numPr>
          <w:ilvl w:val="0"/>
          <w:numId w:val="7"/>
        </w:numPr>
        <w:tabs>
          <w:tab w:pos="409" w:val="left" w:leader="none"/>
        </w:tabs>
        <w:spacing w:line="352" w:lineRule="auto" w:before="202" w:after="0"/>
        <w:ind w:left="102" w:right="121" w:firstLine="0"/>
        <w:jc w:val="both"/>
        <w:rPr>
          <w:sz w:val="16"/>
        </w:rPr>
      </w:pPr>
      <w:r>
        <w:rPr>
          <w:sz w:val="24"/>
        </w:rPr>
        <w:t>Evaluación radiográfica a través de los años del estado de los traumatismos faciales. Estudio de las relaciones antes, inmediatamente después y varios años después del tratamiento, con el propósito de mejorar a largo plazo los planes de tratamiento, ya que se puede hacer un análisis comparativo entre pacientes, técnicas quirúrgicas,</w:t>
      </w:r>
      <w:r>
        <w:rPr>
          <w:spacing w:val="-7"/>
          <w:sz w:val="24"/>
        </w:rPr>
        <w:t> </w:t>
      </w:r>
      <w:r>
        <w:rPr>
          <w:sz w:val="24"/>
        </w:rPr>
        <w:t>etc.</w:t>
      </w:r>
      <w:r>
        <w:rPr>
          <w:position w:val="11"/>
          <w:sz w:val="16"/>
        </w:rPr>
        <w:t>13</w:t>
      </w:r>
    </w:p>
    <w:p>
      <w:pPr>
        <w:pStyle w:val="BodyText"/>
        <w:rPr>
          <w:sz w:val="28"/>
        </w:rPr>
      </w:pPr>
    </w:p>
    <w:p>
      <w:pPr>
        <w:pStyle w:val="BodyText"/>
        <w:spacing w:before="3"/>
        <w:rPr>
          <w:sz w:val="30"/>
        </w:rPr>
      </w:pPr>
    </w:p>
    <w:p>
      <w:pPr>
        <w:pStyle w:val="Heading3"/>
        <w:numPr>
          <w:ilvl w:val="2"/>
          <w:numId w:val="6"/>
        </w:numPr>
        <w:tabs>
          <w:tab w:pos="704" w:val="left" w:leader="none"/>
        </w:tabs>
        <w:spacing w:line="240" w:lineRule="auto" w:before="0" w:after="0"/>
        <w:ind w:left="703" w:right="0" w:hanging="601"/>
        <w:jc w:val="both"/>
      </w:pPr>
      <w:r>
        <w:rPr/>
        <w:t>Evolución histórica de la</w:t>
      </w:r>
      <w:r>
        <w:rPr>
          <w:spacing w:val="-11"/>
        </w:rPr>
        <w:t> </w:t>
      </w:r>
      <w:r>
        <w:rPr/>
        <w:t>cefalometría</w:t>
      </w:r>
    </w:p>
    <w:p>
      <w:pPr>
        <w:pStyle w:val="BodyText"/>
        <w:spacing w:before="4"/>
        <w:rPr>
          <w:b/>
          <w:sz w:val="29"/>
        </w:rPr>
      </w:pPr>
    </w:p>
    <w:p>
      <w:pPr>
        <w:pStyle w:val="BodyText"/>
        <w:spacing w:line="360" w:lineRule="auto" w:before="1"/>
        <w:ind w:left="102" w:right="117"/>
        <w:jc w:val="both"/>
      </w:pPr>
      <w:r>
        <w:rPr/>
        <w:t>La Cefalometría es un elemento importante en la conformación de una documentación ortodóncica para elaborar un diagnóstico y plan de tratamiento adecuado. Con el descubrimiento de los rayos X, el 8 de noviembre de 1895 por Wilhhelm Conrad Roentgen, y la existencia de técnicas que precedieron a los rayos X, como la craneometría y la antropología, es que los ortodoncistas pueden contar con esta herramienta diagnóstica de inestimable</w:t>
      </w:r>
      <w:r>
        <w:rPr>
          <w:spacing w:val="-24"/>
        </w:rPr>
        <w:t> </w:t>
      </w:r>
      <w:r>
        <w:rPr/>
        <w:t>valor.</w:t>
      </w:r>
    </w:p>
    <w:p>
      <w:pPr>
        <w:pStyle w:val="BodyText"/>
        <w:spacing w:line="343" w:lineRule="auto" w:before="204"/>
        <w:ind w:left="102" w:right="118"/>
        <w:jc w:val="both"/>
        <w:rPr>
          <w:sz w:val="16"/>
        </w:rPr>
      </w:pPr>
      <w:r>
        <w:rPr/>
        <w:t>En el perfeccionamiento de la técnica cefalométrica y de sus análisis contemporáneos ha sido importante el concurso de diversos autores como podremos ver a continuación: </w:t>
      </w:r>
      <w:r>
        <w:rPr>
          <w:position w:val="11"/>
          <w:sz w:val="16"/>
        </w:rPr>
        <w:t>11,14</w:t>
      </w:r>
    </w:p>
    <w:p>
      <w:pPr>
        <w:pStyle w:val="BodyText"/>
        <w:spacing w:line="352" w:lineRule="auto" w:before="207"/>
        <w:ind w:left="102" w:right="119"/>
        <w:jc w:val="both"/>
      </w:pPr>
      <w:r>
        <w:rPr/>
        <w:t>En la búsqueda de la belleza universal, varios artistas del renacimiento, se preocuparon por la exaltación de las proporciones casi matemáticas de los rostros y cuerpos. Uno de los máximos exponentes en esta etapa fue Leonardo  Da Vinci</w:t>
      </w:r>
      <w:r>
        <w:rPr>
          <w:position w:val="11"/>
          <w:sz w:val="16"/>
        </w:rPr>
        <w:t>15</w:t>
      </w:r>
      <w:r>
        <w:rPr/>
        <w:t>, que mediante la utilización de sus conocimientos en anatomía humana buscó los patrones de proporcionalidad y simetría. Dentro de la vasta colección de</w:t>
      </w:r>
    </w:p>
    <w:p>
      <w:pPr>
        <w:pStyle w:val="BodyText"/>
        <w:spacing w:line="360" w:lineRule="auto" w:before="13"/>
        <w:ind w:left="102" w:right="119"/>
        <w:jc w:val="both"/>
      </w:pPr>
      <w:r>
        <w:rPr/>
        <w:t>dibujos de Da Vinci se destacan los de anatomía humana, proporcionalidad y su aplicación en el arte. Realizó numerosos bosquejos sobre rostros humanos con</w:t>
      </w:r>
    </w:p>
    <w:p>
      <w:pPr>
        <w:spacing w:after="0" w:line="360" w:lineRule="auto"/>
        <w:jc w:val="both"/>
        <w:sectPr>
          <w:pgSz w:w="12240" w:h="15840"/>
          <w:pgMar w:header="0" w:footer="1003" w:top="1360" w:bottom="1200" w:left="1600" w:right="1580"/>
        </w:sectPr>
      </w:pPr>
    </w:p>
    <w:p>
      <w:pPr>
        <w:pStyle w:val="BodyText"/>
        <w:spacing w:line="362" w:lineRule="auto" w:before="54"/>
        <w:ind w:left="102" w:right="104"/>
        <w:jc w:val="both"/>
      </w:pPr>
      <w:r>
        <w:rPr/>
        <w:t>líneas rectas que unían estructuras anatómicas homólogas; variaciones en las líneas destacaban diferencias estructurales entre los rostros (Fig.10).</w:t>
      </w:r>
    </w:p>
    <w:p>
      <w:pPr>
        <w:pStyle w:val="BodyText"/>
        <w:spacing w:before="3"/>
        <w:rPr>
          <w:sz w:val="14"/>
        </w:rPr>
      </w:pPr>
      <w:r>
        <w:rPr/>
        <w:drawing>
          <wp:anchor distT="0" distB="0" distL="0" distR="0" allowOverlap="1" layoutInCell="1" locked="0" behindDoc="0" simplePos="0" relativeHeight="1240">
            <wp:simplePos x="0" y="0"/>
            <wp:positionH relativeFrom="page">
              <wp:posOffset>2514600</wp:posOffset>
            </wp:positionH>
            <wp:positionV relativeFrom="paragraph">
              <wp:posOffset>129030</wp:posOffset>
            </wp:positionV>
            <wp:extent cx="2760437" cy="2913411"/>
            <wp:effectExtent l="0" t="0" r="0" b="0"/>
            <wp:wrapTopAndBottom/>
            <wp:docPr id="17" name="image16.jpeg" descr=""/>
            <wp:cNvGraphicFramePr>
              <a:graphicFrameLocks noChangeAspect="1"/>
            </wp:cNvGraphicFramePr>
            <a:graphic>
              <a:graphicData uri="http://schemas.openxmlformats.org/drawingml/2006/picture">
                <pic:pic>
                  <pic:nvPicPr>
                    <pic:cNvPr id="18" name="image16.jpeg"/>
                    <pic:cNvPicPr/>
                  </pic:nvPicPr>
                  <pic:blipFill>
                    <a:blip r:embed="rId25" cstate="print"/>
                    <a:stretch>
                      <a:fillRect/>
                    </a:stretch>
                  </pic:blipFill>
                  <pic:spPr>
                    <a:xfrm>
                      <a:off x="0" y="0"/>
                      <a:ext cx="2760437" cy="2913411"/>
                    </a:xfrm>
                    <a:prstGeom prst="rect">
                      <a:avLst/>
                    </a:prstGeom>
                  </pic:spPr>
                </pic:pic>
              </a:graphicData>
            </a:graphic>
          </wp:anchor>
        </w:drawing>
      </w:r>
    </w:p>
    <w:p>
      <w:pPr>
        <w:pStyle w:val="BodyText"/>
        <w:spacing w:before="1"/>
        <w:rPr>
          <w:sz w:val="20"/>
        </w:rPr>
      </w:pPr>
    </w:p>
    <w:p>
      <w:pPr>
        <w:spacing w:line="242" w:lineRule="auto" w:before="0"/>
        <w:ind w:left="1066" w:right="1068" w:firstLine="1"/>
        <w:jc w:val="center"/>
        <w:rPr>
          <w:sz w:val="20"/>
        </w:rPr>
      </w:pPr>
      <w:r>
        <w:rPr>
          <w:sz w:val="20"/>
        </w:rPr>
        <w:t>Fig. 10. “Estudio de la cara humana”, dibujo, 1490, por Leonardo da Vinci. Fuente: </w:t>
      </w:r>
      <w:hyperlink r:id="rId24">
        <w:r>
          <w:rPr>
            <w:sz w:val="20"/>
          </w:rPr>
          <w:t>http://maxilofacial.obolog.es/historia-cefalometria-radiografica-457832</w:t>
        </w:r>
      </w:hyperlink>
    </w:p>
    <w:p>
      <w:pPr>
        <w:pStyle w:val="BodyText"/>
        <w:rPr>
          <w:sz w:val="20"/>
        </w:rPr>
      </w:pPr>
    </w:p>
    <w:p>
      <w:pPr>
        <w:pStyle w:val="BodyText"/>
        <w:rPr>
          <w:sz w:val="20"/>
        </w:rPr>
      </w:pPr>
    </w:p>
    <w:p>
      <w:pPr>
        <w:pStyle w:val="BodyText"/>
        <w:spacing w:line="360" w:lineRule="auto" w:before="133"/>
        <w:ind w:left="102" w:right="101"/>
        <w:jc w:val="both"/>
      </w:pPr>
      <w:r>
        <w:rPr/>
        <w:t>En el año 1603 Albrecht Dürer</w:t>
      </w:r>
      <w:r>
        <w:rPr>
          <w:position w:val="11"/>
          <w:sz w:val="16"/>
        </w:rPr>
        <w:t>16 </w:t>
      </w:r>
      <w:r>
        <w:rPr/>
        <w:t>realiza varios dibujos en los que propone un sistema utilizando líneas horizontales y verticales sobre pinturas de modelos posicionados en la «pose natural» de manera que permitió asegurar la réplica artística y científica de las cabezas humanas y determinar los diferentes tipos de perfiles del rostro humano: recto, convexo y cóncavo (Fig. 11).</w:t>
      </w:r>
    </w:p>
    <w:p>
      <w:pPr>
        <w:pStyle w:val="BodyText"/>
        <w:spacing w:before="5"/>
        <w:rPr>
          <w:sz w:val="14"/>
        </w:rPr>
      </w:pPr>
      <w:r>
        <w:rPr/>
        <w:drawing>
          <wp:anchor distT="0" distB="0" distL="0" distR="0" allowOverlap="1" layoutInCell="1" locked="0" behindDoc="0" simplePos="0" relativeHeight="1264">
            <wp:simplePos x="0" y="0"/>
            <wp:positionH relativeFrom="page">
              <wp:posOffset>1914525</wp:posOffset>
            </wp:positionH>
            <wp:positionV relativeFrom="paragraph">
              <wp:posOffset>130478</wp:posOffset>
            </wp:positionV>
            <wp:extent cx="3960440" cy="1715357"/>
            <wp:effectExtent l="0" t="0" r="0" b="0"/>
            <wp:wrapTopAndBottom/>
            <wp:docPr id="19" name="image17.jpeg" descr=""/>
            <wp:cNvGraphicFramePr>
              <a:graphicFrameLocks noChangeAspect="1"/>
            </wp:cNvGraphicFramePr>
            <a:graphic>
              <a:graphicData uri="http://schemas.openxmlformats.org/drawingml/2006/picture">
                <pic:pic>
                  <pic:nvPicPr>
                    <pic:cNvPr id="20" name="image17.jpeg"/>
                    <pic:cNvPicPr/>
                  </pic:nvPicPr>
                  <pic:blipFill>
                    <a:blip r:embed="rId26" cstate="print"/>
                    <a:stretch>
                      <a:fillRect/>
                    </a:stretch>
                  </pic:blipFill>
                  <pic:spPr>
                    <a:xfrm>
                      <a:off x="0" y="0"/>
                      <a:ext cx="3960440" cy="1715357"/>
                    </a:xfrm>
                    <a:prstGeom prst="rect">
                      <a:avLst/>
                    </a:prstGeom>
                  </pic:spPr>
                </pic:pic>
              </a:graphicData>
            </a:graphic>
          </wp:anchor>
        </w:drawing>
      </w:r>
    </w:p>
    <w:p>
      <w:pPr>
        <w:pStyle w:val="BodyText"/>
        <w:spacing w:before="7"/>
        <w:rPr>
          <w:sz w:val="26"/>
        </w:rPr>
      </w:pPr>
    </w:p>
    <w:p>
      <w:pPr>
        <w:spacing w:before="0"/>
        <w:ind w:left="183" w:right="190" w:firstLine="0"/>
        <w:jc w:val="center"/>
        <w:rPr>
          <w:sz w:val="20"/>
        </w:rPr>
      </w:pPr>
      <w:r>
        <w:rPr>
          <w:sz w:val="20"/>
        </w:rPr>
        <w:t>Fig. 11. Dibujos de Albrecht Durer (1603) para representar las variaciones en la morfología facial.</w:t>
      </w:r>
    </w:p>
    <w:p>
      <w:pPr>
        <w:spacing w:line="242" w:lineRule="auto" w:before="0"/>
        <w:ind w:left="183" w:right="179" w:firstLine="0"/>
        <w:jc w:val="center"/>
        <w:rPr>
          <w:sz w:val="20"/>
        </w:rPr>
      </w:pPr>
      <w:r>
        <w:rPr>
          <w:sz w:val="20"/>
        </w:rPr>
        <w:t>Fuente: Bosquejo histórico de la Cefalometría Radiográfica. Revista Cubana de Estomatología.pp.5.</w:t>
      </w:r>
    </w:p>
    <w:p>
      <w:pPr>
        <w:spacing w:after="0" w:line="242" w:lineRule="auto"/>
        <w:jc w:val="center"/>
        <w:rPr>
          <w:sz w:val="20"/>
        </w:rPr>
        <w:sectPr>
          <w:pgSz w:w="12240" w:h="15840"/>
          <w:pgMar w:header="0" w:footer="1003" w:top="1360" w:bottom="1200" w:left="1600" w:right="1600"/>
        </w:sectPr>
      </w:pPr>
    </w:p>
    <w:p>
      <w:pPr>
        <w:pStyle w:val="BodyText"/>
        <w:spacing w:line="350" w:lineRule="auto" w:before="54"/>
        <w:ind w:left="102" w:right="122"/>
        <w:jc w:val="both"/>
      </w:pPr>
      <w:r>
        <w:rPr/>
        <w:t>Los estudios realizados con fines antropológicos se iniciaron en 1780 por Camper</w:t>
      </w:r>
      <w:r>
        <w:rPr>
          <w:position w:val="11"/>
          <w:sz w:val="16"/>
        </w:rPr>
        <w:t>17, 18 </w:t>
      </w:r>
      <w:r>
        <w:rPr/>
        <w:t>que describió la utilidad del ángulo formado por la intersección de un plano trazado de la base de la nariz al conducto auditivo externo (Plano de Camper) con el plano tangente al perfil facial (Fig. 12).</w:t>
      </w:r>
    </w:p>
    <w:p>
      <w:pPr>
        <w:pStyle w:val="BodyText"/>
        <w:spacing w:before="5"/>
        <w:rPr>
          <w:sz w:val="15"/>
        </w:rPr>
      </w:pPr>
      <w:r>
        <w:rPr/>
        <w:drawing>
          <wp:anchor distT="0" distB="0" distL="0" distR="0" allowOverlap="1" layoutInCell="1" locked="0" behindDoc="0" simplePos="0" relativeHeight="1288">
            <wp:simplePos x="0" y="0"/>
            <wp:positionH relativeFrom="page">
              <wp:posOffset>2119376</wp:posOffset>
            </wp:positionH>
            <wp:positionV relativeFrom="paragraph">
              <wp:posOffset>137542</wp:posOffset>
            </wp:positionV>
            <wp:extent cx="3553687" cy="1807368"/>
            <wp:effectExtent l="0" t="0" r="0" b="0"/>
            <wp:wrapTopAndBottom/>
            <wp:docPr id="21" name="image18.jpeg" descr=""/>
            <wp:cNvGraphicFramePr>
              <a:graphicFrameLocks noChangeAspect="1"/>
            </wp:cNvGraphicFramePr>
            <a:graphic>
              <a:graphicData uri="http://schemas.openxmlformats.org/drawingml/2006/picture">
                <pic:pic>
                  <pic:nvPicPr>
                    <pic:cNvPr id="22" name="image18.jpeg"/>
                    <pic:cNvPicPr/>
                  </pic:nvPicPr>
                  <pic:blipFill>
                    <a:blip r:embed="rId27" cstate="print"/>
                    <a:stretch>
                      <a:fillRect/>
                    </a:stretch>
                  </pic:blipFill>
                  <pic:spPr>
                    <a:xfrm>
                      <a:off x="0" y="0"/>
                      <a:ext cx="3553687" cy="1807368"/>
                    </a:xfrm>
                    <a:prstGeom prst="rect">
                      <a:avLst/>
                    </a:prstGeom>
                  </pic:spPr>
                </pic:pic>
              </a:graphicData>
            </a:graphic>
          </wp:anchor>
        </w:drawing>
      </w:r>
    </w:p>
    <w:p>
      <w:pPr>
        <w:pStyle w:val="BodyText"/>
        <w:spacing w:before="3"/>
        <w:rPr>
          <w:sz w:val="25"/>
        </w:rPr>
      </w:pPr>
    </w:p>
    <w:p>
      <w:pPr>
        <w:spacing w:before="0"/>
        <w:ind w:left="799" w:right="821" w:firstLine="0"/>
        <w:jc w:val="center"/>
        <w:rPr>
          <w:sz w:val="20"/>
        </w:rPr>
      </w:pPr>
      <w:r>
        <w:rPr>
          <w:sz w:val="20"/>
        </w:rPr>
        <w:t>Fig. 12. Lección de Anatomía del Dr. Petrus Camper 1758.</w:t>
      </w:r>
    </w:p>
    <w:p>
      <w:pPr>
        <w:spacing w:before="3"/>
        <w:ind w:left="796" w:right="817" w:firstLine="0"/>
        <w:jc w:val="center"/>
        <w:rPr>
          <w:sz w:val="20"/>
        </w:rPr>
      </w:pPr>
      <w:r>
        <w:rPr>
          <w:sz w:val="20"/>
        </w:rPr>
        <w:t>Fuente: </w:t>
      </w:r>
      <w:hyperlink r:id="rId24">
        <w:r>
          <w:rPr>
            <w:sz w:val="20"/>
          </w:rPr>
          <w:t>http://maxilofacial.obolog.es/historia-cefalometria-radiografica-457832</w:t>
        </w:r>
      </w:hyperlink>
    </w:p>
    <w:p>
      <w:pPr>
        <w:pStyle w:val="BodyText"/>
        <w:rPr>
          <w:sz w:val="20"/>
        </w:rPr>
      </w:pPr>
    </w:p>
    <w:p>
      <w:pPr>
        <w:pStyle w:val="BodyText"/>
        <w:rPr>
          <w:sz w:val="20"/>
        </w:rPr>
      </w:pPr>
    </w:p>
    <w:p>
      <w:pPr>
        <w:pStyle w:val="BodyText"/>
        <w:spacing w:line="360" w:lineRule="auto" w:before="168"/>
        <w:ind w:left="102" w:right="120"/>
        <w:jc w:val="both"/>
      </w:pPr>
      <w:r>
        <w:rPr/>
        <w:t>Las investigaciones clásicas de Hellman</w:t>
      </w:r>
      <w:r>
        <w:rPr>
          <w:position w:val="11"/>
          <w:sz w:val="16"/>
        </w:rPr>
        <w:t>18 </w:t>
      </w:r>
      <w:r>
        <w:rPr/>
        <w:t>al principio de los años 30 constituyen  el antecedente más próximo y directo de la cefalometría actual. Él fue, por así decirlo, el eslabón científico que incorporó los métodos antropométricos a la ortodoncia y que sirvió de base para la iniciación de la craneometría radiográfica específicamente orientada a fines</w:t>
      </w:r>
      <w:r>
        <w:rPr>
          <w:spacing w:val="-20"/>
        </w:rPr>
        <w:t> </w:t>
      </w:r>
      <w:r>
        <w:rPr/>
        <w:t>ortodónticos.</w:t>
      </w:r>
    </w:p>
    <w:p>
      <w:pPr>
        <w:pStyle w:val="BodyText"/>
        <w:spacing w:line="360" w:lineRule="auto" w:before="167"/>
        <w:ind w:left="102" w:right="120"/>
        <w:jc w:val="both"/>
      </w:pPr>
      <w:r>
        <w:rPr/>
        <w:t>Flower</w:t>
      </w:r>
      <w:r>
        <w:rPr>
          <w:position w:val="11"/>
          <w:sz w:val="16"/>
        </w:rPr>
        <w:t>19 </w:t>
      </w:r>
      <w:r>
        <w:rPr/>
        <w:t>ideó un índice que lleva su nombre y fue determinado por la distancia: Basion Prosthion (B.P) y Basion Nasion (B.N); en el que la primera distancia es dividida por la segunda y el valor resultante es multiplicado por 100. Con este índice clasificó el perfil en orthognathus, mesognathus y prognathus.</w:t>
      </w:r>
    </w:p>
    <w:p>
      <w:pPr>
        <w:pStyle w:val="BodyText"/>
        <w:spacing w:line="360" w:lineRule="auto" w:before="170"/>
        <w:ind w:left="102" w:right="120"/>
        <w:jc w:val="both"/>
      </w:pPr>
      <w:r>
        <w:rPr/>
        <w:t>En el año de 1872 Von Ihering </w:t>
      </w:r>
      <w:r>
        <w:rPr>
          <w:position w:val="11"/>
          <w:sz w:val="16"/>
        </w:rPr>
        <w:t>15,19 </w:t>
      </w:r>
      <w:r>
        <w:rPr/>
        <w:t>propone el conocido plano de Frankfort, que no fue oficialmente aceptado hasta 1884, en el Congreso Antropológico llevado a cabo en la ciudad homónima de Alemania.</w:t>
      </w:r>
    </w:p>
    <w:p>
      <w:pPr>
        <w:pStyle w:val="BodyText"/>
        <w:spacing w:line="360" w:lineRule="auto" w:before="167"/>
        <w:ind w:left="102" w:right="116"/>
        <w:jc w:val="both"/>
      </w:pPr>
      <w:r>
        <w:rPr/>
        <w:t>El 8 de noviembre de 1895 el profesor Wilhhelm Conrad Röentgen</w:t>
      </w:r>
      <w:r>
        <w:rPr>
          <w:position w:val="11"/>
          <w:sz w:val="16"/>
        </w:rPr>
        <w:t>15 </w:t>
      </w:r>
      <w:r>
        <w:rPr/>
        <w:t>(1845-1923), Profesor Investigador del Instituto Físico de la Universidad de Würzburg, descubrió</w:t>
      </w:r>
    </w:p>
    <w:p>
      <w:pPr>
        <w:spacing w:after="0" w:line="360" w:lineRule="auto"/>
        <w:jc w:val="both"/>
        <w:sectPr>
          <w:pgSz w:w="12240" w:h="15840"/>
          <w:pgMar w:header="0" w:footer="1003" w:top="1360" w:bottom="1200" w:left="1600" w:right="1580"/>
        </w:sectPr>
      </w:pPr>
    </w:p>
    <w:p>
      <w:pPr>
        <w:pStyle w:val="BodyText"/>
        <w:spacing w:line="362" w:lineRule="auto" w:before="54"/>
        <w:ind w:left="102" w:right="124"/>
        <w:jc w:val="both"/>
      </w:pPr>
      <w:r>
        <w:rPr/>
        <w:t>accidentalmente los Rayos X, denominados así por el autor al desconocerse entonces sus propiedades (Fig. 13).</w:t>
      </w:r>
    </w:p>
    <w:p>
      <w:pPr>
        <w:pStyle w:val="BodyText"/>
        <w:rPr>
          <w:sz w:val="20"/>
        </w:rPr>
      </w:pPr>
    </w:p>
    <w:p>
      <w:pPr>
        <w:pStyle w:val="BodyText"/>
        <w:rPr>
          <w:sz w:val="20"/>
        </w:rPr>
      </w:pPr>
    </w:p>
    <w:p>
      <w:pPr>
        <w:pStyle w:val="BodyText"/>
        <w:spacing w:before="7"/>
        <w:rPr>
          <w:sz w:val="15"/>
        </w:rPr>
      </w:pPr>
      <w:r>
        <w:rPr/>
        <w:drawing>
          <wp:anchor distT="0" distB="0" distL="0" distR="0" allowOverlap="1" layoutInCell="1" locked="0" behindDoc="0" simplePos="0" relativeHeight="1312">
            <wp:simplePos x="0" y="0"/>
            <wp:positionH relativeFrom="page">
              <wp:posOffset>2643251</wp:posOffset>
            </wp:positionH>
            <wp:positionV relativeFrom="paragraph">
              <wp:posOffset>138833</wp:posOffset>
            </wp:positionV>
            <wp:extent cx="2492912" cy="2459926"/>
            <wp:effectExtent l="0" t="0" r="0" b="0"/>
            <wp:wrapTopAndBottom/>
            <wp:docPr id="23" name="image19.jpeg" descr=""/>
            <wp:cNvGraphicFramePr>
              <a:graphicFrameLocks noChangeAspect="1"/>
            </wp:cNvGraphicFramePr>
            <a:graphic>
              <a:graphicData uri="http://schemas.openxmlformats.org/drawingml/2006/picture">
                <pic:pic>
                  <pic:nvPicPr>
                    <pic:cNvPr id="24" name="image19.jpeg"/>
                    <pic:cNvPicPr/>
                  </pic:nvPicPr>
                  <pic:blipFill>
                    <a:blip r:embed="rId28" cstate="print"/>
                    <a:stretch>
                      <a:fillRect/>
                    </a:stretch>
                  </pic:blipFill>
                  <pic:spPr>
                    <a:xfrm>
                      <a:off x="0" y="0"/>
                      <a:ext cx="2492912" cy="2459926"/>
                    </a:xfrm>
                    <a:prstGeom prst="rect">
                      <a:avLst/>
                    </a:prstGeom>
                  </pic:spPr>
                </pic:pic>
              </a:graphicData>
            </a:graphic>
          </wp:anchor>
        </w:drawing>
      </w:r>
    </w:p>
    <w:p>
      <w:pPr>
        <w:pStyle w:val="BodyText"/>
        <w:spacing w:before="3"/>
        <w:rPr>
          <w:sz w:val="26"/>
        </w:rPr>
      </w:pPr>
    </w:p>
    <w:p>
      <w:pPr>
        <w:spacing w:before="0"/>
        <w:ind w:left="997" w:right="994" w:firstLine="448"/>
        <w:jc w:val="left"/>
        <w:rPr>
          <w:sz w:val="20"/>
        </w:rPr>
      </w:pPr>
      <w:r>
        <w:rPr>
          <w:sz w:val="20"/>
        </w:rPr>
        <w:t>Fig. 13. Wilhhelm C. Roentgen en sus primeras pruebas con rayos X. Fuente: Bosquejo histórico de la Cefalometría Radiográfica. Revista Cubana de</w:t>
      </w:r>
    </w:p>
    <w:p>
      <w:pPr>
        <w:spacing w:before="3"/>
        <w:ind w:left="801" w:right="821" w:firstLine="0"/>
        <w:jc w:val="center"/>
        <w:rPr>
          <w:sz w:val="20"/>
        </w:rPr>
      </w:pPr>
      <w:r>
        <w:rPr>
          <w:sz w:val="20"/>
        </w:rPr>
        <w:t>Estomatología.pp.3.</w:t>
      </w:r>
    </w:p>
    <w:p>
      <w:pPr>
        <w:pStyle w:val="BodyText"/>
        <w:rPr>
          <w:sz w:val="20"/>
        </w:rPr>
      </w:pPr>
    </w:p>
    <w:p>
      <w:pPr>
        <w:pStyle w:val="BodyText"/>
        <w:rPr>
          <w:sz w:val="20"/>
        </w:rPr>
      </w:pPr>
    </w:p>
    <w:p>
      <w:pPr>
        <w:pStyle w:val="BodyText"/>
        <w:spacing w:line="360" w:lineRule="auto" w:before="133"/>
        <w:ind w:left="102" w:right="118"/>
        <w:jc w:val="both"/>
      </w:pPr>
      <w:r>
        <w:rPr/>
        <w:t>A solo un año del descubrimiento de los rayos X, Welker</w:t>
      </w:r>
      <w:r>
        <w:rPr>
          <w:position w:val="11"/>
          <w:sz w:val="16"/>
        </w:rPr>
        <w:t>15,17 </w:t>
      </w:r>
      <w:r>
        <w:rPr/>
        <w:t>señaló la importancia de las radiografías de la cabeza tomadas de perfil.</w:t>
      </w:r>
    </w:p>
    <w:p>
      <w:pPr>
        <w:pStyle w:val="BodyText"/>
        <w:spacing w:line="360" w:lineRule="auto" w:before="169"/>
        <w:ind w:left="102" w:right="115"/>
        <w:jc w:val="both"/>
      </w:pPr>
      <w:r>
        <w:rPr/>
        <w:t>Al parecer corresponde a Berglund</w:t>
      </w:r>
      <w:r>
        <w:rPr>
          <w:position w:val="11"/>
          <w:sz w:val="16"/>
        </w:rPr>
        <w:t>15,17 </w:t>
      </w:r>
      <w:r>
        <w:rPr/>
        <w:t>ser el primero en relacionar el perfil de los tejidos blandos con el perfil óseo en el año de 1914.</w:t>
      </w:r>
    </w:p>
    <w:p>
      <w:pPr>
        <w:pStyle w:val="BodyText"/>
        <w:spacing w:line="352" w:lineRule="auto" w:before="204"/>
        <w:ind w:left="102" w:right="117"/>
        <w:jc w:val="both"/>
      </w:pPr>
      <w:r>
        <w:rPr/>
        <w:t>En la década de los años veinte un problema existente en el diagnóstico en Ortodoncia venía conquistando la atención de los clínicos que se dedicaban a la especialidad. La clasificación empleada por Angle</w:t>
      </w:r>
      <w:r>
        <w:rPr>
          <w:position w:val="11"/>
          <w:sz w:val="16"/>
        </w:rPr>
        <w:t>3,17 </w:t>
      </w:r>
      <w:r>
        <w:rPr/>
        <w:t>para establecer la relación de los molares constituía el medio de diagnóstico más generalizado en la práctica profesional, por lo tanto los pacientes eran atendidos considerando solo los problemas  dentarios,  omitiéndose  las  relaciones  que  se  establecían  entre  las</w:t>
      </w:r>
    </w:p>
    <w:p>
      <w:pPr>
        <w:pStyle w:val="BodyText"/>
        <w:spacing w:before="13"/>
        <w:ind w:left="102"/>
        <w:jc w:val="both"/>
      </w:pPr>
      <w:r>
        <w:rPr/>
        <w:t>bases óseas y que también constituían causas frecuentes de maloclusiones.</w:t>
      </w:r>
    </w:p>
    <w:p>
      <w:pPr>
        <w:pStyle w:val="BodyText"/>
        <w:spacing w:before="4"/>
        <w:rPr>
          <w:sz w:val="29"/>
        </w:rPr>
      </w:pPr>
    </w:p>
    <w:p>
      <w:pPr>
        <w:pStyle w:val="BodyText"/>
        <w:spacing w:line="360" w:lineRule="auto" w:before="1"/>
        <w:ind w:left="102" w:right="126"/>
        <w:jc w:val="both"/>
      </w:pPr>
      <w:r>
        <w:rPr/>
        <w:t>En un intento por resolver esta problemática, sugirieron varios métodos que  podían</w:t>
      </w:r>
      <w:r>
        <w:rPr>
          <w:spacing w:val="32"/>
        </w:rPr>
        <w:t> </w:t>
      </w:r>
      <w:r>
        <w:rPr/>
        <w:t>ayudar</w:t>
      </w:r>
      <w:r>
        <w:rPr>
          <w:spacing w:val="31"/>
        </w:rPr>
        <w:t> </w:t>
      </w:r>
      <w:r>
        <w:rPr/>
        <w:t>en</w:t>
      </w:r>
      <w:r>
        <w:rPr>
          <w:spacing w:val="32"/>
        </w:rPr>
        <w:t> </w:t>
      </w:r>
      <w:r>
        <w:rPr/>
        <w:t>la</w:t>
      </w:r>
      <w:r>
        <w:rPr>
          <w:spacing w:val="29"/>
        </w:rPr>
        <w:t> </w:t>
      </w:r>
      <w:r>
        <w:rPr/>
        <w:t>determinación</w:t>
      </w:r>
      <w:r>
        <w:rPr>
          <w:spacing w:val="32"/>
        </w:rPr>
        <w:t> </w:t>
      </w:r>
      <w:r>
        <w:rPr/>
        <w:t>de</w:t>
      </w:r>
      <w:r>
        <w:rPr>
          <w:spacing w:val="32"/>
        </w:rPr>
        <w:t> </w:t>
      </w:r>
      <w:r>
        <w:rPr/>
        <w:t>las</w:t>
      </w:r>
      <w:r>
        <w:rPr>
          <w:spacing w:val="29"/>
        </w:rPr>
        <w:t> </w:t>
      </w:r>
      <w:r>
        <w:rPr/>
        <w:t>relaciones</w:t>
      </w:r>
      <w:r>
        <w:rPr>
          <w:spacing w:val="32"/>
        </w:rPr>
        <w:t> </w:t>
      </w:r>
      <w:r>
        <w:rPr/>
        <w:t>de</w:t>
      </w:r>
      <w:r>
        <w:rPr>
          <w:spacing w:val="32"/>
        </w:rPr>
        <w:t> </w:t>
      </w:r>
      <w:r>
        <w:rPr/>
        <w:t>las</w:t>
      </w:r>
      <w:r>
        <w:rPr>
          <w:spacing w:val="32"/>
        </w:rPr>
        <w:t> </w:t>
      </w:r>
      <w:r>
        <w:rPr/>
        <w:t>bases</w:t>
      </w:r>
      <w:r>
        <w:rPr>
          <w:spacing w:val="32"/>
        </w:rPr>
        <w:t> </w:t>
      </w:r>
      <w:r>
        <w:rPr/>
        <w:t>óseas</w:t>
      </w:r>
      <w:r>
        <w:rPr>
          <w:spacing w:val="29"/>
        </w:rPr>
        <w:t> </w:t>
      </w:r>
      <w:r>
        <w:rPr/>
        <w:t>en</w:t>
      </w:r>
      <w:r>
        <w:rPr>
          <w:spacing w:val="32"/>
        </w:rPr>
        <w:t> </w:t>
      </w:r>
      <w:r>
        <w:rPr/>
        <w:t>los</w:t>
      </w:r>
    </w:p>
    <w:p>
      <w:pPr>
        <w:spacing w:after="0" w:line="360" w:lineRule="auto"/>
        <w:jc w:val="both"/>
        <w:sectPr>
          <w:pgSz w:w="12240" w:h="15840"/>
          <w:pgMar w:header="0" w:footer="1003" w:top="1360" w:bottom="1200" w:left="1600" w:right="1580"/>
        </w:sectPr>
      </w:pPr>
    </w:p>
    <w:p>
      <w:pPr>
        <w:pStyle w:val="BodyText"/>
        <w:spacing w:line="362" w:lineRule="auto" w:before="59"/>
        <w:ind w:left="102" w:right="121"/>
        <w:jc w:val="both"/>
      </w:pPr>
      <w:r>
        <w:rPr/>
        <w:t>pacientes, así Lischer</w:t>
      </w:r>
      <w:r>
        <w:rPr>
          <w:position w:val="11"/>
          <w:sz w:val="16"/>
        </w:rPr>
        <w:t>15</w:t>
      </w:r>
      <w:r>
        <w:rPr/>
        <w:t>, sugirió el empleo de la fotografía, trabajando con el celuloide lograba el trazo del perfil en una plantilla cuadriculada (Fig. 14).</w:t>
      </w:r>
    </w:p>
    <w:p>
      <w:pPr>
        <w:pStyle w:val="BodyText"/>
        <w:rPr>
          <w:sz w:val="20"/>
        </w:rPr>
      </w:pPr>
    </w:p>
    <w:p>
      <w:pPr>
        <w:pStyle w:val="BodyText"/>
        <w:rPr>
          <w:sz w:val="20"/>
        </w:rPr>
      </w:pPr>
    </w:p>
    <w:p>
      <w:pPr>
        <w:pStyle w:val="BodyText"/>
        <w:spacing w:before="7"/>
        <w:rPr>
          <w:sz w:val="15"/>
        </w:rPr>
      </w:pPr>
      <w:r>
        <w:rPr/>
        <w:drawing>
          <wp:anchor distT="0" distB="0" distL="0" distR="0" allowOverlap="1" layoutInCell="1" locked="0" behindDoc="0" simplePos="0" relativeHeight="1336">
            <wp:simplePos x="0" y="0"/>
            <wp:positionH relativeFrom="page">
              <wp:posOffset>2291079</wp:posOffset>
            </wp:positionH>
            <wp:positionV relativeFrom="paragraph">
              <wp:posOffset>138833</wp:posOffset>
            </wp:positionV>
            <wp:extent cx="3198798" cy="2420302"/>
            <wp:effectExtent l="0" t="0" r="0" b="0"/>
            <wp:wrapTopAndBottom/>
            <wp:docPr id="25" name="image20.jpeg" descr=""/>
            <wp:cNvGraphicFramePr>
              <a:graphicFrameLocks noChangeAspect="1"/>
            </wp:cNvGraphicFramePr>
            <a:graphic>
              <a:graphicData uri="http://schemas.openxmlformats.org/drawingml/2006/picture">
                <pic:pic>
                  <pic:nvPicPr>
                    <pic:cNvPr id="26" name="image20.jpeg"/>
                    <pic:cNvPicPr/>
                  </pic:nvPicPr>
                  <pic:blipFill>
                    <a:blip r:embed="rId29" cstate="print"/>
                    <a:stretch>
                      <a:fillRect/>
                    </a:stretch>
                  </pic:blipFill>
                  <pic:spPr>
                    <a:xfrm>
                      <a:off x="0" y="0"/>
                      <a:ext cx="3198798" cy="2420302"/>
                    </a:xfrm>
                    <a:prstGeom prst="rect">
                      <a:avLst/>
                    </a:prstGeom>
                  </pic:spPr>
                </pic:pic>
              </a:graphicData>
            </a:graphic>
          </wp:anchor>
        </w:drawing>
      </w:r>
    </w:p>
    <w:p>
      <w:pPr>
        <w:pStyle w:val="BodyText"/>
        <w:spacing w:before="5"/>
        <w:rPr>
          <w:sz w:val="26"/>
        </w:rPr>
      </w:pPr>
    </w:p>
    <w:p>
      <w:pPr>
        <w:spacing w:line="242" w:lineRule="auto" w:before="0"/>
        <w:ind w:left="796" w:right="821" w:firstLine="0"/>
        <w:jc w:val="center"/>
        <w:rPr>
          <w:sz w:val="20"/>
        </w:rPr>
      </w:pPr>
      <w:r>
        <w:rPr>
          <w:sz w:val="20"/>
        </w:rPr>
        <w:t>Fig. 14. Método empleado por Lischer para diagnosticar alteraciones mandibulares. Fuente: Bosquejo histórico de la Cefalometría Radiográfica. Revista Cubana de Estomatología.pp.4.</w:t>
      </w:r>
    </w:p>
    <w:p>
      <w:pPr>
        <w:pStyle w:val="BodyText"/>
        <w:rPr>
          <w:sz w:val="20"/>
        </w:rPr>
      </w:pPr>
    </w:p>
    <w:p>
      <w:pPr>
        <w:pStyle w:val="BodyText"/>
        <w:rPr>
          <w:sz w:val="20"/>
        </w:rPr>
      </w:pPr>
    </w:p>
    <w:p>
      <w:pPr>
        <w:pStyle w:val="BodyText"/>
        <w:spacing w:line="360" w:lineRule="auto" w:before="131"/>
        <w:ind w:left="102" w:right="116"/>
        <w:jc w:val="both"/>
      </w:pPr>
      <w:r>
        <w:rPr/>
        <w:t>Wallace, Campion y Keith</w:t>
      </w:r>
      <w:r>
        <w:rPr>
          <w:position w:val="11"/>
          <w:sz w:val="16"/>
        </w:rPr>
        <w:t>15,17 </w:t>
      </w:r>
      <w:r>
        <w:rPr/>
        <w:t>propusieron el método radioaricular (ear-raddi) que incluía un grupo de mediciones radiales que se hacían tomando como partida el poro acústico externo hasta el nasion, puente nasal, punta de la nariz, subnasal, punto más anterior del cierre bilabial, y el gnation. Para esto empleaban el radiómetro. Este método en su tiempo fue muy empleado en el diagnóstico facial.</w:t>
      </w:r>
    </w:p>
    <w:p>
      <w:pPr>
        <w:pStyle w:val="BodyText"/>
        <w:spacing w:line="360" w:lineRule="auto" w:before="169"/>
        <w:ind w:left="102" w:right="115"/>
        <w:jc w:val="both"/>
      </w:pPr>
      <w:r>
        <w:rPr/>
        <w:t>A Paul Simon</w:t>
      </w:r>
      <w:r>
        <w:rPr>
          <w:position w:val="11"/>
          <w:sz w:val="16"/>
        </w:rPr>
        <w:t>15,17 </w:t>
      </w:r>
      <w:r>
        <w:rPr/>
        <w:t>(Alemania) le corresponde el honor de ser el autor de los sistemas gnatostático y fotostático de diagnóstico, los cuales publicó en el año de 1922. Utilizaba un sistema tridimensional empleando los planos de Frankfort, el plano sagital y el plano orbitario, que son perpendiculares entre sí. Estos planos constituían su sistema gnatostático. Según el autor el plano orbitario en los casos normales debía pasar por la cúspide del canino superior, cualquiera fuera la edad del paciente. Un aspecto interesante en el método de Simón lo constituye el aparato fotostático que se muestra en la Figura 15.</w:t>
      </w:r>
    </w:p>
    <w:p>
      <w:pPr>
        <w:spacing w:after="0" w:line="360" w:lineRule="auto"/>
        <w:jc w:val="both"/>
        <w:sectPr>
          <w:pgSz w:w="12240" w:h="15840"/>
          <w:pgMar w:header="0" w:footer="1003" w:top="1320" w:bottom="1200" w:left="1600" w:right="1580"/>
        </w:sectPr>
      </w:pPr>
    </w:p>
    <w:p>
      <w:pPr>
        <w:pStyle w:val="BodyText"/>
        <w:ind w:left="101"/>
        <w:rPr>
          <w:sz w:val="20"/>
        </w:rPr>
      </w:pPr>
      <w:r>
        <w:rPr>
          <w:sz w:val="20"/>
        </w:rPr>
        <w:drawing>
          <wp:inline distT="0" distB="0" distL="0" distR="0">
            <wp:extent cx="5610242" cy="1770126"/>
            <wp:effectExtent l="0" t="0" r="0" b="0"/>
            <wp:docPr id="27" name="image21.jpeg" descr=""/>
            <wp:cNvGraphicFramePr>
              <a:graphicFrameLocks noChangeAspect="1"/>
            </wp:cNvGraphicFramePr>
            <a:graphic>
              <a:graphicData uri="http://schemas.openxmlformats.org/drawingml/2006/picture">
                <pic:pic>
                  <pic:nvPicPr>
                    <pic:cNvPr id="28" name="image21.jpeg"/>
                    <pic:cNvPicPr/>
                  </pic:nvPicPr>
                  <pic:blipFill>
                    <a:blip r:embed="rId30" cstate="print"/>
                    <a:stretch>
                      <a:fillRect/>
                    </a:stretch>
                  </pic:blipFill>
                  <pic:spPr>
                    <a:xfrm>
                      <a:off x="0" y="0"/>
                      <a:ext cx="5610242" cy="1770126"/>
                    </a:xfrm>
                    <a:prstGeom prst="rect">
                      <a:avLst/>
                    </a:prstGeom>
                  </pic:spPr>
                </pic:pic>
              </a:graphicData>
            </a:graphic>
          </wp:inline>
        </w:drawing>
      </w:r>
      <w:r>
        <w:rPr>
          <w:sz w:val="20"/>
        </w:rPr>
      </w:r>
    </w:p>
    <w:p>
      <w:pPr>
        <w:pStyle w:val="BodyText"/>
        <w:spacing w:before="8"/>
        <w:rPr>
          <w:sz w:val="22"/>
        </w:rPr>
      </w:pPr>
    </w:p>
    <w:p>
      <w:pPr>
        <w:spacing w:before="74"/>
        <w:ind w:left="803" w:right="821" w:firstLine="0"/>
        <w:jc w:val="center"/>
        <w:rPr>
          <w:sz w:val="20"/>
        </w:rPr>
      </w:pPr>
      <w:r>
        <w:rPr>
          <w:sz w:val="20"/>
        </w:rPr>
        <w:t>Fig. 15. Aparato fotostático de Simon.</w:t>
      </w:r>
    </w:p>
    <w:p>
      <w:pPr>
        <w:spacing w:before="3"/>
        <w:ind w:left="796" w:right="817" w:firstLine="0"/>
        <w:jc w:val="center"/>
        <w:rPr>
          <w:sz w:val="20"/>
        </w:rPr>
      </w:pPr>
      <w:r>
        <w:rPr>
          <w:sz w:val="20"/>
        </w:rPr>
        <w:t>Fuente: </w:t>
      </w:r>
      <w:hyperlink r:id="rId24">
        <w:r>
          <w:rPr>
            <w:sz w:val="20"/>
          </w:rPr>
          <w:t>http://maxilofacial.obolog.es/historia-cefalometria-radiografica-457832</w:t>
        </w:r>
      </w:hyperlink>
    </w:p>
    <w:p>
      <w:pPr>
        <w:pStyle w:val="BodyText"/>
        <w:rPr>
          <w:sz w:val="20"/>
        </w:rPr>
      </w:pPr>
    </w:p>
    <w:p>
      <w:pPr>
        <w:pStyle w:val="BodyText"/>
        <w:rPr>
          <w:sz w:val="20"/>
        </w:rPr>
      </w:pPr>
    </w:p>
    <w:p>
      <w:pPr>
        <w:pStyle w:val="BodyText"/>
        <w:spacing w:line="360" w:lineRule="auto" w:before="133"/>
        <w:ind w:left="102" w:right="122"/>
        <w:jc w:val="both"/>
      </w:pPr>
      <w:r>
        <w:rPr/>
        <w:t>El Dr. Carrea</w:t>
      </w:r>
      <w:r>
        <w:rPr>
          <w:position w:val="11"/>
          <w:sz w:val="16"/>
        </w:rPr>
        <w:t>17,19 </w:t>
      </w:r>
      <w:r>
        <w:rPr/>
        <w:t>publica en el año de 1923 su trabajo "Perfil delineado" para la obtención de telerradiografías con el doble perfil distinguiendo las partes blandas de las óseas. Para esto empleaba un alambre de plomo que ajustaba en la cara del paciente siguiendo el plano sagital (Fig.</w:t>
      </w:r>
      <w:r>
        <w:rPr>
          <w:spacing w:val="-17"/>
        </w:rPr>
        <w:t> </w:t>
      </w:r>
      <w:r>
        <w:rPr/>
        <w:t>16).</w:t>
      </w:r>
    </w:p>
    <w:p>
      <w:pPr>
        <w:pStyle w:val="BodyText"/>
        <w:spacing w:before="5"/>
        <w:rPr>
          <w:sz w:val="14"/>
        </w:rPr>
      </w:pPr>
      <w:r>
        <w:rPr/>
        <w:drawing>
          <wp:anchor distT="0" distB="0" distL="0" distR="0" allowOverlap="1" layoutInCell="1" locked="0" behindDoc="0" simplePos="0" relativeHeight="1360">
            <wp:simplePos x="0" y="0"/>
            <wp:positionH relativeFrom="page">
              <wp:posOffset>2533650</wp:posOffset>
            </wp:positionH>
            <wp:positionV relativeFrom="paragraph">
              <wp:posOffset>130605</wp:posOffset>
            </wp:positionV>
            <wp:extent cx="2706615" cy="2150649"/>
            <wp:effectExtent l="0" t="0" r="0" b="0"/>
            <wp:wrapTopAndBottom/>
            <wp:docPr id="29" name="image22.jpeg" descr=""/>
            <wp:cNvGraphicFramePr>
              <a:graphicFrameLocks noChangeAspect="1"/>
            </wp:cNvGraphicFramePr>
            <a:graphic>
              <a:graphicData uri="http://schemas.openxmlformats.org/drawingml/2006/picture">
                <pic:pic>
                  <pic:nvPicPr>
                    <pic:cNvPr id="30" name="image22.jpeg"/>
                    <pic:cNvPicPr/>
                  </pic:nvPicPr>
                  <pic:blipFill>
                    <a:blip r:embed="rId31" cstate="print"/>
                    <a:stretch>
                      <a:fillRect/>
                    </a:stretch>
                  </pic:blipFill>
                  <pic:spPr>
                    <a:xfrm>
                      <a:off x="0" y="0"/>
                      <a:ext cx="2706615" cy="2150649"/>
                    </a:xfrm>
                    <a:prstGeom prst="rect">
                      <a:avLst/>
                    </a:prstGeom>
                  </pic:spPr>
                </pic:pic>
              </a:graphicData>
            </a:graphic>
          </wp:anchor>
        </w:drawing>
      </w:r>
    </w:p>
    <w:p>
      <w:pPr>
        <w:pStyle w:val="BodyText"/>
        <w:spacing w:before="10"/>
        <w:rPr>
          <w:sz w:val="26"/>
        </w:rPr>
      </w:pPr>
    </w:p>
    <w:p>
      <w:pPr>
        <w:spacing w:before="0"/>
        <w:ind w:left="799" w:right="821" w:firstLine="0"/>
        <w:jc w:val="center"/>
        <w:rPr>
          <w:sz w:val="20"/>
        </w:rPr>
      </w:pPr>
      <w:r>
        <w:rPr>
          <w:sz w:val="20"/>
        </w:rPr>
        <w:t>Fig. 16. Radiofacies a perfil delineado con los principales planos.</w:t>
      </w:r>
    </w:p>
    <w:p>
      <w:pPr>
        <w:spacing w:before="3"/>
        <w:ind w:left="796" w:right="817" w:firstLine="0"/>
        <w:jc w:val="center"/>
        <w:rPr>
          <w:sz w:val="20"/>
        </w:rPr>
      </w:pPr>
      <w:r>
        <w:rPr>
          <w:sz w:val="20"/>
        </w:rPr>
        <w:t>Fuente: </w:t>
      </w:r>
      <w:hyperlink r:id="rId24">
        <w:r>
          <w:rPr>
            <w:sz w:val="20"/>
          </w:rPr>
          <w:t>http://maxilofacial.obolog.es/historia-cefalometria-radiografica-457832</w:t>
        </w:r>
      </w:hyperlink>
    </w:p>
    <w:p>
      <w:pPr>
        <w:pStyle w:val="BodyText"/>
        <w:rPr>
          <w:sz w:val="20"/>
        </w:rPr>
      </w:pPr>
    </w:p>
    <w:p>
      <w:pPr>
        <w:pStyle w:val="BodyText"/>
        <w:rPr>
          <w:sz w:val="20"/>
        </w:rPr>
      </w:pPr>
    </w:p>
    <w:p>
      <w:pPr>
        <w:pStyle w:val="BodyText"/>
        <w:spacing w:line="360" w:lineRule="auto" w:before="135"/>
        <w:ind w:left="102" w:right="118"/>
        <w:jc w:val="both"/>
      </w:pPr>
      <w:r>
        <w:rPr/>
        <w:t>En 1921 A. J. Pacini</w:t>
      </w:r>
      <w:r>
        <w:rPr>
          <w:position w:val="11"/>
          <w:sz w:val="16"/>
        </w:rPr>
        <w:t>17 </w:t>
      </w:r>
      <w:r>
        <w:rPr/>
        <w:t>presentó su tesis “Antropometría radiográfica del cráneo”,  en la cual se habla por primera vez de la utilidad </w:t>
      </w:r>
      <w:r>
        <w:rPr>
          <w:spacing w:val="4"/>
        </w:rPr>
        <w:t>de </w:t>
      </w:r>
      <w:r>
        <w:rPr/>
        <w:t>este estudio, para el conocimiento del crecimiento humano, su clasificación y</w:t>
      </w:r>
      <w:r>
        <w:rPr>
          <w:spacing w:val="-22"/>
        </w:rPr>
        <w:t> </w:t>
      </w:r>
      <w:r>
        <w:rPr/>
        <w:t>anomalías.</w:t>
      </w:r>
    </w:p>
    <w:p>
      <w:pPr>
        <w:spacing w:after="0" w:line="360" w:lineRule="auto"/>
        <w:jc w:val="both"/>
        <w:sectPr>
          <w:pgSz w:w="12240" w:h="15840"/>
          <w:pgMar w:header="0" w:footer="1003" w:top="1420" w:bottom="1200" w:left="1600" w:right="1580"/>
        </w:sectPr>
      </w:pPr>
    </w:p>
    <w:p>
      <w:pPr>
        <w:pStyle w:val="BodyText"/>
        <w:spacing w:line="360" w:lineRule="auto" w:before="54"/>
        <w:ind w:left="102" w:right="124"/>
        <w:jc w:val="both"/>
      </w:pPr>
      <w:r>
        <w:rPr/>
        <w:t>Trasladó a la radiografía ciertos puntos antropológicos convencionales, como el gonion, nasión y espina nasal anterior, y definió otros como el turcicon (centro de la silla turca) y el acustion (punto más superior de la proyección del conducto auditivo externo). Utilizó medidas lineales y angulares, así como sus proporciones que tomó de la</w:t>
      </w:r>
      <w:r>
        <w:rPr>
          <w:spacing w:val="-13"/>
        </w:rPr>
        <w:t> </w:t>
      </w:r>
      <w:r>
        <w:rPr/>
        <w:t>antropología.</w:t>
      </w:r>
    </w:p>
    <w:p>
      <w:pPr>
        <w:pStyle w:val="BodyText"/>
        <w:spacing w:line="360" w:lineRule="auto" w:before="169"/>
        <w:ind w:left="102" w:right="117"/>
        <w:jc w:val="both"/>
      </w:pPr>
      <w:r>
        <w:rPr/>
        <w:t>El profesor T. Wingate Todd</w:t>
      </w:r>
      <w:r>
        <w:rPr>
          <w:position w:val="11"/>
          <w:sz w:val="16"/>
        </w:rPr>
        <w:t>15 </w:t>
      </w:r>
      <w:r>
        <w:rPr/>
        <w:t>(1885-1938), Profesor de Anatomía en la Escuela  de Medicina de la Universidad Western Reserve, en Cleveland, Ohio, fue el primero en construir para sus investigaciones un rudimentario cefalostato que  daría origen a los que se diseñaron con posterioridad. Uno de sus temas de investigación fue la maduración y el crecimiento óseo, en los que empleó  el estudio radiográfico como</w:t>
      </w:r>
      <w:r>
        <w:rPr>
          <w:spacing w:val="-12"/>
        </w:rPr>
        <w:t> </w:t>
      </w:r>
      <w:r>
        <w:rPr/>
        <w:t>método.</w:t>
      </w:r>
    </w:p>
    <w:p>
      <w:pPr>
        <w:pStyle w:val="BodyText"/>
        <w:spacing w:line="352" w:lineRule="auto" w:before="202"/>
        <w:ind w:left="102" w:right="122"/>
        <w:jc w:val="both"/>
      </w:pPr>
      <w:r>
        <w:rPr/>
        <w:t>Históricamente, la creación del cefalostato se le atribuye al Dr. B. Holly  Broadbent</w:t>
      </w:r>
      <w:r>
        <w:rPr>
          <w:position w:val="11"/>
          <w:sz w:val="16"/>
        </w:rPr>
        <w:t>20 </w:t>
      </w:r>
      <w:r>
        <w:rPr/>
        <w:t>(Fig. 17), discípulo de Wingate Todd, en el año 1931. El cefalostato, hizo posible la estandarización del método y consecuentemente, la obtención de medidas con las radiografías tomadas mediante él. Esta estandarización permite una  medición   y  comparación   bastante  precisa   de   las  estructuras   orales </w:t>
      </w:r>
      <w:r>
        <w:rPr>
          <w:spacing w:val="65"/>
        </w:rPr>
        <w:t> </w:t>
      </w:r>
      <w:r>
        <w:rPr/>
        <w:t>y</w:t>
      </w:r>
    </w:p>
    <w:p>
      <w:pPr>
        <w:pStyle w:val="BodyText"/>
        <w:spacing w:line="360" w:lineRule="auto" w:before="13"/>
        <w:ind w:left="102" w:right="123"/>
        <w:jc w:val="both"/>
      </w:pPr>
      <w:r>
        <w:rPr/>
        <w:t>craneofaciales, ya sea directamente en las radiografías, o a través del uso de trazados superpuestos de puntos anatómicos óseos obtenidos de la radiografía.</w:t>
      </w:r>
    </w:p>
    <w:p>
      <w:pPr>
        <w:pStyle w:val="BodyText"/>
        <w:spacing w:before="5"/>
        <w:rPr>
          <w:sz w:val="14"/>
        </w:rPr>
      </w:pPr>
      <w:r>
        <w:rPr/>
        <w:drawing>
          <wp:anchor distT="0" distB="0" distL="0" distR="0" allowOverlap="1" layoutInCell="1" locked="0" behindDoc="0" simplePos="0" relativeHeight="1384">
            <wp:simplePos x="0" y="0"/>
            <wp:positionH relativeFrom="page">
              <wp:posOffset>2676525</wp:posOffset>
            </wp:positionH>
            <wp:positionV relativeFrom="paragraph">
              <wp:posOffset>130351</wp:posOffset>
            </wp:positionV>
            <wp:extent cx="2413020" cy="2287619"/>
            <wp:effectExtent l="0" t="0" r="0" b="0"/>
            <wp:wrapTopAndBottom/>
            <wp:docPr id="31" name="image23.jpeg" descr=""/>
            <wp:cNvGraphicFramePr>
              <a:graphicFrameLocks noChangeAspect="1"/>
            </wp:cNvGraphicFramePr>
            <a:graphic>
              <a:graphicData uri="http://schemas.openxmlformats.org/drawingml/2006/picture">
                <pic:pic>
                  <pic:nvPicPr>
                    <pic:cNvPr id="32" name="image23.jpeg"/>
                    <pic:cNvPicPr/>
                  </pic:nvPicPr>
                  <pic:blipFill>
                    <a:blip r:embed="rId32" cstate="print"/>
                    <a:stretch>
                      <a:fillRect/>
                    </a:stretch>
                  </pic:blipFill>
                  <pic:spPr>
                    <a:xfrm>
                      <a:off x="0" y="0"/>
                      <a:ext cx="2413020" cy="2287619"/>
                    </a:xfrm>
                    <a:prstGeom prst="rect">
                      <a:avLst/>
                    </a:prstGeom>
                  </pic:spPr>
                </pic:pic>
              </a:graphicData>
            </a:graphic>
          </wp:anchor>
        </w:drawing>
      </w:r>
    </w:p>
    <w:p>
      <w:pPr>
        <w:pStyle w:val="BodyText"/>
        <w:spacing w:before="7"/>
        <w:rPr>
          <w:sz w:val="27"/>
        </w:rPr>
      </w:pPr>
    </w:p>
    <w:p>
      <w:pPr>
        <w:spacing w:before="0"/>
        <w:ind w:left="803" w:right="821" w:firstLine="0"/>
        <w:jc w:val="center"/>
        <w:rPr>
          <w:sz w:val="20"/>
        </w:rPr>
      </w:pPr>
      <w:r>
        <w:rPr>
          <w:sz w:val="20"/>
        </w:rPr>
        <w:t>Fig. 17. Dr. B. Holly Broadbent.</w:t>
      </w:r>
    </w:p>
    <w:p>
      <w:pPr>
        <w:spacing w:before="3"/>
        <w:ind w:left="799" w:right="821" w:firstLine="0"/>
        <w:jc w:val="center"/>
        <w:rPr>
          <w:sz w:val="20"/>
        </w:rPr>
      </w:pPr>
      <w:r>
        <w:rPr>
          <w:sz w:val="20"/>
        </w:rPr>
        <w:t>Fuente: In Memoriam: B. Holly Broadbent. The Angle Orthodontist. pp.172.</w:t>
      </w:r>
    </w:p>
    <w:p>
      <w:pPr>
        <w:spacing w:after="0"/>
        <w:jc w:val="center"/>
        <w:rPr>
          <w:sz w:val="20"/>
        </w:rPr>
        <w:sectPr>
          <w:pgSz w:w="12240" w:h="15840"/>
          <w:pgMar w:header="0" w:footer="1003" w:top="1360" w:bottom="1200" w:left="1600" w:right="1580"/>
        </w:sectPr>
      </w:pPr>
    </w:p>
    <w:p>
      <w:pPr>
        <w:pStyle w:val="BodyText"/>
        <w:spacing w:line="350" w:lineRule="auto" w:before="54"/>
        <w:ind w:left="102" w:right="121"/>
        <w:jc w:val="both"/>
        <w:rPr>
          <w:sz w:val="16"/>
        </w:rPr>
      </w:pPr>
      <w:r>
        <w:rPr/>
        <w:t>A partir de estos descubrimientos, la Cefalometría comienza una carrera vertiginosa con la aparición de numerosos análisis, que aportan por lo general saltos en el desarrollo que nos llevan a los análisis cefalométricos más completos y perfeccionados que usamos en la</w:t>
      </w:r>
      <w:r>
        <w:rPr>
          <w:spacing w:val="-15"/>
        </w:rPr>
        <w:t> </w:t>
      </w:r>
      <w:r>
        <w:rPr/>
        <w:t>actualidad.</w:t>
      </w:r>
      <w:r>
        <w:rPr>
          <w:position w:val="11"/>
          <w:sz w:val="16"/>
        </w:rPr>
        <w:t>15</w:t>
      </w:r>
    </w:p>
    <w:p>
      <w:pPr>
        <w:pStyle w:val="BodyText"/>
        <w:rPr>
          <w:sz w:val="28"/>
        </w:rPr>
      </w:pPr>
    </w:p>
    <w:p>
      <w:pPr>
        <w:pStyle w:val="BodyText"/>
        <w:rPr>
          <w:sz w:val="34"/>
        </w:rPr>
      </w:pPr>
    </w:p>
    <w:p>
      <w:pPr>
        <w:pStyle w:val="Heading3"/>
        <w:numPr>
          <w:ilvl w:val="2"/>
          <w:numId w:val="6"/>
        </w:numPr>
        <w:tabs>
          <w:tab w:pos="706" w:val="left" w:leader="none"/>
        </w:tabs>
        <w:spacing w:line="240" w:lineRule="auto" w:before="1" w:after="0"/>
        <w:ind w:left="705" w:right="0" w:hanging="603"/>
        <w:jc w:val="both"/>
      </w:pPr>
      <w:r>
        <w:rPr/>
        <w:t>Análisis</w:t>
      </w:r>
      <w:r>
        <w:rPr>
          <w:spacing w:val="-6"/>
        </w:rPr>
        <w:t> </w:t>
      </w:r>
      <w:r>
        <w:rPr/>
        <w:t>cefalométricos</w:t>
      </w:r>
    </w:p>
    <w:p>
      <w:pPr>
        <w:pStyle w:val="BodyText"/>
        <w:spacing w:before="4"/>
        <w:rPr>
          <w:b/>
          <w:sz w:val="29"/>
        </w:rPr>
      </w:pPr>
    </w:p>
    <w:p>
      <w:pPr>
        <w:pStyle w:val="BodyText"/>
        <w:spacing w:line="360" w:lineRule="auto" w:before="1"/>
        <w:ind w:left="102" w:right="116"/>
        <w:jc w:val="both"/>
      </w:pPr>
      <w:r>
        <w:rPr/>
        <w:t>Una de las herramientas que se ha hecho importante en el diagnóstico y en el adecuado diseño de un plan de tratamiento en la Ortodoncia actual, lo constituye sin dudas, la Cefalometría. La aparición y la evolución de la misma ha sido indispensable en el desarrollo de la especialidad. La necesidad creciente del diagnóstico certero de las condiciones óseas del paciente y su relación con los tejidos blandos y dentarios unidos a la aparición de la tecnología necesaria para</w:t>
      </w:r>
    </w:p>
    <w:p>
      <w:pPr>
        <w:pStyle w:val="BodyText"/>
        <w:spacing w:line="328" w:lineRule="auto" w:before="2"/>
        <w:ind w:left="102" w:right="126"/>
        <w:jc w:val="both"/>
        <w:rPr>
          <w:sz w:val="16"/>
        </w:rPr>
      </w:pPr>
      <w:r>
        <w:rPr/>
        <w:t>obtención de los rayos X, se han convertido en el impulso sistemático que propició el vertiginoso desarrollo de este sistema de diagnóstico. </w:t>
      </w:r>
      <w:r>
        <w:rPr>
          <w:position w:val="11"/>
          <w:sz w:val="16"/>
        </w:rPr>
        <w:t>14</w:t>
      </w:r>
    </w:p>
    <w:p>
      <w:pPr>
        <w:pStyle w:val="BodyText"/>
        <w:spacing w:line="352" w:lineRule="auto" w:before="225"/>
        <w:ind w:left="102" w:right="122"/>
        <w:jc w:val="both"/>
        <w:rPr>
          <w:sz w:val="16"/>
        </w:rPr>
      </w:pPr>
      <w:r>
        <w:rPr/>
        <w:t>La aparición de la Cefalometría radiográfica en 1931 de la mano de Hofrath en Alemania y Broadbent en EE.UU, significó la posibilidad de utilizar una nueva técnica clínica y experimental para estudiar la maloclusión y las desproporciones cefalométricas subyacentes. En un principio estuvo dirigido al estudio de los patrones de crecimiento del complejo craneofacial (Fig. 18).</w:t>
      </w:r>
      <w:r>
        <w:rPr>
          <w:position w:val="11"/>
          <w:sz w:val="16"/>
        </w:rPr>
        <w:t>20</w:t>
      </w:r>
    </w:p>
    <w:p>
      <w:pPr>
        <w:pStyle w:val="BodyText"/>
        <w:spacing w:before="6"/>
        <w:rPr>
          <w:sz w:val="13"/>
        </w:rPr>
      </w:pPr>
      <w:r>
        <w:rPr/>
        <w:drawing>
          <wp:anchor distT="0" distB="0" distL="0" distR="0" allowOverlap="1" layoutInCell="1" locked="0" behindDoc="0" simplePos="0" relativeHeight="1408">
            <wp:simplePos x="0" y="0"/>
            <wp:positionH relativeFrom="page">
              <wp:posOffset>2614676</wp:posOffset>
            </wp:positionH>
            <wp:positionV relativeFrom="paragraph">
              <wp:posOffset>124117</wp:posOffset>
            </wp:positionV>
            <wp:extent cx="2542371" cy="1921383"/>
            <wp:effectExtent l="0" t="0" r="0" b="0"/>
            <wp:wrapTopAndBottom/>
            <wp:docPr id="33" name="image24.jpeg" descr=""/>
            <wp:cNvGraphicFramePr>
              <a:graphicFrameLocks noChangeAspect="1"/>
            </wp:cNvGraphicFramePr>
            <a:graphic>
              <a:graphicData uri="http://schemas.openxmlformats.org/drawingml/2006/picture">
                <pic:pic>
                  <pic:nvPicPr>
                    <pic:cNvPr id="34" name="image24.jpeg"/>
                    <pic:cNvPicPr/>
                  </pic:nvPicPr>
                  <pic:blipFill>
                    <a:blip r:embed="rId33" cstate="print"/>
                    <a:stretch>
                      <a:fillRect/>
                    </a:stretch>
                  </pic:blipFill>
                  <pic:spPr>
                    <a:xfrm>
                      <a:off x="0" y="0"/>
                      <a:ext cx="2542371" cy="1921383"/>
                    </a:xfrm>
                    <a:prstGeom prst="rect">
                      <a:avLst/>
                    </a:prstGeom>
                  </pic:spPr>
                </pic:pic>
              </a:graphicData>
            </a:graphic>
          </wp:anchor>
        </w:drawing>
      </w:r>
    </w:p>
    <w:p>
      <w:pPr>
        <w:pStyle w:val="BodyText"/>
        <w:rPr>
          <w:sz w:val="27"/>
        </w:rPr>
      </w:pPr>
    </w:p>
    <w:p>
      <w:pPr>
        <w:spacing w:before="1"/>
        <w:ind w:left="801" w:right="821" w:firstLine="0"/>
        <w:jc w:val="center"/>
        <w:rPr>
          <w:sz w:val="20"/>
        </w:rPr>
      </w:pPr>
      <w:r>
        <w:rPr>
          <w:sz w:val="20"/>
        </w:rPr>
        <w:t>Fig.18. Dr. B. Holly Broadbent.</w:t>
      </w:r>
    </w:p>
    <w:p>
      <w:pPr>
        <w:spacing w:before="2"/>
        <w:ind w:left="796" w:right="812" w:firstLine="0"/>
        <w:jc w:val="center"/>
        <w:rPr>
          <w:sz w:val="20"/>
        </w:rPr>
      </w:pPr>
      <w:r>
        <w:rPr>
          <w:sz w:val="20"/>
        </w:rPr>
        <w:t>Fuente: </w:t>
      </w:r>
      <w:hyperlink r:id="rId24">
        <w:r>
          <w:rPr>
            <w:sz w:val="20"/>
          </w:rPr>
          <w:t>http://maxilofacial.obolog.es/historia-cefalometria-radiografica-457832</w:t>
        </w:r>
      </w:hyperlink>
    </w:p>
    <w:p>
      <w:pPr>
        <w:spacing w:after="0"/>
        <w:jc w:val="center"/>
        <w:rPr>
          <w:sz w:val="20"/>
        </w:rPr>
        <w:sectPr>
          <w:pgSz w:w="12240" w:h="15840"/>
          <w:pgMar w:header="0" w:footer="1003" w:top="1360" w:bottom="1200" w:left="1600" w:right="1580"/>
        </w:sectPr>
      </w:pPr>
    </w:p>
    <w:p>
      <w:pPr>
        <w:pStyle w:val="BodyText"/>
        <w:spacing w:line="360" w:lineRule="auto" w:before="59"/>
        <w:ind w:left="102" w:right="120"/>
        <w:jc w:val="both"/>
      </w:pPr>
      <w:r>
        <w:rPr/>
        <w:t>Bjork</w:t>
      </w:r>
      <w:r>
        <w:rPr>
          <w:position w:val="11"/>
          <w:sz w:val="16"/>
        </w:rPr>
        <w:t>13 </w:t>
      </w:r>
      <w:r>
        <w:rPr/>
        <w:t>en 1947, realizó un estudio en suecos, su meta principal fue la de establecer mediciones de prognatismo facial en dicha población. Con estas mediciones construyó formas geométricas craneales y faciales denominándolos polígonos. A través de la comparación de las mediciones de un polígono con otro, fue posible hallar varios tipos de prognatismo.</w:t>
      </w:r>
    </w:p>
    <w:p>
      <w:pPr>
        <w:pStyle w:val="BodyText"/>
        <w:spacing w:line="360" w:lineRule="auto" w:before="204"/>
        <w:ind w:left="102" w:right="116"/>
        <w:jc w:val="both"/>
      </w:pPr>
      <w:r>
        <w:rPr/>
        <w:t>Björk, en una serie de  trabajos  publicados entre  los  años  1947  y  1963,  estudió el comportamiento de las estructuras craneofaciales durante el  crecimiento. Sus investigaciones se basan en un estudio de aproximadamente 300 niños de 12 años y de un número aproximado de soldados de 21 a 23 años en los que tomó cerca de 90 mediciones. Jarabak modificó y  adaptó  el  análisis  de Bjork, donde demuestra cómo puede ser diseñado un tratamiento, teniendo en cuenta con anticipación los aspectos que influyen en el crecimiento</w:t>
      </w:r>
      <w:r>
        <w:rPr>
          <w:spacing w:val="-16"/>
        </w:rPr>
        <w:t> </w:t>
      </w:r>
      <w:r>
        <w:rPr/>
        <w:t>craneofacial.</w:t>
      </w:r>
    </w:p>
    <w:p>
      <w:pPr>
        <w:pStyle w:val="BodyText"/>
        <w:spacing w:line="360" w:lineRule="auto" w:before="204"/>
        <w:ind w:left="102" w:right="121"/>
        <w:jc w:val="both"/>
      </w:pPr>
      <w:r>
        <w:rPr/>
        <w:t>El análisis de Jarabak es útil para determinar las características del crecimiento en sus aspectos cualitativos y cuantitativos, es decir, dirección y potencial de crecimiento, además contribuye a una mejor definición de la biotipología facial  (Fig.</w:t>
      </w:r>
      <w:r>
        <w:rPr>
          <w:spacing w:val="-4"/>
        </w:rPr>
        <w:t> </w:t>
      </w:r>
      <w:r>
        <w:rPr/>
        <w:t>19).</w:t>
      </w:r>
    </w:p>
    <w:p>
      <w:pPr>
        <w:pStyle w:val="BodyText"/>
        <w:spacing w:before="5"/>
        <w:rPr>
          <w:sz w:val="14"/>
        </w:rPr>
      </w:pPr>
      <w:r>
        <w:rPr/>
        <w:drawing>
          <wp:anchor distT="0" distB="0" distL="0" distR="0" allowOverlap="1" layoutInCell="1" locked="0" behindDoc="0" simplePos="0" relativeHeight="1432">
            <wp:simplePos x="0" y="0"/>
            <wp:positionH relativeFrom="page">
              <wp:posOffset>2557526</wp:posOffset>
            </wp:positionH>
            <wp:positionV relativeFrom="paragraph">
              <wp:posOffset>130605</wp:posOffset>
            </wp:positionV>
            <wp:extent cx="2648131" cy="2700147"/>
            <wp:effectExtent l="0" t="0" r="0" b="0"/>
            <wp:wrapTopAndBottom/>
            <wp:docPr id="35" name="image25.jpeg" descr=""/>
            <wp:cNvGraphicFramePr>
              <a:graphicFrameLocks noChangeAspect="1"/>
            </wp:cNvGraphicFramePr>
            <a:graphic>
              <a:graphicData uri="http://schemas.openxmlformats.org/drawingml/2006/picture">
                <pic:pic>
                  <pic:nvPicPr>
                    <pic:cNvPr id="36" name="image25.jpeg"/>
                    <pic:cNvPicPr/>
                  </pic:nvPicPr>
                  <pic:blipFill>
                    <a:blip r:embed="rId35" cstate="print"/>
                    <a:stretch>
                      <a:fillRect/>
                    </a:stretch>
                  </pic:blipFill>
                  <pic:spPr>
                    <a:xfrm>
                      <a:off x="0" y="0"/>
                      <a:ext cx="2648131" cy="2700147"/>
                    </a:xfrm>
                    <a:prstGeom prst="rect">
                      <a:avLst/>
                    </a:prstGeom>
                  </pic:spPr>
                </pic:pic>
              </a:graphicData>
            </a:graphic>
          </wp:anchor>
        </w:drawing>
      </w:r>
    </w:p>
    <w:p>
      <w:pPr>
        <w:pStyle w:val="BodyText"/>
        <w:spacing w:before="1"/>
        <w:rPr>
          <w:sz w:val="28"/>
        </w:rPr>
      </w:pPr>
    </w:p>
    <w:p>
      <w:pPr>
        <w:spacing w:before="0"/>
        <w:ind w:left="803" w:right="821" w:firstLine="0"/>
        <w:jc w:val="center"/>
        <w:rPr>
          <w:sz w:val="20"/>
        </w:rPr>
      </w:pPr>
      <w:r>
        <w:rPr>
          <w:sz w:val="20"/>
        </w:rPr>
        <w:t>Fig. 19. Trazado cefalométrico Bjork-Jarabak.</w:t>
      </w:r>
    </w:p>
    <w:p>
      <w:pPr>
        <w:spacing w:before="3"/>
        <w:ind w:left="234" w:right="247" w:firstLine="0"/>
        <w:jc w:val="center"/>
        <w:rPr>
          <w:sz w:val="20"/>
        </w:rPr>
      </w:pPr>
      <w:r>
        <w:rPr>
          <w:sz w:val="20"/>
        </w:rPr>
        <w:t>Fuente: </w:t>
      </w:r>
      <w:hyperlink r:id="rId36">
        <w:r>
          <w:rPr>
            <w:sz w:val="20"/>
          </w:rPr>
          <w:t>http://doctores.radiologiadentofacial.com/blog/2015/01/30/cefalometria-analisis-de-bjork/</w:t>
        </w:r>
      </w:hyperlink>
    </w:p>
    <w:p>
      <w:pPr>
        <w:spacing w:after="0"/>
        <w:jc w:val="center"/>
        <w:rPr>
          <w:sz w:val="20"/>
        </w:rPr>
        <w:sectPr>
          <w:footerReference w:type="default" r:id="rId34"/>
          <w:pgSz w:w="12240" w:h="15840"/>
          <w:pgMar w:footer="1003" w:header="0" w:top="1320" w:bottom="1200" w:left="1600" w:right="1580"/>
        </w:sectPr>
      </w:pPr>
    </w:p>
    <w:p>
      <w:pPr>
        <w:pStyle w:val="BodyText"/>
        <w:spacing w:line="360" w:lineRule="auto" w:before="59"/>
        <w:ind w:left="102" w:right="116"/>
        <w:jc w:val="both"/>
      </w:pPr>
      <w:r>
        <w:rPr/>
        <w:t>C.H. Tweed</w:t>
      </w:r>
      <w:r>
        <w:rPr>
          <w:position w:val="11"/>
          <w:sz w:val="16"/>
        </w:rPr>
        <w:t>21 </w:t>
      </w:r>
      <w:r>
        <w:rPr/>
        <w:t>presentó en 1946 su análisis cefalométrico donde destacó los cuatro objetivos del tratamiento ortodóntico con énfasis y preocupación por la estética facial; vincula la inclinación del incisivo inferior al plano horizontal de Frankfort. Si FMA tiene un valor de 30º o más, el valor FMIA debe medir 65º; si FMA mide  </w:t>
      </w:r>
      <w:r>
        <w:rPr>
          <w:spacing w:val="54"/>
        </w:rPr>
        <w:t> </w:t>
      </w:r>
      <w:r>
        <w:rPr/>
        <w:t>25º</w:t>
      </w:r>
    </w:p>
    <w:p>
      <w:pPr>
        <w:pStyle w:val="BodyText"/>
        <w:spacing w:line="360" w:lineRule="auto" w:before="2"/>
        <w:ind w:left="102" w:right="126"/>
        <w:jc w:val="both"/>
      </w:pPr>
      <w:r>
        <w:rPr/>
        <w:t>+/- 4º, FMIA debe tener 68º, y si FMA es inferior a 20º, IMPA no debe ser mayor que 94º (Fig. 20).</w:t>
      </w:r>
    </w:p>
    <w:p>
      <w:pPr>
        <w:pStyle w:val="BodyText"/>
        <w:spacing w:before="5"/>
        <w:rPr>
          <w:sz w:val="14"/>
        </w:rPr>
      </w:pPr>
      <w:r>
        <w:rPr/>
        <w:drawing>
          <wp:anchor distT="0" distB="0" distL="0" distR="0" allowOverlap="1" layoutInCell="1" locked="0" behindDoc="0" simplePos="0" relativeHeight="1456">
            <wp:simplePos x="0" y="0"/>
            <wp:positionH relativeFrom="page">
              <wp:posOffset>2447925</wp:posOffset>
            </wp:positionH>
            <wp:positionV relativeFrom="paragraph">
              <wp:posOffset>130732</wp:posOffset>
            </wp:positionV>
            <wp:extent cx="2873242" cy="1357884"/>
            <wp:effectExtent l="0" t="0" r="0" b="0"/>
            <wp:wrapTopAndBottom/>
            <wp:docPr id="37" name="image26.jpeg" descr=""/>
            <wp:cNvGraphicFramePr>
              <a:graphicFrameLocks noChangeAspect="1"/>
            </wp:cNvGraphicFramePr>
            <a:graphic>
              <a:graphicData uri="http://schemas.openxmlformats.org/drawingml/2006/picture">
                <pic:pic>
                  <pic:nvPicPr>
                    <pic:cNvPr id="38" name="image26.jpeg"/>
                    <pic:cNvPicPr/>
                  </pic:nvPicPr>
                  <pic:blipFill>
                    <a:blip r:embed="rId38" cstate="print"/>
                    <a:stretch>
                      <a:fillRect/>
                    </a:stretch>
                  </pic:blipFill>
                  <pic:spPr>
                    <a:xfrm>
                      <a:off x="0" y="0"/>
                      <a:ext cx="2873242" cy="1357884"/>
                    </a:xfrm>
                    <a:prstGeom prst="rect">
                      <a:avLst/>
                    </a:prstGeom>
                  </pic:spPr>
                </pic:pic>
              </a:graphicData>
            </a:graphic>
          </wp:anchor>
        </w:drawing>
      </w:r>
    </w:p>
    <w:p>
      <w:pPr>
        <w:pStyle w:val="BodyText"/>
        <w:spacing w:before="11"/>
        <w:rPr>
          <w:sz w:val="26"/>
        </w:rPr>
      </w:pPr>
    </w:p>
    <w:p>
      <w:pPr>
        <w:spacing w:before="0"/>
        <w:ind w:left="801" w:right="821" w:firstLine="0"/>
        <w:jc w:val="center"/>
        <w:rPr>
          <w:sz w:val="20"/>
        </w:rPr>
      </w:pPr>
      <w:r>
        <w:rPr>
          <w:sz w:val="20"/>
        </w:rPr>
        <w:t>Fig. 20. Trazado cefalométrico de Tweed.</w:t>
      </w:r>
    </w:p>
    <w:p>
      <w:pPr>
        <w:spacing w:before="0"/>
        <w:ind w:left="801" w:right="821" w:firstLine="0"/>
        <w:jc w:val="center"/>
        <w:rPr>
          <w:sz w:val="20"/>
        </w:rPr>
      </w:pPr>
      <w:r>
        <w:rPr>
          <w:sz w:val="20"/>
        </w:rPr>
        <w:t>Fuente: Compendio de cefalometría. Zamora MOEC y Mazatán CO.</w:t>
      </w:r>
    </w:p>
    <w:p>
      <w:pPr>
        <w:pStyle w:val="BodyText"/>
        <w:rPr>
          <w:sz w:val="20"/>
        </w:rPr>
      </w:pPr>
    </w:p>
    <w:p>
      <w:pPr>
        <w:pStyle w:val="BodyText"/>
        <w:rPr>
          <w:sz w:val="20"/>
        </w:rPr>
      </w:pPr>
    </w:p>
    <w:p>
      <w:pPr>
        <w:pStyle w:val="BodyText"/>
        <w:spacing w:line="360" w:lineRule="auto" w:before="135"/>
        <w:ind w:left="102" w:right="116"/>
        <w:jc w:val="both"/>
      </w:pPr>
      <w:r>
        <w:rPr/>
        <w:t>El análisis de W.B. Downs</w:t>
      </w:r>
      <w:r>
        <w:rPr>
          <w:position w:val="11"/>
          <w:sz w:val="16"/>
        </w:rPr>
        <w:t>11,22 </w:t>
      </w:r>
      <w:r>
        <w:rPr/>
        <w:t>1948, fue el primero en sugerir el análisis radiográfico mediante la comparación de trazados cefalométricos. Se basó en las proporciones faciales y esqueléticas de un grupo de referencia de 20 adolescentes no sometidos a tratamiento y seleccionados por tener una oclusión ideal. (Fig. 21).</w:t>
      </w:r>
    </w:p>
    <w:p>
      <w:pPr>
        <w:pStyle w:val="BodyText"/>
        <w:spacing w:before="4"/>
        <w:rPr>
          <w:sz w:val="14"/>
        </w:rPr>
      </w:pPr>
      <w:r>
        <w:rPr/>
        <w:drawing>
          <wp:anchor distT="0" distB="0" distL="0" distR="0" allowOverlap="1" layoutInCell="1" locked="0" behindDoc="0" simplePos="0" relativeHeight="1480">
            <wp:simplePos x="0" y="0"/>
            <wp:positionH relativeFrom="page">
              <wp:posOffset>2657475</wp:posOffset>
            </wp:positionH>
            <wp:positionV relativeFrom="paragraph">
              <wp:posOffset>130097</wp:posOffset>
            </wp:positionV>
            <wp:extent cx="2450255" cy="2464593"/>
            <wp:effectExtent l="0" t="0" r="0" b="0"/>
            <wp:wrapTopAndBottom/>
            <wp:docPr id="39" name="image27.jpeg" descr=""/>
            <wp:cNvGraphicFramePr>
              <a:graphicFrameLocks noChangeAspect="1"/>
            </wp:cNvGraphicFramePr>
            <a:graphic>
              <a:graphicData uri="http://schemas.openxmlformats.org/drawingml/2006/picture">
                <pic:pic>
                  <pic:nvPicPr>
                    <pic:cNvPr id="40" name="image27.jpeg"/>
                    <pic:cNvPicPr/>
                  </pic:nvPicPr>
                  <pic:blipFill>
                    <a:blip r:embed="rId39" cstate="print"/>
                    <a:stretch>
                      <a:fillRect/>
                    </a:stretch>
                  </pic:blipFill>
                  <pic:spPr>
                    <a:xfrm>
                      <a:off x="0" y="0"/>
                      <a:ext cx="2450255" cy="2464593"/>
                    </a:xfrm>
                    <a:prstGeom prst="rect">
                      <a:avLst/>
                    </a:prstGeom>
                  </pic:spPr>
                </pic:pic>
              </a:graphicData>
            </a:graphic>
          </wp:anchor>
        </w:drawing>
      </w:r>
    </w:p>
    <w:p>
      <w:pPr>
        <w:pStyle w:val="BodyText"/>
        <w:spacing w:before="2"/>
        <w:rPr>
          <w:sz w:val="27"/>
        </w:rPr>
      </w:pPr>
    </w:p>
    <w:p>
      <w:pPr>
        <w:spacing w:line="229" w:lineRule="exact" w:before="0"/>
        <w:ind w:left="800" w:right="821" w:firstLine="0"/>
        <w:jc w:val="center"/>
        <w:rPr>
          <w:sz w:val="20"/>
        </w:rPr>
      </w:pPr>
      <w:r>
        <w:rPr>
          <w:sz w:val="20"/>
        </w:rPr>
        <w:t>Figura 21. Trazado cefalométrico de Downs.</w:t>
      </w:r>
    </w:p>
    <w:p>
      <w:pPr>
        <w:spacing w:line="252" w:lineRule="exact" w:before="0"/>
        <w:ind w:left="231" w:right="247" w:firstLine="0"/>
        <w:jc w:val="center"/>
        <w:rPr>
          <w:sz w:val="22"/>
        </w:rPr>
      </w:pPr>
      <w:r>
        <w:rPr>
          <w:sz w:val="20"/>
        </w:rPr>
        <w:t>Fuente:  </w:t>
      </w:r>
      <w:hyperlink r:id="rId40">
        <w:r>
          <w:rPr>
            <w:sz w:val="22"/>
          </w:rPr>
          <w:t>http://doctores.radiologiadentofacial.com/blog/2015/01/30/analisis-de-downs/</w:t>
        </w:r>
      </w:hyperlink>
    </w:p>
    <w:p>
      <w:pPr>
        <w:spacing w:after="0" w:line="252" w:lineRule="exact"/>
        <w:jc w:val="center"/>
        <w:rPr>
          <w:sz w:val="22"/>
        </w:rPr>
        <w:sectPr>
          <w:footerReference w:type="default" r:id="rId37"/>
          <w:pgSz w:w="12240" w:h="15840"/>
          <w:pgMar w:footer="1003" w:header="0" w:top="1320" w:bottom="1200" w:left="1600" w:right="1580"/>
          <w:pgNumType w:start="21"/>
        </w:sectPr>
      </w:pPr>
    </w:p>
    <w:p>
      <w:pPr>
        <w:pStyle w:val="BodyText"/>
        <w:spacing w:line="360" w:lineRule="auto" w:before="59"/>
        <w:ind w:left="102" w:right="98"/>
        <w:jc w:val="both"/>
      </w:pPr>
      <w:r>
        <w:rPr/>
        <w:t>Steiner</w:t>
      </w:r>
      <w:r>
        <w:rPr>
          <w:position w:val="11"/>
          <w:sz w:val="16"/>
        </w:rPr>
        <w:t>13 </w:t>
      </w:r>
      <w:r>
        <w:rPr/>
        <w:t>en 1953 elaboró un análisis cefalométrico con un lenguaje accesible, y que facilitó la evaluación cefalométrica del patrón dento-esquelético, que relaciona los maxilares con la base del cráneo y los dientes con sus respectivos huesos basales. Para este análisis utilizó algunos conceptos de Downs, Wylier, Riedel, Thompson, Margolis y otros. Los parámetros clínicos utilizados por Steiner fueron una oclusión aceptable y perfil facial balanceado. Su norma promedio está basada en “mediciones promedios de normalidad” (Fig. 22).</w:t>
      </w:r>
    </w:p>
    <w:p>
      <w:pPr>
        <w:pStyle w:val="BodyText"/>
        <w:rPr>
          <w:sz w:val="20"/>
        </w:rPr>
      </w:pPr>
    </w:p>
    <w:p>
      <w:pPr>
        <w:pStyle w:val="BodyText"/>
        <w:rPr>
          <w:sz w:val="20"/>
        </w:rPr>
      </w:pPr>
    </w:p>
    <w:p>
      <w:pPr>
        <w:pStyle w:val="BodyText"/>
        <w:spacing w:before="10"/>
        <w:rPr>
          <w:sz w:val="27"/>
        </w:rPr>
      </w:pPr>
      <w:r>
        <w:rPr/>
        <w:drawing>
          <wp:anchor distT="0" distB="0" distL="0" distR="0" allowOverlap="1" layoutInCell="1" locked="0" behindDoc="0" simplePos="0" relativeHeight="1504">
            <wp:simplePos x="0" y="0"/>
            <wp:positionH relativeFrom="page">
              <wp:posOffset>2457450</wp:posOffset>
            </wp:positionH>
            <wp:positionV relativeFrom="paragraph">
              <wp:posOffset>228801</wp:posOffset>
            </wp:positionV>
            <wp:extent cx="2843356" cy="2814447"/>
            <wp:effectExtent l="0" t="0" r="0" b="0"/>
            <wp:wrapTopAndBottom/>
            <wp:docPr id="41" name="image28.jpeg" descr=""/>
            <wp:cNvGraphicFramePr>
              <a:graphicFrameLocks noChangeAspect="1"/>
            </wp:cNvGraphicFramePr>
            <a:graphic>
              <a:graphicData uri="http://schemas.openxmlformats.org/drawingml/2006/picture">
                <pic:pic>
                  <pic:nvPicPr>
                    <pic:cNvPr id="42" name="image28.jpeg"/>
                    <pic:cNvPicPr/>
                  </pic:nvPicPr>
                  <pic:blipFill>
                    <a:blip r:embed="rId41" cstate="print"/>
                    <a:stretch>
                      <a:fillRect/>
                    </a:stretch>
                  </pic:blipFill>
                  <pic:spPr>
                    <a:xfrm>
                      <a:off x="0" y="0"/>
                      <a:ext cx="2843356" cy="2814447"/>
                    </a:xfrm>
                    <a:prstGeom prst="rect">
                      <a:avLst/>
                    </a:prstGeom>
                  </pic:spPr>
                </pic:pic>
              </a:graphicData>
            </a:graphic>
          </wp:anchor>
        </w:drawing>
      </w:r>
    </w:p>
    <w:p>
      <w:pPr>
        <w:pStyle w:val="BodyText"/>
        <w:spacing w:before="5"/>
        <w:rPr>
          <w:sz w:val="27"/>
        </w:rPr>
      </w:pPr>
    </w:p>
    <w:p>
      <w:pPr>
        <w:spacing w:before="0"/>
        <w:ind w:left="183" w:right="184" w:firstLine="0"/>
        <w:jc w:val="center"/>
        <w:rPr>
          <w:sz w:val="20"/>
        </w:rPr>
      </w:pPr>
      <w:r>
        <w:rPr>
          <w:sz w:val="20"/>
        </w:rPr>
        <w:t>Fig. 22. Trazado cefalométrico de Steiner.</w:t>
      </w:r>
    </w:p>
    <w:p>
      <w:pPr>
        <w:spacing w:before="3"/>
        <w:ind w:left="102" w:right="0" w:firstLine="64"/>
        <w:jc w:val="both"/>
        <w:rPr>
          <w:sz w:val="20"/>
        </w:rPr>
      </w:pPr>
      <w:r>
        <w:rPr>
          <w:sz w:val="20"/>
        </w:rPr>
        <w:t>Fuente: </w:t>
      </w:r>
      <w:hyperlink r:id="rId42">
        <w:r>
          <w:rPr>
            <w:sz w:val="20"/>
          </w:rPr>
          <w:t>http://doctores.radiologiadentofacial.com/blog/2015/01/30/cefalometria-analisis-de-steiner/</w:t>
        </w:r>
      </w:hyperlink>
    </w:p>
    <w:p>
      <w:pPr>
        <w:pStyle w:val="BodyText"/>
        <w:rPr>
          <w:sz w:val="20"/>
        </w:rPr>
      </w:pPr>
    </w:p>
    <w:p>
      <w:pPr>
        <w:pStyle w:val="BodyText"/>
        <w:rPr>
          <w:sz w:val="20"/>
        </w:rPr>
      </w:pPr>
    </w:p>
    <w:p>
      <w:pPr>
        <w:pStyle w:val="BodyText"/>
        <w:spacing w:line="360" w:lineRule="auto" w:before="132"/>
        <w:ind w:left="102" w:right="102"/>
        <w:jc w:val="both"/>
      </w:pPr>
      <w:r>
        <w:rPr/>
        <w:t>Sassouni</w:t>
      </w:r>
      <w:r>
        <w:rPr>
          <w:position w:val="11"/>
          <w:sz w:val="16"/>
        </w:rPr>
        <w:t>14,22 </w:t>
      </w:r>
      <w:r>
        <w:rPr/>
        <w:t>fue el primero en dar la misma importancia a las  relaciones  verticales y horizontales y sus interacciones. En este análisis se señala que los planos anatómicos horizontales (SN, plano de Frankfort, plano palatino, plano oclusal y plano mandibular) tienden a converger en caras proporcionadas en un único punto (Fig.</w:t>
      </w:r>
      <w:r>
        <w:rPr>
          <w:spacing w:val="-8"/>
        </w:rPr>
        <w:t> </w:t>
      </w:r>
      <w:r>
        <w:rPr/>
        <w:t>23).</w:t>
      </w:r>
    </w:p>
    <w:p>
      <w:pPr>
        <w:spacing w:after="0" w:line="360" w:lineRule="auto"/>
        <w:jc w:val="both"/>
        <w:sectPr>
          <w:pgSz w:w="12240" w:h="15840"/>
          <w:pgMar w:header="0" w:footer="1003" w:top="1320" w:bottom="1200" w:left="1600" w:right="1600"/>
        </w:sectPr>
      </w:pPr>
    </w:p>
    <w:p>
      <w:pPr>
        <w:pStyle w:val="BodyText"/>
        <w:ind w:left="1670"/>
        <w:rPr>
          <w:sz w:val="20"/>
        </w:rPr>
      </w:pPr>
      <w:r>
        <w:rPr>
          <w:sz w:val="20"/>
        </w:rPr>
        <w:drawing>
          <wp:inline distT="0" distB="0" distL="0" distR="0">
            <wp:extent cx="3642050" cy="2291333"/>
            <wp:effectExtent l="0" t="0" r="0" b="0"/>
            <wp:docPr id="43" name="image29.jpeg" descr=""/>
            <wp:cNvGraphicFramePr>
              <a:graphicFrameLocks noChangeAspect="1"/>
            </wp:cNvGraphicFramePr>
            <a:graphic>
              <a:graphicData uri="http://schemas.openxmlformats.org/drawingml/2006/picture">
                <pic:pic>
                  <pic:nvPicPr>
                    <pic:cNvPr id="44" name="image29.jpeg"/>
                    <pic:cNvPicPr/>
                  </pic:nvPicPr>
                  <pic:blipFill>
                    <a:blip r:embed="rId43" cstate="print"/>
                    <a:stretch>
                      <a:fillRect/>
                    </a:stretch>
                  </pic:blipFill>
                  <pic:spPr>
                    <a:xfrm>
                      <a:off x="0" y="0"/>
                      <a:ext cx="3642050" cy="2291333"/>
                    </a:xfrm>
                    <a:prstGeom prst="rect">
                      <a:avLst/>
                    </a:prstGeom>
                  </pic:spPr>
                </pic:pic>
              </a:graphicData>
            </a:graphic>
          </wp:inline>
        </w:drawing>
      </w:r>
      <w:r>
        <w:rPr>
          <w:sz w:val="20"/>
        </w:rPr>
      </w:r>
    </w:p>
    <w:p>
      <w:pPr>
        <w:pStyle w:val="BodyText"/>
        <w:spacing w:before="5"/>
        <w:rPr>
          <w:sz w:val="20"/>
        </w:rPr>
      </w:pPr>
    </w:p>
    <w:p>
      <w:pPr>
        <w:spacing w:before="74"/>
        <w:ind w:left="183" w:right="182" w:firstLine="0"/>
        <w:jc w:val="center"/>
        <w:rPr>
          <w:sz w:val="20"/>
        </w:rPr>
      </w:pPr>
      <w:r>
        <w:rPr>
          <w:sz w:val="20"/>
        </w:rPr>
        <w:t>Fig. 23. Trazado cefalométrico de Sassouni.</w:t>
      </w:r>
    </w:p>
    <w:p>
      <w:pPr>
        <w:spacing w:before="3"/>
        <w:ind w:left="183" w:right="188" w:firstLine="0"/>
        <w:jc w:val="center"/>
        <w:rPr>
          <w:sz w:val="20"/>
        </w:rPr>
      </w:pPr>
      <w:r>
        <w:rPr>
          <w:sz w:val="20"/>
        </w:rPr>
        <w:t>Fuente: </w:t>
      </w:r>
      <w:hyperlink r:id="rId44">
        <w:r>
          <w:rPr>
            <w:sz w:val="20"/>
          </w:rPr>
          <w:t>http://tmjc.com.ne.kr/tmj/info/drinfo/wizigcase14.htm</w:t>
        </w:r>
      </w:hyperlink>
    </w:p>
    <w:p>
      <w:pPr>
        <w:pStyle w:val="BodyText"/>
        <w:rPr>
          <w:sz w:val="20"/>
        </w:rPr>
      </w:pPr>
    </w:p>
    <w:p>
      <w:pPr>
        <w:pStyle w:val="BodyText"/>
        <w:rPr>
          <w:sz w:val="20"/>
        </w:rPr>
      </w:pPr>
    </w:p>
    <w:p>
      <w:pPr>
        <w:pStyle w:val="BodyText"/>
        <w:spacing w:before="7"/>
        <w:rPr>
          <w:sz w:val="27"/>
        </w:rPr>
      </w:pPr>
    </w:p>
    <w:p>
      <w:pPr>
        <w:pStyle w:val="BodyText"/>
        <w:spacing w:line="360" w:lineRule="auto"/>
        <w:ind w:left="102" w:right="104"/>
        <w:jc w:val="both"/>
      </w:pPr>
      <w:r>
        <w:rPr/>
        <w:t>Ricketts</w:t>
      </w:r>
      <w:r>
        <w:rPr>
          <w:position w:val="11"/>
          <w:sz w:val="16"/>
        </w:rPr>
        <w:t>13 </w:t>
      </w:r>
      <w:r>
        <w:rPr/>
        <w:t>a partir de 1960, comenzó la publicación de una serie trabajos basados en la descripción morfológica de variadas relaciones dentarias. Elaboró un análisis cefalométrico con once componentes que utiliza medidas específicas para  localizar el mentón en el espacio, y así localizar el maxilar a través de la convexidad de la facie, evaluar la dentición y el perfil (Fig.</w:t>
      </w:r>
      <w:r>
        <w:rPr>
          <w:spacing w:val="-20"/>
        </w:rPr>
        <w:t> </w:t>
      </w:r>
      <w:r>
        <w:rPr/>
        <w:t>24).</w:t>
      </w:r>
    </w:p>
    <w:p>
      <w:pPr>
        <w:pStyle w:val="BodyText"/>
        <w:spacing w:before="4"/>
        <w:rPr>
          <w:sz w:val="14"/>
        </w:rPr>
      </w:pPr>
      <w:r>
        <w:rPr/>
        <w:drawing>
          <wp:anchor distT="0" distB="0" distL="0" distR="0" allowOverlap="1" layoutInCell="1" locked="0" behindDoc="0" simplePos="0" relativeHeight="1528">
            <wp:simplePos x="0" y="0"/>
            <wp:positionH relativeFrom="page">
              <wp:posOffset>2533650</wp:posOffset>
            </wp:positionH>
            <wp:positionV relativeFrom="paragraph">
              <wp:posOffset>130097</wp:posOffset>
            </wp:positionV>
            <wp:extent cx="2700385" cy="2897028"/>
            <wp:effectExtent l="0" t="0" r="0" b="0"/>
            <wp:wrapTopAndBottom/>
            <wp:docPr id="45" name="image30.jpeg" descr=""/>
            <wp:cNvGraphicFramePr>
              <a:graphicFrameLocks noChangeAspect="1"/>
            </wp:cNvGraphicFramePr>
            <a:graphic>
              <a:graphicData uri="http://schemas.openxmlformats.org/drawingml/2006/picture">
                <pic:pic>
                  <pic:nvPicPr>
                    <pic:cNvPr id="46" name="image30.jpeg"/>
                    <pic:cNvPicPr/>
                  </pic:nvPicPr>
                  <pic:blipFill>
                    <a:blip r:embed="rId45" cstate="print"/>
                    <a:stretch>
                      <a:fillRect/>
                    </a:stretch>
                  </pic:blipFill>
                  <pic:spPr>
                    <a:xfrm>
                      <a:off x="0" y="0"/>
                      <a:ext cx="2700385" cy="2897028"/>
                    </a:xfrm>
                    <a:prstGeom prst="rect">
                      <a:avLst/>
                    </a:prstGeom>
                  </pic:spPr>
                </pic:pic>
              </a:graphicData>
            </a:graphic>
          </wp:anchor>
        </w:drawing>
      </w:r>
    </w:p>
    <w:p>
      <w:pPr>
        <w:pStyle w:val="BodyText"/>
        <w:spacing w:before="5"/>
        <w:rPr>
          <w:sz w:val="27"/>
        </w:rPr>
      </w:pPr>
    </w:p>
    <w:p>
      <w:pPr>
        <w:spacing w:before="0"/>
        <w:ind w:left="183" w:right="183" w:firstLine="0"/>
        <w:jc w:val="center"/>
        <w:rPr>
          <w:sz w:val="20"/>
        </w:rPr>
      </w:pPr>
      <w:r>
        <w:rPr>
          <w:sz w:val="20"/>
        </w:rPr>
        <w:t>Fig. 24. Trazado cefalométrico de Ricketts.</w:t>
      </w:r>
    </w:p>
    <w:p>
      <w:pPr>
        <w:spacing w:before="3"/>
        <w:ind w:left="150" w:right="0" w:firstLine="0"/>
        <w:jc w:val="both"/>
        <w:rPr>
          <w:sz w:val="20"/>
        </w:rPr>
      </w:pPr>
      <w:r>
        <w:rPr>
          <w:sz w:val="20"/>
        </w:rPr>
        <w:t>Fuente: </w:t>
      </w:r>
      <w:hyperlink r:id="rId46">
        <w:r>
          <w:rPr>
            <w:sz w:val="20"/>
          </w:rPr>
          <w:t>http://doctores.radiologiadentofacial.com/blog/2015/01/30/cefalometria-analisis-de-ricketts/</w:t>
        </w:r>
      </w:hyperlink>
    </w:p>
    <w:p>
      <w:pPr>
        <w:spacing w:after="0"/>
        <w:jc w:val="both"/>
        <w:rPr>
          <w:sz w:val="20"/>
        </w:rPr>
        <w:sectPr>
          <w:pgSz w:w="12240" w:h="15840"/>
          <w:pgMar w:header="0" w:footer="1003" w:top="1420" w:bottom="1200" w:left="1600" w:right="1600"/>
        </w:sectPr>
      </w:pPr>
    </w:p>
    <w:p>
      <w:pPr>
        <w:pStyle w:val="BodyText"/>
        <w:spacing w:line="360" w:lineRule="auto" w:before="59"/>
        <w:ind w:left="102" w:right="118"/>
        <w:jc w:val="both"/>
      </w:pPr>
      <w:r>
        <w:rPr/>
        <w:t>Interlandi y cols.</w:t>
      </w:r>
      <w:r>
        <w:rPr>
          <w:position w:val="11"/>
          <w:sz w:val="16"/>
        </w:rPr>
        <w:t>14 </w:t>
      </w:r>
      <w:r>
        <w:rPr/>
        <w:t>en 1971, proponen un nuevo tipo de análisis cefalométrico que relaciona el maxilar y mandíbula sin la interferencia negativa de cualquier parámetro cefalométrico extraño. Estudiando 26 radiografías laterales con oclusiones excelentes y perfiles con características de normalidad, la línea “I” fue una referencia aceptable para la posición antero-posterior del límite lingual del borde incisal de los incisivos centrales inferiores, en las radiografías laterales (Fig. 25).</w:t>
      </w:r>
    </w:p>
    <w:p>
      <w:pPr>
        <w:pStyle w:val="BodyText"/>
        <w:rPr>
          <w:sz w:val="20"/>
        </w:rPr>
      </w:pPr>
    </w:p>
    <w:p>
      <w:pPr>
        <w:pStyle w:val="BodyText"/>
        <w:rPr>
          <w:sz w:val="20"/>
        </w:rPr>
      </w:pPr>
    </w:p>
    <w:p>
      <w:pPr>
        <w:pStyle w:val="BodyText"/>
        <w:spacing w:before="10"/>
        <w:rPr>
          <w:sz w:val="27"/>
        </w:rPr>
      </w:pPr>
      <w:r>
        <w:rPr/>
        <w:drawing>
          <wp:anchor distT="0" distB="0" distL="0" distR="0" allowOverlap="1" layoutInCell="1" locked="0" behindDoc="0" simplePos="0" relativeHeight="1552">
            <wp:simplePos x="0" y="0"/>
            <wp:positionH relativeFrom="page">
              <wp:posOffset>1857375</wp:posOffset>
            </wp:positionH>
            <wp:positionV relativeFrom="paragraph">
              <wp:posOffset>228801</wp:posOffset>
            </wp:positionV>
            <wp:extent cx="4049750" cy="1896237"/>
            <wp:effectExtent l="0" t="0" r="0" b="0"/>
            <wp:wrapTopAndBottom/>
            <wp:docPr id="47" name="image31.jpeg" descr=""/>
            <wp:cNvGraphicFramePr>
              <a:graphicFrameLocks noChangeAspect="1"/>
            </wp:cNvGraphicFramePr>
            <a:graphic>
              <a:graphicData uri="http://schemas.openxmlformats.org/drawingml/2006/picture">
                <pic:pic>
                  <pic:nvPicPr>
                    <pic:cNvPr id="48" name="image31.jpeg"/>
                    <pic:cNvPicPr/>
                  </pic:nvPicPr>
                  <pic:blipFill>
                    <a:blip r:embed="rId47" cstate="print"/>
                    <a:stretch>
                      <a:fillRect/>
                    </a:stretch>
                  </pic:blipFill>
                  <pic:spPr>
                    <a:xfrm>
                      <a:off x="0" y="0"/>
                      <a:ext cx="4049750" cy="1896237"/>
                    </a:xfrm>
                    <a:prstGeom prst="rect">
                      <a:avLst/>
                    </a:prstGeom>
                  </pic:spPr>
                </pic:pic>
              </a:graphicData>
            </a:graphic>
          </wp:anchor>
        </w:drawing>
      </w:r>
    </w:p>
    <w:p>
      <w:pPr>
        <w:pStyle w:val="BodyText"/>
        <w:spacing w:before="3"/>
        <w:rPr>
          <w:sz w:val="25"/>
        </w:rPr>
      </w:pPr>
    </w:p>
    <w:p>
      <w:pPr>
        <w:spacing w:before="0"/>
        <w:ind w:left="801" w:right="821" w:firstLine="0"/>
        <w:jc w:val="center"/>
        <w:rPr>
          <w:sz w:val="20"/>
        </w:rPr>
      </w:pPr>
      <w:r>
        <w:rPr>
          <w:sz w:val="20"/>
        </w:rPr>
        <w:t>Fig 25. Análisis de Interlandi.</w:t>
      </w:r>
    </w:p>
    <w:p>
      <w:pPr>
        <w:spacing w:before="3"/>
        <w:ind w:left="802" w:right="821" w:firstLine="0"/>
        <w:jc w:val="center"/>
        <w:rPr>
          <w:sz w:val="20"/>
        </w:rPr>
      </w:pPr>
      <w:r>
        <w:rPr>
          <w:sz w:val="20"/>
        </w:rPr>
        <w:t>Fuente: </w:t>
      </w:r>
      <w:hyperlink r:id="rId48">
        <w:r>
          <w:rPr>
            <w:sz w:val="20"/>
          </w:rPr>
          <w:t>http://www.cleber.com.br/livro_cefalometria/html/cap09/</w:t>
        </w:r>
      </w:hyperlink>
    </w:p>
    <w:p>
      <w:pPr>
        <w:pStyle w:val="BodyText"/>
        <w:rPr>
          <w:sz w:val="20"/>
        </w:rPr>
      </w:pPr>
    </w:p>
    <w:p>
      <w:pPr>
        <w:pStyle w:val="BodyText"/>
        <w:rPr>
          <w:sz w:val="20"/>
        </w:rPr>
      </w:pPr>
    </w:p>
    <w:p>
      <w:pPr>
        <w:pStyle w:val="BodyText"/>
        <w:spacing w:before="7"/>
        <w:rPr>
          <w:sz w:val="27"/>
        </w:rPr>
      </w:pPr>
    </w:p>
    <w:p>
      <w:pPr>
        <w:pStyle w:val="BodyText"/>
        <w:spacing w:line="360" w:lineRule="auto"/>
        <w:ind w:left="102" w:right="116"/>
        <w:jc w:val="both"/>
      </w:pPr>
      <w:r>
        <w:rPr/>
        <w:t>En 1992 el Dr. Kubodera</w:t>
      </w:r>
      <w:r>
        <w:rPr>
          <w:position w:val="11"/>
          <w:sz w:val="16"/>
        </w:rPr>
        <w:t>22</w:t>
      </w:r>
      <w:r>
        <w:rPr/>
        <w:t>, publicó un artículo sobre las diferencias de las estructuras craneofaciales en adolescentes de la región central de México, de 12 a 17 años de edad; los resultados obtenidos mostraron diferencias en el crecimiento entre hombres y mujeres. Se detectó un patrón morfológico convexo, con protrusión dentoalveolar de incisivos superiores, en comparación con los niños norteamericanos caucásicos. Por otra parte, al comparar los hallazgos con el patrón morfológico de los japoneses, la población mexicana mostró menor altura facial anterior, pero mayor profundidad facial, con un mentón protrusivo e inclinación lingual de los incisivos inferiores, siendo más notorio en las mujeres (Fig. 26).</w:t>
      </w:r>
    </w:p>
    <w:p>
      <w:pPr>
        <w:spacing w:after="0" w:line="360" w:lineRule="auto"/>
        <w:jc w:val="both"/>
        <w:sectPr>
          <w:pgSz w:w="12240" w:h="15840"/>
          <w:pgMar w:header="0" w:footer="1003" w:top="1320" w:bottom="1200" w:left="1600" w:right="1580"/>
        </w:sectPr>
      </w:pPr>
    </w:p>
    <w:p>
      <w:pPr>
        <w:pStyle w:val="BodyText"/>
        <w:ind w:left="2443"/>
        <w:rPr>
          <w:sz w:val="20"/>
        </w:rPr>
      </w:pPr>
      <w:r>
        <w:rPr>
          <w:sz w:val="20"/>
        </w:rPr>
        <w:drawing>
          <wp:inline distT="0" distB="0" distL="0" distR="0">
            <wp:extent cx="2660206" cy="2424017"/>
            <wp:effectExtent l="0" t="0" r="0" b="0"/>
            <wp:docPr id="49" name="image32.jpeg" descr=""/>
            <wp:cNvGraphicFramePr>
              <a:graphicFrameLocks noChangeAspect="1"/>
            </wp:cNvGraphicFramePr>
            <a:graphic>
              <a:graphicData uri="http://schemas.openxmlformats.org/drawingml/2006/picture">
                <pic:pic>
                  <pic:nvPicPr>
                    <pic:cNvPr id="50" name="image32.jpeg"/>
                    <pic:cNvPicPr/>
                  </pic:nvPicPr>
                  <pic:blipFill>
                    <a:blip r:embed="rId49" cstate="print"/>
                    <a:stretch>
                      <a:fillRect/>
                    </a:stretch>
                  </pic:blipFill>
                  <pic:spPr>
                    <a:xfrm>
                      <a:off x="0" y="0"/>
                      <a:ext cx="2660206" cy="2424017"/>
                    </a:xfrm>
                    <a:prstGeom prst="rect">
                      <a:avLst/>
                    </a:prstGeom>
                  </pic:spPr>
                </pic:pic>
              </a:graphicData>
            </a:graphic>
          </wp:inline>
        </w:drawing>
      </w:r>
      <w:r>
        <w:rPr>
          <w:sz w:val="20"/>
        </w:rPr>
      </w:r>
    </w:p>
    <w:p>
      <w:pPr>
        <w:pStyle w:val="BodyText"/>
        <w:spacing w:before="1"/>
        <w:rPr>
          <w:sz w:val="18"/>
        </w:rPr>
      </w:pPr>
    </w:p>
    <w:p>
      <w:pPr>
        <w:spacing w:before="74"/>
        <w:ind w:left="1940" w:right="1941" w:firstLine="0"/>
        <w:jc w:val="center"/>
        <w:rPr>
          <w:sz w:val="20"/>
        </w:rPr>
      </w:pPr>
      <w:r>
        <w:rPr>
          <w:sz w:val="20"/>
        </w:rPr>
        <w:t>Figura 26. Trazado cefalométrico del Dr, Toshio Kubodera Fuente directa.</w:t>
      </w:r>
    </w:p>
    <w:p>
      <w:pPr>
        <w:pStyle w:val="BodyText"/>
        <w:rPr>
          <w:sz w:val="20"/>
        </w:rPr>
      </w:pPr>
    </w:p>
    <w:p>
      <w:pPr>
        <w:pStyle w:val="BodyText"/>
        <w:rPr>
          <w:sz w:val="20"/>
        </w:rPr>
      </w:pPr>
    </w:p>
    <w:p>
      <w:pPr>
        <w:pStyle w:val="BodyText"/>
        <w:spacing w:line="360" w:lineRule="auto" w:before="135"/>
        <w:ind w:left="102" w:right="98"/>
        <w:jc w:val="both"/>
      </w:pPr>
      <w:r>
        <w:rPr/>
        <w:t>En el año 2005, la Dra. Lara CE</w:t>
      </w:r>
      <w:r>
        <w:rPr>
          <w:position w:val="11"/>
          <w:sz w:val="16"/>
        </w:rPr>
        <w:t>23</w:t>
      </w:r>
      <w:r>
        <w:rPr/>
        <w:t>, estableció un estándar cefalométrico según Harvold por grupos de edad y sexo en la población de Toluca, México, como un medio de diagnóstico para describir las desarmonías entre maxilares con respecto a las características de la población (Fig.27).</w:t>
      </w:r>
    </w:p>
    <w:p>
      <w:pPr>
        <w:pStyle w:val="BodyText"/>
        <w:spacing w:before="5"/>
        <w:rPr>
          <w:sz w:val="14"/>
        </w:rPr>
      </w:pPr>
      <w:r>
        <w:rPr/>
        <w:drawing>
          <wp:anchor distT="0" distB="0" distL="0" distR="0" allowOverlap="1" layoutInCell="1" locked="0" behindDoc="0" simplePos="0" relativeHeight="1576">
            <wp:simplePos x="0" y="0"/>
            <wp:positionH relativeFrom="page">
              <wp:posOffset>2652776</wp:posOffset>
            </wp:positionH>
            <wp:positionV relativeFrom="paragraph">
              <wp:posOffset>130351</wp:posOffset>
            </wp:positionV>
            <wp:extent cx="2472708" cy="2753677"/>
            <wp:effectExtent l="0" t="0" r="0" b="0"/>
            <wp:wrapTopAndBottom/>
            <wp:docPr id="51" name="image33.jpeg" descr=""/>
            <wp:cNvGraphicFramePr>
              <a:graphicFrameLocks noChangeAspect="1"/>
            </wp:cNvGraphicFramePr>
            <a:graphic>
              <a:graphicData uri="http://schemas.openxmlformats.org/drawingml/2006/picture">
                <pic:pic>
                  <pic:nvPicPr>
                    <pic:cNvPr id="52" name="image33.jpeg"/>
                    <pic:cNvPicPr/>
                  </pic:nvPicPr>
                  <pic:blipFill>
                    <a:blip r:embed="rId50" cstate="print"/>
                    <a:stretch>
                      <a:fillRect/>
                    </a:stretch>
                  </pic:blipFill>
                  <pic:spPr>
                    <a:xfrm>
                      <a:off x="0" y="0"/>
                      <a:ext cx="2472708" cy="2753677"/>
                    </a:xfrm>
                    <a:prstGeom prst="rect">
                      <a:avLst/>
                    </a:prstGeom>
                  </pic:spPr>
                </pic:pic>
              </a:graphicData>
            </a:graphic>
          </wp:anchor>
        </w:drawing>
      </w:r>
    </w:p>
    <w:p>
      <w:pPr>
        <w:pStyle w:val="BodyText"/>
        <w:spacing w:before="9"/>
        <w:rPr>
          <w:sz w:val="25"/>
        </w:rPr>
      </w:pPr>
    </w:p>
    <w:p>
      <w:pPr>
        <w:spacing w:before="0"/>
        <w:ind w:left="183" w:right="184" w:firstLine="0"/>
        <w:jc w:val="center"/>
        <w:rPr>
          <w:sz w:val="20"/>
        </w:rPr>
      </w:pPr>
      <w:r>
        <w:rPr>
          <w:sz w:val="20"/>
        </w:rPr>
        <w:t>Figura 27. Trazado cefalométrico de Harvold.</w:t>
      </w:r>
    </w:p>
    <w:p>
      <w:pPr>
        <w:spacing w:before="0"/>
        <w:ind w:left="85" w:right="86" w:firstLine="0"/>
        <w:jc w:val="center"/>
        <w:rPr>
          <w:sz w:val="20"/>
        </w:rPr>
      </w:pPr>
      <w:r>
        <w:rPr>
          <w:sz w:val="20"/>
        </w:rPr>
        <w:t>Fuente: Establecimiento de un estándar cefalométrico según Harvold por grupos de edad y sexo en la población de Toluca, México (Tesis de maestría). Lara CE.  Facultad de Odontología.</w:t>
      </w:r>
    </w:p>
    <w:p>
      <w:pPr>
        <w:spacing w:before="2"/>
        <w:ind w:left="183" w:right="185" w:firstLine="0"/>
        <w:jc w:val="center"/>
        <w:rPr>
          <w:sz w:val="20"/>
        </w:rPr>
      </w:pPr>
      <w:r>
        <w:rPr>
          <w:sz w:val="20"/>
        </w:rPr>
        <w:t>Universidad Autónoma del Estado de México, 2005.</w:t>
      </w:r>
    </w:p>
    <w:p>
      <w:pPr>
        <w:spacing w:after="0"/>
        <w:jc w:val="center"/>
        <w:rPr>
          <w:sz w:val="20"/>
        </w:rPr>
        <w:sectPr>
          <w:pgSz w:w="12240" w:h="15840"/>
          <w:pgMar w:header="0" w:footer="1003" w:top="1420" w:bottom="1200" w:left="1600" w:right="1600"/>
        </w:sectPr>
      </w:pPr>
    </w:p>
    <w:p>
      <w:pPr>
        <w:pStyle w:val="Heading3"/>
        <w:spacing w:before="54"/>
        <w:ind w:right="104"/>
      </w:pPr>
      <w:r>
        <w:rPr/>
        <w:t>1.3 Análisis de Kim</w:t>
      </w:r>
    </w:p>
    <w:p>
      <w:pPr>
        <w:pStyle w:val="BodyText"/>
        <w:spacing w:before="5"/>
        <w:rPr>
          <w:b/>
          <w:sz w:val="29"/>
        </w:rPr>
      </w:pPr>
    </w:p>
    <w:p>
      <w:pPr>
        <w:pStyle w:val="BodyText"/>
        <w:spacing w:line="360" w:lineRule="auto"/>
        <w:ind w:left="102" w:right="98"/>
        <w:jc w:val="both"/>
      </w:pPr>
      <w:r>
        <w:rPr/>
        <w:t>Kim desarrolló un método cefalométrico analítico que permite evaluar el patrón de la maloclusión desde un punto de vista vertical y horizontal, por separado y en conjunto, al mismo tiempo ofrece un índice de extracción que contribuye a la decisión de este procedimiento con fines ortodóncicos. Este análisis diferencial cefalométrico se basa:</w:t>
      </w:r>
    </w:p>
    <w:p>
      <w:pPr>
        <w:pStyle w:val="ListParagraph"/>
        <w:numPr>
          <w:ilvl w:val="0"/>
          <w:numId w:val="8"/>
        </w:numPr>
        <w:tabs>
          <w:tab w:pos="530" w:val="left" w:leader="none"/>
        </w:tabs>
        <w:spacing w:line="240" w:lineRule="auto" w:before="205" w:after="0"/>
        <w:ind w:left="529" w:right="0" w:hanging="360"/>
        <w:jc w:val="both"/>
        <w:rPr>
          <w:sz w:val="24"/>
        </w:rPr>
      </w:pPr>
      <w:r>
        <w:rPr>
          <w:sz w:val="24"/>
        </w:rPr>
        <w:t>Indicador de sobremordida (ODI) para valorar el componente</w:t>
      </w:r>
      <w:r>
        <w:rPr>
          <w:spacing w:val="-15"/>
          <w:sz w:val="24"/>
        </w:rPr>
        <w:t> </w:t>
      </w:r>
      <w:r>
        <w:rPr>
          <w:sz w:val="24"/>
        </w:rPr>
        <w:t>vertical</w:t>
      </w:r>
    </w:p>
    <w:p>
      <w:pPr>
        <w:pStyle w:val="ListParagraph"/>
        <w:numPr>
          <w:ilvl w:val="0"/>
          <w:numId w:val="8"/>
        </w:numPr>
        <w:tabs>
          <w:tab w:pos="529" w:val="left" w:leader="none"/>
          <w:tab w:pos="530" w:val="left" w:leader="none"/>
        </w:tabs>
        <w:spacing w:line="350" w:lineRule="auto" w:before="135" w:after="0"/>
        <w:ind w:left="529" w:right="104" w:hanging="360"/>
        <w:jc w:val="left"/>
        <w:rPr>
          <w:sz w:val="24"/>
        </w:rPr>
      </w:pPr>
      <w:r>
        <w:rPr>
          <w:sz w:val="24"/>
        </w:rPr>
        <w:t>Idicador de Displasia anteroposterior (APDI) para valorar el componente horizontal.</w:t>
      </w:r>
    </w:p>
    <w:p>
      <w:pPr>
        <w:pStyle w:val="ListParagraph"/>
        <w:numPr>
          <w:ilvl w:val="0"/>
          <w:numId w:val="8"/>
        </w:numPr>
        <w:tabs>
          <w:tab w:pos="530" w:val="left" w:leader="none"/>
        </w:tabs>
        <w:spacing w:line="311" w:lineRule="exact" w:before="0" w:after="0"/>
        <w:ind w:left="529" w:right="0" w:hanging="360"/>
        <w:jc w:val="both"/>
        <w:rPr>
          <w:sz w:val="24"/>
        </w:rPr>
      </w:pPr>
      <w:r>
        <w:rPr>
          <w:sz w:val="24"/>
        </w:rPr>
        <w:t>Factor de</w:t>
      </w:r>
      <w:r>
        <w:rPr>
          <w:spacing w:val="-6"/>
          <w:sz w:val="24"/>
        </w:rPr>
        <w:t> </w:t>
      </w:r>
      <w:r>
        <w:rPr>
          <w:sz w:val="24"/>
        </w:rPr>
        <w:t>combinación</w:t>
      </w:r>
      <w:r>
        <w:rPr>
          <w:position w:val="11"/>
          <w:sz w:val="16"/>
        </w:rPr>
        <w:t>13,24</w:t>
      </w:r>
      <w:r>
        <w:rPr>
          <w:sz w:val="24"/>
        </w:rPr>
        <w:t>.</w:t>
      </w:r>
    </w:p>
    <w:p>
      <w:pPr>
        <w:pStyle w:val="BodyText"/>
        <w:rPr>
          <w:sz w:val="26"/>
        </w:rPr>
      </w:pPr>
    </w:p>
    <w:p>
      <w:pPr>
        <w:pStyle w:val="BodyText"/>
        <w:spacing w:line="360" w:lineRule="auto"/>
        <w:ind w:left="102" w:right="98"/>
        <w:jc w:val="both"/>
      </w:pPr>
      <w:r>
        <w:rPr/>
        <w:t>En 1974, el Dr. Young H. Kim</w:t>
      </w:r>
      <w:r>
        <w:rPr>
          <w:position w:val="11"/>
          <w:sz w:val="16"/>
        </w:rPr>
        <w:t>25 </w:t>
      </w:r>
      <w:r>
        <w:rPr/>
        <w:t>(Fig. 28), estudió cefalogramas de 119 personas con oclusión normal y los comparó con 500 diferentes maloclusiones, seleccionando quince medidas cefalométricas para determinar cuál de ellas producía la correlación más alta entre la profundidad de la sobremordida vertical.</w:t>
      </w:r>
    </w:p>
    <w:p>
      <w:pPr>
        <w:pStyle w:val="BodyText"/>
        <w:rPr>
          <w:sz w:val="20"/>
        </w:rPr>
      </w:pPr>
    </w:p>
    <w:p>
      <w:pPr>
        <w:pStyle w:val="BodyText"/>
        <w:spacing w:before="5"/>
        <w:rPr>
          <w:sz w:val="17"/>
        </w:rPr>
      </w:pPr>
      <w:r>
        <w:rPr/>
        <w:drawing>
          <wp:anchor distT="0" distB="0" distL="0" distR="0" allowOverlap="1" layoutInCell="1" locked="0" behindDoc="0" simplePos="0" relativeHeight="1600">
            <wp:simplePos x="0" y="0"/>
            <wp:positionH relativeFrom="page">
              <wp:posOffset>3019425</wp:posOffset>
            </wp:positionH>
            <wp:positionV relativeFrom="paragraph">
              <wp:posOffset>152207</wp:posOffset>
            </wp:positionV>
            <wp:extent cx="2548074" cy="2833306"/>
            <wp:effectExtent l="0" t="0" r="0" b="0"/>
            <wp:wrapTopAndBottom/>
            <wp:docPr id="53" name="image34.jpeg" descr=""/>
            <wp:cNvGraphicFramePr>
              <a:graphicFrameLocks noChangeAspect="1"/>
            </wp:cNvGraphicFramePr>
            <a:graphic>
              <a:graphicData uri="http://schemas.openxmlformats.org/drawingml/2006/picture">
                <pic:pic>
                  <pic:nvPicPr>
                    <pic:cNvPr id="54" name="image34.jpeg"/>
                    <pic:cNvPicPr/>
                  </pic:nvPicPr>
                  <pic:blipFill>
                    <a:blip r:embed="rId51" cstate="print"/>
                    <a:stretch>
                      <a:fillRect/>
                    </a:stretch>
                  </pic:blipFill>
                  <pic:spPr>
                    <a:xfrm>
                      <a:off x="0" y="0"/>
                      <a:ext cx="2548074" cy="2833306"/>
                    </a:xfrm>
                    <a:prstGeom prst="rect">
                      <a:avLst/>
                    </a:prstGeom>
                  </pic:spPr>
                </pic:pic>
              </a:graphicData>
            </a:graphic>
          </wp:anchor>
        </w:drawing>
      </w:r>
    </w:p>
    <w:p>
      <w:pPr>
        <w:pStyle w:val="BodyText"/>
      </w:pPr>
    </w:p>
    <w:p>
      <w:pPr>
        <w:spacing w:before="144"/>
        <w:ind w:left="183" w:right="187" w:firstLine="0"/>
        <w:jc w:val="center"/>
        <w:rPr>
          <w:sz w:val="20"/>
        </w:rPr>
      </w:pPr>
      <w:r>
        <w:rPr>
          <w:sz w:val="20"/>
        </w:rPr>
        <w:t>Fig.  28. Dr. Young H. Kim</w:t>
      </w:r>
    </w:p>
    <w:p>
      <w:pPr>
        <w:spacing w:before="3"/>
        <w:ind w:left="183" w:right="182" w:firstLine="0"/>
        <w:jc w:val="center"/>
        <w:rPr>
          <w:sz w:val="20"/>
        </w:rPr>
      </w:pPr>
      <w:r>
        <w:rPr>
          <w:sz w:val="20"/>
        </w:rPr>
        <w:t>Fuente: </w:t>
      </w:r>
      <w:hyperlink r:id="rId52">
        <w:r>
          <w:rPr>
            <w:sz w:val="20"/>
          </w:rPr>
          <w:t>http://www.kieferorthopaede-wien.at/meaw-technik.html</w:t>
        </w:r>
      </w:hyperlink>
    </w:p>
    <w:p>
      <w:pPr>
        <w:spacing w:after="0"/>
        <w:jc w:val="center"/>
        <w:rPr>
          <w:sz w:val="20"/>
        </w:rPr>
        <w:sectPr>
          <w:pgSz w:w="12240" w:h="15840"/>
          <w:pgMar w:header="0" w:footer="1003" w:top="1360" w:bottom="1200" w:left="1600" w:right="1600"/>
        </w:sectPr>
      </w:pPr>
    </w:p>
    <w:p>
      <w:pPr>
        <w:pStyle w:val="BodyText"/>
        <w:spacing w:line="360" w:lineRule="auto" w:before="54"/>
        <w:ind w:left="102" w:right="118"/>
        <w:jc w:val="both"/>
      </w:pPr>
      <w:r>
        <w:rPr/>
        <w:t>Este análisis utiliza el ODI ya que es valioso para clasificar la profundidad de la sobremordida vertical y la mordida abierta, porque se pueden diferenciar con este valor cefalométrico. Después de haber obtenido el ODI, Kim y Vietas realizaron un trabajo similar analizando mediciones cefalométricas en sentido horizontal, que trajo como resultado el índice llamado Indicador de la Displasia Anteroposterior   o</w:t>
      </w:r>
    </w:p>
    <w:p>
      <w:pPr>
        <w:pStyle w:val="BodyText"/>
        <w:spacing w:line="328" w:lineRule="auto" w:before="5"/>
        <w:ind w:left="102" w:right="125"/>
        <w:jc w:val="both"/>
        <w:rPr>
          <w:sz w:val="16"/>
        </w:rPr>
      </w:pPr>
      <w:r>
        <w:rPr/>
        <w:t>Anteroposterior Dysplasia Indicator (APDI), por medio del cual se puede  diferenciar el patrón anteroposterior de la</w:t>
      </w:r>
      <w:r>
        <w:rPr>
          <w:spacing w:val="-15"/>
        </w:rPr>
        <w:t> </w:t>
      </w:r>
      <w:r>
        <w:rPr/>
        <w:t>maloclusión.</w:t>
      </w:r>
      <w:r>
        <w:rPr>
          <w:position w:val="11"/>
          <w:sz w:val="16"/>
        </w:rPr>
        <w:t>26</w:t>
      </w:r>
    </w:p>
    <w:p>
      <w:pPr>
        <w:pStyle w:val="BodyText"/>
        <w:spacing w:line="355" w:lineRule="auto" w:before="225"/>
        <w:ind w:left="102" w:right="114"/>
        <w:jc w:val="both"/>
        <w:rPr>
          <w:sz w:val="16"/>
        </w:rPr>
      </w:pPr>
      <w:r>
        <w:rPr/>
        <w:t>Años más tarde, Kim utilizó la combinación de ambos índices para comparar pacientes con maloclusiones Clase II división 1, tratados ortodóncicamente con y sin extracciones de dientes permanentes. Este estudio lo llevó al desarrollo del Factor de Combinación (CF), dos medidas cefalométricas combinadas como una sola, que establece en un solo valor la relación vertical y horizontal del patrón de la maloclusión, proporcionando un mejor entendimiento del balance facial.</w:t>
      </w:r>
      <w:r>
        <w:rPr>
          <w:position w:val="11"/>
          <w:sz w:val="16"/>
        </w:rPr>
        <w:t>13</w:t>
      </w:r>
    </w:p>
    <w:p>
      <w:pPr>
        <w:pStyle w:val="BodyText"/>
        <w:spacing w:line="355" w:lineRule="auto" w:before="189"/>
        <w:ind w:left="102" w:right="116"/>
        <w:jc w:val="both"/>
        <w:rPr>
          <w:sz w:val="16"/>
        </w:rPr>
      </w:pPr>
      <w:r>
        <w:rPr/>
        <w:t>Subsecuentemente, él relacionó el Factor de Combinación (CF), con dos elementos directamente relacionados con función y estética usando las medidas del ángulo interincisal (IIA) y la retrusión o protrusión de los labios. Porque esto da un valor cefalométrico muy útil para determinar se extraen o no los dientes permanentes para la corrección de la maloclusión, éste fue llamado Índice de Extracción. </w:t>
      </w:r>
      <w:r>
        <w:rPr>
          <w:position w:val="11"/>
          <w:sz w:val="16"/>
        </w:rPr>
        <w:t>13</w:t>
      </w:r>
    </w:p>
    <w:p>
      <w:pPr>
        <w:pStyle w:val="BodyText"/>
        <w:spacing w:line="345" w:lineRule="auto" w:before="191"/>
        <w:ind w:left="102" w:right="117"/>
        <w:jc w:val="both"/>
        <w:rPr>
          <w:sz w:val="16"/>
        </w:rPr>
      </w:pPr>
      <w:r>
        <w:rPr/>
        <w:t>El análisis cefalométrico radiográfico anteroposterior y la relación vertical entre el maxilar y la mandíbula son criterios de diagnóstico sumamente importantes. </w:t>
      </w:r>
      <w:r>
        <w:rPr>
          <w:position w:val="11"/>
          <w:sz w:val="16"/>
        </w:rPr>
        <w:t>19 </w:t>
      </w:r>
      <w:r>
        <w:rPr/>
        <w:t>La fase de diagnóstico de corrección de mordida abierta anterior incluye una evaluación cefalométrica del indicador de profundidad de la sobremordida (ODI), y el indicador de displasia anteroposterior (APDI). </w:t>
      </w:r>
      <w:r>
        <w:rPr>
          <w:position w:val="11"/>
          <w:sz w:val="16"/>
        </w:rPr>
        <w:t>26</w:t>
      </w:r>
    </w:p>
    <w:p>
      <w:pPr>
        <w:pStyle w:val="BodyText"/>
        <w:spacing w:line="360" w:lineRule="auto" w:before="201"/>
        <w:ind w:left="102" w:right="119"/>
        <w:jc w:val="both"/>
      </w:pPr>
      <w:r>
        <w:rPr/>
        <w:t>En la muestra de maloclusión de 500 individuos, el coeficiente de correlación de la sobremordida vertical y el ODI mostraron el valor más alto (0.588). Kim notó en la prueba “T”, que cuando la sobremordida vertical está en la norma, el patrón esquelético de la clasificación de Angle no se encuentra alterado. En este estudio encontró que el rango y la severidad de la profundidad de sobremordida vertical de</w:t>
      </w:r>
    </w:p>
    <w:p>
      <w:pPr>
        <w:spacing w:after="0" w:line="360" w:lineRule="auto"/>
        <w:jc w:val="both"/>
        <w:sectPr>
          <w:pgSz w:w="12240" w:h="15840"/>
          <w:pgMar w:header="0" w:footer="1003" w:top="1360" w:bottom="1200" w:left="1600" w:right="1580"/>
        </w:sectPr>
      </w:pPr>
    </w:p>
    <w:p>
      <w:pPr>
        <w:pStyle w:val="BodyText"/>
        <w:spacing w:line="331" w:lineRule="auto" w:before="54"/>
        <w:ind w:left="102" w:right="139"/>
        <w:rPr>
          <w:sz w:val="16"/>
        </w:rPr>
      </w:pPr>
      <w:r>
        <w:rPr/>
        <w:t>las muestras de maloclusión se encontraron de 11 mm, de profundidad y de – 11mm. de mordida abierta.</w:t>
      </w:r>
      <w:r>
        <w:rPr>
          <w:position w:val="11"/>
          <w:sz w:val="16"/>
        </w:rPr>
        <w:t>13</w:t>
      </w:r>
    </w:p>
    <w:p>
      <w:pPr>
        <w:pStyle w:val="BodyText"/>
        <w:rPr>
          <w:sz w:val="28"/>
        </w:rPr>
      </w:pPr>
    </w:p>
    <w:p>
      <w:pPr>
        <w:pStyle w:val="BodyText"/>
        <w:spacing w:before="7"/>
        <w:rPr>
          <w:sz w:val="32"/>
        </w:rPr>
      </w:pPr>
    </w:p>
    <w:p>
      <w:pPr>
        <w:pStyle w:val="BodyText"/>
        <w:ind w:left="169" w:right="139"/>
      </w:pPr>
      <w:r>
        <w:rPr/>
        <w:t>Puntos cefalométricos:</w:t>
      </w:r>
    </w:p>
    <w:p>
      <w:pPr>
        <w:pStyle w:val="BodyText"/>
        <w:spacing w:before="4"/>
        <w:rPr>
          <w:sz w:val="29"/>
        </w:rPr>
      </w:pPr>
    </w:p>
    <w:p>
      <w:pPr>
        <w:pStyle w:val="ListParagraph"/>
        <w:numPr>
          <w:ilvl w:val="0"/>
          <w:numId w:val="9"/>
        </w:numPr>
        <w:tabs>
          <w:tab w:pos="822" w:val="left" w:leader="none"/>
        </w:tabs>
        <w:spacing w:line="240" w:lineRule="auto" w:before="1" w:after="0"/>
        <w:ind w:left="822" w:right="0" w:hanging="360"/>
        <w:jc w:val="left"/>
        <w:rPr>
          <w:sz w:val="24"/>
        </w:rPr>
      </w:pPr>
      <w:r>
        <w:rPr>
          <w:sz w:val="24"/>
        </w:rPr>
        <w:t>N- Nasion: Punto de unión entre los huesos nasales con el hueso</w:t>
      </w:r>
      <w:r>
        <w:rPr>
          <w:spacing w:val="-25"/>
          <w:sz w:val="24"/>
        </w:rPr>
        <w:t> </w:t>
      </w:r>
      <w:r>
        <w:rPr>
          <w:sz w:val="24"/>
        </w:rPr>
        <w:t>frontal.</w:t>
      </w:r>
    </w:p>
    <w:p>
      <w:pPr>
        <w:pStyle w:val="ListParagraph"/>
        <w:numPr>
          <w:ilvl w:val="0"/>
          <w:numId w:val="9"/>
        </w:numPr>
        <w:tabs>
          <w:tab w:pos="822" w:val="left" w:leader="none"/>
        </w:tabs>
        <w:spacing w:line="240" w:lineRule="auto" w:before="137" w:after="0"/>
        <w:ind w:left="822" w:right="0" w:hanging="360"/>
        <w:jc w:val="left"/>
        <w:rPr>
          <w:sz w:val="24"/>
        </w:rPr>
      </w:pPr>
      <w:r>
        <w:rPr>
          <w:sz w:val="24"/>
        </w:rPr>
        <w:t>S- Silla: Centro de la fosa hipofisiaria (silla</w:t>
      </w:r>
      <w:r>
        <w:rPr>
          <w:spacing w:val="-37"/>
          <w:sz w:val="24"/>
        </w:rPr>
        <w:t> </w:t>
      </w:r>
      <w:r>
        <w:rPr>
          <w:sz w:val="24"/>
        </w:rPr>
        <w:t>turca).</w:t>
      </w:r>
    </w:p>
    <w:p>
      <w:pPr>
        <w:pStyle w:val="ListParagraph"/>
        <w:numPr>
          <w:ilvl w:val="0"/>
          <w:numId w:val="9"/>
        </w:numPr>
        <w:tabs>
          <w:tab w:pos="822" w:val="left" w:leader="none"/>
        </w:tabs>
        <w:spacing w:line="360" w:lineRule="auto" w:before="139" w:after="0"/>
        <w:ind w:left="822" w:right="124" w:hanging="360"/>
        <w:jc w:val="left"/>
        <w:rPr>
          <w:sz w:val="24"/>
        </w:rPr>
      </w:pPr>
      <w:r>
        <w:rPr>
          <w:sz w:val="24"/>
        </w:rPr>
        <w:t>Po- Porion: La parte superior del meato auditivo externo. Representa un punto de referencia facial</w:t>
      </w:r>
      <w:r>
        <w:rPr>
          <w:spacing w:val="-12"/>
          <w:sz w:val="24"/>
        </w:rPr>
        <w:t> </w:t>
      </w:r>
      <w:r>
        <w:rPr>
          <w:sz w:val="24"/>
        </w:rPr>
        <w:t>posterior.</w:t>
      </w:r>
    </w:p>
    <w:p>
      <w:pPr>
        <w:pStyle w:val="ListParagraph"/>
        <w:numPr>
          <w:ilvl w:val="0"/>
          <w:numId w:val="9"/>
        </w:numPr>
        <w:tabs>
          <w:tab w:pos="822" w:val="left" w:leader="none"/>
        </w:tabs>
        <w:spacing w:line="240" w:lineRule="auto" w:before="5" w:after="0"/>
        <w:ind w:left="822" w:right="0" w:hanging="360"/>
        <w:jc w:val="left"/>
        <w:rPr>
          <w:sz w:val="24"/>
        </w:rPr>
      </w:pPr>
      <w:r>
        <w:rPr>
          <w:sz w:val="24"/>
        </w:rPr>
        <w:t>Or- Orbital: Punto más inferior en el margen</w:t>
      </w:r>
      <w:r>
        <w:rPr>
          <w:spacing w:val="-31"/>
          <w:sz w:val="24"/>
        </w:rPr>
        <w:t> </w:t>
      </w:r>
      <w:r>
        <w:rPr>
          <w:sz w:val="24"/>
        </w:rPr>
        <w:t>infraorbital</w:t>
      </w:r>
    </w:p>
    <w:p>
      <w:pPr>
        <w:pStyle w:val="ListParagraph"/>
        <w:numPr>
          <w:ilvl w:val="0"/>
          <w:numId w:val="9"/>
        </w:numPr>
        <w:tabs>
          <w:tab w:pos="822" w:val="left" w:leader="none"/>
        </w:tabs>
        <w:spacing w:line="240" w:lineRule="auto" w:before="137" w:after="0"/>
        <w:ind w:left="822" w:right="0" w:hanging="360"/>
        <w:jc w:val="left"/>
        <w:rPr>
          <w:sz w:val="24"/>
        </w:rPr>
      </w:pPr>
      <w:r>
        <w:rPr>
          <w:sz w:val="24"/>
        </w:rPr>
        <w:t>P- Pogonion: Punto más anterior en el contorno del</w:t>
      </w:r>
      <w:r>
        <w:rPr>
          <w:spacing w:val="-37"/>
          <w:sz w:val="24"/>
        </w:rPr>
        <w:t> </w:t>
      </w:r>
      <w:r>
        <w:rPr>
          <w:sz w:val="24"/>
        </w:rPr>
        <w:t>mentón.</w:t>
      </w:r>
    </w:p>
    <w:p>
      <w:pPr>
        <w:pStyle w:val="ListParagraph"/>
        <w:numPr>
          <w:ilvl w:val="0"/>
          <w:numId w:val="9"/>
        </w:numPr>
        <w:tabs>
          <w:tab w:pos="822" w:val="left" w:leader="none"/>
        </w:tabs>
        <w:spacing w:line="240" w:lineRule="auto" w:before="139" w:after="0"/>
        <w:ind w:left="822" w:right="0" w:hanging="360"/>
        <w:jc w:val="left"/>
        <w:rPr>
          <w:sz w:val="24"/>
        </w:rPr>
      </w:pPr>
      <w:r>
        <w:rPr>
          <w:sz w:val="24"/>
        </w:rPr>
        <w:t>M- Menton: Punto más inferior y anterior del contorno del</w:t>
      </w:r>
      <w:r>
        <w:rPr>
          <w:spacing w:val="-23"/>
          <w:sz w:val="24"/>
        </w:rPr>
        <w:t> </w:t>
      </w:r>
      <w:r>
        <w:rPr>
          <w:sz w:val="24"/>
        </w:rPr>
        <w:t>mentón.</w:t>
      </w:r>
    </w:p>
    <w:p>
      <w:pPr>
        <w:pStyle w:val="ListParagraph"/>
        <w:numPr>
          <w:ilvl w:val="0"/>
          <w:numId w:val="9"/>
        </w:numPr>
        <w:tabs>
          <w:tab w:pos="822" w:val="left" w:leader="none"/>
        </w:tabs>
        <w:spacing w:line="360" w:lineRule="auto" w:before="137" w:after="0"/>
        <w:ind w:left="822" w:right="123" w:hanging="360"/>
        <w:jc w:val="left"/>
        <w:rPr>
          <w:sz w:val="24"/>
        </w:rPr>
      </w:pPr>
      <w:r>
        <w:rPr>
          <w:sz w:val="24"/>
        </w:rPr>
        <w:t>G- Gonion: Punto de intersección de las líneas tangentes del plano mandibular y la rama</w:t>
      </w:r>
      <w:r>
        <w:rPr>
          <w:spacing w:val="-10"/>
          <w:sz w:val="24"/>
        </w:rPr>
        <w:t> </w:t>
      </w:r>
      <w:r>
        <w:rPr>
          <w:sz w:val="24"/>
        </w:rPr>
        <w:t>mandibular.</w:t>
      </w:r>
    </w:p>
    <w:p>
      <w:pPr>
        <w:pStyle w:val="ListParagraph"/>
        <w:numPr>
          <w:ilvl w:val="0"/>
          <w:numId w:val="9"/>
        </w:numPr>
        <w:tabs>
          <w:tab w:pos="822" w:val="left" w:leader="none"/>
          <w:tab w:pos="7616" w:val="left" w:leader="none"/>
        </w:tabs>
        <w:spacing w:line="360" w:lineRule="auto" w:before="2" w:after="0"/>
        <w:ind w:left="822" w:right="123" w:hanging="360"/>
        <w:jc w:val="left"/>
        <w:rPr>
          <w:sz w:val="24"/>
        </w:rPr>
      </w:pPr>
      <w:r>
        <w:rPr>
          <w:sz w:val="24"/>
        </w:rPr>
        <w:t>A-  Subespinal:  Punto  más  posterior  en  la </w:t>
      </w:r>
      <w:r>
        <w:rPr>
          <w:spacing w:val="45"/>
          <w:sz w:val="24"/>
        </w:rPr>
        <w:t> </w:t>
      </w:r>
      <w:r>
        <w:rPr>
          <w:sz w:val="24"/>
        </w:rPr>
        <w:t>curva </w:t>
      </w:r>
      <w:r>
        <w:rPr>
          <w:spacing w:val="10"/>
          <w:sz w:val="24"/>
        </w:rPr>
        <w:t> </w:t>
      </w:r>
      <w:r>
        <w:rPr>
          <w:sz w:val="24"/>
        </w:rPr>
        <w:t>anterior</w:t>
        <w:tab/>
        <w:t>del </w:t>
      </w:r>
      <w:r>
        <w:rPr>
          <w:spacing w:val="5"/>
          <w:sz w:val="24"/>
        </w:rPr>
        <w:t> </w:t>
      </w:r>
      <w:r>
        <w:rPr>
          <w:sz w:val="24"/>
        </w:rPr>
        <w:t>proceso</w:t>
      </w:r>
      <w:r>
        <w:rPr>
          <w:w w:val="99"/>
          <w:sz w:val="24"/>
        </w:rPr>
        <w:t> </w:t>
      </w:r>
      <w:r>
        <w:rPr>
          <w:sz w:val="24"/>
        </w:rPr>
        <w:t>alveolar del</w:t>
      </w:r>
      <w:r>
        <w:rPr>
          <w:spacing w:val="-8"/>
          <w:sz w:val="24"/>
        </w:rPr>
        <w:t> </w:t>
      </w:r>
      <w:r>
        <w:rPr>
          <w:sz w:val="24"/>
        </w:rPr>
        <w:t>maxilar.</w:t>
      </w:r>
    </w:p>
    <w:p>
      <w:pPr>
        <w:pStyle w:val="ListParagraph"/>
        <w:numPr>
          <w:ilvl w:val="0"/>
          <w:numId w:val="9"/>
        </w:numPr>
        <w:tabs>
          <w:tab w:pos="822" w:val="left" w:leader="none"/>
        </w:tabs>
        <w:spacing w:line="362" w:lineRule="auto" w:before="2" w:after="0"/>
        <w:ind w:left="822" w:right="124" w:hanging="360"/>
        <w:jc w:val="left"/>
        <w:rPr>
          <w:sz w:val="24"/>
        </w:rPr>
      </w:pPr>
      <w:r>
        <w:rPr>
          <w:sz w:val="24"/>
        </w:rPr>
        <w:t>B- Supramental: Punto más posterior de la curvatura anterior del proceso alveolar de la</w:t>
      </w:r>
      <w:r>
        <w:rPr>
          <w:spacing w:val="-11"/>
          <w:sz w:val="24"/>
        </w:rPr>
        <w:t> </w:t>
      </w:r>
      <w:r>
        <w:rPr>
          <w:sz w:val="24"/>
        </w:rPr>
        <w:t>mandíbula.</w:t>
      </w:r>
    </w:p>
    <w:p>
      <w:pPr>
        <w:pStyle w:val="ListParagraph"/>
        <w:numPr>
          <w:ilvl w:val="0"/>
          <w:numId w:val="9"/>
        </w:numPr>
        <w:tabs>
          <w:tab w:pos="822" w:val="left" w:leader="none"/>
        </w:tabs>
        <w:spacing w:line="360" w:lineRule="auto" w:before="0" w:after="0"/>
        <w:ind w:left="822" w:right="125" w:hanging="360"/>
        <w:jc w:val="left"/>
        <w:rPr>
          <w:sz w:val="24"/>
        </w:rPr>
      </w:pPr>
      <w:r>
        <w:rPr>
          <w:sz w:val="24"/>
        </w:rPr>
        <w:t>Ena- Espina nasal anterior: El ápice de la espina nasal anterior. Representa la parte más anterior de la base del maxilar</w:t>
      </w:r>
      <w:r>
        <w:rPr>
          <w:spacing w:val="-17"/>
          <w:sz w:val="24"/>
        </w:rPr>
        <w:t> </w:t>
      </w:r>
      <w:r>
        <w:rPr>
          <w:sz w:val="24"/>
        </w:rPr>
        <w:t>superior.</w:t>
      </w:r>
    </w:p>
    <w:p>
      <w:pPr>
        <w:pStyle w:val="ListParagraph"/>
        <w:numPr>
          <w:ilvl w:val="0"/>
          <w:numId w:val="9"/>
        </w:numPr>
        <w:tabs>
          <w:tab w:pos="822" w:val="left" w:leader="none"/>
        </w:tabs>
        <w:spacing w:line="360" w:lineRule="auto" w:before="2" w:after="0"/>
        <w:ind w:left="822" w:right="122" w:hanging="360"/>
        <w:jc w:val="both"/>
        <w:rPr>
          <w:sz w:val="24"/>
        </w:rPr>
      </w:pPr>
      <w:r>
        <w:rPr>
          <w:sz w:val="24"/>
        </w:rPr>
        <w:t>Enp- Espina nasal posterior: Punto más posterior en el paladar duro óseo  en el plano sagital. Representa el límite posterior de la base del maxilar superior.</w:t>
      </w:r>
    </w:p>
    <w:p>
      <w:pPr>
        <w:pStyle w:val="ListParagraph"/>
        <w:numPr>
          <w:ilvl w:val="0"/>
          <w:numId w:val="9"/>
        </w:numPr>
        <w:tabs>
          <w:tab w:pos="822" w:val="left" w:leader="none"/>
        </w:tabs>
        <w:spacing w:line="360" w:lineRule="auto" w:before="5" w:after="0"/>
        <w:ind w:left="822" w:right="118" w:hanging="360"/>
        <w:jc w:val="left"/>
        <w:rPr>
          <w:sz w:val="24"/>
        </w:rPr>
      </w:pPr>
      <w:r>
        <w:rPr>
          <w:sz w:val="24"/>
        </w:rPr>
        <w:t>Pg- Pogonion blando: Punto más prominente ubicado sobre la curva  anterior del mentón de tejidos</w:t>
      </w:r>
      <w:r>
        <w:rPr>
          <w:spacing w:val="-15"/>
          <w:sz w:val="24"/>
        </w:rPr>
        <w:t> </w:t>
      </w:r>
      <w:r>
        <w:rPr>
          <w:sz w:val="24"/>
        </w:rPr>
        <w:t>blandos.</w:t>
      </w:r>
    </w:p>
    <w:p>
      <w:pPr>
        <w:pStyle w:val="ListParagraph"/>
        <w:numPr>
          <w:ilvl w:val="0"/>
          <w:numId w:val="9"/>
        </w:numPr>
        <w:tabs>
          <w:tab w:pos="822" w:val="left" w:leader="none"/>
        </w:tabs>
        <w:spacing w:line="360" w:lineRule="auto" w:before="5" w:after="0"/>
        <w:ind w:left="822" w:right="122" w:hanging="360"/>
        <w:jc w:val="left"/>
        <w:rPr>
          <w:sz w:val="24"/>
        </w:rPr>
      </w:pPr>
      <w:r>
        <w:rPr>
          <w:sz w:val="24"/>
        </w:rPr>
        <w:t>Is- Incisal superior: La punta incisal del incisivo central superior más anterior.</w:t>
      </w:r>
    </w:p>
    <w:p>
      <w:pPr>
        <w:pStyle w:val="ListParagraph"/>
        <w:numPr>
          <w:ilvl w:val="0"/>
          <w:numId w:val="9"/>
        </w:numPr>
        <w:tabs>
          <w:tab w:pos="822" w:val="left" w:leader="none"/>
        </w:tabs>
        <w:spacing w:line="281" w:lineRule="exact" w:before="0" w:after="0"/>
        <w:ind w:left="822" w:right="0" w:hanging="360"/>
        <w:jc w:val="left"/>
        <w:rPr>
          <w:sz w:val="16"/>
        </w:rPr>
      </w:pPr>
      <w:r>
        <w:rPr>
          <w:sz w:val="24"/>
        </w:rPr>
        <w:t>As- Apical superior: Ápice de la raíz del incisivo central superior (Fig.</w:t>
      </w:r>
      <w:r>
        <w:rPr>
          <w:spacing w:val="-18"/>
          <w:sz w:val="24"/>
        </w:rPr>
        <w:t> </w:t>
      </w:r>
      <w:r>
        <w:rPr>
          <w:sz w:val="24"/>
        </w:rPr>
        <w:t>29).</w:t>
      </w:r>
      <w:r>
        <w:rPr>
          <w:position w:val="11"/>
          <w:sz w:val="16"/>
        </w:rPr>
        <w:t>26</w:t>
      </w:r>
    </w:p>
    <w:p>
      <w:pPr>
        <w:spacing w:after="0" w:line="281" w:lineRule="exact"/>
        <w:jc w:val="left"/>
        <w:rPr>
          <w:sz w:val="16"/>
        </w:rPr>
        <w:sectPr>
          <w:pgSz w:w="12240" w:h="15840"/>
          <w:pgMar w:header="0" w:footer="1003" w:top="1360" w:bottom="1200" w:left="1600" w:right="1580"/>
        </w:sectPr>
      </w:pPr>
    </w:p>
    <w:p>
      <w:pPr>
        <w:pStyle w:val="BodyText"/>
        <w:ind w:left="2370"/>
        <w:rPr>
          <w:sz w:val="20"/>
        </w:rPr>
      </w:pPr>
      <w:r>
        <w:rPr>
          <w:sz w:val="20"/>
        </w:rPr>
        <w:drawing>
          <wp:inline distT="0" distB="0" distL="0" distR="0">
            <wp:extent cx="2705905" cy="2133600"/>
            <wp:effectExtent l="0" t="0" r="0" b="0"/>
            <wp:docPr id="55" name="image35.jpeg" descr=""/>
            <wp:cNvGraphicFramePr>
              <a:graphicFrameLocks noChangeAspect="1"/>
            </wp:cNvGraphicFramePr>
            <a:graphic>
              <a:graphicData uri="http://schemas.openxmlformats.org/drawingml/2006/picture">
                <pic:pic>
                  <pic:nvPicPr>
                    <pic:cNvPr id="56" name="image35.jpeg"/>
                    <pic:cNvPicPr/>
                  </pic:nvPicPr>
                  <pic:blipFill>
                    <a:blip r:embed="rId53" cstate="print"/>
                    <a:stretch>
                      <a:fillRect/>
                    </a:stretch>
                  </pic:blipFill>
                  <pic:spPr>
                    <a:xfrm>
                      <a:off x="0" y="0"/>
                      <a:ext cx="2705905" cy="2133600"/>
                    </a:xfrm>
                    <a:prstGeom prst="rect">
                      <a:avLst/>
                    </a:prstGeom>
                  </pic:spPr>
                </pic:pic>
              </a:graphicData>
            </a:graphic>
          </wp:inline>
        </w:drawing>
      </w:r>
      <w:r>
        <w:rPr>
          <w:sz w:val="20"/>
        </w:rPr>
      </w:r>
    </w:p>
    <w:p>
      <w:pPr>
        <w:pStyle w:val="BodyText"/>
        <w:rPr>
          <w:sz w:val="20"/>
        </w:rPr>
      </w:pPr>
    </w:p>
    <w:p>
      <w:pPr>
        <w:pStyle w:val="BodyText"/>
        <w:spacing w:before="8"/>
        <w:rPr>
          <w:sz w:val="16"/>
        </w:rPr>
      </w:pPr>
    </w:p>
    <w:p>
      <w:pPr>
        <w:spacing w:before="0"/>
        <w:ind w:left="2000" w:right="2001" w:firstLine="0"/>
        <w:jc w:val="center"/>
        <w:rPr>
          <w:sz w:val="20"/>
        </w:rPr>
      </w:pPr>
      <w:r>
        <w:rPr>
          <w:sz w:val="20"/>
        </w:rPr>
        <w:t>Fig. 29. Puntos cefalométricos</w:t>
      </w:r>
    </w:p>
    <w:p>
      <w:pPr>
        <w:spacing w:before="3"/>
        <w:ind w:left="2000" w:right="2002" w:firstLine="0"/>
        <w:jc w:val="center"/>
        <w:rPr>
          <w:sz w:val="20"/>
        </w:rPr>
      </w:pPr>
      <w:r>
        <w:rPr>
          <w:sz w:val="20"/>
        </w:rPr>
        <w:t>Fuente: </w:t>
      </w:r>
      <w:hyperlink r:id="rId54">
        <w:r>
          <w:rPr>
            <w:sz w:val="20"/>
          </w:rPr>
          <w:t>http://www.orthofree.com/cms/assets/pdf/99.pdf</w:t>
        </w:r>
      </w:hyperlink>
    </w:p>
    <w:p>
      <w:pPr>
        <w:pStyle w:val="BodyText"/>
        <w:spacing w:before="2"/>
        <w:rPr>
          <w:sz w:val="17"/>
        </w:rPr>
      </w:pPr>
    </w:p>
    <w:p>
      <w:pPr>
        <w:pStyle w:val="Heading3"/>
        <w:numPr>
          <w:ilvl w:val="0"/>
          <w:numId w:val="10"/>
        </w:numPr>
        <w:tabs>
          <w:tab w:pos="501" w:val="left" w:leader="none"/>
          <w:tab w:pos="502" w:val="left" w:leader="none"/>
        </w:tabs>
        <w:spacing w:line="240" w:lineRule="auto" w:before="0" w:after="0"/>
        <w:ind w:left="383" w:right="0" w:hanging="241"/>
        <w:jc w:val="left"/>
      </w:pPr>
      <w:r>
        <w:rPr/>
        <w:t>Planos de</w:t>
      </w:r>
      <w:r>
        <w:rPr>
          <w:spacing w:val="-6"/>
        </w:rPr>
        <w:t> </w:t>
      </w:r>
      <w:r>
        <w:rPr/>
        <w:t>referencia</w:t>
      </w:r>
    </w:p>
    <w:p>
      <w:pPr>
        <w:pStyle w:val="BodyText"/>
        <w:spacing w:before="4"/>
        <w:rPr>
          <w:b/>
          <w:sz w:val="29"/>
        </w:rPr>
      </w:pPr>
    </w:p>
    <w:p>
      <w:pPr>
        <w:pStyle w:val="ListParagraph"/>
        <w:numPr>
          <w:ilvl w:val="0"/>
          <w:numId w:val="11"/>
        </w:numPr>
        <w:tabs>
          <w:tab w:pos="802" w:val="left" w:leader="none"/>
        </w:tabs>
        <w:spacing w:line="240" w:lineRule="auto" w:before="1" w:after="0"/>
        <w:ind w:left="802" w:right="0" w:hanging="360"/>
        <w:jc w:val="left"/>
        <w:rPr>
          <w:sz w:val="24"/>
        </w:rPr>
      </w:pPr>
      <w:r>
        <w:rPr>
          <w:sz w:val="24"/>
        </w:rPr>
        <w:t>Plano de</w:t>
      </w:r>
      <w:r>
        <w:rPr>
          <w:spacing w:val="-4"/>
          <w:sz w:val="24"/>
        </w:rPr>
        <w:t> </w:t>
      </w:r>
      <w:r>
        <w:rPr>
          <w:sz w:val="24"/>
        </w:rPr>
        <w:t>Frankfort</w:t>
      </w:r>
    </w:p>
    <w:p>
      <w:pPr>
        <w:pStyle w:val="ListParagraph"/>
        <w:numPr>
          <w:ilvl w:val="0"/>
          <w:numId w:val="11"/>
        </w:numPr>
        <w:tabs>
          <w:tab w:pos="802" w:val="left" w:leader="none"/>
        </w:tabs>
        <w:spacing w:line="240" w:lineRule="auto" w:before="139" w:after="0"/>
        <w:ind w:left="802" w:right="0" w:hanging="360"/>
        <w:jc w:val="left"/>
        <w:rPr>
          <w:sz w:val="24"/>
        </w:rPr>
      </w:pPr>
      <w:r>
        <w:rPr>
          <w:sz w:val="24"/>
        </w:rPr>
        <w:t>Plano</w:t>
      </w:r>
      <w:r>
        <w:rPr>
          <w:spacing w:val="-3"/>
          <w:sz w:val="24"/>
        </w:rPr>
        <w:t> </w:t>
      </w:r>
      <w:r>
        <w:rPr>
          <w:sz w:val="24"/>
        </w:rPr>
        <w:t>Facial</w:t>
      </w:r>
    </w:p>
    <w:p>
      <w:pPr>
        <w:pStyle w:val="ListParagraph"/>
        <w:numPr>
          <w:ilvl w:val="0"/>
          <w:numId w:val="11"/>
        </w:numPr>
        <w:tabs>
          <w:tab w:pos="802" w:val="left" w:leader="none"/>
        </w:tabs>
        <w:spacing w:line="240" w:lineRule="auto" w:before="137" w:after="0"/>
        <w:ind w:left="802" w:right="0" w:hanging="360"/>
        <w:jc w:val="left"/>
        <w:rPr>
          <w:sz w:val="24"/>
        </w:rPr>
      </w:pPr>
      <w:r>
        <w:rPr>
          <w:sz w:val="24"/>
        </w:rPr>
        <w:t>Plano</w:t>
      </w:r>
      <w:r>
        <w:rPr>
          <w:spacing w:val="-5"/>
          <w:sz w:val="24"/>
        </w:rPr>
        <w:t> </w:t>
      </w:r>
      <w:r>
        <w:rPr>
          <w:sz w:val="24"/>
        </w:rPr>
        <w:t>mandibular</w:t>
      </w:r>
    </w:p>
    <w:p>
      <w:pPr>
        <w:pStyle w:val="ListParagraph"/>
        <w:numPr>
          <w:ilvl w:val="0"/>
          <w:numId w:val="11"/>
        </w:numPr>
        <w:tabs>
          <w:tab w:pos="802" w:val="left" w:leader="none"/>
        </w:tabs>
        <w:spacing w:line="240" w:lineRule="auto" w:before="139" w:after="0"/>
        <w:ind w:left="802" w:right="0" w:hanging="360"/>
        <w:jc w:val="left"/>
        <w:rPr>
          <w:sz w:val="24"/>
        </w:rPr>
      </w:pPr>
      <w:r>
        <w:rPr>
          <w:sz w:val="24"/>
        </w:rPr>
        <w:t>Plano</w:t>
      </w:r>
      <w:r>
        <w:rPr>
          <w:spacing w:val="-2"/>
          <w:sz w:val="24"/>
        </w:rPr>
        <w:t> </w:t>
      </w:r>
      <w:r>
        <w:rPr>
          <w:sz w:val="24"/>
        </w:rPr>
        <w:t>AB</w:t>
      </w:r>
    </w:p>
    <w:p>
      <w:pPr>
        <w:pStyle w:val="ListParagraph"/>
        <w:numPr>
          <w:ilvl w:val="0"/>
          <w:numId w:val="11"/>
        </w:numPr>
        <w:tabs>
          <w:tab w:pos="802" w:val="left" w:leader="none"/>
        </w:tabs>
        <w:spacing w:line="240" w:lineRule="auto" w:before="137" w:after="0"/>
        <w:ind w:left="802" w:right="0" w:hanging="360"/>
        <w:jc w:val="left"/>
        <w:rPr>
          <w:sz w:val="24"/>
        </w:rPr>
      </w:pPr>
      <w:r>
        <w:rPr>
          <w:sz w:val="24"/>
        </w:rPr>
        <w:t>Plano</w:t>
      </w:r>
      <w:r>
        <w:rPr>
          <w:spacing w:val="-5"/>
          <w:sz w:val="24"/>
        </w:rPr>
        <w:t> </w:t>
      </w:r>
      <w:r>
        <w:rPr>
          <w:sz w:val="24"/>
        </w:rPr>
        <w:t>Palatino</w:t>
      </w:r>
    </w:p>
    <w:p>
      <w:pPr>
        <w:pStyle w:val="ListParagraph"/>
        <w:numPr>
          <w:ilvl w:val="0"/>
          <w:numId w:val="11"/>
        </w:numPr>
        <w:tabs>
          <w:tab w:pos="802" w:val="left" w:leader="none"/>
        </w:tabs>
        <w:spacing w:line="240" w:lineRule="auto" w:before="139" w:after="0"/>
        <w:ind w:left="802" w:right="0" w:hanging="360"/>
        <w:jc w:val="left"/>
        <w:rPr>
          <w:sz w:val="24"/>
        </w:rPr>
      </w:pPr>
      <w:r>
        <w:rPr>
          <w:sz w:val="24"/>
        </w:rPr>
        <w:t>Plano</w:t>
      </w:r>
      <w:r>
        <w:rPr>
          <w:spacing w:val="-3"/>
          <w:sz w:val="24"/>
        </w:rPr>
        <w:t> </w:t>
      </w:r>
      <w:r>
        <w:rPr>
          <w:sz w:val="24"/>
        </w:rPr>
        <w:t>Estético</w:t>
      </w:r>
    </w:p>
    <w:p>
      <w:pPr>
        <w:pStyle w:val="ListParagraph"/>
        <w:numPr>
          <w:ilvl w:val="0"/>
          <w:numId w:val="11"/>
        </w:numPr>
        <w:tabs>
          <w:tab w:pos="802" w:val="left" w:leader="none"/>
        </w:tabs>
        <w:spacing w:line="240" w:lineRule="auto" w:before="102" w:after="0"/>
        <w:ind w:left="802" w:right="0" w:hanging="360"/>
        <w:jc w:val="left"/>
        <w:rPr>
          <w:sz w:val="16"/>
        </w:rPr>
      </w:pPr>
      <w:r>
        <w:rPr>
          <w:sz w:val="24"/>
        </w:rPr>
        <w:t>Eje axial de incisivo inferior (Fig.30)</w:t>
      </w:r>
      <w:r>
        <w:rPr>
          <w:spacing w:val="-11"/>
          <w:sz w:val="24"/>
        </w:rPr>
        <w:t> </w:t>
      </w:r>
      <w:r>
        <w:rPr>
          <w:position w:val="11"/>
          <w:sz w:val="16"/>
        </w:rPr>
        <w:t>13</w:t>
      </w:r>
    </w:p>
    <w:p>
      <w:pPr>
        <w:pStyle w:val="BodyText"/>
        <w:spacing w:before="8"/>
        <w:rPr>
          <w:sz w:val="8"/>
        </w:rPr>
      </w:pPr>
      <w:r>
        <w:rPr/>
        <w:drawing>
          <wp:anchor distT="0" distB="0" distL="0" distR="0" allowOverlap="1" layoutInCell="1" locked="0" behindDoc="0" simplePos="0" relativeHeight="1624">
            <wp:simplePos x="0" y="0"/>
            <wp:positionH relativeFrom="page">
              <wp:posOffset>2503804</wp:posOffset>
            </wp:positionH>
            <wp:positionV relativeFrom="paragraph">
              <wp:posOffset>88735</wp:posOffset>
            </wp:positionV>
            <wp:extent cx="2753020" cy="2228088"/>
            <wp:effectExtent l="0" t="0" r="0" b="0"/>
            <wp:wrapTopAndBottom/>
            <wp:docPr id="57" name="image36.jpeg" descr=""/>
            <wp:cNvGraphicFramePr>
              <a:graphicFrameLocks noChangeAspect="1"/>
            </wp:cNvGraphicFramePr>
            <a:graphic>
              <a:graphicData uri="http://schemas.openxmlformats.org/drawingml/2006/picture">
                <pic:pic>
                  <pic:nvPicPr>
                    <pic:cNvPr id="58" name="image36.jpeg"/>
                    <pic:cNvPicPr/>
                  </pic:nvPicPr>
                  <pic:blipFill>
                    <a:blip r:embed="rId55" cstate="print"/>
                    <a:stretch>
                      <a:fillRect/>
                    </a:stretch>
                  </pic:blipFill>
                  <pic:spPr>
                    <a:xfrm>
                      <a:off x="0" y="0"/>
                      <a:ext cx="2753020" cy="2228088"/>
                    </a:xfrm>
                    <a:prstGeom prst="rect">
                      <a:avLst/>
                    </a:prstGeom>
                  </pic:spPr>
                </pic:pic>
              </a:graphicData>
            </a:graphic>
          </wp:anchor>
        </w:drawing>
      </w:r>
    </w:p>
    <w:p>
      <w:pPr>
        <w:pStyle w:val="BodyText"/>
        <w:spacing w:before="1"/>
        <w:rPr>
          <w:sz w:val="28"/>
        </w:rPr>
      </w:pPr>
    </w:p>
    <w:p>
      <w:pPr>
        <w:spacing w:before="0"/>
        <w:ind w:left="2000" w:right="2001" w:firstLine="0"/>
        <w:jc w:val="center"/>
        <w:rPr>
          <w:sz w:val="20"/>
        </w:rPr>
      </w:pPr>
      <w:r>
        <w:rPr>
          <w:sz w:val="20"/>
        </w:rPr>
        <w:t>Figura 30. Planos cefalométricos</w:t>
      </w:r>
    </w:p>
    <w:p>
      <w:pPr>
        <w:spacing w:line="242" w:lineRule="auto" w:before="0"/>
        <w:ind w:left="110" w:right="109" w:hanging="7"/>
        <w:jc w:val="center"/>
        <w:rPr>
          <w:sz w:val="20"/>
        </w:rPr>
      </w:pPr>
      <w:r>
        <w:rPr>
          <w:sz w:val="20"/>
        </w:rPr>
        <w:t>Fuente: Estudio comparativo del cefalograma de Kim, Steiner y proyección USP, en la determinación de la relación esquelética sagital (tesis de licenciatura en Odontología). Acuña</w:t>
      </w:r>
      <w:r>
        <w:rPr>
          <w:spacing w:val="-25"/>
          <w:sz w:val="20"/>
        </w:rPr>
        <w:t> </w:t>
      </w:r>
      <w:r>
        <w:rPr>
          <w:sz w:val="20"/>
        </w:rPr>
        <w:t>DEC. Lima Perú: Universidad Nacional Mayor de San Marcos;</w:t>
      </w:r>
      <w:r>
        <w:rPr>
          <w:spacing w:val="-22"/>
          <w:sz w:val="20"/>
        </w:rPr>
        <w:t> </w:t>
      </w:r>
      <w:r>
        <w:rPr>
          <w:sz w:val="20"/>
        </w:rPr>
        <w:t>2011.</w:t>
      </w:r>
    </w:p>
    <w:p>
      <w:pPr>
        <w:spacing w:after="0" w:line="242" w:lineRule="auto"/>
        <w:jc w:val="center"/>
        <w:rPr>
          <w:sz w:val="20"/>
        </w:rPr>
        <w:sectPr>
          <w:pgSz w:w="12240" w:h="15840"/>
          <w:pgMar w:header="0" w:footer="1003" w:top="1220" w:bottom="1200" w:left="1620" w:right="1620"/>
        </w:sectPr>
      </w:pPr>
    </w:p>
    <w:p>
      <w:pPr>
        <w:pStyle w:val="Heading3"/>
        <w:numPr>
          <w:ilvl w:val="2"/>
          <w:numId w:val="12"/>
        </w:numPr>
        <w:tabs>
          <w:tab w:pos="705" w:val="left" w:leader="none"/>
        </w:tabs>
        <w:spacing w:line="535" w:lineRule="auto" w:before="54" w:after="0"/>
        <w:ind w:left="102" w:right="1864" w:firstLine="0"/>
        <w:jc w:val="left"/>
      </w:pPr>
      <w:r>
        <w:rPr/>
        <w:t>Indicador de profundidad de sobremordida vertical (ODI) (Overbite Depth</w:t>
      </w:r>
      <w:r>
        <w:rPr>
          <w:spacing w:val="-6"/>
        </w:rPr>
        <w:t> </w:t>
      </w:r>
      <w:r>
        <w:rPr/>
        <w:t>Indicator)</w:t>
      </w:r>
    </w:p>
    <w:p>
      <w:pPr>
        <w:pStyle w:val="BodyText"/>
        <w:spacing w:line="360" w:lineRule="auto" w:before="8"/>
        <w:ind w:left="102" w:right="101"/>
        <w:jc w:val="both"/>
      </w:pPr>
      <w:r>
        <w:rPr/>
        <w:t>Este indicador analiza el componente vertical y es la suma aritmética del ángulo del plano A-B al plano mandibular, y el ángulo del plano palatino al plano horizontal de Frankfort; la norma es de 74.5 grados con una desviación estándar de 6.07. El ODI es valioso para clasificar la profundidad de  la  sobremordida vertical y la mordida abierta, porque se pueden diferenciar con este valor cefalométrico (Fig.</w:t>
      </w:r>
      <w:r>
        <w:rPr>
          <w:spacing w:val="-5"/>
        </w:rPr>
        <w:t> </w:t>
      </w:r>
      <w:r>
        <w:rPr/>
        <w:t>31).</w:t>
      </w:r>
    </w:p>
    <w:p>
      <w:pPr>
        <w:pStyle w:val="ListParagraph"/>
        <w:numPr>
          <w:ilvl w:val="0"/>
          <w:numId w:val="13"/>
        </w:numPr>
        <w:tabs>
          <w:tab w:pos="253" w:val="left" w:leader="none"/>
        </w:tabs>
        <w:spacing w:line="240" w:lineRule="auto" w:before="205" w:after="0"/>
        <w:ind w:left="252" w:right="0" w:hanging="150"/>
        <w:jc w:val="both"/>
        <w:rPr>
          <w:sz w:val="24"/>
        </w:rPr>
      </w:pPr>
      <w:r>
        <w:rPr>
          <w:sz w:val="24"/>
        </w:rPr>
        <w:t>Un ángulo mayor a 77 grados: mordida</w:t>
      </w:r>
      <w:r>
        <w:rPr>
          <w:spacing w:val="-20"/>
          <w:sz w:val="24"/>
        </w:rPr>
        <w:t> </w:t>
      </w:r>
      <w:r>
        <w:rPr>
          <w:sz w:val="24"/>
        </w:rPr>
        <w:t>profunda</w:t>
      </w:r>
    </w:p>
    <w:p>
      <w:pPr>
        <w:pStyle w:val="BodyText"/>
        <w:spacing w:before="4"/>
        <w:rPr>
          <w:sz w:val="29"/>
        </w:rPr>
      </w:pPr>
    </w:p>
    <w:p>
      <w:pPr>
        <w:pStyle w:val="ListParagraph"/>
        <w:numPr>
          <w:ilvl w:val="0"/>
          <w:numId w:val="13"/>
        </w:numPr>
        <w:tabs>
          <w:tab w:pos="253" w:val="left" w:leader="none"/>
        </w:tabs>
        <w:spacing w:line="240" w:lineRule="auto" w:before="1" w:after="0"/>
        <w:ind w:left="252" w:right="0" w:hanging="150"/>
        <w:jc w:val="both"/>
        <w:rPr>
          <w:sz w:val="24"/>
        </w:rPr>
      </w:pPr>
      <w:r>
        <w:rPr>
          <w:sz w:val="24"/>
        </w:rPr>
        <w:t>Un ángulo menor a 65 grados: mordida</w:t>
      </w:r>
      <w:r>
        <w:rPr>
          <w:spacing w:val="-18"/>
          <w:sz w:val="24"/>
        </w:rPr>
        <w:t> </w:t>
      </w:r>
      <w:r>
        <w:rPr>
          <w:sz w:val="24"/>
        </w:rPr>
        <w:t>abierta.</w:t>
      </w:r>
    </w:p>
    <w:p>
      <w:pPr>
        <w:pStyle w:val="BodyText"/>
        <w:spacing w:before="4"/>
        <w:rPr>
          <w:sz w:val="29"/>
        </w:rPr>
      </w:pPr>
    </w:p>
    <w:p>
      <w:pPr>
        <w:pStyle w:val="BodyText"/>
        <w:spacing w:line="345" w:lineRule="auto" w:before="1"/>
        <w:ind w:left="102" w:right="105"/>
        <w:jc w:val="both"/>
        <w:rPr>
          <w:sz w:val="16"/>
        </w:rPr>
      </w:pPr>
      <w:r>
        <w:rPr/>
        <w:t>Este ángulo es positivo cuando el plano palatino se inclina hacia abajo anteriormente con respecto al plano de Frankfort y es negativo cuando el plano palatino se inclina hacia arriba anteriormente con relación al plano de Frankfort. </w:t>
      </w:r>
      <w:r>
        <w:rPr>
          <w:position w:val="11"/>
          <w:sz w:val="16"/>
        </w:rPr>
        <w:t>13</w:t>
      </w:r>
    </w:p>
    <w:p>
      <w:pPr>
        <w:pStyle w:val="BodyText"/>
        <w:spacing w:line="360" w:lineRule="auto" w:before="169"/>
        <w:ind w:left="102" w:right="101"/>
        <w:jc w:val="both"/>
      </w:pPr>
      <w:r>
        <w:rPr/>
        <w:t>Wardlaw et. al.</w:t>
      </w:r>
      <w:r>
        <w:rPr>
          <w:position w:val="11"/>
          <w:sz w:val="16"/>
        </w:rPr>
        <w:t>27 </w:t>
      </w:r>
      <w:r>
        <w:rPr/>
        <w:t>encontraron que el Indicador de Profundidad de Sobremordida Vertical, tenía el más alto valor diagnóstico para diferenciar entre pacientes con y sin mordida abierta.</w:t>
      </w:r>
    </w:p>
    <w:p>
      <w:pPr>
        <w:pStyle w:val="BodyText"/>
        <w:spacing w:before="4"/>
        <w:rPr>
          <w:sz w:val="14"/>
        </w:rPr>
      </w:pPr>
      <w:r>
        <w:rPr/>
        <w:drawing>
          <wp:anchor distT="0" distB="0" distL="0" distR="0" allowOverlap="1" layoutInCell="1" locked="0" behindDoc="0" simplePos="0" relativeHeight="1648">
            <wp:simplePos x="0" y="0"/>
            <wp:positionH relativeFrom="page">
              <wp:posOffset>2197989</wp:posOffset>
            </wp:positionH>
            <wp:positionV relativeFrom="paragraph">
              <wp:posOffset>130097</wp:posOffset>
            </wp:positionV>
            <wp:extent cx="3363230" cy="2304859"/>
            <wp:effectExtent l="0" t="0" r="0" b="0"/>
            <wp:wrapTopAndBottom/>
            <wp:docPr id="59" name="image37.jpeg" descr=""/>
            <wp:cNvGraphicFramePr>
              <a:graphicFrameLocks noChangeAspect="1"/>
            </wp:cNvGraphicFramePr>
            <a:graphic>
              <a:graphicData uri="http://schemas.openxmlformats.org/drawingml/2006/picture">
                <pic:pic>
                  <pic:nvPicPr>
                    <pic:cNvPr id="60" name="image37.jpeg"/>
                    <pic:cNvPicPr/>
                  </pic:nvPicPr>
                  <pic:blipFill>
                    <a:blip r:embed="rId57" cstate="print"/>
                    <a:stretch>
                      <a:fillRect/>
                    </a:stretch>
                  </pic:blipFill>
                  <pic:spPr>
                    <a:xfrm>
                      <a:off x="0" y="0"/>
                      <a:ext cx="3363230" cy="2304859"/>
                    </a:xfrm>
                    <a:prstGeom prst="rect">
                      <a:avLst/>
                    </a:prstGeom>
                  </pic:spPr>
                </pic:pic>
              </a:graphicData>
            </a:graphic>
          </wp:anchor>
        </w:drawing>
      </w:r>
    </w:p>
    <w:p>
      <w:pPr>
        <w:pStyle w:val="BodyText"/>
        <w:rPr>
          <w:sz w:val="28"/>
        </w:rPr>
      </w:pPr>
    </w:p>
    <w:p>
      <w:pPr>
        <w:spacing w:line="242" w:lineRule="auto" w:before="0"/>
        <w:ind w:left="2041" w:right="1224" w:hanging="154"/>
        <w:jc w:val="left"/>
        <w:rPr>
          <w:sz w:val="20"/>
        </w:rPr>
      </w:pPr>
      <w:r>
        <w:rPr>
          <w:sz w:val="20"/>
        </w:rPr>
        <w:t>Fig. 31. Indicador de Profundidad de Sobremordida Vertical Fuente: </w:t>
      </w:r>
      <w:hyperlink r:id="rId54">
        <w:r>
          <w:rPr>
            <w:sz w:val="20"/>
          </w:rPr>
          <w:t>http://www.orthofree.com/cms/assets/pdf/99.pdf</w:t>
        </w:r>
      </w:hyperlink>
    </w:p>
    <w:p>
      <w:pPr>
        <w:spacing w:after="0" w:line="242" w:lineRule="auto"/>
        <w:jc w:val="left"/>
        <w:rPr>
          <w:sz w:val="20"/>
        </w:rPr>
        <w:sectPr>
          <w:footerReference w:type="default" r:id="rId56"/>
          <w:pgSz w:w="12240" w:h="15840"/>
          <w:pgMar w:footer="1003" w:header="0" w:top="1360" w:bottom="1200" w:left="1600" w:right="1600"/>
        </w:sectPr>
      </w:pPr>
    </w:p>
    <w:p>
      <w:pPr>
        <w:pStyle w:val="BodyText"/>
        <w:spacing w:line="350" w:lineRule="auto" w:before="54"/>
        <w:ind w:left="102" w:right="125"/>
        <w:jc w:val="both"/>
        <w:rPr>
          <w:sz w:val="16"/>
        </w:rPr>
      </w:pPr>
      <w:r>
        <w:rPr/>
        <w:t>A medida que el ODI aumenta a valores de 80° o más, la oclusión probablemente se transformará en una sobremordida cada vez mayor, y cuando baja a un valor similar a 68° o menos, la oclusión se transformará en una mordida abierta esquelética.</w:t>
      </w:r>
      <w:r>
        <w:rPr>
          <w:position w:val="11"/>
          <w:sz w:val="16"/>
        </w:rPr>
        <w:t>28</w:t>
      </w:r>
    </w:p>
    <w:p>
      <w:pPr>
        <w:pStyle w:val="Heading3"/>
        <w:numPr>
          <w:ilvl w:val="1"/>
          <w:numId w:val="13"/>
        </w:numPr>
        <w:tabs>
          <w:tab w:pos="821" w:val="left" w:leader="none"/>
          <w:tab w:pos="822" w:val="left" w:leader="none"/>
        </w:tabs>
        <w:spacing w:line="240" w:lineRule="auto" w:before="198" w:after="0"/>
        <w:ind w:left="822" w:right="0" w:hanging="360"/>
        <w:jc w:val="left"/>
      </w:pPr>
      <w:r>
        <w:rPr/>
        <w:t>Ángulo del plano mandibular a plano</w:t>
      </w:r>
      <w:r>
        <w:rPr>
          <w:spacing w:val="-10"/>
        </w:rPr>
        <w:t> </w:t>
      </w:r>
      <w:r>
        <w:rPr/>
        <w:t>AB.</w:t>
      </w:r>
    </w:p>
    <w:p>
      <w:pPr>
        <w:pStyle w:val="BodyText"/>
        <w:rPr>
          <w:b/>
          <w:sz w:val="29"/>
        </w:rPr>
      </w:pPr>
    </w:p>
    <w:p>
      <w:pPr>
        <w:pStyle w:val="BodyText"/>
        <w:spacing w:line="350" w:lineRule="auto"/>
        <w:ind w:left="102" w:right="118"/>
        <w:jc w:val="both"/>
        <w:rPr>
          <w:sz w:val="16"/>
        </w:rPr>
      </w:pPr>
      <w:r>
        <w:rPr/>
        <w:t>Este ángulo se forma por el plano mandibular y el plano AB (Fig. 32), la media es 75.8° aproximadamente, de acuerdo con el la disposición de los componentes faciales estructurales. Un ángulo abierto, está relacionado con la mordida profunda, por su parte un ángulo cerrado es relacionado a una mordida</w:t>
      </w:r>
      <w:r>
        <w:rPr>
          <w:spacing w:val="-25"/>
        </w:rPr>
        <w:t> </w:t>
      </w:r>
      <w:r>
        <w:rPr/>
        <w:t>abierta.</w:t>
      </w:r>
      <w:r>
        <w:rPr>
          <w:position w:val="11"/>
          <w:sz w:val="16"/>
        </w:rPr>
        <w:t>29</w:t>
      </w:r>
    </w:p>
    <w:p>
      <w:pPr>
        <w:pStyle w:val="BodyText"/>
        <w:spacing w:before="10"/>
        <w:rPr>
          <w:sz w:val="13"/>
        </w:rPr>
      </w:pPr>
      <w:r>
        <w:rPr/>
        <w:drawing>
          <wp:anchor distT="0" distB="0" distL="0" distR="0" allowOverlap="1" layoutInCell="1" locked="0" behindDoc="0" simplePos="0" relativeHeight="1672">
            <wp:simplePos x="0" y="0"/>
            <wp:positionH relativeFrom="page">
              <wp:posOffset>2419350</wp:posOffset>
            </wp:positionH>
            <wp:positionV relativeFrom="paragraph">
              <wp:posOffset>126185</wp:posOffset>
            </wp:positionV>
            <wp:extent cx="2943507" cy="2475738"/>
            <wp:effectExtent l="0" t="0" r="0" b="0"/>
            <wp:wrapTopAndBottom/>
            <wp:docPr id="61" name="image38.jpeg" descr=""/>
            <wp:cNvGraphicFramePr>
              <a:graphicFrameLocks noChangeAspect="1"/>
            </wp:cNvGraphicFramePr>
            <a:graphic>
              <a:graphicData uri="http://schemas.openxmlformats.org/drawingml/2006/picture">
                <pic:pic>
                  <pic:nvPicPr>
                    <pic:cNvPr id="62" name="image38.jpeg"/>
                    <pic:cNvPicPr/>
                  </pic:nvPicPr>
                  <pic:blipFill>
                    <a:blip r:embed="rId59" cstate="print"/>
                    <a:stretch>
                      <a:fillRect/>
                    </a:stretch>
                  </pic:blipFill>
                  <pic:spPr>
                    <a:xfrm>
                      <a:off x="0" y="0"/>
                      <a:ext cx="2943507" cy="2475738"/>
                    </a:xfrm>
                    <a:prstGeom prst="rect">
                      <a:avLst/>
                    </a:prstGeom>
                  </pic:spPr>
                </pic:pic>
              </a:graphicData>
            </a:graphic>
          </wp:anchor>
        </w:drawing>
      </w:r>
    </w:p>
    <w:p>
      <w:pPr>
        <w:pStyle w:val="BodyText"/>
        <w:spacing w:before="7"/>
        <w:rPr>
          <w:sz w:val="26"/>
        </w:rPr>
      </w:pPr>
    </w:p>
    <w:p>
      <w:pPr>
        <w:spacing w:before="1"/>
        <w:ind w:left="807" w:right="821" w:firstLine="0"/>
        <w:jc w:val="center"/>
        <w:rPr>
          <w:sz w:val="20"/>
        </w:rPr>
      </w:pPr>
      <w:r>
        <w:rPr>
          <w:sz w:val="20"/>
        </w:rPr>
        <w:t>Fig. 32 Ángulo MP-AB</w:t>
      </w:r>
    </w:p>
    <w:p>
      <w:pPr>
        <w:spacing w:before="3"/>
        <w:ind w:left="803" w:right="821" w:firstLine="0"/>
        <w:jc w:val="center"/>
        <w:rPr>
          <w:sz w:val="20"/>
        </w:rPr>
      </w:pPr>
      <w:r>
        <w:rPr>
          <w:sz w:val="20"/>
        </w:rPr>
        <w:t>Fuente: </w:t>
      </w:r>
      <w:hyperlink r:id="rId54">
        <w:r>
          <w:rPr>
            <w:sz w:val="20"/>
          </w:rPr>
          <w:t>http://www.orthofree.com/cms/assets/pdf/99.pdf</w:t>
        </w:r>
      </w:hyperlink>
    </w:p>
    <w:p>
      <w:pPr>
        <w:pStyle w:val="BodyText"/>
        <w:rPr>
          <w:sz w:val="20"/>
        </w:rPr>
      </w:pPr>
    </w:p>
    <w:p>
      <w:pPr>
        <w:pStyle w:val="BodyText"/>
        <w:rPr>
          <w:sz w:val="20"/>
        </w:rPr>
      </w:pPr>
    </w:p>
    <w:p>
      <w:pPr>
        <w:pStyle w:val="ListParagraph"/>
        <w:numPr>
          <w:ilvl w:val="0"/>
          <w:numId w:val="14"/>
        </w:numPr>
        <w:tabs>
          <w:tab w:pos="530" w:val="left" w:leader="none"/>
        </w:tabs>
        <w:spacing w:line="240" w:lineRule="auto" w:before="167" w:after="0"/>
        <w:ind w:left="702" w:right="0" w:hanging="533"/>
        <w:jc w:val="both"/>
        <w:rPr>
          <w:sz w:val="24"/>
        </w:rPr>
      </w:pPr>
      <w:r>
        <w:rPr>
          <w:sz w:val="24"/>
        </w:rPr>
        <w:t>Cuando el ángulo MP-AB se abre respecto  al plano mandibular (Fig.</w:t>
      </w:r>
      <w:r>
        <w:rPr>
          <w:spacing w:val="-24"/>
          <w:sz w:val="24"/>
        </w:rPr>
        <w:t> </w:t>
      </w:r>
      <w:r>
        <w:rPr>
          <w:sz w:val="24"/>
        </w:rPr>
        <w:t>33).</w:t>
      </w:r>
    </w:p>
    <w:p>
      <w:pPr>
        <w:pStyle w:val="BodyText"/>
        <w:spacing w:before="5"/>
        <w:rPr>
          <w:sz w:val="29"/>
        </w:rPr>
      </w:pPr>
    </w:p>
    <w:p>
      <w:pPr>
        <w:pStyle w:val="BodyText"/>
        <w:spacing w:line="360" w:lineRule="auto"/>
        <w:ind w:left="102" w:right="116"/>
        <w:jc w:val="both"/>
      </w:pPr>
      <w:r>
        <w:rPr/>
        <w:t>El desplazamiento del Plano mandibular para abrir el ángulo MP-AB es posible, cuando se incrementa la altura facial posterior, este puede ser el resultado del crecimiento craneal posterior (donde la cavidad glenoidea es ubicada), o la altura de la rama mandibular. También es posible cuando la altura facial anterior disminuye, debido a la deficiencia vertical del proceso nasomaxilar, la    deficiencia</w:t>
      </w:r>
    </w:p>
    <w:p>
      <w:pPr>
        <w:spacing w:after="0" w:line="360" w:lineRule="auto"/>
        <w:jc w:val="both"/>
        <w:sectPr>
          <w:footerReference w:type="default" r:id="rId58"/>
          <w:pgSz w:w="12240" w:h="15840"/>
          <w:pgMar w:footer="1003" w:header="0" w:top="1360" w:bottom="1200" w:left="1600" w:right="1580"/>
          <w:pgNumType w:start="31"/>
        </w:sectPr>
      </w:pPr>
    </w:p>
    <w:p>
      <w:pPr>
        <w:pStyle w:val="BodyText"/>
        <w:spacing w:line="331" w:lineRule="auto" w:before="54"/>
        <w:ind w:left="102" w:right="139"/>
        <w:rPr>
          <w:sz w:val="16"/>
        </w:rPr>
      </w:pPr>
      <w:r>
        <w:rPr/>
        <w:t>vertical en el sínfisis mandibular, o por la forma anatómica mandibular (tipo facial euriprosopo), que pueden mostrar un estrecho ángulo mandibular.</w:t>
      </w:r>
      <w:r>
        <w:rPr>
          <w:position w:val="11"/>
          <w:sz w:val="16"/>
        </w:rPr>
        <w:t>29</w:t>
      </w:r>
    </w:p>
    <w:p>
      <w:pPr>
        <w:pStyle w:val="BodyText"/>
        <w:rPr>
          <w:sz w:val="16"/>
        </w:rPr>
      </w:pPr>
      <w:r>
        <w:rPr/>
        <w:drawing>
          <wp:anchor distT="0" distB="0" distL="0" distR="0" allowOverlap="1" layoutInCell="1" locked="0" behindDoc="0" simplePos="0" relativeHeight="1696">
            <wp:simplePos x="0" y="0"/>
            <wp:positionH relativeFrom="page">
              <wp:posOffset>2533650</wp:posOffset>
            </wp:positionH>
            <wp:positionV relativeFrom="paragraph">
              <wp:posOffset>142096</wp:posOffset>
            </wp:positionV>
            <wp:extent cx="2708054" cy="2463546"/>
            <wp:effectExtent l="0" t="0" r="0" b="0"/>
            <wp:wrapTopAndBottom/>
            <wp:docPr id="63" name="image39.jpeg" descr=""/>
            <wp:cNvGraphicFramePr>
              <a:graphicFrameLocks noChangeAspect="1"/>
            </wp:cNvGraphicFramePr>
            <a:graphic>
              <a:graphicData uri="http://schemas.openxmlformats.org/drawingml/2006/picture">
                <pic:pic>
                  <pic:nvPicPr>
                    <pic:cNvPr id="64" name="image39.jpeg"/>
                    <pic:cNvPicPr/>
                  </pic:nvPicPr>
                  <pic:blipFill>
                    <a:blip r:embed="rId60" cstate="print"/>
                    <a:stretch>
                      <a:fillRect/>
                    </a:stretch>
                  </pic:blipFill>
                  <pic:spPr>
                    <a:xfrm>
                      <a:off x="0" y="0"/>
                      <a:ext cx="2708054" cy="2463546"/>
                    </a:xfrm>
                    <a:prstGeom prst="rect">
                      <a:avLst/>
                    </a:prstGeom>
                  </pic:spPr>
                </pic:pic>
              </a:graphicData>
            </a:graphic>
          </wp:anchor>
        </w:drawing>
      </w:r>
    </w:p>
    <w:p>
      <w:pPr>
        <w:pStyle w:val="BodyText"/>
        <w:spacing w:before="9"/>
        <w:rPr>
          <w:sz w:val="25"/>
        </w:rPr>
      </w:pPr>
    </w:p>
    <w:p>
      <w:pPr>
        <w:spacing w:line="242" w:lineRule="auto" w:before="0"/>
        <w:ind w:left="2394" w:right="1281" w:hanging="476"/>
        <w:jc w:val="left"/>
        <w:rPr>
          <w:sz w:val="20"/>
        </w:rPr>
      </w:pPr>
      <w:r>
        <w:rPr>
          <w:sz w:val="20"/>
        </w:rPr>
        <w:t>Fig. 33. Esquema de ángulo MP-AB abierto respecto a MP Fuente: </w:t>
      </w:r>
      <w:hyperlink r:id="rId54">
        <w:r>
          <w:rPr>
            <w:sz w:val="20"/>
          </w:rPr>
          <w:t>http://www.orthofree.com/cms/assets/pdf/99.pdf</w:t>
        </w:r>
      </w:hyperlink>
    </w:p>
    <w:p>
      <w:pPr>
        <w:pStyle w:val="BodyText"/>
        <w:rPr>
          <w:sz w:val="20"/>
        </w:rPr>
      </w:pPr>
    </w:p>
    <w:p>
      <w:pPr>
        <w:pStyle w:val="BodyText"/>
        <w:rPr>
          <w:sz w:val="20"/>
        </w:rPr>
      </w:pPr>
    </w:p>
    <w:p>
      <w:pPr>
        <w:pStyle w:val="ListParagraph"/>
        <w:numPr>
          <w:ilvl w:val="0"/>
          <w:numId w:val="14"/>
        </w:numPr>
        <w:tabs>
          <w:tab w:pos="822" w:val="left" w:leader="none"/>
        </w:tabs>
        <w:spacing w:line="240" w:lineRule="auto" w:before="165" w:after="0"/>
        <w:ind w:left="822" w:right="0" w:hanging="360"/>
        <w:jc w:val="left"/>
        <w:rPr>
          <w:sz w:val="24"/>
        </w:rPr>
      </w:pPr>
      <w:r>
        <w:rPr>
          <w:sz w:val="24"/>
        </w:rPr>
        <w:t>Cuando ángulo MP-AB se abre desplazando el plano AB</w:t>
      </w:r>
      <w:r>
        <w:rPr>
          <w:spacing w:val="-20"/>
          <w:sz w:val="24"/>
        </w:rPr>
        <w:t> </w:t>
      </w:r>
      <w:r>
        <w:rPr>
          <w:sz w:val="24"/>
        </w:rPr>
        <w:t>(Fig.34).</w:t>
      </w:r>
    </w:p>
    <w:p>
      <w:pPr>
        <w:pStyle w:val="BodyText"/>
        <w:spacing w:before="5"/>
        <w:rPr>
          <w:sz w:val="29"/>
        </w:rPr>
      </w:pPr>
    </w:p>
    <w:p>
      <w:pPr>
        <w:pStyle w:val="BodyText"/>
        <w:spacing w:line="360" w:lineRule="auto"/>
        <w:ind w:left="461" w:right="139"/>
      </w:pPr>
      <w:r>
        <w:rPr/>
        <w:t>Es posible el desplazamiento del plano AB para abrir el ángulo MP-AB, cuando existe protrusión maxilar o retrusión mandibular.</w:t>
      </w:r>
    </w:p>
    <w:p>
      <w:pPr>
        <w:pStyle w:val="BodyText"/>
        <w:spacing w:before="5"/>
        <w:rPr>
          <w:sz w:val="14"/>
        </w:rPr>
      </w:pPr>
      <w:r>
        <w:rPr/>
        <w:drawing>
          <wp:anchor distT="0" distB="0" distL="0" distR="0" allowOverlap="1" layoutInCell="1" locked="0" behindDoc="0" simplePos="0" relativeHeight="1720">
            <wp:simplePos x="0" y="0"/>
            <wp:positionH relativeFrom="page">
              <wp:posOffset>2667000</wp:posOffset>
            </wp:positionH>
            <wp:positionV relativeFrom="paragraph">
              <wp:posOffset>130478</wp:posOffset>
            </wp:positionV>
            <wp:extent cx="2659133" cy="2175700"/>
            <wp:effectExtent l="0" t="0" r="0" b="0"/>
            <wp:wrapTopAndBottom/>
            <wp:docPr id="65" name="image40.jpeg" descr=""/>
            <wp:cNvGraphicFramePr>
              <a:graphicFrameLocks noChangeAspect="1"/>
            </wp:cNvGraphicFramePr>
            <a:graphic>
              <a:graphicData uri="http://schemas.openxmlformats.org/drawingml/2006/picture">
                <pic:pic>
                  <pic:nvPicPr>
                    <pic:cNvPr id="66" name="image40.jpeg"/>
                    <pic:cNvPicPr/>
                  </pic:nvPicPr>
                  <pic:blipFill>
                    <a:blip r:embed="rId61" cstate="print"/>
                    <a:stretch>
                      <a:fillRect/>
                    </a:stretch>
                  </pic:blipFill>
                  <pic:spPr>
                    <a:xfrm>
                      <a:off x="0" y="0"/>
                      <a:ext cx="2659133" cy="2175700"/>
                    </a:xfrm>
                    <a:prstGeom prst="rect">
                      <a:avLst/>
                    </a:prstGeom>
                  </pic:spPr>
                </pic:pic>
              </a:graphicData>
            </a:graphic>
          </wp:anchor>
        </w:drawing>
      </w:r>
    </w:p>
    <w:p>
      <w:pPr>
        <w:pStyle w:val="BodyText"/>
        <w:spacing w:before="5"/>
        <w:rPr>
          <w:sz w:val="27"/>
        </w:rPr>
      </w:pPr>
    </w:p>
    <w:p>
      <w:pPr>
        <w:spacing w:line="242" w:lineRule="auto" w:before="0"/>
        <w:ind w:left="2221" w:right="1281" w:firstLine="17"/>
        <w:jc w:val="left"/>
        <w:rPr>
          <w:sz w:val="20"/>
        </w:rPr>
      </w:pPr>
      <w:r>
        <w:rPr>
          <w:sz w:val="20"/>
        </w:rPr>
        <w:t>Fig. 34. Ángulo MP-AB abierto desplazando a plano AB Fuente: </w:t>
      </w:r>
      <w:hyperlink r:id="rId54">
        <w:r>
          <w:rPr>
            <w:sz w:val="20"/>
          </w:rPr>
          <w:t>http://www.orthofree.com/cms/assets/pdf/99.pdf</w:t>
        </w:r>
      </w:hyperlink>
    </w:p>
    <w:p>
      <w:pPr>
        <w:spacing w:after="0" w:line="242" w:lineRule="auto"/>
        <w:jc w:val="left"/>
        <w:rPr>
          <w:sz w:val="20"/>
        </w:rPr>
        <w:sectPr>
          <w:pgSz w:w="12240" w:h="15840"/>
          <w:pgMar w:header="0" w:footer="1003" w:top="1360" w:bottom="1200" w:left="1600" w:right="1580"/>
        </w:sectPr>
      </w:pPr>
    </w:p>
    <w:p>
      <w:pPr>
        <w:pStyle w:val="ListParagraph"/>
        <w:numPr>
          <w:ilvl w:val="0"/>
          <w:numId w:val="14"/>
        </w:numPr>
        <w:tabs>
          <w:tab w:pos="702" w:val="left" w:leader="none"/>
        </w:tabs>
        <w:spacing w:line="362" w:lineRule="auto" w:before="54" w:after="0"/>
        <w:ind w:left="702" w:right="121" w:hanging="360"/>
        <w:jc w:val="left"/>
        <w:rPr>
          <w:sz w:val="24"/>
        </w:rPr>
      </w:pPr>
      <w:r>
        <w:rPr>
          <w:sz w:val="24"/>
        </w:rPr>
        <w:t>Cuando el ángulo MP - AB está cerrado desplazando el plano mandibular (Fig.</w:t>
      </w:r>
      <w:r>
        <w:rPr>
          <w:spacing w:val="-4"/>
          <w:sz w:val="24"/>
        </w:rPr>
        <w:t> </w:t>
      </w:r>
      <w:r>
        <w:rPr>
          <w:sz w:val="24"/>
        </w:rPr>
        <w:t>35)</w:t>
      </w:r>
    </w:p>
    <w:p>
      <w:pPr>
        <w:pStyle w:val="BodyText"/>
      </w:pPr>
    </w:p>
    <w:p>
      <w:pPr>
        <w:pStyle w:val="BodyText"/>
        <w:spacing w:line="360" w:lineRule="auto" w:before="139"/>
        <w:ind w:left="341" w:right="112"/>
        <w:jc w:val="both"/>
      </w:pPr>
      <w:r>
        <w:rPr/>
        <w:t>Es posible el desplazamiento del plano mandibular para cerrar el ángulo </w:t>
      </w:r>
      <w:r>
        <w:rPr>
          <w:spacing w:val="2"/>
        </w:rPr>
        <w:t>MP- </w:t>
      </w:r>
      <w:r>
        <w:rPr/>
        <w:t>AB cuando la altura facial posterior disminuye. Esto puede ser como resultado del crecimiento posterior de la base del cráneo (donde la fosa glenoidea se encuentra hundida), o por la altura de la rama mandibular. También es posible cuando la altura facial anterior se incrementa como resultado de un exceso vertical del maxilar, exceso vertical de la sínfisis mandibular, o por la forma anatómica de la mandíbula (tipo facial leptoproposo), que pueden  mostrar  </w:t>
      </w:r>
      <w:r>
        <w:rPr>
          <w:spacing w:val="63"/>
        </w:rPr>
        <w:t> </w:t>
      </w:r>
      <w:r>
        <w:rPr/>
        <w:t>un</w:t>
      </w:r>
    </w:p>
    <w:p>
      <w:pPr>
        <w:pStyle w:val="BodyText"/>
        <w:spacing w:line="279" w:lineRule="exact"/>
        <w:ind w:left="341"/>
        <w:rPr>
          <w:sz w:val="16"/>
        </w:rPr>
      </w:pPr>
      <w:r>
        <w:rPr/>
        <w:t>ángulo mandibular abierto.</w:t>
      </w:r>
      <w:r>
        <w:rPr>
          <w:position w:val="11"/>
          <w:sz w:val="16"/>
        </w:rPr>
        <w:t>29</w:t>
      </w:r>
    </w:p>
    <w:p>
      <w:pPr>
        <w:pStyle w:val="BodyText"/>
        <w:rPr>
          <w:sz w:val="20"/>
        </w:rPr>
      </w:pPr>
    </w:p>
    <w:p>
      <w:pPr>
        <w:pStyle w:val="BodyText"/>
        <w:rPr>
          <w:sz w:val="20"/>
        </w:rPr>
      </w:pPr>
    </w:p>
    <w:p>
      <w:pPr>
        <w:pStyle w:val="BodyText"/>
        <w:rPr>
          <w:sz w:val="20"/>
        </w:rPr>
      </w:pPr>
    </w:p>
    <w:p>
      <w:pPr>
        <w:pStyle w:val="BodyText"/>
        <w:spacing w:before="6"/>
        <w:rPr>
          <w:sz w:val="19"/>
        </w:rPr>
      </w:pPr>
      <w:r>
        <w:rPr/>
        <w:drawing>
          <wp:anchor distT="0" distB="0" distL="0" distR="0" allowOverlap="1" layoutInCell="1" locked="0" behindDoc="0" simplePos="0" relativeHeight="1744">
            <wp:simplePos x="0" y="0"/>
            <wp:positionH relativeFrom="page">
              <wp:posOffset>2780410</wp:posOffset>
            </wp:positionH>
            <wp:positionV relativeFrom="paragraph">
              <wp:posOffset>167512</wp:posOffset>
            </wp:positionV>
            <wp:extent cx="2668509" cy="2142553"/>
            <wp:effectExtent l="0" t="0" r="0" b="0"/>
            <wp:wrapTopAndBottom/>
            <wp:docPr id="67" name="image41.jpeg" descr=""/>
            <wp:cNvGraphicFramePr>
              <a:graphicFrameLocks noChangeAspect="1"/>
            </wp:cNvGraphicFramePr>
            <a:graphic>
              <a:graphicData uri="http://schemas.openxmlformats.org/drawingml/2006/picture">
                <pic:pic>
                  <pic:nvPicPr>
                    <pic:cNvPr id="68" name="image41.jpeg"/>
                    <pic:cNvPicPr/>
                  </pic:nvPicPr>
                  <pic:blipFill>
                    <a:blip r:embed="rId62" cstate="print"/>
                    <a:stretch>
                      <a:fillRect/>
                    </a:stretch>
                  </pic:blipFill>
                  <pic:spPr>
                    <a:xfrm>
                      <a:off x="0" y="0"/>
                      <a:ext cx="2668509" cy="2142553"/>
                    </a:xfrm>
                    <a:prstGeom prst="rect">
                      <a:avLst/>
                    </a:prstGeom>
                  </pic:spPr>
                </pic:pic>
              </a:graphicData>
            </a:graphic>
          </wp:anchor>
        </w:drawing>
      </w:r>
    </w:p>
    <w:p>
      <w:pPr>
        <w:spacing w:line="229" w:lineRule="exact" w:before="109"/>
        <w:ind w:left="1853" w:right="1276" w:firstLine="0"/>
        <w:jc w:val="center"/>
        <w:rPr>
          <w:sz w:val="20"/>
        </w:rPr>
      </w:pPr>
      <w:r>
        <w:rPr>
          <w:sz w:val="20"/>
        </w:rPr>
        <w:t>Fig. 35. Ángulo MP-AB cerrado desplazando a plano mandibular.</w:t>
      </w:r>
    </w:p>
    <w:p>
      <w:pPr>
        <w:spacing w:line="229" w:lineRule="exact" w:before="0"/>
        <w:ind w:left="1852" w:right="1276" w:firstLine="0"/>
        <w:jc w:val="center"/>
        <w:rPr>
          <w:sz w:val="20"/>
        </w:rPr>
      </w:pPr>
      <w:r>
        <w:rPr>
          <w:sz w:val="20"/>
        </w:rPr>
        <w:t>Fuente: </w:t>
      </w:r>
      <w:hyperlink r:id="rId54">
        <w:r>
          <w:rPr>
            <w:sz w:val="20"/>
          </w:rPr>
          <w:t>http://www.orthofree.com/cms/assets/pdf/99.pdf</w:t>
        </w:r>
      </w:hyperlink>
    </w:p>
    <w:p>
      <w:pPr>
        <w:pStyle w:val="BodyText"/>
        <w:rPr>
          <w:sz w:val="20"/>
        </w:rPr>
      </w:pPr>
    </w:p>
    <w:p>
      <w:pPr>
        <w:pStyle w:val="BodyText"/>
        <w:rPr>
          <w:sz w:val="20"/>
        </w:rPr>
      </w:pPr>
    </w:p>
    <w:p>
      <w:pPr>
        <w:pStyle w:val="BodyText"/>
        <w:spacing w:before="2"/>
        <w:rPr>
          <w:sz w:val="16"/>
        </w:rPr>
      </w:pPr>
    </w:p>
    <w:p>
      <w:pPr>
        <w:pStyle w:val="ListParagraph"/>
        <w:numPr>
          <w:ilvl w:val="0"/>
          <w:numId w:val="14"/>
        </w:numPr>
        <w:tabs>
          <w:tab w:pos="702" w:val="left" w:leader="none"/>
        </w:tabs>
        <w:spacing w:line="240" w:lineRule="auto" w:before="1" w:after="0"/>
        <w:ind w:left="702" w:right="0" w:hanging="360"/>
        <w:jc w:val="left"/>
        <w:rPr>
          <w:sz w:val="24"/>
        </w:rPr>
      </w:pPr>
      <w:r>
        <w:rPr>
          <w:sz w:val="24"/>
        </w:rPr>
        <w:t>Cuando el ángulo MP - AB está cerrado desplazando el plano AB (Fig.</w:t>
      </w:r>
      <w:r>
        <w:rPr>
          <w:spacing w:val="-29"/>
          <w:sz w:val="24"/>
        </w:rPr>
        <w:t> </w:t>
      </w:r>
      <w:r>
        <w:rPr>
          <w:sz w:val="24"/>
        </w:rPr>
        <w:t>36).</w:t>
      </w:r>
    </w:p>
    <w:p>
      <w:pPr>
        <w:pStyle w:val="BodyText"/>
      </w:pPr>
    </w:p>
    <w:p>
      <w:pPr>
        <w:pStyle w:val="BodyText"/>
      </w:pPr>
    </w:p>
    <w:p>
      <w:pPr>
        <w:pStyle w:val="ListParagraph"/>
        <w:numPr>
          <w:ilvl w:val="0"/>
          <w:numId w:val="14"/>
        </w:numPr>
        <w:tabs>
          <w:tab w:pos="702" w:val="left" w:leader="none"/>
        </w:tabs>
        <w:spacing w:line="360" w:lineRule="auto" w:before="0" w:after="0"/>
        <w:ind w:left="702" w:right="117" w:hanging="360"/>
        <w:jc w:val="left"/>
        <w:rPr>
          <w:sz w:val="24"/>
        </w:rPr>
      </w:pPr>
      <w:r>
        <w:rPr>
          <w:sz w:val="24"/>
        </w:rPr>
        <w:t>Es posible un desplazamiento del plano A-B para cerrar el ángulo MP-AB cuando existe retrusión maxilar o protrusión</w:t>
      </w:r>
      <w:r>
        <w:rPr>
          <w:spacing w:val="-18"/>
          <w:sz w:val="24"/>
        </w:rPr>
        <w:t> </w:t>
      </w:r>
      <w:r>
        <w:rPr>
          <w:sz w:val="24"/>
        </w:rPr>
        <w:t>mandibular.</w:t>
      </w:r>
    </w:p>
    <w:p>
      <w:pPr>
        <w:spacing w:after="0" w:line="360" w:lineRule="auto"/>
        <w:jc w:val="left"/>
        <w:rPr>
          <w:sz w:val="24"/>
        </w:rPr>
        <w:sectPr>
          <w:pgSz w:w="12240" w:h="15840"/>
          <w:pgMar w:header="0" w:footer="1003" w:top="1360" w:bottom="1200" w:left="1720" w:right="1580"/>
        </w:sectPr>
      </w:pPr>
    </w:p>
    <w:p>
      <w:pPr>
        <w:pStyle w:val="BodyText"/>
        <w:ind w:left="2735"/>
        <w:rPr>
          <w:sz w:val="20"/>
        </w:rPr>
      </w:pPr>
      <w:r>
        <w:rPr>
          <w:sz w:val="20"/>
        </w:rPr>
        <w:drawing>
          <wp:inline distT="0" distB="0" distL="0" distR="0">
            <wp:extent cx="2705027" cy="2272855"/>
            <wp:effectExtent l="0" t="0" r="0" b="0"/>
            <wp:docPr id="69" name="image42.jpeg" descr=""/>
            <wp:cNvGraphicFramePr>
              <a:graphicFrameLocks noChangeAspect="1"/>
            </wp:cNvGraphicFramePr>
            <a:graphic>
              <a:graphicData uri="http://schemas.openxmlformats.org/drawingml/2006/picture">
                <pic:pic>
                  <pic:nvPicPr>
                    <pic:cNvPr id="70" name="image42.jpeg"/>
                    <pic:cNvPicPr/>
                  </pic:nvPicPr>
                  <pic:blipFill>
                    <a:blip r:embed="rId63" cstate="print"/>
                    <a:stretch>
                      <a:fillRect/>
                    </a:stretch>
                  </pic:blipFill>
                  <pic:spPr>
                    <a:xfrm>
                      <a:off x="0" y="0"/>
                      <a:ext cx="2705027" cy="2272855"/>
                    </a:xfrm>
                    <a:prstGeom prst="rect">
                      <a:avLst/>
                    </a:prstGeom>
                  </pic:spPr>
                </pic:pic>
              </a:graphicData>
            </a:graphic>
          </wp:inline>
        </w:drawing>
      </w:r>
      <w:r>
        <w:rPr>
          <w:sz w:val="20"/>
        </w:rPr>
      </w:r>
    </w:p>
    <w:p>
      <w:pPr>
        <w:pStyle w:val="BodyText"/>
        <w:spacing w:before="7"/>
        <w:rPr>
          <w:sz w:val="18"/>
        </w:rPr>
      </w:pPr>
    </w:p>
    <w:p>
      <w:pPr>
        <w:spacing w:before="74"/>
        <w:ind w:left="2358" w:right="1634" w:firstLine="0"/>
        <w:jc w:val="center"/>
        <w:rPr>
          <w:sz w:val="20"/>
        </w:rPr>
      </w:pPr>
      <w:r>
        <w:rPr>
          <w:sz w:val="20"/>
        </w:rPr>
        <w:t>Fig. 36. Ángulo MP-AB cerrado desplazando a plano AB. Fuente: </w:t>
      </w:r>
      <w:hyperlink r:id="rId54">
        <w:r>
          <w:rPr>
            <w:sz w:val="20"/>
          </w:rPr>
          <w:t>http://www.orthofree.com/cms/assets/pdf/99.pdf</w:t>
        </w:r>
      </w:hyperlink>
    </w:p>
    <w:p>
      <w:pPr>
        <w:pStyle w:val="BodyText"/>
        <w:rPr>
          <w:sz w:val="20"/>
        </w:rPr>
      </w:pPr>
    </w:p>
    <w:p>
      <w:pPr>
        <w:pStyle w:val="BodyText"/>
        <w:rPr>
          <w:sz w:val="20"/>
        </w:rPr>
      </w:pPr>
    </w:p>
    <w:p>
      <w:pPr>
        <w:pStyle w:val="BodyText"/>
        <w:rPr>
          <w:sz w:val="20"/>
        </w:rPr>
      </w:pPr>
    </w:p>
    <w:p>
      <w:pPr>
        <w:pStyle w:val="BodyText"/>
        <w:spacing w:before="5"/>
        <w:rPr>
          <w:sz w:val="23"/>
        </w:rPr>
      </w:pPr>
    </w:p>
    <w:p>
      <w:pPr>
        <w:pStyle w:val="Heading3"/>
        <w:numPr>
          <w:ilvl w:val="1"/>
          <w:numId w:val="14"/>
        </w:numPr>
        <w:tabs>
          <w:tab w:pos="891" w:val="left" w:leader="none"/>
          <w:tab w:pos="892" w:val="left" w:leader="none"/>
        </w:tabs>
        <w:spacing w:line="240" w:lineRule="auto" w:before="0" w:after="0"/>
        <w:ind w:left="891" w:right="0" w:hanging="429"/>
        <w:jc w:val="left"/>
      </w:pPr>
      <w:r>
        <w:rPr/>
        <w:t>Ángulo del plano horizontal de Frankfort al plano</w:t>
      </w:r>
      <w:r>
        <w:rPr>
          <w:spacing w:val="-11"/>
        </w:rPr>
        <w:t> </w:t>
      </w:r>
      <w:r>
        <w:rPr/>
        <w:t>palatino</w:t>
      </w:r>
    </w:p>
    <w:p>
      <w:pPr>
        <w:pStyle w:val="BodyText"/>
        <w:spacing w:before="3"/>
        <w:rPr>
          <w:b/>
          <w:sz w:val="29"/>
        </w:rPr>
      </w:pPr>
    </w:p>
    <w:p>
      <w:pPr>
        <w:pStyle w:val="BodyText"/>
        <w:spacing w:line="360" w:lineRule="auto" w:after="5"/>
        <w:ind w:left="102" w:right="104"/>
      </w:pPr>
      <w:r>
        <w:rPr/>
        <w:t>Este ángulo está formado por el plano horizontal de Frankfort y el plano palatino (Fig. 37), la media es de 2° aproximadamente y representa la posición palatina.</w:t>
      </w:r>
    </w:p>
    <w:p>
      <w:pPr>
        <w:pStyle w:val="BodyText"/>
        <w:ind w:left="2825"/>
        <w:rPr>
          <w:sz w:val="20"/>
        </w:rPr>
      </w:pPr>
      <w:r>
        <w:rPr>
          <w:sz w:val="20"/>
        </w:rPr>
        <w:drawing>
          <wp:inline distT="0" distB="0" distL="0" distR="0">
            <wp:extent cx="2596896" cy="2434590"/>
            <wp:effectExtent l="0" t="0" r="0" b="0"/>
            <wp:docPr id="71" name="image43.jpeg" descr=""/>
            <wp:cNvGraphicFramePr>
              <a:graphicFrameLocks noChangeAspect="1"/>
            </wp:cNvGraphicFramePr>
            <a:graphic>
              <a:graphicData uri="http://schemas.openxmlformats.org/drawingml/2006/picture">
                <pic:pic>
                  <pic:nvPicPr>
                    <pic:cNvPr id="72" name="image43.jpeg"/>
                    <pic:cNvPicPr/>
                  </pic:nvPicPr>
                  <pic:blipFill>
                    <a:blip r:embed="rId64" cstate="print"/>
                    <a:stretch>
                      <a:fillRect/>
                    </a:stretch>
                  </pic:blipFill>
                  <pic:spPr>
                    <a:xfrm>
                      <a:off x="0" y="0"/>
                      <a:ext cx="2596896" cy="2434590"/>
                    </a:xfrm>
                    <a:prstGeom prst="rect">
                      <a:avLst/>
                    </a:prstGeom>
                  </pic:spPr>
                </pic:pic>
              </a:graphicData>
            </a:graphic>
          </wp:inline>
        </w:drawing>
      </w:r>
      <w:r>
        <w:rPr>
          <w:sz w:val="20"/>
        </w:rPr>
      </w:r>
    </w:p>
    <w:p>
      <w:pPr>
        <w:spacing w:before="143"/>
        <w:ind w:left="906" w:right="190" w:firstLine="0"/>
        <w:jc w:val="center"/>
        <w:rPr>
          <w:sz w:val="20"/>
        </w:rPr>
      </w:pPr>
      <w:r>
        <w:rPr>
          <w:sz w:val="20"/>
        </w:rPr>
        <w:t>Fig. 37. Plano de Frankfort a plano palatino.</w:t>
      </w:r>
    </w:p>
    <w:p>
      <w:pPr>
        <w:spacing w:before="0"/>
        <w:ind w:left="906" w:right="190" w:firstLine="0"/>
        <w:jc w:val="center"/>
        <w:rPr>
          <w:sz w:val="20"/>
        </w:rPr>
      </w:pPr>
      <w:r>
        <w:rPr>
          <w:sz w:val="20"/>
        </w:rPr>
        <w:t>Fuente: </w:t>
      </w:r>
      <w:hyperlink r:id="rId54">
        <w:r>
          <w:rPr>
            <w:sz w:val="20"/>
          </w:rPr>
          <w:t>http://www.orthofree.com/cms/assets/pdf/99.pdf</w:t>
        </w:r>
      </w:hyperlink>
    </w:p>
    <w:p>
      <w:pPr>
        <w:spacing w:after="0"/>
        <w:jc w:val="center"/>
        <w:rPr>
          <w:sz w:val="20"/>
        </w:rPr>
        <w:sectPr>
          <w:pgSz w:w="12240" w:h="15840"/>
          <w:pgMar w:header="0" w:footer="1003" w:top="1420" w:bottom="1200" w:left="1600" w:right="1600"/>
        </w:sectPr>
      </w:pPr>
    </w:p>
    <w:p>
      <w:pPr>
        <w:pStyle w:val="BodyText"/>
        <w:spacing w:line="350" w:lineRule="auto" w:before="54" w:after="16"/>
        <w:ind w:left="582" w:right="121"/>
        <w:jc w:val="both"/>
        <w:rPr>
          <w:sz w:val="16"/>
        </w:rPr>
      </w:pPr>
      <w:r>
        <w:rPr/>
        <w:t>Un ángulo positivo indica que el paladar se inclina hacia abajo y hacia adelante (Fig. 38), ángulo negativo indica que el paladar está dirigido hacia arriba y hacia adelante y es relacionado con la mordida abierta, mientras tanto el ángulo positivo se relaciona con mordida profunda. (Fig.39).</w:t>
      </w:r>
      <w:r>
        <w:rPr>
          <w:position w:val="11"/>
          <w:sz w:val="16"/>
        </w:rPr>
        <w:t>30</w:t>
      </w:r>
    </w:p>
    <w:p>
      <w:pPr>
        <w:tabs>
          <w:tab w:pos="5390" w:val="left" w:leader="none"/>
        </w:tabs>
        <w:spacing w:line="240" w:lineRule="auto"/>
        <w:ind w:left="110" w:right="0" w:firstLine="0"/>
        <w:rPr>
          <w:sz w:val="20"/>
        </w:rPr>
      </w:pPr>
      <w:r>
        <w:rPr>
          <w:sz w:val="20"/>
        </w:rPr>
        <w:drawing>
          <wp:inline distT="0" distB="0" distL="0" distR="0">
            <wp:extent cx="2657876" cy="2100262"/>
            <wp:effectExtent l="0" t="0" r="0" b="0"/>
            <wp:docPr id="73" name="image44.jpeg" descr=""/>
            <wp:cNvGraphicFramePr>
              <a:graphicFrameLocks noChangeAspect="1"/>
            </wp:cNvGraphicFramePr>
            <a:graphic>
              <a:graphicData uri="http://schemas.openxmlformats.org/drawingml/2006/picture">
                <pic:pic>
                  <pic:nvPicPr>
                    <pic:cNvPr id="74" name="image44.jpeg"/>
                    <pic:cNvPicPr/>
                  </pic:nvPicPr>
                  <pic:blipFill>
                    <a:blip r:embed="rId65" cstate="print"/>
                    <a:stretch>
                      <a:fillRect/>
                    </a:stretch>
                  </pic:blipFill>
                  <pic:spPr>
                    <a:xfrm>
                      <a:off x="0" y="0"/>
                      <a:ext cx="2657876" cy="2100262"/>
                    </a:xfrm>
                    <a:prstGeom prst="rect">
                      <a:avLst/>
                    </a:prstGeom>
                  </pic:spPr>
                </pic:pic>
              </a:graphicData>
            </a:graphic>
          </wp:inline>
        </w:drawing>
      </w:r>
      <w:r>
        <w:rPr>
          <w:sz w:val="20"/>
        </w:rPr>
      </w:r>
      <w:r>
        <w:rPr>
          <w:sz w:val="20"/>
        </w:rPr>
        <w:tab/>
      </w:r>
      <w:r>
        <w:rPr>
          <w:sz w:val="20"/>
        </w:rPr>
        <w:drawing>
          <wp:inline distT="0" distB="0" distL="0" distR="0">
            <wp:extent cx="2536656" cy="2100262"/>
            <wp:effectExtent l="0" t="0" r="0" b="0"/>
            <wp:docPr id="75" name="image45.jpeg" descr=""/>
            <wp:cNvGraphicFramePr>
              <a:graphicFrameLocks noChangeAspect="1"/>
            </wp:cNvGraphicFramePr>
            <a:graphic>
              <a:graphicData uri="http://schemas.openxmlformats.org/drawingml/2006/picture">
                <pic:pic>
                  <pic:nvPicPr>
                    <pic:cNvPr id="76" name="image45.jpeg"/>
                    <pic:cNvPicPr/>
                  </pic:nvPicPr>
                  <pic:blipFill>
                    <a:blip r:embed="rId66" cstate="print"/>
                    <a:stretch>
                      <a:fillRect/>
                    </a:stretch>
                  </pic:blipFill>
                  <pic:spPr>
                    <a:xfrm>
                      <a:off x="0" y="0"/>
                      <a:ext cx="2536656" cy="2100262"/>
                    </a:xfrm>
                    <a:prstGeom prst="rect">
                      <a:avLst/>
                    </a:prstGeom>
                  </pic:spPr>
                </pic:pic>
              </a:graphicData>
            </a:graphic>
          </wp:inline>
        </w:drawing>
      </w:r>
      <w:r>
        <w:rPr>
          <w:sz w:val="20"/>
        </w:rPr>
      </w:r>
    </w:p>
    <w:p>
      <w:pPr>
        <w:pStyle w:val="BodyText"/>
        <w:spacing w:before="9"/>
        <w:rPr>
          <w:sz w:val="31"/>
        </w:rPr>
      </w:pPr>
    </w:p>
    <w:p>
      <w:pPr>
        <w:tabs>
          <w:tab w:pos="6844" w:val="left" w:leader="none"/>
        </w:tabs>
        <w:spacing w:line="357" w:lineRule="auto" w:before="0"/>
        <w:ind w:left="2881" w:right="616" w:hanging="1086"/>
        <w:jc w:val="left"/>
        <w:rPr>
          <w:sz w:val="20"/>
        </w:rPr>
      </w:pPr>
      <w:r>
        <w:rPr>
          <w:sz w:val="20"/>
        </w:rPr>
        <w:t>Fig. 38.</w:t>
      </w:r>
      <w:r>
        <w:rPr>
          <w:spacing w:val="-3"/>
          <w:sz w:val="20"/>
        </w:rPr>
        <w:t> </w:t>
      </w:r>
      <w:r>
        <w:rPr>
          <w:sz w:val="20"/>
        </w:rPr>
        <w:t>Ángulo</w:t>
      </w:r>
      <w:r>
        <w:rPr>
          <w:spacing w:val="-3"/>
          <w:sz w:val="20"/>
        </w:rPr>
        <w:t> </w:t>
      </w:r>
      <w:r>
        <w:rPr>
          <w:sz w:val="20"/>
        </w:rPr>
        <w:t>negativo</w:t>
        <w:tab/>
        <w:t>Fig. 39.</w:t>
      </w:r>
      <w:r>
        <w:rPr>
          <w:spacing w:val="-4"/>
          <w:sz w:val="20"/>
        </w:rPr>
        <w:t> </w:t>
      </w:r>
      <w:r>
        <w:rPr>
          <w:sz w:val="20"/>
        </w:rPr>
        <w:t>Ángulo</w:t>
      </w:r>
      <w:r>
        <w:rPr>
          <w:spacing w:val="-2"/>
          <w:sz w:val="20"/>
        </w:rPr>
        <w:t> </w:t>
      </w:r>
      <w:r>
        <w:rPr>
          <w:sz w:val="20"/>
        </w:rPr>
        <w:t>positivo</w:t>
      </w:r>
      <w:r>
        <w:rPr>
          <w:w w:val="99"/>
          <w:sz w:val="20"/>
        </w:rPr>
        <w:t> </w:t>
      </w:r>
      <w:r>
        <w:rPr>
          <w:sz w:val="20"/>
        </w:rPr>
        <w:t>Fuente:</w:t>
      </w:r>
      <w:r>
        <w:rPr>
          <w:spacing w:val="-14"/>
          <w:sz w:val="20"/>
        </w:rPr>
        <w:t> </w:t>
      </w:r>
      <w:hyperlink r:id="rId54">
        <w:r>
          <w:rPr>
            <w:sz w:val="20"/>
          </w:rPr>
          <w:t>http://www.orthofree.com/cms/assets/pdf/99.pdf</w:t>
        </w:r>
      </w:hyperlink>
    </w:p>
    <w:p>
      <w:pPr>
        <w:pStyle w:val="BodyText"/>
        <w:rPr>
          <w:sz w:val="20"/>
        </w:rPr>
      </w:pPr>
    </w:p>
    <w:p>
      <w:pPr>
        <w:pStyle w:val="Heading3"/>
        <w:numPr>
          <w:ilvl w:val="2"/>
          <w:numId w:val="12"/>
        </w:numPr>
        <w:tabs>
          <w:tab w:pos="1185" w:val="left" w:leader="none"/>
        </w:tabs>
        <w:spacing w:line="240" w:lineRule="auto" w:before="122" w:after="0"/>
        <w:ind w:left="1184" w:right="0" w:hanging="602"/>
        <w:jc w:val="both"/>
      </w:pPr>
      <w:r>
        <w:rPr/>
        <w:t>Indicador de displasia antero posterior</w:t>
      </w:r>
      <w:r>
        <w:rPr>
          <w:spacing w:val="-15"/>
        </w:rPr>
        <w:t> </w:t>
      </w:r>
      <w:r>
        <w:rPr/>
        <w:t>(APDI)</w:t>
      </w:r>
    </w:p>
    <w:p>
      <w:pPr>
        <w:pStyle w:val="BodyText"/>
        <w:spacing w:before="5"/>
        <w:rPr>
          <w:b/>
          <w:sz w:val="29"/>
        </w:rPr>
      </w:pPr>
    </w:p>
    <w:p>
      <w:pPr>
        <w:pStyle w:val="BodyText"/>
        <w:spacing w:line="360" w:lineRule="auto"/>
        <w:ind w:left="582" w:right="127"/>
        <w:jc w:val="both"/>
      </w:pPr>
      <w:r>
        <w:rPr/>
        <w:t>El Indicador de Displasia Anteroposterior (Fig. 40) sirve para diferenciar el patrón anteroposterior de la maloclusión y está determinado por la suma aritmética de  tres</w:t>
      </w:r>
      <w:r>
        <w:rPr>
          <w:spacing w:val="-2"/>
        </w:rPr>
        <w:t> </w:t>
      </w:r>
      <w:r>
        <w:rPr/>
        <w:t>ángulos:</w:t>
      </w:r>
    </w:p>
    <w:p>
      <w:pPr>
        <w:pStyle w:val="ListParagraph"/>
        <w:numPr>
          <w:ilvl w:val="3"/>
          <w:numId w:val="12"/>
        </w:numPr>
        <w:tabs>
          <w:tab w:pos="1301" w:val="left" w:leader="none"/>
          <w:tab w:pos="1302" w:val="left" w:leader="none"/>
        </w:tabs>
        <w:spacing w:line="240" w:lineRule="auto" w:before="205" w:after="0"/>
        <w:ind w:left="582" w:right="0" w:firstLine="360"/>
        <w:jc w:val="left"/>
        <w:rPr>
          <w:sz w:val="24"/>
        </w:rPr>
      </w:pPr>
      <w:r>
        <w:rPr>
          <w:sz w:val="24"/>
        </w:rPr>
        <w:t>Plano facial/ plano</w:t>
      </w:r>
      <w:r>
        <w:rPr>
          <w:spacing w:val="-4"/>
          <w:sz w:val="24"/>
        </w:rPr>
        <w:t> </w:t>
      </w:r>
      <w:r>
        <w:rPr>
          <w:sz w:val="24"/>
        </w:rPr>
        <w:t>FH</w:t>
      </w:r>
    </w:p>
    <w:p>
      <w:pPr>
        <w:pStyle w:val="ListParagraph"/>
        <w:numPr>
          <w:ilvl w:val="3"/>
          <w:numId w:val="12"/>
        </w:numPr>
        <w:tabs>
          <w:tab w:pos="1301" w:val="left" w:leader="none"/>
          <w:tab w:pos="1302" w:val="left" w:leader="none"/>
        </w:tabs>
        <w:spacing w:line="240" w:lineRule="auto" w:before="135" w:after="0"/>
        <w:ind w:left="1302" w:right="0" w:hanging="360"/>
        <w:jc w:val="left"/>
        <w:rPr>
          <w:sz w:val="24"/>
        </w:rPr>
      </w:pPr>
      <w:r>
        <w:rPr>
          <w:sz w:val="24"/>
        </w:rPr>
        <w:t>Plano</w:t>
      </w:r>
      <w:r>
        <w:rPr>
          <w:spacing w:val="-2"/>
          <w:sz w:val="24"/>
        </w:rPr>
        <w:t> </w:t>
      </w:r>
      <w:r>
        <w:rPr>
          <w:sz w:val="24"/>
        </w:rPr>
        <w:t>facial/AB</w:t>
      </w:r>
    </w:p>
    <w:p>
      <w:pPr>
        <w:pStyle w:val="ListParagraph"/>
        <w:numPr>
          <w:ilvl w:val="3"/>
          <w:numId w:val="12"/>
        </w:numPr>
        <w:tabs>
          <w:tab w:pos="1301" w:val="left" w:leader="none"/>
          <w:tab w:pos="1302" w:val="left" w:leader="none"/>
        </w:tabs>
        <w:spacing w:line="576" w:lineRule="auto" w:before="135" w:after="0"/>
        <w:ind w:left="582" w:right="4867" w:firstLine="360"/>
        <w:jc w:val="left"/>
        <w:rPr>
          <w:sz w:val="24"/>
        </w:rPr>
      </w:pPr>
      <w:r>
        <w:rPr>
          <w:sz w:val="24"/>
        </w:rPr>
        <w:t>Plano palatino/ Plano FH (+ o -) Valor Normal: 81.4 +/-4</w:t>
      </w:r>
      <w:r>
        <w:rPr>
          <w:spacing w:val="-7"/>
          <w:sz w:val="24"/>
        </w:rPr>
        <w:t> </w:t>
      </w:r>
      <w:r>
        <w:rPr>
          <w:sz w:val="24"/>
        </w:rPr>
        <w:t>grados</w:t>
      </w:r>
    </w:p>
    <w:p>
      <w:pPr>
        <w:pStyle w:val="BodyText"/>
        <w:spacing w:line="240" w:lineRule="exact"/>
        <w:ind w:left="582"/>
        <w:jc w:val="both"/>
      </w:pPr>
      <w:r>
        <w:rPr/>
        <w:t>Un ángulo menor a 75.2 grados indica  Clase II esquelética</w:t>
      </w:r>
    </w:p>
    <w:p>
      <w:pPr>
        <w:pStyle w:val="BodyText"/>
        <w:spacing w:before="4"/>
        <w:rPr>
          <w:sz w:val="26"/>
        </w:rPr>
      </w:pPr>
    </w:p>
    <w:p>
      <w:pPr>
        <w:pStyle w:val="BodyText"/>
        <w:ind w:left="582"/>
        <w:jc w:val="both"/>
        <w:rPr>
          <w:sz w:val="16"/>
        </w:rPr>
      </w:pPr>
      <w:r>
        <w:rPr/>
        <w:t>Un ángulo mayor a 88.5 grados indica Clase III esquelética </w:t>
      </w:r>
      <w:r>
        <w:rPr>
          <w:position w:val="11"/>
          <w:sz w:val="16"/>
        </w:rPr>
        <w:t>13</w:t>
      </w:r>
    </w:p>
    <w:p>
      <w:pPr>
        <w:pStyle w:val="BodyText"/>
        <w:spacing w:before="4"/>
        <w:rPr>
          <w:sz w:val="29"/>
        </w:rPr>
      </w:pPr>
    </w:p>
    <w:p>
      <w:pPr>
        <w:pStyle w:val="BodyText"/>
        <w:spacing w:line="345" w:lineRule="auto" w:before="1"/>
        <w:ind w:left="582" w:right="117"/>
        <w:jc w:val="both"/>
        <w:rPr>
          <w:sz w:val="16"/>
        </w:rPr>
      </w:pPr>
      <w:r>
        <w:rPr/>
        <w:t>Cabe destacar que este parámetro tiene la particularidad de considerar medidas cefalométricas en el plano horizontal y vertical en la determinación de la relación sagital maxilo- mandibular. </w:t>
      </w:r>
      <w:r>
        <w:rPr>
          <w:position w:val="11"/>
          <w:sz w:val="16"/>
        </w:rPr>
        <w:t>31</w:t>
      </w:r>
    </w:p>
    <w:p>
      <w:pPr>
        <w:spacing w:after="0" w:line="345" w:lineRule="auto"/>
        <w:jc w:val="both"/>
        <w:rPr>
          <w:sz w:val="16"/>
        </w:rPr>
        <w:sectPr>
          <w:pgSz w:w="12240" w:h="15840"/>
          <w:pgMar w:header="0" w:footer="1003" w:top="1360" w:bottom="1200" w:left="1120" w:right="1580"/>
        </w:sectPr>
      </w:pPr>
    </w:p>
    <w:p>
      <w:pPr>
        <w:pStyle w:val="BodyText"/>
        <w:spacing w:line="350" w:lineRule="auto" w:before="54"/>
        <w:ind w:left="102" w:right="100" w:firstLine="67"/>
        <w:jc w:val="both"/>
        <w:rPr>
          <w:sz w:val="16"/>
        </w:rPr>
      </w:pPr>
      <w:r>
        <w:rPr/>
        <w:drawing>
          <wp:anchor distT="0" distB="0" distL="0" distR="0" allowOverlap="1" layoutInCell="1" locked="0" behindDoc="1" simplePos="0" relativeHeight="268372799">
            <wp:simplePos x="0" y="0"/>
            <wp:positionH relativeFrom="page">
              <wp:posOffset>2314575</wp:posOffset>
            </wp:positionH>
            <wp:positionV relativeFrom="paragraph">
              <wp:posOffset>1003247</wp:posOffset>
            </wp:positionV>
            <wp:extent cx="3133725" cy="1917064"/>
            <wp:effectExtent l="0" t="0" r="0" b="0"/>
            <wp:wrapNone/>
            <wp:docPr id="77" name="image46.jpeg" descr=""/>
            <wp:cNvGraphicFramePr>
              <a:graphicFrameLocks noChangeAspect="1"/>
            </wp:cNvGraphicFramePr>
            <a:graphic>
              <a:graphicData uri="http://schemas.openxmlformats.org/drawingml/2006/picture">
                <pic:pic>
                  <pic:nvPicPr>
                    <pic:cNvPr id="78" name="image46.jpeg"/>
                    <pic:cNvPicPr/>
                  </pic:nvPicPr>
                  <pic:blipFill>
                    <a:blip r:embed="rId67" cstate="print"/>
                    <a:stretch>
                      <a:fillRect/>
                    </a:stretch>
                  </pic:blipFill>
                  <pic:spPr>
                    <a:xfrm>
                      <a:off x="0" y="0"/>
                      <a:ext cx="3133725" cy="1917064"/>
                    </a:xfrm>
                    <a:prstGeom prst="rect">
                      <a:avLst/>
                    </a:prstGeom>
                  </pic:spPr>
                </pic:pic>
              </a:graphicData>
            </a:graphic>
          </wp:anchor>
        </w:drawing>
      </w:r>
      <w:r>
        <w:rPr/>
        <w:t>Este indicador refleja tanto las características esqueléticas como dentoalveolares que no pueden ser reflejados por mediciones individuales; además tiene el más alto rendimiento diagnóstico en la determinación de las maloclusiones Clase II y Clase III. </w:t>
      </w:r>
      <w:r>
        <w:rPr>
          <w:position w:val="11"/>
          <w:sz w:val="16"/>
        </w:rPr>
        <w:t>30,32</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4"/>
        <w:rPr>
          <w:sz w:val="33"/>
        </w:rPr>
      </w:pPr>
    </w:p>
    <w:p>
      <w:pPr>
        <w:spacing w:before="0"/>
        <w:ind w:left="183" w:right="185" w:firstLine="0"/>
        <w:jc w:val="center"/>
        <w:rPr>
          <w:sz w:val="20"/>
        </w:rPr>
      </w:pPr>
      <w:r>
        <w:rPr>
          <w:sz w:val="20"/>
        </w:rPr>
        <w:t>Fig. 40. Indicador de Displasia Antero Posterior.</w:t>
      </w:r>
    </w:p>
    <w:p>
      <w:pPr>
        <w:spacing w:before="3"/>
        <w:ind w:left="183" w:right="185" w:firstLine="0"/>
        <w:jc w:val="center"/>
        <w:rPr>
          <w:sz w:val="20"/>
        </w:rPr>
      </w:pPr>
      <w:r>
        <w:rPr>
          <w:sz w:val="20"/>
        </w:rPr>
        <w:t>Fuente: </w:t>
      </w:r>
      <w:hyperlink r:id="rId54">
        <w:r>
          <w:rPr>
            <w:sz w:val="20"/>
          </w:rPr>
          <w:t>http://www.orthofree.com/cms/assets/pdf/99.pdf</w:t>
        </w:r>
      </w:hyperlink>
    </w:p>
    <w:p>
      <w:pPr>
        <w:pStyle w:val="BodyText"/>
        <w:rPr>
          <w:sz w:val="20"/>
        </w:rPr>
      </w:pPr>
    </w:p>
    <w:p>
      <w:pPr>
        <w:pStyle w:val="BodyText"/>
        <w:rPr>
          <w:sz w:val="20"/>
        </w:rPr>
      </w:pPr>
    </w:p>
    <w:p>
      <w:pPr>
        <w:pStyle w:val="Heading3"/>
        <w:numPr>
          <w:ilvl w:val="0"/>
          <w:numId w:val="15"/>
        </w:numPr>
        <w:tabs>
          <w:tab w:pos="821" w:val="left" w:leader="none"/>
          <w:tab w:pos="822" w:val="left" w:leader="none"/>
        </w:tabs>
        <w:spacing w:line="240" w:lineRule="auto" w:before="168" w:after="0"/>
        <w:ind w:left="822" w:right="0" w:hanging="360"/>
        <w:jc w:val="left"/>
      </w:pPr>
      <w:r>
        <w:rPr/>
        <w:t>Plano de Frankfort horizontal a plano facial (Profundidad</w:t>
      </w:r>
      <w:r>
        <w:rPr>
          <w:spacing w:val="-15"/>
        </w:rPr>
        <w:t> </w:t>
      </w:r>
      <w:r>
        <w:rPr/>
        <w:t>facial).</w:t>
      </w:r>
    </w:p>
    <w:p>
      <w:pPr>
        <w:pStyle w:val="BodyText"/>
        <w:spacing w:before="3"/>
        <w:rPr>
          <w:b/>
          <w:sz w:val="29"/>
        </w:rPr>
      </w:pPr>
    </w:p>
    <w:p>
      <w:pPr>
        <w:pStyle w:val="BodyText"/>
        <w:spacing w:line="352" w:lineRule="auto"/>
        <w:ind w:left="102" w:right="98"/>
        <w:jc w:val="both"/>
        <w:rPr>
          <w:sz w:val="16"/>
        </w:rPr>
      </w:pPr>
      <w:r>
        <w:rPr/>
        <w:t>Este ángulo está formado por el plano horizontal de Frankfort y el plano facial (Fig. 41), la media es 87° ± 3°, localiza el mentón horizontalmente, y determina si la clase esquelética es debido a la mandíbula. El ángulo abierto se relaciona con una mandíbula con prognatismo (Fig.42), por su parte, el ángulo cerrado está relacionada con mandíbula retrognática (Fig. 43).</w:t>
      </w:r>
      <w:r>
        <w:rPr>
          <w:position w:val="11"/>
          <w:sz w:val="16"/>
        </w:rPr>
        <w:t>30</w:t>
      </w:r>
    </w:p>
    <w:p>
      <w:pPr>
        <w:pStyle w:val="BodyText"/>
        <w:spacing w:before="6"/>
        <w:rPr>
          <w:sz w:val="13"/>
        </w:rPr>
      </w:pPr>
      <w:r>
        <w:rPr/>
        <w:drawing>
          <wp:anchor distT="0" distB="0" distL="0" distR="0" allowOverlap="1" layoutInCell="1" locked="0" behindDoc="0" simplePos="0" relativeHeight="1768">
            <wp:simplePos x="0" y="0"/>
            <wp:positionH relativeFrom="page">
              <wp:posOffset>2590800</wp:posOffset>
            </wp:positionH>
            <wp:positionV relativeFrom="paragraph">
              <wp:posOffset>123990</wp:posOffset>
            </wp:positionV>
            <wp:extent cx="2594393" cy="2072258"/>
            <wp:effectExtent l="0" t="0" r="0" b="0"/>
            <wp:wrapTopAndBottom/>
            <wp:docPr id="79" name="image47.jpeg" descr=""/>
            <wp:cNvGraphicFramePr>
              <a:graphicFrameLocks noChangeAspect="1"/>
            </wp:cNvGraphicFramePr>
            <a:graphic>
              <a:graphicData uri="http://schemas.openxmlformats.org/drawingml/2006/picture">
                <pic:pic>
                  <pic:nvPicPr>
                    <pic:cNvPr id="80" name="image47.jpeg"/>
                    <pic:cNvPicPr/>
                  </pic:nvPicPr>
                  <pic:blipFill>
                    <a:blip r:embed="rId68" cstate="print"/>
                    <a:stretch>
                      <a:fillRect/>
                    </a:stretch>
                  </pic:blipFill>
                  <pic:spPr>
                    <a:xfrm>
                      <a:off x="0" y="0"/>
                      <a:ext cx="2594393" cy="2072258"/>
                    </a:xfrm>
                    <a:prstGeom prst="rect">
                      <a:avLst/>
                    </a:prstGeom>
                  </pic:spPr>
                </pic:pic>
              </a:graphicData>
            </a:graphic>
          </wp:anchor>
        </w:drawing>
      </w:r>
    </w:p>
    <w:p>
      <w:pPr>
        <w:pStyle w:val="BodyText"/>
        <w:spacing w:before="3"/>
        <w:rPr>
          <w:sz w:val="27"/>
        </w:rPr>
      </w:pPr>
    </w:p>
    <w:p>
      <w:pPr>
        <w:spacing w:line="242" w:lineRule="auto" w:before="0"/>
        <w:ind w:left="183" w:right="182" w:firstLine="0"/>
        <w:jc w:val="center"/>
        <w:rPr>
          <w:sz w:val="20"/>
        </w:rPr>
      </w:pPr>
      <w:r>
        <w:rPr>
          <w:sz w:val="20"/>
        </w:rPr>
        <w:t>Fig. 41. Ángulo plano de Frankfort a plano facial Fuente: </w:t>
      </w:r>
      <w:hyperlink r:id="rId54">
        <w:r>
          <w:rPr>
            <w:sz w:val="20"/>
          </w:rPr>
          <w:t>http://www.orthofree.com/cms/assets/pdf/99.pdf</w:t>
        </w:r>
      </w:hyperlink>
    </w:p>
    <w:p>
      <w:pPr>
        <w:spacing w:after="0" w:line="242" w:lineRule="auto"/>
        <w:jc w:val="center"/>
        <w:rPr>
          <w:sz w:val="20"/>
        </w:rPr>
        <w:sectPr>
          <w:pgSz w:w="12240" w:h="15840"/>
          <w:pgMar w:header="0" w:footer="1003" w:top="1360" w:bottom="1200" w:left="1600" w:right="1600"/>
        </w:sectPr>
      </w:pPr>
    </w:p>
    <w:p>
      <w:pPr>
        <w:spacing w:line="240" w:lineRule="auto"/>
        <w:ind w:left="133" w:right="0" w:firstLine="0"/>
        <w:rPr>
          <w:sz w:val="20"/>
        </w:rPr>
      </w:pPr>
      <w:r>
        <w:rPr>
          <w:position w:val="1"/>
          <w:sz w:val="20"/>
        </w:rPr>
        <w:drawing>
          <wp:inline distT="0" distB="0" distL="0" distR="0">
            <wp:extent cx="2824318" cy="2128837"/>
            <wp:effectExtent l="0" t="0" r="0" b="0"/>
            <wp:docPr id="81" name="image48.jpeg" descr=""/>
            <wp:cNvGraphicFramePr>
              <a:graphicFrameLocks noChangeAspect="1"/>
            </wp:cNvGraphicFramePr>
            <a:graphic>
              <a:graphicData uri="http://schemas.openxmlformats.org/drawingml/2006/picture">
                <pic:pic>
                  <pic:nvPicPr>
                    <pic:cNvPr id="82" name="image48.jpeg"/>
                    <pic:cNvPicPr/>
                  </pic:nvPicPr>
                  <pic:blipFill>
                    <a:blip r:embed="rId69" cstate="print"/>
                    <a:stretch>
                      <a:fillRect/>
                    </a:stretch>
                  </pic:blipFill>
                  <pic:spPr>
                    <a:xfrm>
                      <a:off x="0" y="0"/>
                      <a:ext cx="2824318" cy="2128837"/>
                    </a:xfrm>
                    <a:prstGeom prst="rect">
                      <a:avLst/>
                    </a:prstGeom>
                  </pic:spPr>
                </pic:pic>
              </a:graphicData>
            </a:graphic>
          </wp:inline>
        </w:drawing>
      </w:r>
      <w:r>
        <w:rPr>
          <w:position w:val="1"/>
          <w:sz w:val="20"/>
        </w:rPr>
      </w:r>
      <w:r>
        <w:rPr>
          <w:rFonts w:ascii="Times New Roman"/>
          <w:spacing w:val="75"/>
          <w:position w:val="1"/>
          <w:sz w:val="20"/>
        </w:rPr>
        <w:t> </w:t>
      </w:r>
      <w:r>
        <w:rPr>
          <w:spacing w:val="75"/>
          <w:sz w:val="20"/>
        </w:rPr>
        <w:drawing>
          <wp:inline distT="0" distB="0" distL="0" distR="0">
            <wp:extent cx="2670043" cy="2130552"/>
            <wp:effectExtent l="0" t="0" r="0" b="0"/>
            <wp:docPr id="83" name="image49.jpeg" descr=""/>
            <wp:cNvGraphicFramePr>
              <a:graphicFrameLocks noChangeAspect="1"/>
            </wp:cNvGraphicFramePr>
            <a:graphic>
              <a:graphicData uri="http://schemas.openxmlformats.org/drawingml/2006/picture">
                <pic:pic>
                  <pic:nvPicPr>
                    <pic:cNvPr id="84" name="image49.jpeg"/>
                    <pic:cNvPicPr/>
                  </pic:nvPicPr>
                  <pic:blipFill>
                    <a:blip r:embed="rId70" cstate="print"/>
                    <a:stretch>
                      <a:fillRect/>
                    </a:stretch>
                  </pic:blipFill>
                  <pic:spPr>
                    <a:xfrm>
                      <a:off x="0" y="0"/>
                      <a:ext cx="2670043" cy="2130552"/>
                    </a:xfrm>
                    <a:prstGeom prst="rect">
                      <a:avLst/>
                    </a:prstGeom>
                  </pic:spPr>
                </pic:pic>
              </a:graphicData>
            </a:graphic>
          </wp:inline>
        </w:drawing>
      </w:r>
      <w:r>
        <w:rPr>
          <w:spacing w:val="75"/>
          <w:sz w:val="20"/>
        </w:rPr>
      </w:r>
    </w:p>
    <w:p>
      <w:pPr>
        <w:pStyle w:val="BodyText"/>
        <w:spacing w:before="6"/>
        <w:rPr>
          <w:sz w:val="21"/>
        </w:rPr>
      </w:pPr>
    </w:p>
    <w:p>
      <w:pPr>
        <w:tabs>
          <w:tab w:pos="5846" w:val="left" w:leader="none"/>
        </w:tabs>
        <w:spacing w:line="448" w:lineRule="auto" w:before="74"/>
        <w:ind w:left="2041" w:right="1134" w:hanging="929"/>
        <w:jc w:val="left"/>
        <w:rPr>
          <w:sz w:val="20"/>
        </w:rPr>
      </w:pPr>
      <w:r>
        <w:rPr>
          <w:sz w:val="20"/>
        </w:rPr>
        <w:t>Fig. 42.</w:t>
      </w:r>
      <w:r>
        <w:rPr>
          <w:spacing w:val="-3"/>
          <w:sz w:val="20"/>
        </w:rPr>
        <w:t> </w:t>
      </w:r>
      <w:r>
        <w:rPr>
          <w:sz w:val="20"/>
        </w:rPr>
        <w:t>Ángulo</w:t>
      </w:r>
      <w:r>
        <w:rPr>
          <w:spacing w:val="-3"/>
          <w:sz w:val="20"/>
        </w:rPr>
        <w:t> </w:t>
      </w:r>
      <w:r>
        <w:rPr>
          <w:sz w:val="20"/>
        </w:rPr>
        <w:t>abierto</w:t>
        <w:tab/>
        <w:t>Fig. 43.</w:t>
      </w:r>
      <w:r>
        <w:rPr>
          <w:spacing w:val="-3"/>
          <w:sz w:val="20"/>
        </w:rPr>
        <w:t> </w:t>
      </w:r>
      <w:r>
        <w:rPr>
          <w:sz w:val="20"/>
        </w:rPr>
        <w:t>Ángulo</w:t>
      </w:r>
      <w:r>
        <w:rPr>
          <w:spacing w:val="-4"/>
          <w:sz w:val="20"/>
        </w:rPr>
        <w:t> </w:t>
      </w:r>
      <w:r>
        <w:rPr>
          <w:sz w:val="20"/>
        </w:rPr>
        <w:t>cerrado</w:t>
      </w:r>
      <w:r>
        <w:rPr>
          <w:w w:val="99"/>
          <w:sz w:val="20"/>
        </w:rPr>
        <w:t> </w:t>
      </w:r>
      <w:r>
        <w:rPr>
          <w:sz w:val="20"/>
        </w:rPr>
        <w:t>Fuente:</w:t>
      </w:r>
      <w:r>
        <w:rPr>
          <w:spacing w:val="-14"/>
          <w:sz w:val="20"/>
        </w:rPr>
        <w:t> </w:t>
      </w:r>
      <w:hyperlink r:id="rId54">
        <w:r>
          <w:rPr>
            <w:sz w:val="20"/>
          </w:rPr>
          <w:t>http://www.orthofree.com/cms/assets/pdf/99.pdf</w:t>
        </w:r>
      </w:hyperlink>
    </w:p>
    <w:p>
      <w:pPr>
        <w:pStyle w:val="BodyText"/>
        <w:rPr>
          <w:sz w:val="20"/>
        </w:rPr>
      </w:pPr>
    </w:p>
    <w:p>
      <w:pPr>
        <w:pStyle w:val="BodyText"/>
        <w:spacing w:before="8"/>
        <w:rPr>
          <w:sz w:val="17"/>
        </w:rPr>
      </w:pPr>
    </w:p>
    <w:p>
      <w:pPr>
        <w:pStyle w:val="Heading3"/>
        <w:numPr>
          <w:ilvl w:val="0"/>
          <w:numId w:val="15"/>
        </w:numPr>
        <w:tabs>
          <w:tab w:pos="889" w:val="left" w:leader="none"/>
          <w:tab w:pos="890" w:val="left" w:leader="none"/>
        </w:tabs>
        <w:spacing w:line="240" w:lineRule="auto" w:before="0" w:after="0"/>
        <w:ind w:left="889" w:right="0" w:hanging="427"/>
        <w:jc w:val="left"/>
      </w:pPr>
      <w:r>
        <w:rPr/>
        <w:t>Plano facial a plano</w:t>
      </w:r>
      <w:r>
        <w:rPr>
          <w:spacing w:val="-8"/>
        </w:rPr>
        <w:t> </w:t>
      </w:r>
      <w:r>
        <w:rPr>
          <w:spacing w:val="-3"/>
        </w:rPr>
        <w:t>AB</w:t>
      </w:r>
    </w:p>
    <w:p>
      <w:pPr>
        <w:pStyle w:val="BodyText"/>
        <w:spacing w:before="3"/>
        <w:rPr>
          <w:b/>
          <w:sz w:val="29"/>
        </w:rPr>
      </w:pPr>
    </w:p>
    <w:p>
      <w:pPr>
        <w:pStyle w:val="BodyText"/>
        <w:spacing w:line="360" w:lineRule="auto"/>
        <w:ind w:left="102" w:right="116"/>
        <w:jc w:val="both"/>
      </w:pPr>
      <w:r>
        <w:rPr/>
        <w:t>Este ángulo se forma por el plano facial y el plano AB (Fig.44), y determina la relación horizontal maxilo-mandibular (convexidad). Cuando un ángulo es negativo (Fig.45), indica que el punto A está hacia adelante en relación con el punto B horizontalmente, y está relacionado con una maloclusión Clase II.</w:t>
      </w:r>
    </w:p>
    <w:p>
      <w:pPr>
        <w:pStyle w:val="BodyText"/>
        <w:rPr>
          <w:sz w:val="20"/>
        </w:rPr>
      </w:pPr>
    </w:p>
    <w:p>
      <w:pPr>
        <w:pStyle w:val="BodyText"/>
        <w:rPr>
          <w:sz w:val="20"/>
        </w:rPr>
      </w:pPr>
    </w:p>
    <w:p>
      <w:pPr>
        <w:pStyle w:val="BodyText"/>
        <w:spacing w:before="10"/>
        <w:rPr>
          <w:sz w:val="27"/>
        </w:rPr>
      </w:pPr>
      <w:r>
        <w:rPr/>
        <w:drawing>
          <wp:anchor distT="0" distB="0" distL="0" distR="0" allowOverlap="1" layoutInCell="1" locked="0" behindDoc="0" simplePos="0" relativeHeight="1816">
            <wp:simplePos x="0" y="0"/>
            <wp:positionH relativeFrom="page">
              <wp:posOffset>2548001</wp:posOffset>
            </wp:positionH>
            <wp:positionV relativeFrom="paragraph">
              <wp:posOffset>228293</wp:posOffset>
            </wp:positionV>
            <wp:extent cx="2679406" cy="2306478"/>
            <wp:effectExtent l="0" t="0" r="0" b="0"/>
            <wp:wrapTopAndBottom/>
            <wp:docPr id="85" name="image50.jpeg" descr=""/>
            <wp:cNvGraphicFramePr>
              <a:graphicFrameLocks noChangeAspect="1"/>
            </wp:cNvGraphicFramePr>
            <a:graphic>
              <a:graphicData uri="http://schemas.openxmlformats.org/drawingml/2006/picture">
                <pic:pic>
                  <pic:nvPicPr>
                    <pic:cNvPr id="86" name="image50.jpeg"/>
                    <pic:cNvPicPr/>
                  </pic:nvPicPr>
                  <pic:blipFill>
                    <a:blip r:embed="rId71" cstate="print"/>
                    <a:stretch>
                      <a:fillRect/>
                    </a:stretch>
                  </pic:blipFill>
                  <pic:spPr>
                    <a:xfrm>
                      <a:off x="0" y="0"/>
                      <a:ext cx="2679406" cy="2306478"/>
                    </a:xfrm>
                    <a:prstGeom prst="rect">
                      <a:avLst/>
                    </a:prstGeom>
                  </pic:spPr>
                </pic:pic>
              </a:graphicData>
            </a:graphic>
          </wp:anchor>
        </w:drawing>
      </w:r>
    </w:p>
    <w:p>
      <w:pPr>
        <w:pStyle w:val="BodyText"/>
        <w:spacing w:before="5"/>
        <w:rPr>
          <w:sz w:val="26"/>
        </w:rPr>
      </w:pPr>
    </w:p>
    <w:p>
      <w:pPr>
        <w:spacing w:line="242" w:lineRule="auto" w:before="1"/>
        <w:ind w:left="2041" w:right="2064" w:firstLine="730"/>
        <w:jc w:val="left"/>
        <w:rPr>
          <w:sz w:val="20"/>
        </w:rPr>
      </w:pPr>
      <w:r>
        <w:rPr>
          <w:sz w:val="20"/>
        </w:rPr>
        <w:t>Fig. 45. Ángulo plano facial a plano AB. Fuente:</w:t>
      </w:r>
      <w:r>
        <w:rPr>
          <w:spacing w:val="-14"/>
          <w:sz w:val="20"/>
        </w:rPr>
        <w:t> </w:t>
      </w:r>
      <w:hyperlink r:id="rId54">
        <w:r>
          <w:rPr>
            <w:sz w:val="20"/>
          </w:rPr>
          <w:t>http://www.orthofree.com/cms/assets/pdf/99.pdf</w:t>
        </w:r>
      </w:hyperlink>
    </w:p>
    <w:p>
      <w:pPr>
        <w:spacing w:after="0" w:line="242" w:lineRule="auto"/>
        <w:jc w:val="left"/>
        <w:rPr>
          <w:sz w:val="20"/>
        </w:rPr>
        <w:sectPr>
          <w:pgSz w:w="12240" w:h="15840"/>
          <w:pgMar w:header="0" w:footer="1003" w:top="1420" w:bottom="1200" w:left="1600" w:right="1580"/>
        </w:sectPr>
      </w:pPr>
    </w:p>
    <w:p>
      <w:pPr>
        <w:pStyle w:val="BodyText"/>
        <w:spacing w:line="362" w:lineRule="auto" w:before="54"/>
        <w:ind w:left="102" w:right="107"/>
        <w:jc w:val="both"/>
      </w:pPr>
      <w:r>
        <w:rPr/>
        <w:t>Cuando un ángulo positivo (Fig. 46), indica que el punto A está detrás punto B en posición horizontal, se relaciona con una maloclusión Clase III.</w:t>
      </w:r>
    </w:p>
    <w:p>
      <w:pPr>
        <w:pStyle w:val="BodyText"/>
        <w:spacing w:before="3"/>
        <w:rPr>
          <w:sz w:val="14"/>
        </w:rPr>
      </w:pPr>
      <w:r>
        <w:rPr/>
        <w:drawing>
          <wp:anchor distT="0" distB="0" distL="0" distR="0" allowOverlap="1" layoutInCell="1" locked="0" behindDoc="0" simplePos="0" relativeHeight="1840">
            <wp:simplePos x="0" y="0"/>
            <wp:positionH relativeFrom="page">
              <wp:posOffset>1120139</wp:posOffset>
            </wp:positionH>
            <wp:positionV relativeFrom="paragraph">
              <wp:posOffset>129030</wp:posOffset>
            </wp:positionV>
            <wp:extent cx="5561730" cy="2357628"/>
            <wp:effectExtent l="0" t="0" r="0" b="0"/>
            <wp:wrapTopAndBottom/>
            <wp:docPr id="87" name="image51.png" descr=""/>
            <wp:cNvGraphicFramePr>
              <a:graphicFrameLocks noChangeAspect="1"/>
            </wp:cNvGraphicFramePr>
            <a:graphic>
              <a:graphicData uri="http://schemas.openxmlformats.org/drawingml/2006/picture">
                <pic:pic>
                  <pic:nvPicPr>
                    <pic:cNvPr id="88" name="image51.png"/>
                    <pic:cNvPicPr/>
                  </pic:nvPicPr>
                  <pic:blipFill>
                    <a:blip r:embed="rId72" cstate="print"/>
                    <a:stretch>
                      <a:fillRect/>
                    </a:stretch>
                  </pic:blipFill>
                  <pic:spPr>
                    <a:xfrm>
                      <a:off x="0" y="0"/>
                      <a:ext cx="5561730" cy="2357628"/>
                    </a:xfrm>
                    <a:prstGeom prst="rect">
                      <a:avLst/>
                    </a:prstGeom>
                  </pic:spPr>
                </pic:pic>
              </a:graphicData>
            </a:graphic>
          </wp:anchor>
        </w:drawing>
      </w:r>
    </w:p>
    <w:p>
      <w:pPr>
        <w:pStyle w:val="BodyText"/>
        <w:spacing w:before="6"/>
        <w:rPr>
          <w:sz w:val="27"/>
        </w:rPr>
      </w:pPr>
    </w:p>
    <w:p>
      <w:pPr>
        <w:tabs>
          <w:tab w:pos="5894" w:val="left" w:leader="none"/>
        </w:tabs>
        <w:spacing w:line="448" w:lineRule="auto" w:before="0"/>
        <w:ind w:left="2041" w:right="1068" w:hanging="975"/>
        <w:jc w:val="left"/>
        <w:rPr>
          <w:sz w:val="20"/>
        </w:rPr>
      </w:pPr>
      <w:r>
        <w:rPr>
          <w:sz w:val="20"/>
        </w:rPr>
        <w:t>Fig. 45.</w:t>
      </w:r>
      <w:r>
        <w:rPr>
          <w:spacing w:val="-3"/>
          <w:sz w:val="20"/>
        </w:rPr>
        <w:t> </w:t>
      </w:r>
      <w:r>
        <w:rPr>
          <w:sz w:val="20"/>
        </w:rPr>
        <w:t>Ángulo</w:t>
      </w:r>
      <w:r>
        <w:rPr>
          <w:spacing w:val="-3"/>
          <w:sz w:val="20"/>
        </w:rPr>
        <w:t> </w:t>
      </w:r>
      <w:r>
        <w:rPr>
          <w:sz w:val="20"/>
        </w:rPr>
        <w:t>negativo</w:t>
        <w:tab/>
        <w:t>Fig. 46.</w:t>
      </w:r>
      <w:r>
        <w:rPr>
          <w:spacing w:val="-6"/>
          <w:sz w:val="20"/>
        </w:rPr>
        <w:t> </w:t>
      </w:r>
      <w:r>
        <w:rPr>
          <w:sz w:val="20"/>
        </w:rPr>
        <w:t>Ángulo</w:t>
      </w:r>
      <w:r>
        <w:rPr>
          <w:spacing w:val="-4"/>
          <w:sz w:val="20"/>
        </w:rPr>
        <w:t> </w:t>
      </w:r>
      <w:r>
        <w:rPr>
          <w:sz w:val="20"/>
        </w:rPr>
        <w:t>positivo</w:t>
      </w:r>
      <w:r>
        <w:rPr>
          <w:w w:val="99"/>
          <w:sz w:val="20"/>
        </w:rPr>
        <w:t> </w:t>
      </w:r>
      <w:r>
        <w:rPr>
          <w:sz w:val="20"/>
        </w:rPr>
        <w:t>Fuente:</w:t>
      </w:r>
      <w:r>
        <w:rPr>
          <w:spacing w:val="-14"/>
          <w:sz w:val="20"/>
        </w:rPr>
        <w:t> </w:t>
      </w:r>
      <w:hyperlink r:id="rId54">
        <w:r>
          <w:rPr>
            <w:sz w:val="20"/>
          </w:rPr>
          <w:t>http://www.orthofree.com/cms/assets/pdf/99.pdf</w:t>
        </w:r>
      </w:hyperlink>
    </w:p>
    <w:p>
      <w:pPr>
        <w:pStyle w:val="BodyText"/>
        <w:rPr>
          <w:sz w:val="20"/>
        </w:rPr>
      </w:pPr>
    </w:p>
    <w:p>
      <w:pPr>
        <w:pStyle w:val="BodyText"/>
        <w:spacing w:before="7"/>
        <w:rPr>
          <w:sz w:val="17"/>
        </w:rPr>
      </w:pPr>
    </w:p>
    <w:p>
      <w:pPr>
        <w:pStyle w:val="BodyText"/>
        <w:spacing w:line="352" w:lineRule="auto" w:before="1"/>
        <w:ind w:left="102" w:right="99"/>
        <w:jc w:val="both"/>
        <w:rPr>
          <w:sz w:val="16"/>
        </w:rPr>
      </w:pPr>
      <w:r>
        <w:rPr/>
        <w:t>Para establecer la convexidad facial se utiliza el ángulo FP-AB, y es necesario conocer la posición mandibular (FH-FP). Si la mandíbula es prognática, el ángulo FP-AB será cerrado con una tendencia a un ángulo positivo (Cl III). Mientras tanto, si la mandíbula es retrognática, la convexidad se incrementará y el ángulo será abierto con una tendencia de Clase II.</w:t>
      </w:r>
      <w:r>
        <w:rPr>
          <w:position w:val="11"/>
          <w:sz w:val="16"/>
        </w:rPr>
        <w:t>32,33</w:t>
      </w:r>
    </w:p>
    <w:p>
      <w:pPr>
        <w:pStyle w:val="BodyText"/>
        <w:rPr>
          <w:sz w:val="28"/>
        </w:rPr>
      </w:pPr>
    </w:p>
    <w:p>
      <w:pPr>
        <w:pStyle w:val="BodyText"/>
        <w:rPr>
          <w:sz w:val="28"/>
        </w:rPr>
      </w:pPr>
    </w:p>
    <w:p>
      <w:pPr>
        <w:pStyle w:val="Heading3"/>
        <w:numPr>
          <w:ilvl w:val="0"/>
          <w:numId w:val="15"/>
        </w:numPr>
        <w:tabs>
          <w:tab w:pos="891" w:val="left" w:leader="none"/>
          <w:tab w:pos="892" w:val="left" w:leader="none"/>
        </w:tabs>
        <w:spacing w:line="240" w:lineRule="auto" w:before="166" w:after="0"/>
        <w:ind w:left="891" w:right="0" w:hanging="429"/>
        <w:jc w:val="left"/>
      </w:pPr>
      <w:r>
        <w:rPr/>
        <w:t>Ángulo del plano horizontal de Frankfort al plano</w:t>
      </w:r>
      <w:r>
        <w:rPr>
          <w:spacing w:val="-11"/>
        </w:rPr>
        <w:t> </w:t>
      </w:r>
      <w:r>
        <w:rPr/>
        <w:t>palatino.</w:t>
      </w:r>
    </w:p>
    <w:p>
      <w:pPr>
        <w:pStyle w:val="BodyText"/>
        <w:rPr>
          <w:b/>
          <w:sz w:val="29"/>
        </w:rPr>
      </w:pPr>
    </w:p>
    <w:p>
      <w:pPr>
        <w:pStyle w:val="BodyText"/>
        <w:spacing w:line="355" w:lineRule="auto"/>
        <w:ind w:left="102" w:right="98"/>
        <w:jc w:val="both"/>
        <w:rPr>
          <w:sz w:val="16"/>
        </w:rPr>
      </w:pPr>
      <w:r>
        <w:rPr/>
        <w:t>Este ángulo se obtiene a partir del plano horizontal de Frankfort y el plano palatino la media es -2° aproximadamente y representa la posición palatina. Un ángulo negativo (Fig. 47) indica que el paladar está dirigido hacia arriba y hacia adelante. Horizontalmente, se relaciona con la maloclusión clase II. Un ángulo positivo (Fig.48) indica que el paladar está dirigido hacia abajo y hacia adelante. Horizontalmente, que está relacionado con una maloclusión Clase III.</w:t>
      </w:r>
      <w:r>
        <w:rPr>
          <w:position w:val="11"/>
          <w:sz w:val="16"/>
        </w:rPr>
        <w:t>32,33</w:t>
      </w:r>
    </w:p>
    <w:p>
      <w:pPr>
        <w:spacing w:after="0" w:line="355" w:lineRule="auto"/>
        <w:jc w:val="both"/>
        <w:rPr>
          <w:sz w:val="16"/>
        </w:rPr>
        <w:sectPr>
          <w:pgSz w:w="12240" w:h="15840"/>
          <w:pgMar w:header="0" w:footer="1003" w:top="1360" w:bottom="1200" w:left="1600" w:right="1600"/>
        </w:sectPr>
      </w:pPr>
    </w:p>
    <w:p>
      <w:pPr>
        <w:tabs>
          <w:tab w:pos="5392" w:val="left" w:leader="none"/>
        </w:tabs>
        <w:spacing w:line="240" w:lineRule="auto"/>
        <w:ind w:left="107" w:right="0" w:firstLine="0"/>
        <w:rPr>
          <w:sz w:val="20"/>
        </w:rPr>
      </w:pPr>
      <w:r>
        <w:rPr>
          <w:position w:val="5"/>
          <w:sz w:val="20"/>
        </w:rPr>
        <w:drawing>
          <wp:inline distT="0" distB="0" distL="0" distR="0">
            <wp:extent cx="2826643" cy="2502598"/>
            <wp:effectExtent l="0" t="0" r="0" b="0"/>
            <wp:docPr id="89" name="image52.jpeg" descr=""/>
            <wp:cNvGraphicFramePr>
              <a:graphicFrameLocks noChangeAspect="1"/>
            </wp:cNvGraphicFramePr>
            <a:graphic>
              <a:graphicData uri="http://schemas.openxmlformats.org/drawingml/2006/picture">
                <pic:pic>
                  <pic:nvPicPr>
                    <pic:cNvPr id="90" name="image52.jpeg"/>
                    <pic:cNvPicPr/>
                  </pic:nvPicPr>
                  <pic:blipFill>
                    <a:blip r:embed="rId73" cstate="print"/>
                    <a:stretch>
                      <a:fillRect/>
                    </a:stretch>
                  </pic:blipFill>
                  <pic:spPr>
                    <a:xfrm>
                      <a:off x="0" y="0"/>
                      <a:ext cx="2826643" cy="2502598"/>
                    </a:xfrm>
                    <a:prstGeom prst="rect">
                      <a:avLst/>
                    </a:prstGeom>
                  </pic:spPr>
                </pic:pic>
              </a:graphicData>
            </a:graphic>
          </wp:inline>
        </w:drawing>
      </w:r>
      <w:r>
        <w:rPr>
          <w:position w:val="5"/>
          <w:sz w:val="20"/>
        </w:rPr>
      </w:r>
      <w:r>
        <w:rPr>
          <w:position w:val="5"/>
          <w:sz w:val="20"/>
        </w:rPr>
        <w:tab/>
      </w:r>
      <w:r>
        <w:rPr>
          <w:sz w:val="20"/>
        </w:rPr>
        <w:drawing>
          <wp:inline distT="0" distB="0" distL="0" distR="0">
            <wp:extent cx="2884823" cy="2535745"/>
            <wp:effectExtent l="0" t="0" r="0" b="0"/>
            <wp:docPr id="91" name="image53.jpeg" descr=""/>
            <wp:cNvGraphicFramePr>
              <a:graphicFrameLocks noChangeAspect="1"/>
            </wp:cNvGraphicFramePr>
            <a:graphic>
              <a:graphicData uri="http://schemas.openxmlformats.org/drawingml/2006/picture">
                <pic:pic>
                  <pic:nvPicPr>
                    <pic:cNvPr id="92" name="image53.jpeg"/>
                    <pic:cNvPicPr/>
                  </pic:nvPicPr>
                  <pic:blipFill>
                    <a:blip r:embed="rId74" cstate="print"/>
                    <a:stretch>
                      <a:fillRect/>
                    </a:stretch>
                  </pic:blipFill>
                  <pic:spPr>
                    <a:xfrm>
                      <a:off x="0" y="0"/>
                      <a:ext cx="2884823" cy="2535745"/>
                    </a:xfrm>
                    <a:prstGeom prst="rect">
                      <a:avLst/>
                    </a:prstGeom>
                  </pic:spPr>
                </pic:pic>
              </a:graphicData>
            </a:graphic>
          </wp:inline>
        </w:drawing>
      </w:r>
      <w:r>
        <w:rPr>
          <w:sz w:val="20"/>
        </w:rPr>
      </w:r>
    </w:p>
    <w:p>
      <w:pPr>
        <w:tabs>
          <w:tab w:pos="6409" w:val="left" w:leader="none"/>
        </w:tabs>
        <w:spacing w:line="568" w:lineRule="auto" w:before="0"/>
        <w:ind w:left="2501" w:right="1553" w:hanging="1030"/>
        <w:jc w:val="left"/>
        <w:rPr>
          <w:sz w:val="20"/>
        </w:rPr>
      </w:pPr>
      <w:r>
        <w:rPr>
          <w:sz w:val="20"/>
        </w:rPr>
        <w:t>Fig. 47.</w:t>
      </w:r>
      <w:r>
        <w:rPr>
          <w:spacing w:val="-3"/>
          <w:sz w:val="20"/>
        </w:rPr>
        <w:t> </w:t>
      </w:r>
      <w:r>
        <w:rPr>
          <w:sz w:val="20"/>
        </w:rPr>
        <w:t>Ángulo</w:t>
      </w:r>
      <w:r>
        <w:rPr>
          <w:spacing w:val="-3"/>
          <w:sz w:val="20"/>
        </w:rPr>
        <w:t> </w:t>
      </w:r>
      <w:r>
        <w:rPr>
          <w:sz w:val="20"/>
        </w:rPr>
        <w:t>negativo</w:t>
        <w:tab/>
        <w:t>Fig. 48.</w:t>
      </w:r>
      <w:r>
        <w:rPr>
          <w:spacing w:val="-6"/>
          <w:sz w:val="20"/>
        </w:rPr>
        <w:t> </w:t>
      </w:r>
      <w:r>
        <w:rPr>
          <w:sz w:val="20"/>
        </w:rPr>
        <w:t>Ángulo</w:t>
      </w:r>
      <w:r>
        <w:rPr>
          <w:spacing w:val="-5"/>
          <w:sz w:val="20"/>
        </w:rPr>
        <w:t> </w:t>
      </w:r>
      <w:r>
        <w:rPr>
          <w:sz w:val="20"/>
        </w:rPr>
        <w:t>positivo</w:t>
      </w:r>
      <w:r>
        <w:rPr>
          <w:w w:val="99"/>
          <w:sz w:val="20"/>
        </w:rPr>
        <w:t> </w:t>
      </w:r>
      <w:r>
        <w:rPr>
          <w:sz w:val="20"/>
        </w:rPr>
        <w:t>Fuente:</w:t>
      </w:r>
      <w:r>
        <w:rPr>
          <w:spacing w:val="-14"/>
          <w:sz w:val="20"/>
        </w:rPr>
        <w:t> </w:t>
      </w:r>
      <w:hyperlink r:id="rId54">
        <w:r>
          <w:rPr>
            <w:sz w:val="20"/>
          </w:rPr>
          <w:t>http://www.orthofree.com/cms/assets/pdf/99.pdf</w:t>
        </w:r>
      </w:hyperlink>
    </w:p>
    <w:p>
      <w:pPr>
        <w:pStyle w:val="BodyText"/>
        <w:rPr>
          <w:sz w:val="20"/>
        </w:rPr>
      </w:pPr>
    </w:p>
    <w:p>
      <w:pPr>
        <w:pStyle w:val="BodyText"/>
      </w:pPr>
    </w:p>
    <w:p>
      <w:pPr>
        <w:pStyle w:val="Heading3"/>
        <w:numPr>
          <w:ilvl w:val="2"/>
          <w:numId w:val="12"/>
        </w:numPr>
        <w:tabs>
          <w:tab w:pos="1165" w:val="left" w:leader="none"/>
        </w:tabs>
        <w:spacing w:line="240" w:lineRule="auto" w:before="0" w:after="0"/>
        <w:ind w:left="1164" w:right="0" w:hanging="602"/>
        <w:jc w:val="both"/>
      </w:pPr>
      <w:r>
        <w:rPr/>
        <w:t>Índice de extracción</w:t>
      </w:r>
      <w:r>
        <w:rPr>
          <w:spacing w:val="-7"/>
        </w:rPr>
        <w:t> </w:t>
      </w:r>
      <w:r>
        <w:rPr/>
        <w:t>(IE)</w:t>
      </w:r>
    </w:p>
    <w:p>
      <w:pPr>
        <w:pStyle w:val="BodyText"/>
        <w:spacing w:before="4"/>
        <w:rPr>
          <w:b/>
          <w:sz w:val="29"/>
        </w:rPr>
      </w:pPr>
    </w:p>
    <w:p>
      <w:pPr>
        <w:pStyle w:val="BodyText"/>
        <w:spacing w:line="345" w:lineRule="auto" w:before="1"/>
        <w:ind w:left="562" w:right="640"/>
        <w:jc w:val="both"/>
        <w:rPr>
          <w:sz w:val="16"/>
        </w:rPr>
      </w:pPr>
      <w:r>
        <w:rPr/>
        <w:t>Es el factor de combinación influenciado por el ángulo interincisivo y el grado de protrusión labial. Se obtiene determinando que tan protruido o no está el labio superior y el labio inferior respecto al plano “E” (Fig.49). </w:t>
      </w:r>
      <w:r>
        <w:rPr>
          <w:position w:val="11"/>
          <w:sz w:val="16"/>
        </w:rPr>
        <w:t>26</w:t>
      </w:r>
    </w:p>
    <w:p>
      <w:pPr>
        <w:pStyle w:val="BodyText"/>
        <w:spacing w:line="360" w:lineRule="auto" w:before="201"/>
        <w:ind w:left="562" w:right="634"/>
        <w:jc w:val="both"/>
      </w:pPr>
      <w:r>
        <w:rPr/>
        <w:t>El Índice de Extracción nos da una forma objetiva de evaluar si es necesario extraer los dientes para el tratamiento de Ortodoncia, teniendo en cuenta el equilibrio horizontal y vertical con dos aspectos estéticos: a) La posición del labio respecto la línea estética, y b) la posición interincisal.</w:t>
      </w:r>
    </w:p>
    <w:p>
      <w:pPr>
        <w:pStyle w:val="BodyText"/>
        <w:spacing w:line="360" w:lineRule="auto" w:before="204"/>
        <w:ind w:left="562" w:right="636"/>
        <w:jc w:val="both"/>
      </w:pPr>
      <w:r>
        <w:rPr/>
        <w:t>Esta medición se obtiene por la suma de Factor de Combinacion, el ángulo interincisal (IIA) y la protrusión o retrusión de los labios. Si el ángulo interincisal (IIA) es menor que la norma (130°) calcula la siguiente fórmula (130 - IIA ÷ 5 =), Si el IIA es mayor que la norma (130°) calcular la siguiente fórmula (IIA - 130 ÷ 5   =).</w:t>
      </w:r>
    </w:p>
    <w:p>
      <w:pPr>
        <w:spacing w:line="154" w:lineRule="exact" w:before="0"/>
        <w:ind w:left="562" w:right="0" w:firstLine="0"/>
        <w:jc w:val="both"/>
        <w:rPr>
          <w:sz w:val="16"/>
        </w:rPr>
      </w:pPr>
      <w:r>
        <w:rPr>
          <w:sz w:val="16"/>
        </w:rPr>
        <w:t>13,26</w:t>
      </w:r>
    </w:p>
    <w:p>
      <w:pPr>
        <w:pStyle w:val="BodyText"/>
        <w:rPr>
          <w:sz w:val="16"/>
        </w:rPr>
      </w:pPr>
    </w:p>
    <w:p>
      <w:pPr>
        <w:pStyle w:val="BodyText"/>
        <w:rPr>
          <w:sz w:val="16"/>
        </w:rPr>
      </w:pPr>
    </w:p>
    <w:p>
      <w:pPr>
        <w:pStyle w:val="BodyText"/>
        <w:spacing w:before="95"/>
        <w:ind w:left="562"/>
        <w:jc w:val="both"/>
      </w:pPr>
      <w:r>
        <w:rPr/>
        <w:t>La distancia entre los labios y la línea estética se mide en milímetros.</w:t>
      </w:r>
    </w:p>
    <w:p>
      <w:pPr>
        <w:spacing w:after="0"/>
        <w:jc w:val="both"/>
        <w:sectPr>
          <w:pgSz w:w="12240" w:h="15840"/>
          <w:pgMar w:header="0" w:footer="1003" w:top="1340" w:bottom="1200" w:left="1140" w:right="1060"/>
        </w:sectPr>
      </w:pPr>
    </w:p>
    <w:p>
      <w:pPr>
        <w:pStyle w:val="BodyText"/>
        <w:spacing w:line="360" w:lineRule="auto" w:before="54"/>
        <w:ind w:left="102" w:right="99"/>
        <w:jc w:val="both"/>
      </w:pPr>
      <w:r>
        <w:rPr/>
        <w:t>Si el ángulo interincisal es agudo se relaciona con la protrusión dental, lo que indica una tendencia hacia la extracción. El ángulo interincisal obtuso está relacionado con una retrusión dental que conduce a ninguna extracción.</w:t>
      </w:r>
    </w:p>
    <w:p>
      <w:pPr>
        <w:pStyle w:val="BodyText"/>
        <w:spacing w:line="331" w:lineRule="auto" w:before="204"/>
        <w:ind w:left="102" w:right="106"/>
        <w:jc w:val="both"/>
        <w:rPr>
          <w:sz w:val="16"/>
        </w:rPr>
      </w:pPr>
      <w:r>
        <w:rPr/>
        <w:t>Una posición labial retrusiva está relacionada con la no extracción y una posición labial de protrusión  está relacionada con la extracción. </w:t>
      </w:r>
      <w:r>
        <w:rPr>
          <w:position w:val="11"/>
          <w:sz w:val="16"/>
        </w:rPr>
        <w:t>26</w:t>
      </w:r>
    </w:p>
    <w:p>
      <w:pPr>
        <w:pStyle w:val="BodyText"/>
        <w:rPr>
          <w:sz w:val="16"/>
        </w:rPr>
      </w:pPr>
      <w:r>
        <w:rPr/>
        <w:drawing>
          <wp:anchor distT="0" distB="0" distL="0" distR="0" allowOverlap="1" layoutInCell="1" locked="0" behindDoc="0" simplePos="0" relativeHeight="1864">
            <wp:simplePos x="0" y="0"/>
            <wp:positionH relativeFrom="page">
              <wp:posOffset>2514600</wp:posOffset>
            </wp:positionH>
            <wp:positionV relativeFrom="paragraph">
              <wp:posOffset>142096</wp:posOffset>
            </wp:positionV>
            <wp:extent cx="2737155" cy="2495645"/>
            <wp:effectExtent l="0" t="0" r="0" b="0"/>
            <wp:wrapTopAndBottom/>
            <wp:docPr id="93" name="image54.jpeg" descr=""/>
            <wp:cNvGraphicFramePr>
              <a:graphicFrameLocks noChangeAspect="1"/>
            </wp:cNvGraphicFramePr>
            <a:graphic>
              <a:graphicData uri="http://schemas.openxmlformats.org/drawingml/2006/picture">
                <pic:pic>
                  <pic:nvPicPr>
                    <pic:cNvPr id="94" name="image54.jpeg"/>
                    <pic:cNvPicPr/>
                  </pic:nvPicPr>
                  <pic:blipFill>
                    <a:blip r:embed="rId76" cstate="print"/>
                    <a:stretch>
                      <a:fillRect/>
                    </a:stretch>
                  </pic:blipFill>
                  <pic:spPr>
                    <a:xfrm>
                      <a:off x="0" y="0"/>
                      <a:ext cx="2737155" cy="2495645"/>
                    </a:xfrm>
                    <a:prstGeom prst="rect">
                      <a:avLst/>
                    </a:prstGeom>
                  </pic:spPr>
                </pic:pic>
              </a:graphicData>
            </a:graphic>
          </wp:anchor>
        </w:drawing>
      </w:r>
    </w:p>
    <w:p>
      <w:pPr>
        <w:pStyle w:val="BodyText"/>
        <w:spacing w:before="2"/>
        <w:rPr>
          <w:sz w:val="26"/>
        </w:rPr>
      </w:pPr>
    </w:p>
    <w:p>
      <w:pPr>
        <w:spacing w:before="0"/>
        <w:ind w:left="183" w:right="183" w:firstLine="0"/>
        <w:jc w:val="center"/>
        <w:rPr>
          <w:sz w:val="20"/>
        </w:rPr>
      </w:pPr>
      <w:r>
        <w:rPr>
          <w:sz w:val="20"/>
        </w:rPr>
        <w:t>Figura 49. Índice de extracciones.</w:t>
      </w:r>
    </w:p>
    <w:p>
      <w:pPr>
        <w:spacing w:before="3"/>
        <w:ind w:left="183" w:right="186" w:firstLine="0"/>
        <w:jc w:val="center"/>
        <w:rPr>
          <w:sz w:val="20"/>
        </w:rPr>
      </w:pPr>
      <w:r>
        <w:rPr>
          <w:sz w:val="20"/>
        </w:rPr>
        <w:t>Fuente: </w:t>
      </w:r>
      <w:hyperlink r:id="rId54">
        <w:r>
          <w:rPr>
            <w:sz w:val="20"/>
          </w:rPr>
          <w:t>http://www.orthofree.com/cms/assets/pdf/99.pdf</w:t>
        </w:r>
      </w:hyperlink>
    </w:p>
    <w:p>
      <w:pPr>
        <w:spacing w:after="0"/>
        <w:jc w:val="center"/>
        <w:rPr>
          <w:sz w:val="20"/>
        </w:rPr>
        <w:sectPr>
          <w:footerReference w:type="default" r:id="rId75"/>
          <w:pgSz w:w="12240" w:h="15840"/>
          <w:pgMar w:footer="1003" w:header="0" w:top="1360" w:bottom="1200" w:left="1600" w:right="1600"/>
        </w:sectPr>
      </w:pPr>
    </w:p>
    <w:p>
      <w:pPr>
        <w:pStyle w:val="Heading3"/>
        <w:numPr>
          <w:ilvl w:val="1"/>
          <w:numId w:val="12"/>
        </w:numPr>
        <w:tabs>
          <w:tab w:pos="890" w:val="left" w:leader="none"/>
        </w:tabs>
        <w:spacing w:line="240" w:lineRule="auto" w:before="54" w:after="0"/>
        <w:ind w:left="889" w:right="0" w:hanging="427"/>
        <w:jc w:val="left"/>
      </w:pPr>
      <w:r>
        <w:rPr/>
        <w:t>Grupos étnicos y</w:t>
      </w:r>
      <w:r>
        <w:rPr>
          <w:spacing w:val="-7"/>
        </w:rPr>
        <w:t> </w:t>
      </w:r>
      <w:r>
        <w:rPr/>
        <w:t>raciales</w:t>
      </w:r>
    </w:p>
    <w:p>
      <w:pPr>
        <w:pStyle w:val="BodyText"/>
        <w:spacing w:before="5"/>
        <w:rPr>
          <w:b/>
          <w:sz w:val="29"/>
        </w:rPr>
      </w:pPr>
    </w:p>
    <w:p>
      <w:pPr>
        <w:pStyle w:val="BodyText"/>
        <w:spacing w:line="360" w:lineRule="auto"/>
        <w:ind w:left="102" w:right="114"/>
        <w:jc w:val="both"/>
      </w:pPr>
      <w:r>
        <w:rPr/>
        <w:t>La variabilidad de las características craneofaciales de diferentes grupos étnicos y raciales, fue descrita en muchos estudios que mencionan la adopción de los valores normales medios para cada grupo étnico específico como un referente. Así, cada grupo debe ser evaluado por separado, teniendo en cuenta sus características personales. Por ejemplo, los pacientes de raza negra presentan el maxilar más sobresaliente, en relación con la base del cráneo, y los incisivos tanto superiores como inferiores se encuentran más inclinados que los de los </w:t>
      </w:r>
      <w:r>
        <w:rPr>
          <w:spacing w:val="29"/>
        </w:rPr>
        <w:t> </w:t>
      </w:r>
      <w:r>
        <w:rPr/>
        <w:t>pacientes</w:t>
      </w:r>
    </w:p>
    <w:p>
      <w:pPr>
        <w:pStyle w:val="BodyText"/>
        <w:spacing w:line="282" w:lineRule="exact"/>
        <w:ind w:left="102"/>
        <w:jc w:val="both"/>
      </w:pPr>
      <w:r>
        <w:rPr/>
        <w:t>de raza blanca.</w:t>
      </w:r>
      <w:r>
        <w:rPr>
          <w:position w:val="11"/>
          <w:sz w:val="16"/>
        </w:rPr>
        <w:t>21 </w:t>
      </w:r>
      <w:r>
        <w:rPr/>
        <w:t>(Fig. 50)</w:t>
      </w:r>
    </w:p>
    <w:p>
      <w:pPr>
        <w:pStyle w:val="BodyText"/>
        <w:rPr>
          <w:sz w:val="20"/>
        </w:rPr>
      </w:pPr>
    </w:p>
    <w:p>
      <w:pPr>
        <w:pStyle w:val="BodyText"/>
        <w:rPr>
          <w:sz w:val="10"/>
        </w:rPr>
      </w:pPr>
      <w:r>
        <w:rPr/>
        <w:drawing>
          <wp:anchor distT="0" distB="0" distL="0" distR="0" allowOverlap="1" layoutInCell="1" locked="0" behindDoc="0" simplePos="0" relativeHeight="1888">
            <wp:simplePos x="0" y="0"/>
            <wp:positionH relativeFrom="page">
              <wp:posOffset>2325623</wp:posOffset>
            </wp:positionH>
            <wp:positionV relativeFrom="paragraph">
              <wp:posOffset>98399</wp:posOffset>
            </wp:positionV>
            <wp:extent cx="3109816" cy="2427731"/>
            <wp:effectExtent l="0" t="0" r="0" b="0"/>
            <wp:wrapTopAndBottom/>
            <wp:docPr id="95" name="image55.png" descr=""/>
            <wp:cNvGraphicFramePr>
              <a:graphicFrameLocks noChangeAspect="1"/>
            </wp:cNvGraphicFramePr>
            <a:graphic>
              <a:graphicData uri="http://schemas.openxmlformats.org/drawingml/2006/picture">
                <pic:pic>
                  <pic:nvPicPr>
                    <pic:cNvPr id="96" name="image55.png"/>
                    <pic:cNvPicPr/>
                  </pic:nvPicPr>
                  <pic:blipFill>
                    <a:blip r:embed="rId78" cstate="print"/>
                    <a:stretch>
                      <a:fillRect/>
                    </a:stretch>
                  </pic:blipFill>
                  <pic:spPr>
                    <a:xfrm>
                      <a:off x="0" y="0"/>
                      <a:ext cx="3109816" cy="2427731"/>
                    </a:xfrm>
                    <a:prstGeom prst="rect">
                      <a:avLst/>
                    </a:prstGeom>
                  </pic:spPr>
                </pic:pic>
              </a:graphicData>
            </a:graphic>
          </wp:anchor>
        </w:drawing>
      </w:r>
    </w:p>
    <w:p>
      <w:pPr>
        <w:pStyle w:val="BodyText"/>
        <w:spacing w:before="10"/>
        <w:rPr>
          <w:sz w:val="29"/>
        </w:rPr>
      </w:pPr>
    </w:p>
    <w:p>
      <w:pPr>
        <w:spacing w:before="0"/>
        <w:ind w:left="800" w:right="821" w:firstLine="0"/>
        <w:jc w:val="center"/>
        <w:rPr>
          <w:sz w:val="20"/>
        </w:rPr>
      </w:pPr>
      <w:r>
        <w:rPr>
          <w:sz w:val="20"/>
        </w:rPr>
        <w:t>Fig. 50. Diferencias raciales</w:t>
      </w:r>
    </w:p>
    <w:p>
      <w:pPr>
        <w:spacing w:before="3"/>
        <w:ind w:left="803" w:right="821" w:firstLine="0"/>
        <w:jc w:val="center"/>
        <w:rPr>
          <w:sz w:val="20"/>
        </w:rPr>
      </w:pPr>
      <w:r>
        <w:rPr>
          <w:sz w:val="20"/>
        </w:rPr>
        <w:t>Fuente: https://ciconcept.wordpress.com/tag/evolucion-cultural/</w:t>
      </w:r>
    </w:p>
    <w:p>
      <w:pPr>
        <w:pStyle w:val="BodyText"/>
        <w:rPr>
          <w:sz w:val="20"/>
        </w:rPr>
      </w:pPr>
    </w:p>
    <w:p>
      <w:pPr>
        <w:pStyle w:val="BodyText"/>
        <w:rPr>
          <w:sz w:val="20"/>
        </w:rPr>
      </w:pPr>
    </w:p>
    <w:p>
      <w:pPr>
        <w:pStyle w:val="BodyText"/>
        <w:spacing w:line="350" w:lineRule="auto" w:before="167"/>
        <w:ind w:left="102" w:right="120"/>
        <w:jc w:val="both"/>
        <w:rPr>
          <w:sz w:val="16"/>
        </w:rPr>
      </w:pPr>
      <w:r>
        <w:rPr/>
        <w:t>Se ha sugerido que los diferentes grupos raciales y étnicos muestran diferentes normas que las de su contraparte caucásica. Comparativamente no hay suficiente información disponible que establezca las normas para todos los grupos raciales y étnicos en específico.</w:t>
      </w:r>
      <w:r>
        <w:rPr>
          <w:position w:val="11"/>
          <w:sz w:val="16"/>
        </w:rPr>
        <w:t>34</w:t>
      </w:r>
    </w:p>
    <w:p>
      <w:pPr>
        <w:pStyle w:val="BodyText"/>
        <w:spacing w:line="350" w:lineRule="auto" w:before="198"/>
        <w:ind w:left="102" w:right="122"/>
        <w:jc w:val="both"/>
        <w:rPr>
          <w:sz w:val="16"/>
        </w:rPr>
      </w:pPr>
      <w:r>
        <w:rPr/>
        <w:t>Los distintos análisis cefalométricos se basan en medidas estadísticas tomadas de muestras seleccionadas de un grupo poblacional considerado estética y funcionalmente ideal, a fin de proporcionar una medida de comparación entre el promedio poblacional esperado y los valores obtenidos del grupo de estudio. </w:t>
      </w:r>
      <w:r>
        <w:rPr>
          <w:position w:val="11"/>
          <w:sz w:val="16"/>
        </w:rPr>
        <w:t>35</w:t>
      </w:r>
    </w:p>
    <w:p>
      <w:pPr>
        <w:spacing w:after="0" w:line="350" w:lineRule="auto"/>
        <w:jc w:val="both"/>
        <w:rPr>
          <w:sz w:val="16"/>
        </w:rPr>
        <w:sectPr>
          <w:footerReference w:type="default" r:id="rId77"/>
          <w:pgSz w:w="12240" w:h="15840"/>
          <w:pgMar w:footer="1003" w:header="0" w:top="1360" w:bottom="1200" w:left="1600" w:right="1580"/>
          <w:pgNumType w:start="41"/>
        </w:sectPr>
      </w:pPr>
    </w:p>
    <w:p>
      <w:pPr>
        <w:pStyle w:val="BodyText"/>
        <w:spacing w:line="355" w:lineRule="auto" w:before="59"/>
        <w:ind w:left="102" w:right="115"/>
        <w:jc w:val="both"/>
      </w:pPr>
      <w:r>
        <w:rPr/>
        <w:t>Diversos estudios </w:t>
      </w:r>
      <w:r>
        <w:rPr>
          <w:position w:val="11"/>
          <w:sz w:val="16"/>
        </w:rPr>
        <w:t>36 </w:t>
      </w:r>
      <w:r>
        <w:rPr/>
        <w:t>indican que las medidas normales para un grupo no pueden ser consideradas como estándar para otras razas o grupos. Cotton, </w:t>
      </w:r>
      <w:r>
        <w:rPr>
          <w:position w:val="11"/>
          <w:sz w:val="16"/>
        </w:rPr>
        <w:t>37 </w:t>
      </w:r>
      <w:r>
        <w:rPr/>
        <w:t>en  un estudio realizado en población negra, japonesa y china, utilizando los mismos parámetros craneofaciales determinados por Downs, encontró diferencias en la longitud de la cara, dirección del patrón de crecimiento y protrusión maxilar entre razas.</w:t>
      </w:r>
    </w:p>
    <w:p>
      <w:pPr>
        <w:pStyle w:val="BodyText"/>
        <w:spacing w:line="352" w:lineRule="auto" w:before="209"/>
        <w:ind w:left="102" w:right="124"/>
        <w:jc w:val="both"/>
        <w:rPr>
          <w:sz w:val="16"/>
        </w:rPr>
      </w:pPr>
      <w:r>
        <w:rPr/>
        <w:t>En México, alrededor del 85% de la población presenta algún tipo de maloclusión dentaria, esquelética o mixta, que afecta notablemente la oclusión de los maxilares, ocasionando alteraciones en las funciones como fonación, masticación y deglución, entre otras; condición que repercute en la calidad de vida de los pacientes.</w:t>
      </w:r>
      <w:r>
        <w:rPr>
          <w:position w:val="11"/>
          <w:sz w:val="16"/>
        </w:rPr>
        <w:t>9</w:t>
      </w:r>
    </w:p>
    <w:p>
      <w:pPr>
        <w:pStyle w:val="BodyText"/>
        <w:spacing w:line="360" w:lineRule="auto" w:before="192"/>
        <w:ind w:left="102" w:right="120"/>
        <w:jc w:val="both"/>
      </w:pPr>
      <w:r>
        <w:rPr/>
        <w:t>Sin embargo, la mayoría de los análisis existentes son resultado de estudios que fueron realizados en poblaciones anglosajonas y caucásicas que no presentan las mismas características generales de la población latina, particularmente la población mexicana, ya que el crecimiento y desarrollo del complejo craneofacial es multifactorial, produciendo una gran variedad entre los individuos de las diferentes razas y poblaciones, razón por la cual surge la necesidad de adecuar estos</w:t>
      </w:r>
      <w:r>
        <w:rPr>
          <w:spacing w:val="56"/>
        </w:rPr>
        <w:t> </w:t>
      </w:r>
      <w:r>
        <w:rPr/>
        <w:t>parámetros</w:t>
      </w:r>
      <w:r>
        <w:rPr>
          <w:spacing w:val="54"/>
        </w:rPr>
        <w:t> </w:t>
      </w:r>
      <w:r>
        <w:rPr/>
        <w:t>a</w:t>
      </w:r>
      <w:r>
        <w:rPr>
          <w:spacing w:val="56"/>
        </w:rPr>
        <w:t> </w:t>
      </w:r>
      <w:r>
        <w:rPr/>
        <w:t>la</w:t>
      </w:r>
      <w:r>
        <w:rPr>
          <w:spacing w:val="56"/>
        </w:rPr>
        <w:t> </w:t>
      </w:r>
      <w:r>
        <w:rPr/>
        <w:t>población</w:t>
      </w:r>
      <w:r>
        <w:rPr>
          <w:spacing w:val="54"/>
        </w:rPr>
        <w:t> </w:t>
      </w:r>
      <w:r>
        <w:rPr/>
        <w:t>de</w:t>
      </w:r>
      <w:r>
        <w:rPr>
          <w:spacing w:val="54"/>
        </w:rPr>
        <w:t> </w:t>
      </w:r>
      <w:r>
        <w:rPr/>
        <w:t>nuestra</w:t>
      </w:r>
      <w:r>
        <w:rPr>
          <w:spacing w:val="56"/>
        </w:rPr>
        <w:t> </w:t>
      </w:r>
      <w:r>
        <w:rPr/>
        <w:t>entidad</w:t>
      </w:r>
      <w:r>
        <w:rPr>
          <w:spacing w:val="54"/>
        </w:rPr>
        <w:t> </w:t>
      </w:r>
      <w:r>
        <w:rPr/>
        <w:t>estableciendo</w:t>
      </w:r>
      <w:r>
        <w:rPr>
          <w:spacing w:val="54"/>
        </w:rPr>
        <w:t> </w:t>
      </w:r>
      <w:r>
        <w:rPr/>
        <w:t>el</w:t>
      </w:r>
      <w:r>
        <w:rPr>
          <w:spacing w:val="55"/>
        </w:rPr>
        <w:t> </w:t>
      </w:r>
      <w:r>
        <w:rPr/>
        <w:t>estándar</w:t>
      </w:r>
    </w:p>
    <w:p>
      <w:pPr>
        <w:pStyle w:val="BodyText"/>
        <w:spacing w:line="328" w:lineRule="auto" w:before="5"/>
        <w:ind w:left="102" w:right="126"/>
        <w:jc w:val="both"/>
        <w:rPr>
          <w:sz w:val="16"/>
        </w:rPr>
      </w:pPr>
      <w:r>
        <w:rPr/>
        <w:t>cefalométrico más cercano a las características craneofaciales ideales para llevar a cabo diagnósticos y tratamientos ortodónticos</w:t>
      </w:r>
      <w:r>
        <w:rPr>
          <w:spacing w:val="-16"/>
        </w:rPr>
        <w:t> </w:t>
      </w:r>
      <w:r>
        <w:rPr/>
        <w:t>adecuados.</w:t>
      </w:r>
      <w:r>
        <w:rPr>
          <w:position w:val="11"/>
          <w:sz w:val="16"/>
        </w:rPr>
        <w:t>38</w:t>
      </w:r>
    </w:p>
    <w:p>
      <w:pPr>
        <w:pStyle w:val="BodyText"/>
        <w:spacing w:line="360" w:lineRule="auto" w:before="225"/>
        <w:ind w:left="102" w:right="116"/>
        <w:jc w:val="both"/>
      </w:pPr>
      <w:r>
        <w:rPr/>
        <w:t>En la actualidad se dispone de estudios cefalométricos que toman en cuenta las características de los diferentes grupos étnicos: Downs en caucásicos, Suh en coreanos, Mitani en japoneses, Kam-Hung en chinos, García en México- Americanos, Drummond en raza negra. Todos estos investigadores, establecieron que las medidas de un grupo no deberían considerarse normales para  otros grupos raciales, sino que cada uno de ellos debe tratarse de acuerdo a sus  propias  características,  y  en  México  encontramos  una  amplia  variedad      </w:t>
      </w:r>
      <w:r>
        <w:rPr>
          <w:spacing w:val="43"/>
        </w:rPr>
        <w:t> </w:t>
      </w:r>
      <w:r>
        <w:rPr/>
        <w:t>de</w:t>
      </w:r>
    </w:p>
    <w:p>
      <w:pPr>
        <w:pStyle w:val="BodyText"/>
        <w:spacing w:line="281" w:lineRule="exact"/>
        <w:ind w:left="102"/>
        <w:jc w:val="both"/>
        <w:rPr>
          <w:sz w:val="16"/>
        </w:rPr>
      </w:pPr>
      <w:r>
        <w:rPr/>
        <w:t>mestizaje y grupos indígenas.</w:t>
      </w:r>
      <w:r>
        <w:rPr>
          <w:position w:val="11"/>
          <w:sz w:val="16"/>
        </w:rPr>
        <w:t>39</w:t>
      </w:r>
    </w:p>
    <w:p>
      <w:pPr>
        <w:spacing w:after="0" w:line="281" w:lineRule="exact"/>
        <w:jc w:val="both"/>
        <w:rPr>
          <w:sz w:val="16"/>
        </w:rPr>
        <w:sectPr>
          <w:pgSz w:w="12240" w:h="15840"/>
          <w:pgMar w:header="0" w:footer="1003" w:top="1320" w:bottom="1200" w:left="1600" w:right="1580"/>
        </w:sectPr>
      </w:pPr>
    </w:p>
    <w:p>
      <w:pPr>
        <w:pStyle w:val="BodyText"/>
        <w:spacing w:line="350" w:lineRule="auto" w:before="54"/>
        <w:ind w:left="102" w:right="116"/>
        <w:jc w:val="both"/>
        <w:rPr>
          <w:sz w:val="16"/>
        </w:rPr>
      </w:pPr>
      <w:r>
        <w:rPr/>
        <w:t>Uno de los primeros en establecer un estandar para población México–Americana fue el Dr. Carlos García en 1975, quien tomó en cuenta la edad y sexo para la elaboración de los estándares cefalométricos utilizando parámetros de los análisis de Downs y Steiner. </w:t>
      </w:r>
      <w:r>
        <w:rPr>
          <w:position w:val="11"/>
          <w:sz w:val="16"/>
        </w:rPr>
        <w:t>40</w:t>
      </w:r>
    </w:p>
    <w:p>
      <w:pPr>
        <w:pStyle w:val="BodyText"/>
        <w:spacing w:line="350" w:lineRule="auto" w:before="197"/>
        <w:ind w:left="102" w:right="117"/>
        <w:jc w:val="both"/>
        <w:rPr>
          <w:sz w:val="16"/>
        </w:rPr>
      </w:pPr>
      <w:r>
        <w:rPr/>
        <w:t>Bugg, Canavati y Jeanings investigaron las diferencias étnicas entre caucásicos y niños de ascendencia latinoamericana. El grupo de latinoaméricanos mostró patrones esqueletales y dentales más protrusivos que los de niños norteamericanos.</w:t>
      </w:r>
      <w:r>
        <w:rPr>
          <w:position w:val="11"/>
          <w:sz w:val="16"/>
        </w:rPr>
        <w:t>39</w:t>
      </w:r>
    </w:p>
    <w:p>
      <w:pPr>
        <w:pStyle w:val="BodyText"/>
        <w:spacing w:line="350" w:lineRule="auto" w:before="198"/>
        <w:ind w:left="102" w:right="117"/>
        <w:jc w:val="both"/>
        <w:rPr>
          <w:sz w:val="16"/>
        </w:rPr>
      </w:pPr>
      <w:r>
        <w:rPr/>
        <w:t>Por su parte Bishara y García, Velarde y García, estudiaron poblaciones mexicanas y México- americanas donde compararon sus valores establecidos en los distintos análisis; encontraron características protrusivas en dichas poblaciones.</w:t>
      </w:r>
      <w:r>
        <w:rPr>
          <w:position w:val="11"/>
          <w:sz w:val="16"/>
        </w:rPr>
        <w:t>34</w:t>
      </w:r>
    </w:p>
    <w:p>
      <w:pPr>
        <w:pStyle w:val="BodyText"/>
        <w:spacing w:line="352" w:lineRule="auto" w:before="198"/>
        <w:ind w:left="102" w:right="115"/>
        <w:jc w:val="both"/>
        <w:rPr>
          <w:sz w:val="16"/>
        </w:rPr>
      </w:pPr>
      <w:r>
        <w:rPr/>
        <w:t>Es muy referenciado en la literatura estas diferencias en los rasgos faciales existentes según etnias, y que el tipo dentofacial puede cambiar durante periodos de crecimiento activo. Conscientes de las normas dentofaciales, los rasgos de los diferentes grupos étnicos y variación de las edades, indudablemente se asegurará el éxito del tratamiento ortodóntico. </w:t>
      </w:r>
      <w:r>
        <w:rPr>
          <w:position w:val="11"/>
          <w:sz w:val="16"/>
        </w:rPr>
        <w:t>35</w:t>
      </w:r>
    </w:p>
    <w:p>
      <w:pPr>
        <w:spacing w:after="0" w:line="352" w:lineRule="auto"/>
        <w:jc w:val="both"/>
        <w:rPr>
          <w:sz w:val="16"/>
        </w:rPr>
        <w:sectPr>
          <w:pgSz w:w="12240" w:h="15840"/>
          <w:pgMar w:header="0" w:footer="1003" w:top="1360" w:bottom="1200" w:left="1600" w:right="1580"/>
        </w:sectPr>
      </w:pPr>
    </w:p>
    <w:p>
      <w:pPr>
        <w:pStyle w:val="Heading1"/>
        <w:numPr>
          <w:ilvl w:val="0"/>
          <w:numId w:val="16"/>
        </w:numPr>
        <w:tabs>
          <w:tab w:pos="2803" w:val="left" w:leader="none"/>
        </w:tabs>
        <w:spacing w:line="240" w:lineRule="auto" w:before="52" w:after="0"/>
        <w:ind w:left="2802" w:right="0" w:hanging="314"/>
        <w:jc w:val="left"/>
      </w:pPr>
      <w:r>
        <w:rPr/>
        <w:t>Planteamiento del</w:t>
      </w:r>
      <w:r>
        <w:rPr>
          <w:spacing w:val="-8"/>
        </w:rPr>
        <w:t> </w:t>
      </w:r>
      <w:r>
        <w:rPr/>
        <w:t>Problema</w:t>
      </w:r>
    </w:p>
    <w:p>
      <w:pPr>
        <w:pStyle w:val="BodyText"/>
        <w:spacing w:before="7"/>
        <w:rPr>
          <w:b/>
          <w:sz w:val="31"/>
        </w:rPr>
      </w:pPr>
    </w:p>
    <w:p>
      <w:pPr>
        <w:pStyle w:val="BodyText"/>
        <w:spacing w:line="360" w:lineRule="auto"/>
        <w:ind w:left="102" w:right="117"/>
        <w:jc w:val="both"/>
      </w:pPr>
      <w:r>
        <w:rPr/>
        <w:t>La clave fundamental para éxito del tratamiento en el área de Ortodoncia es el establecimiento de un buen diagnóstico, cimentado en todos los datos recogidos por los distintos métodos existentes para este fin, de donde se pueda basar y guiar todo el plan de tratamiento, y desde su aparición, la  cefalometría es pieza clave  en la determinación de dicho</w:t>
      </w:r>
      <w:r>
        <w:rPr>
          <w:spacing w:val="-13"/>
        </w:rPr>
        <w:t> </w:t>
      </w:r>
      <w:r>
        <w:rPr/>
        <w:t>diagnóstico.</w:t>
      </w:r>
    </w:p>
    <w:p>
      <w:pPr>
        <w:pStyle w:val="BodyText"/>
        <w:spacing w:line="350" w:lineRule="auto" w:before="204"/>
        <w:ind w:left="102" w:right="116"/>
        <w:jc w:val="both"/>
        <w:rPr>
          <w:sz w:val="16"/>
        </w:rPr>
      </w:pPr>
      <w:r>
        <w:rPr/>
        <w:t>El ortodoncista necesita conocer las relaciones que existen entre los principales componentes funcionales de la cara (base de cráneo, maxilares, dientes) y relacionarlos entre sí. Las maloclusiones son el resultado de una interacción entre la posición de los maxilares y la que adoptan los dientes al emerger.</w:t>
      </w:r>
      <w:r>
        <w:rPr>
          <w:position w:val="11"/>
          <w:sz w:val="16"/>
        </w:rPr>
        <w:t>2</w:t>
      </w:r>
    </w:p>
    <w:p>
      <w:pPr>
        <w:pStyle w:val="BodyText"/>
        <w:spacing w:line="352" w:lineRule="auto" w:before="198"/>
        <w:ind w:left="102" w:right="122"/>
        <w:jc w:val="both"/>
        <w:rPr>
          <w:sz w:val="16"/>
        </w:rPr>
      </w:pPr>
      <w:r>
        <w:rPr/>
        <w:t>Desde la aparición del primer análisis cefalométrico hasta la fecha, diversos autores han propuesto un sin número de análisis, con la finalidad de contar con más datos que apoyen al ortodoncista en la elaboración de un diagnóstico más acertado, y con ello poder elaborar un plan de tratamiento integral, que considere tejidos blandos, óseos y dentales.</w:t>
      </w:r>
      <w:r>
        <w:rPr>
          <w:position w:val="11"/>
          <w:sz w:val="16"/>
        </w:rPr>
        <w:t>32</w:t>
      </w:r>
    </w:p>
    <w:p>
      <w:pPr>
        <w:pStyle w:val="BodyText"/>
        <w:spacing w:line="360" w:lineRule="auto" w:before="195"/>
        <w:ind w:left="102" w:right="118"/>
        <w:jc w:val="both"/>
      </w:pPr>
      <w:r>
        <w:rPr/>
        <w:t>El análisis de Kim, por su simplicidad, es una gran propuesta para la  determinación de las condiciones del paciente. Permite evaluar el patrón de una maloclusión mediante cuatro simples indicadores, así puede tenerse un panorama desde un punto de vista vertical con el Indicador de Profundidad de sobremordida vertical (ODI) y el panorama desde el punto de vista horizontal se establece por medio del Indicador de Displasia Antero Posterior (APDI), con estos conocemos los valores por separado, pero también este análisis nos ofrece un panorama general tomando en conjunto los anteriores indicadores mediante lo que llama Factor de</w:t>
      </w:r>
      <w:r>
        <w:rPr>
          <w:spacing w:val="-8"/>
        </w:rPr>
        <w:t> </w:t>
      </w:r>
      <w:r>
        <w:rPr/>
        <w:t>Combinación.</w:t>
      </w:r>
    </w:p>
    <w:p>
      <w:pPr>
        <w:pStyle w:val="BodyText"/>
        <w:spacing w:line="360" w:lineRule="auto" w:before="202"/>
        <w:ind w:left="102" w:right="122"/>
        <w:jc w:val="both"/>
      </w:pPr>
      <w:r>
        <w:rPr/>
        <w:t>Además de lo anterior, ofrece un índice de extracción que contribuye a la decisión de este procedimiento con fines ortodónticos.</w:t>
      </w:r>
    </w:p>
    <w:p>
      <w:pPr>
        <w:pStyle w:val="BodyText"/>
        <w:spacing w:line="360" w:lineRule="auto" w:before="204"/>
        <w:ind w:left="102" w:right="116"/>
        <w:jc w:val="both"/>
      </w:pPr>
      <w:r>
        <w:rPr/>
        <w:t>Es indispensable conocer las características de los pacientes mediante un análisis cefalométrico estandarizado para cada población, ya que las diferencias en cuanto</w:t>
      </w:r>
    </w:p>
    <w:p>
      <w:pPr>
        <w:spacing w:after="0" w:line="360" w:lineRule="auto"/>
        <w:jc w:val="both"/>
        <w:sectPr>
          <w:pgSz w:w="12240" w:h="15840"/>
          <w:pgMar w:header="0" w:footer="1003" w:top="1360" w:bottom="1200" w:left="1600" w:right="1580"/>
        </w:sectPr>
      </w:pPr>
    </w:p>
    <w:p>
      <w:pPr>
        <w:pStyle w:val="BodyText"/>
        <w:spacing w:line="350" w:lineRule="auto" w:before="54"/>
        <w:ind w:left="102" w:right="124"/>
        <w:jc w:val="both"/>
        <w:rPr>
          <w:sz w:val="16"/>
        </w:rPr>
      </w:pPr>
      <w:r>
        <w:rPr/>
        <w:t>a las características físicas de las personas son bien conocidas, dependiendo de  la región en la que viven. Se han hecho otros estudios cefalométricos en distintas regiones en México, donde las poblaciones tienen grandes coincidencias entre sí, pero difieren de los estándares establecidos en los distintos</w:t>
      </w:r>
      <w:r>
        <w:rPr>
          <w:spacing w:val="-19"/>
        </w:rPr>
        <w:t> </w:t>
      </w:r>
      <w:r>
        <w:rPr/>
        <w:t>análisis.</w:t>
      </w:r>
      <w:r>
        <w:rPr>
          <w:position w:val="11"/>
          <w:sz w:val="16"/>
        </w:rPr>
        <w:t>25</w:t>
      </w:r>
    </w:p>
    <w:p>
      <w:pPr>
        <w:pStyle w:val="BodyText"/>
        <w:spacing w:line="360" w:lineRule="auto" w:before="197"/>
        <w:ind w:left="102" w:right="115"/>
        <w:jc w:val="both"/>
      </w:pPr>
      <w:r>
        <w:rPr/>
        <w:t>En este trabajo de investigación se planea establecer los estándares cefalométricos de adolescentes de 15-17 años y mayores de 18 años, apoyados en los exámenes radiográficos preexistentes en los archivos clínicos de la Clínica de Ortodoncia del Centro de Investigación y Estudios Avanzados en Odontología de la UAEM, cabe mencionar que los parámetros correspondientes a los grupos  de 9-11 y 12-14 años de edad, ya han sido analizados; y estos rangos representarían la completa integración de dicho análisis para poder ser implementada en nuestra</w:t>
      </w:r>
      <w:r>
        <w:rPr>
          <w:spacing w:val="-13"/>
        </w:rPr>
        <w:t> </w:t>
      </w:r>
      <w:r>
        <w:rPr/>
        <w:t>población.</w:t>
      </w:r>
    </w:p>
    <w:p>
      <w:pPr>
        <w:pStyle w:val="BodyText"/>
        <w:spacing w:before="204"/>
        <w:ind w:left="102"/>
        <w:jc w:val="both"/>
      </w:pPr>
      <w:r>
        <w:rPr/>
        <w:t>Así que se plantea la siguiente pregunta de investigación:</w:t>
      </w:r>
    </w:p>
    <w:p>
      <w:pPr>
        <w:pStyle w:val="BodyText"/>
        <w:spacing w:before="4"/>
        <w:rPr>
          <w:sz w:val="29"/>
        </w:rPr>
      </w:pPr>
    </w:p>
    <w:p>
      <w:pPr>
        <w:pStyle w:val="BodyText"/>
        <w:spacing w:line="360" w:lineRule="auto" w:before="1"/>
        <w:ind w:left="102" w:right="125"/>
        <w:jc w:val="both"/>
      </w:pPr>
      <w:r>
        <w:rPr/>
        <w:t>¿Cuáles son los estándares cefalométricos del análisis de Kim en la población mexiquense en adolescentes entre 15 a 17  y mayores de 18 años?</w:t>
      </w:r>
    </w:p>
    <w:p>
      <w:pPr>
        <w:spacing w:after="0" w:line="360" w:lineRule="auto"/>
        <w:jc w:val="both"/>
        <w:sectPr>
          <w:pgSz w:w="12240" w:h="15840"/>
          <w:pgMar w:header="0" w:footer="1003" w:top="1360" w:bottom="1200" w:left="1600" w:right="1580"/>
        </w:sectPr>
      </w:pPr>
    </w:p>
    <w:p>
      <w:pPr>
        <w:pStyle w:val="Heading1"/>
        <w:numPr>
          <w:ilvl w:val="0"/>
          <w:numId w:val="16"/>
        </w:numPr>
        <w:tabs>
          <w:tab w:pos="3823" w:val="left" w:leader="none"/>
        </w:tabs>
        <w:spacing w:line="240" w:lineRule="auto" w:before="52" w:after="0"/>
        <w:ind w:left="3822" w:right="0" w:hanging="314"/>
        <w:jc w:val="left"/>
      </w:pPr>
      <w:r>
        <w:rPr/>
        <w:t>Justificación</w:t>
      </w:r>
    </w:p>
    <w:p>
      <w:pPr>
        <w:pStyle w:val="BodyText"/>
        <w:spacing w:before="7"/>
        <w:rPr>
          <w:b/>
          <w:sz w:val="31"/>
        </w:rPr>
      </w:pPr>
    </w:p>
    <w:p>
      <w:pPr>
        <w:pStyle w:val="BodyText"/>
        <w:spacing w:line="360" w:lineRule="auto"/>
        <w:ind w:left="102" w:right="120"/>
        <w:jc w:val="both"/>
      </w:pPr>
      <w:r>
        <w:rPr/>
        <w:t>El análisis de una radiografía lateral de cráneo es un método irremplazable para conocer las relaciones esqueléticas y dentales de cada paciente, ya que nos ofrece datos que serían imposibles de obtener con cualquier otro método diagnóstico</w:t>
      </w:r>
      <w:r>
        <w:rPr>
          <w:spacing w:val="-9"/>
        </w:rPr>
        <w:t> </w:t>
      </w:r>
      <w:r>
        <w:rPr/>
        <w:t>convencional.</w:t>
      </w:r>
    </w:p>
    <w:p>
      <w:pPr>
        <w:pStyle w:val="BodyText"/>
        <w:spacing w:line="345" w:lineRule="auto" w:before="204"/>
        <w:ind w:left="102" w:right="120"/>
        <w:jc w:val="both"/>
        <w:rPr>
          <w:sz w:val="16"/>
        </w:rPr>
      </w:pPr>
      <w:r>
        <w:rPr/>
        <w:t>El objetivo del análisis cefalométrico es comparar las características esqueléticas y dentales de un paciente individual con un grupo de referencia normal para poder detectar cualquier alteración y las que cabría esperar en su grupo étnico o racial.</w:t>
      </w:r>
      <w:r>
        <w:rPr>
          <w:position w:val="11"/>
          <w:sz w:val="16"/>
        </w:rPr>
        <w:t>2</w:t>
      </w:r>
    </w:p>
    <w:p>
      <w:pPr>
        <w:pStyle w:val="BodyText"/>
        <w:spacing w:line="360" w:lineRule="auto" w:before="169"/>
        <w:ind w:left="102" w:right="116"/>
        <w:jc w:val="both"/>
      </w:pPr>
      <w:r>
        <w:rPr/>
        <w:t>Sassouni y Trenouth et al. </w:t>
      </w:r>
      <w:r>
        <w:rPr>
          <w:position w:val="11"/>
          <w:sz w:val="16"/>
        </w:rPr>
        <w:t>25 </w:t>
      </w:r>
      <w:r>
        <w:rPr/>
        <w:t>afirmaban que no hay una normalidad universal; no hay normas que puedan ser indiscriminadamente aplicadas a todos; cada  individuo lleva en sí mismo todas las potencialidades. En su opinión, sería un error peligroso tratar de corregir las maloclusiones utilizando normas</w:t>
      </w:r>
      <w:r>
        <w:rPr>
          <w:spacing w:val="-24"/>
        </w:rPr>
        <w:t> </w:t>
      </w:r>
      <w:r>
        <w:rPr/>
        <w:t>absolutas.</w:t>
      </w:r>
    </w:p>
    <w:p>
      <w:pPr>
        <w:pStyle w:val="BodyText"/>
        <w:spacing w:line="360" w:lineRule="auto" w:before="202"/>
        <w:ind w:left="102" w:right="118"/>
        <w:jc w:val="both"/>
      </w:pPr>
      <w:r>
        <w:rPr/>
        <w:t>El establecimiento del estandar cefalométrico del análisis de Kim, se justifica por su sencillez para realizarlo y con esto la reducción del tiempo requerido para llegar a un diagnóstico preciso del estado del</w:t>
      </w:r>
      <w:r>
        <w:rPr>
          <w:spacing w:val="-15"/>
        </w:rPr>
        <w:t> </w:t>
      </w:r>
      <w:r>
        <w:rPr/>
        <w:t>paciente.</w:t>
      </w:r>
    </w:p>
    <w:p>
      <w:pPr>
        <w:pStyle w:val="BodyText"/>
        <w:spacing w:line="360" w:lineRule="auto" w:before="169"/>
        <w:ind w:left="102" w:right="123"/>
        <w:jc w:val="both"/>
      </w:pPr>
      <w:r>
        <w:rPr/>
        <w:t>La importancia del análisis de Kim</w:t>
      </w:r>
      <w:r>
        <w:rPr>
          <w:position w:val="11"/>
          <w:sz w:val="16"/>
        </w:rPr>
        <w:t>8 </w:t>
      </w:r>
      <w:r>
        <w:rPr/>
        <w:t>y la posibilidad de su utilización para el tratamiento ortodóntico radica en que se trata de un método cefalométrico analítico, que permite conocer las condiciones del paciente tanto en sentido  vertical con ayuda del ODI, como en sentido horizontal mediante el APDI, además de que ofrece un cálculo sencillo para establecer si el tratamiento individual del paciente requerirá de exodoncias según su resultado o</w:t>
      </w:r>
      <w:r>
        <w:rPr>
          <w:spacing w:val="-20"/>
        </w:rPr>
        <w:t> </w:t>
      </w:r>
      <w:r>
        <w:rPr/>
        <w:t>no.</w:t>
      </w:r>
    </w:p>
    <w:p>
      <w:pPr>
        <w:pStyle w:val="BodyText"/>
        <w:spacing w:line="360" w:lineRule="auto" w:before="202"/>
        <w:ind w:left="102" w:right="116"/>
        <w:jc w:val="both"/>
      </w:pPr>
      <w:r>
        <w:rPr/>
        <w:t>Los análisis que se manejan en el área de Ortodoncia con fines diagnósticos son múltiples y variados, pero ninguno de ellos ofrece un panorama de las condiciones del paciente con un solo indicador para las relaciones verticales y uno sólo para las relaciones</w:t>
      </w:r>
      <w:r>
        <w:rPr>
          <w:spacing w:val="-7"/>
        </w:rPr>
        <w:t> </w:t>
      </w:r>
      <w:r>
        <w:rPr/>
        <w:t>horizontales.</w:t>
      </w:r>
    </w:p>
    <w:p>
      <w:pPr>
        <w:pStyle w:val="BodyText"/>
        <w:spacing w:line="360" w:lineRule="auto" w:before="204"/>
        <w:ind w:left="102" w:right="114"/>
        <w:jc w:val="both"/>
      </w:pPr>
      <w:r>
        <w:rPr/>
        <w:t>La morfología facial de todas las personas cambian notablemente al paso del tiempo desde la infancia, hasta la edad adulta, lo que supone grandes cambios en las  proporciones  craneofaciales;  este  dato  es  importante  para  establecer este</w:t>
      </w:r>
    </w:p>
    <w:p>
      <w:pPr>
        <w:spacing w:after="0" w:line="360" w:lineRule="auto"/>
        <w:jc w:val="both"/>
        <w:sectPr>
          <w:pgSz w:w="12240" w:h="15840"/>
          <w:pgMar w:header="0" w:footer="1003" w:top="1360" w:bottom="1200" w:left="1600" w:right="1580"/>
        </w:sectPr>
      </w:pPr>
    </w:p>
    <w:p>
      <w:pPr>
        <w:pStyle w:val="BodyText"/>
        <w:spacing w:line="362" w:lineRule="auto" w:before="54"/>
        <w:ind w:left="102" w:right="99"/>
        <w:jc w:val="both"/>
      </w:pPr>
      <w:r>
        <w:rPr/>
        <w:t>estándar cefalométrico en la población mexiquense de 15-17 y mayores de 18 años de edad.</w:t>
      </w:r>
    </w:p>
    <w:p>
      <w:pPr>
        <w:pStyle w:val="BodyText"/>
        <w:spacing w:line="360" w:lineRule="auto" w:before="201"/>
        <w:ind w:left="102" w:right="98" w:firstLine="67"/>
        <w:jc w:val="both"/>
      </w:pPr>
      <w:r>
        <w:rPr/>
        <w:t>Como se puede ver se trata de un análisis muy eficaz y útil como complemento diagnóstico, que con sencillas mediciones y fórmulas </w:t>
      </w:r>
      <w:r>
        <w:rPr>
          <w:spacing w:val="2"/>
        </w:rPr>
        <w:t>nos </w:t>
      </w:r>
      <w:r>
        <w:rPr/>
        <w:t>permite a grandes rasgos y con gran precisión conocer las características particulares de cada individuo, y por lo que es tan importante culminar mediante la determinación de estos últimos grupos de edad para la población</w:t>
      </w:r>
      <w:r>
        <w:rPr>
          <w:spacing w:val="-24"/>
        </w:rPr>
        <w:t> </w:t>
      </w:r>
      <w:r>
        <w:rPr/>
        <w:t>mexiquense.</w:t>
      </w:r>
    </w:p>
    <w:p>
      <w:pPr>
        <w:spacing w:after="0" w:line="360" w:lineRule="auto"/>
        <w:jc w:val="both"/>
        <w:sectPr>
          <w:pgSz w:w="12240" w:h="15840"/>
          <w:pgMar w:header="0" w:footer="1003" w:top="1360" w:bottom="1200" w:left="1600" w:right="1600"/>
        </w:sectPr>
      </w:pPr>
    </w:p>
    <w:p>
      <w:pPr>
        <w:pStyle w:val="Heading1"/>
        <w:numPr>
          <w:ilvl w:val="0"/>
          <w:numId w:val="16"/>
        </w:numPr>
        <w:tabs>
          <w:tab w:pos="4080" w:val="left" w:leader="none"/>
        </w:tabs>
        <w:spacing w:line="240" w:lineRule="auto" w:before="52" w:after="0"/>
        <w:ind w:left="4079" w:right="0" w:hanging="391"/>
        <w:jc w:val="left"/>
      </w:pPr>
      <w:r>
        <w:rPr/>
        <w:t>Objetivos</w:t>
      </w:r>
    </w:p>
    <w:p>
      <w:pPr>
        <w:pStyle w:val="BodyText"/>
        <w:spacing w:before="10"/>
        <w:rPr>
          <w:b/>
          <w:sz w:val="25"/>
        </w:rPr>
      </w:pPr>
    </w:p>
    <w:p>
      <w:pPr>
        <w:pStyle w:val="Heading2"/>
        <w:numPr>
          <w:ilvl w:val="0"/>
          <w:numId w:val="10"/>
        </w:numPr>
        <w:tabs>
          <w:tab w:pos="275" w:val="left" w:leader="none"/>
        </w:tabs>
        <w:spacing w:line="240" w:lineRule="auto" w:before="65" w:after="0"/>
        <w:ind w:left="274" w:right="0" w:hanging="172"/>
        <w:jc w:val="left"/>
      </w:pPr>
      <w:r>
        <w:rPr/>
        <w:t>Objetivo</w:t>
      </w:r>
      <w:r>
        <w:rPr>
          <w:spacing w:val="-1"/>
        </w:rPr>
        <w:t> </w:t>
      </w:r>
      <w:r>
        <w:rPr/>
        <w:t>general</w:t>
      </w:r>
    </w:p>
    <w:p>
      <w:pPr>
        <w:pStyle w:val="BodyText"/>
        <w:spacing w:before="7"/>
        <w:rPr>
          <w:sz w:val="31"/>
        </w:rPr>
      </w:pPr>
    </w:p>
    <w:p>
      <w:pPr>
        <w:pStyle w:val="BodyText"/>
        <w:spacing w:line="360" w:lineRule="auto"/>
        <w:ind w:left="102" w:right="139"/>
      </w:pPr>
      <w:r>
        <w:rPr/>
        <w:t>Establecer los parámetros cefalométricos ideales de acuerdo al análisis de Kim para la población mexiquense de 15 a 17 y mayores de 18 años de edad.</w:t>
      </w:r>
    </w:p>
    <w:p>
      <w:pPr>
        <w:pStyle w:val="BodyText"/>
      </w:pPr>
    </w:p>
    <w:p>
      <w:pPr>
        <w:pStyle w:val="BodyText"/>
      </w:pPr>
    </w:p>
    <w:p>
      <w:pPr>
        <w:pStyle w:val="BodyText"/>
        <w:rPr>
          <w:sz w:val="23"/>
        </w:rPr>
      </w:pPr>
    </w:p>
    <w:p>
      <w:pPr>
        <w:pStyle w:val="Heading2"/>
        <w:numPr>
          <w:ilvl w:val="1"/>
          <w:numId w:val="10"/>
        </w:numPr>
        <w:tabs>
          <w:tab w:pos="417" w:val="left" w:leader="none"/>
        </w:tabs>
        <w:spacing w:line="240" w:lineRule="auto" w:before="1" w:after="0"/>
        <w:ind w:left="416" w:right="0" w:hanging="173"/>
        <w:jc w:val="left"/>
      </w:pPr>
      <w:r>
        <w:rPr/>
        <w:t>Objetivos</w:t>
      </w:r>
      <w:r>
        <w:rPr>
          <w:spacing w:val="-10"/>
        </w:rPr>
        <w:t> </w:t>
      </w:r>
      <w:r>
        <w:rPr/>
        <w:t>específicos</w:t>
      </w:r>
    </w:p>
    <w:p>
      <w:pPr>
        <w:pStyle w:val="BodyText"/>
        <w:rPr>
          <w:sz w:val="28"/>
        </w:rPr>
      </w:pPr>
    </w:p>
    <w:p>
      <w:pPr>
        <w:pStyle w:val="BodyText"/>
        <w:spacing w:before="1"/>
        <w:rPr>
          <w:sz w:val="28"/>
        </w:rPr>
      </w:pPr>
    </w:p>
    <w:p>
      <w:pPr>
        <w:pStyle w:val="ListParagraph"/>
        <w:numPr>
          <w:ilvl w:val="2"/>
          <w:numId w:val="10"/>
        </w:numPr>
        <w:tabs>
          <w:tab w:pos="821" w:val="left" w:leader="none"/>
          <w:tab w:pos="822" w:val="left" w:leader="none"/>
        </w:tabs>
        <w:spacing w:line="350" w:lineRule="auto" w:before="0" w:after="0"/>
        <w:ind w:left="822" w:right="120" w:hanging="360"/>
        <w:jc w:val="left"/>
        <w:rPr>
          <w:sz w:val="24"/>
        </w:rPr>
      </w:pPr>
      <w:r>
        <w:rPr>
          <w:sz w:val="24"/>
        </w:rPr>
        <w:t>Determinar el Indicador de Sobremordida Vertical (ODI) en el grupo de 15 a 17 años de edad del sexo</w:t>
      </w:r>
      <w:r>
        <w:rPr>
          <w:spacing w:val="-17"/>
          <w:sz w:val="24"/>
        </w:rPr>
        <w:t> </w:t>
      </w:r>
      <w:r>
        <w:rPr>
          <w:sz w:val="24"/>
        </w:rPr>
        <w:t>masculino.</w:t>
      </w:r>
    </w:p>
    <w:p>
      <w:pPr>
        <w:pStyle w:val="ListParagraph"/>
        <w:numPr>
          <w:ilvl w:val="2"/>
          <w:numId w:val="10"/>
        </w:numPr>
        <w:tabs>
          <w:tab w:pos="821" w:val="left" w:leader="none"/>
          <w:tab w:pos="822" w:val="left" w:leader="none"/>
        </w:tabs>
        <w:spacing w:line="350" w:lineRule="auto" w:before="16" w:after="0"/>
        <w:ind w:left="822" w:right="124" w:hanging="360"/>
        <w:jc w:val="left"/>
        <w:rPr>
          <w:sz w:val="24"/>
        </w:rPr>
      </w:pPr>
      <w:r>
        <w:rPr>
          <w:sz w:val="24"/>
        </w:rPr>
        <w:t>Establecer el Indicador de Sobremordida Vertical (ODI) en el grupo de 15 a 17 años de edad del sexo</w:t>
      </w:r>
      <w:r>
        <w:rPr>
          <w:spacing w:val="-18"/>
          <w:sz w:val="24"/>
        </w:rPr>
        <w:t> </w:t>
      </w:r>
      <w:r>
        <w:rPr>
          <w:sz w:val="24"/>
        </w:rPr>
        <w:t>femenino.</w:t>
      </w:r>
    </w:p>
    <w:p>
      <w:pPr>
        <w:pStyle w:val="ListParagraph"/>
        <w:numPr>
          <w:ilvl w:val="2"/>
          <w:numId w:val="10"/>
        </w:numPr>
        <w:tabs>
          <w:tab w:pos="821" w:val="left" w:leader="none"/>
          <w:tab w:pos="822" w:val="left" w:leader="none"/>
        </w:tabs>
        <w:spacing w:line="350" w:lineRule="auto" w:before="16" w:after="0"/>
        <w:ind w:left="822" w:right="125" w:hanging="360"/>
        <w:jc w:val="left"/>
        <w:rPr>
          <w:sz w:val="24"/>
        </w:rPr>
      </w:pPr>
      <w:r>
        <w:rPr>
          <w:sz w:val="24"/>
        </w:rPr>
        <w:t>Determinar el Indicador de Sobremordida Vertical (ODI) en el grupo de mayores de 18 años de edad del sexo</w:t>
      </w:r>
      <w:r>
        <w:rPr>
          <w:spacing w:val="-13"/>
          <w:sz w:val="24"/>
        </w:rPr>
        <w:t> </w:t>
      </w:r>
      <w:r>
        <w:rPr>
          <w:sz w:val="24"/>
        </w:rPr>
        <w:t>masculino.</w:t>
      </w:r>
    </w:p>
    <w:p>
      <w:pPr>
        <w:pStyle w:val="ListParagraph"/>
        <w:numPr>
          <w:ilvl w:val="2"/>
          <w:numId w:val="10"/>
        </w:numPr>
        <w:tabs>
          <w:tab w:pos="821" w:val="left" w:leader="none"/>
          <w:tab w:pos="822" w:val="left" w:leader="none"/>
        </w:tabs>
        <w:spacing w:line="350" w:lineRule="auto" w:before="14" w:after="0"/>
        <w:ind w:left="822" w:right="124" w:hanging="360"/>
        <w:jc w:val="left"/>
        <w:rPr>
          <w:sz w:val="24"/>
        </w:rPr>
      </w:pPr>
      <w:r>
        <w:rPr>
          <w:sz w:val="24"/>
        </w:rPr>
        <w:t>Obtener el Indicador de Sobremordida Vertical (ODI) en el grupo de mayores de 18 años de edad del sexo</w:t>
      </w:r>
      <w:r>
        <w:rPr>
          <w:spacing w:val="-17"/>
          <w:sz w:val="24"/>
        </w:rPr>
        <w:t> </w:t>
      </w:r>
      <w:r>
        <w:rPr>
          <w:sz w:val="24"/>
        </w:rPr>
        <w:t>femenino.</w:t>
      </w:r>
    </w:p>
    <w:p>
      <w:pPr>
        <w:pStyle w:val="ListParagraph"/>
        <w:numPr>
          <w:ilvl w:val="2"/>
          <w:numId w:val="10"/>
        </w:numPr>
        <w:tabs>
          <w:tab w:pos="821" w:val="left" w:leader="none"/>
          <w:tab w:pos="822" w:val="left" w:leader="none"/>
        </w:tabs>
        <w:spacing w:line="350" w:lineRule="auto" w:before="16" w:after="0"/>
        <w:ind w:left="822" w:right="123" w:hanging="360"/>
        <w:jc w:val="left"/>
        <w:rPr>
          <w:sz w:val="24"/>
        </w:rPr>
      </w:pPr>
      <w:r>
        <w:rPr>
          <w:sz w:val="24"/>
        </w:rPr>
        <w:t>Establecer el Indicador de Displasia Posterior (APDI) en el grupo de 15 a 17 años de edad del sexo</w:t>
      </w:r>
      <w:r>
        <w:rPr>
          <w:spacing w:val="-16"/>
          <w:sz w:val="24"/>
        </w:rPr>
        <w:t> </w:t>
      </w:r>
      <w:r>
        <w:rPr>
          <w:sz w:val="24"/>
        </w:rPr>
        <w:t>masculino.</w:t>
      </w:r>
    </w:p>
    <w:p>
      <w:pPr>
        <w:pStyle w:val="ListParagraph"/>
        <w:numPr>
          <w:ilvl w:val="2"/>
          <w:numId w:val="10"/>
        </w:numPr>
        <w:tabs>
          <w:tab w:pos="821" w:val="left" w:leader="none"/>
          <w:tab w:pos="822" w:val="left" w:leader="none"/>
        </w:tabs>
        <w:spacing w:line="350" w:lineRule="auto" w:before="16" w:after="0"/>
        <w:ind w:left="822" w:right="126" w:hanging="360"/>
        <w:jc w:val="left"/>
        <w:rPr>
          <w:sz w:val="24"/>
        </w:rPr>
      </w:pPr>
      <w:r>
        <w:rPr>
          <w:sz w:val="24"/>
        </w:rPr>
        <w:t>Determinar el Indicador de Displasia Posterior (APDI) en el grupo de 15 a  17 años de edad del sexo</w:t>
      </w:r>
      <w:r>
        <w:rPr>
          <w:spacing w:val="-13"/>
          <w:sz w:val="24"/>
        </w:rPr>
        <w:t> </w:t>
      </w:r>
      <w:r>
        <w:rPr>
          <w:sz w:val="24"/>
        </w:rPr>
        <w:t>femenino.</w:t>
      </w:r>
    </w:p>
    <w:p>
      <w:pPr>
        <w:pStyle w:val="ListParagraph"/>
        <w:numPr>
          <w:ilvl w:val="2"/>
          <w:numId w:val="10"/>
        </w:numPr>
        <w:tabs>
          <w:tab w:pos="821" w:val="left" w:leader="none"/>
          <w:tab w:pos="822" w:val="left" w:leader="none"/>
        </w:tabs>
        <w:spacing w:line="352" w:lineRule="auto" w:before="14" w:after="0"/>
        <w:ind w:left="822" w:right="115" w:hanging="360"/>
        <w:jc w:val="left"/>
        <w:rPr>
          <w:sz w:val="24"/>
        </w:rPr>
      </w:pPr>
      <w:r>
        <w:rPr>
          <w:sz w:val="24"/>
        </w:rPr>
        <w:t>Obtener el Indicador de Displasia Posterior (APDI) en el grupo de mayores de 18 años de edad del sexo</w:t>
      </w:r>
      <w:r>
        <w:rPr>
          <w:spacing w:val="-17"/>
          <w:sz w:val="24"/>
        </w:rPr>
        <w:t> </w:t>
      </w:r>
      <w:r>
        <w:rPr>
          <w:sz w:val="24"/>
        </w:rPr>
        <w:t>masculino.</w:t>
      </w:r>
    </w:p>
    <w:p>
      <w:pPr>
        <w:pStyle w:val="ListParagraph"/>
        <w:numPr>
          <w:ilvl w:val="2"/>
          <w:numId w:val="10"/>
        </w:numPr>
        <w:tabs>
          <w:tab w:pos="821" w:val="left" w:leader="none"/>
          <w:tab w:pos="822" w:val="left" w:leader="none"/>
        </w:tabs>
        <w:spacing w:line="350" w:lineRule="auto" w:before="11" w:after="0"/>
        <w:ind w:left="822" w:right="119" w:hanging="360"/>
        <w:jc w:val="left"/>
        <w:rPr>
          <w:sz w:val="24"/>
        </w:rPr>
      </w:pPr>
      <w:r>
        <w:rPr>
          <w:sz w:val="24"/>
        </w:rPr>
        <w:t>Determinar el Indicador de Displasia Posterior (APDI) en el grupo de mayores de 18 años de edad del sexo</w:t>
      </w:r>
      <w:r>
        <w:rPr>
          <w:spacing w:val="-17"/>
          <w:sz w:val="24"/>
        </w:rPr>
        <w:t> </w:t>
      </w:r>
      <w:r>
        <w:rPr>
          <w:sz w:val="24"/>
        </w:rPr>
        <w:t>femenino.</w:t>
      </w:r>
    </w:p>
    <w:p>
      <w:pPr>
        <w:pStyle w:val="ListParagraph"/>
        <w:numPr>
          <w:ilvl w:val="2"/>
          <w:numId w:val="10"/>
        </w:numPr>
        <w:tabs>
          <w:tab w:pos="821" w:val="left" w:leader="none"/>
          <w:tab w:pos="822" w:val="left" w:leader="none"/>
        </w:tabs>
        <w:spacing w:line="240" w:lineRule="auto" w:before="16" w:after="0"/>
        <w:ind w:left="822" w:right="0" w:hanging="360"/>
        <w:jc w:val="left"/>
        <w:rPr>
          <w:sz w:val="24"/>
        </w:rPr>
      </w:pPr>
      <w:r>
        <w:rPr>
          <w:sz w:val="24"/>
        </w:rPr>
        <w:t>Obtener la Media y Desviación estándar para cada grupo de edad y</w:t>
      </w:r>
      <w:r>
        <w:rPr>
          <w:spacing w:val="-24"/>
          <w:sz w:val="24"/>
        </w:rPr>
        <w:t> </w:t>
      </w:r>
      <w:r>
        <w:rPr>
          <w:sz w:val="24"/>
        </w:rPr>
        <w:t>sexo.</w:t>
      </w:r>
    </w:p>
    <w:p>
      <w:pPr>
        <w:pStyle w:val="ListParagraph"/>
        <w:numPr>
          <w:ilvl w:val="2"/>
          <w:numId w:val="10"/>
        </w:numPr>
        <w:tabs>
          <w:tab w:pos="821" w:val="left" w:leader="none"/>
          <w:tab w:pos="822" w:val="left" w:leader="none"/>
        </w:tabs>
        <w:spacing w:line="240" w:lineRule="auto" w:before="135" w:after="0"/>
        <w:ind w:left="822" w:right="0" w:hanging="360"/>
        <w:jc w:val="left"/>
        <w:rPr>
          <w:sz w:val="24"/>
        </w:rPr>
      </w:pPr>
      <w:r>
        <w:rPr>
          <w:sz w:val="24"/>
        </w:rPr>
        <w:t>Diseñar el polígono de frecuencias para cada grupo de edad y</w:t>
      </w:r>
      <w:r>
        <w:rPr>
          <w:spacing w:val="-25"/>
          <w:sz w:val="24"/>
        </w:rPr>
        <w:t> </w:t>
      </w:r>
      <w:r>
        <w:rPr>
          <w:sz w:val="24"/>
        </w:rPr>
        <w:t>sexo.</w:t>
      </w:r>
    </w:p>
    <w:p>
      <w:pPr>
        <w:spacing w:after="0" w:line="240" w:lineRule="auto"/>
        <w:jc w:val="left"/>
        <w:rPr>
          <w:sz w:val="24"/>
        </w:rPr>
        <w:sectPr>
          <w:pgSz w:w="12240" w:h="15840"/>
          <w:pgMar w:header="0" w:footer="1003" w:top="1360" w:bottom="1200" w:left="1600" w:right="1580"/>
        </w:sectPr>
      </w:pPr>
    </w:p>
    <w:p>
      <w:pPr>
        <w:pStyle w:val="Heading1"/>
        <w:numPr>
          <w:ilvl w:val="0"/>
          <w:numId w:val="16"/>
        </w:numPr>
        <w:tabs>
          <w:tab w:pos="3596" w:val="left" w:leader="none"/>
        </w:tabs>
        <w:spacing w:line="240" w:lineRule="auto" w:before="52" w:after="0"/>
        <w:ind w:left="3595" w:right="0" w:hanging="389"/>
        <w:jc w:val="left"/>
      </w:pPr>
      <w:r>
        <w:rPr/>
        <w:t>Material y</w:t>
      </w:r>
      <w:r>
        <w:rPr>
          <w:spacing w:val="-7"/>
        </w:rPr>
        <w:t> </w:t>
      </w:r>
      <w:r>
        <w:rPr/>
        <w:t>Métodos</w:t>
      </w:r>
    </w:p>
    <w:p>
      <w:pPr>
        <w:pStyle w:val="BodyText"/>
        <w:rPr>
          <w:b/>
          <w:sz w:val="28"/>
        </w:rPr>
      </w:pPr>
    </w:p>
    <w:p>
      <w:pPr>
        <w:pStyle w:val="ListParagraph"/>
        <w:numPr>
          <w:ilvl w:val="3"/>
          <w:numId w:val="10"/>
        </w:numPr>
        <w:tabs>
          <w:tab w:pos="961" w:val="left" w:leader="none"/>
          <w:tab w:pos="962" w:val="left" w:leader="none"/>
        </w:tabs>
        <w:spacing w:line="240" w:lineRule="auto" w:before="202" w:after="0"/>
        <w:ind w:left="962" w:right="0" w:hanging="360"/>
        <w:jc w:val="left"/>
        <w:rPr>
          <w:rFonts w:ascii="Symbol" w:hAnsi="Symbol"/>
          <w:sz w:val="22"/>
        </w:rPr>
      </w:pPr>
      <w:r>
        <w:rPr>
          <w:sz w:val="24"/>
        </w:rPr>
        <w:t>Tipo de estudio: Investigación</w:t>
      </w:r>
      <w:r>
        <w:rPr>
          <w:spacing w:val="-29"/>
          <w:sz w:val="24"/>
        </w:rPr>
        <w:t> </w:t>
      </w:r>
      <w:r>
        <w:rPr>
          <w:sz w:val="24"/>
        </w:rPr>
        <w:t>Aplicada</w:t>
      </w:r>
    </w:p>
    <w:p>
      <w:pPr>
        <w:pStyle w:val="ListParagraph"/>
        <w:numPr>
          <w:ilvl w:val="3"/>
          <w:numId w:val="10"/>
        </w:numPr>
        <w:tabs>
          <w:tab w:pos="961" w:val="left" w:leader="none"/>
          <w:tab w:pos="962" w:val="left" w:leader="none"/>
        </w:tabs>
        <w:spacing w:line="240" w:lineRule="auto" w:before="140" w:after="0"/>
        <w:ind w:left="962" w:right="0" w:hanging="360"/>
        <w:jc w:val="left"/>
        <w:rPr>
          <w:rFonts w:ascii="Symbol" w:hAnsi="Symbol"/>
          <w:sz w:val="24"/>
        </w:rPr>
      </w:pPr>
      <w:r>
        <w:rPr>
          <w:sz w:val="24"/>
        </w:rPr>
        <w:t>Diseño metodológico: Descriptivo – Transversal –</w:t>
      </w:r>
      <w:r>
        <w:rPr>
          <w:spacing w:val="-17"/>
          <w:sz w:val="24"/>
        </w:rPr>
        <w:t> </w:t>
      </w:r>
      <w:r>
        <w:rPr>
          <w:sz w:val="24"/>
        </w:rPr>
        <w:t>Comparativo</w:t>
      </w:r>
    </w:p>
    <w:p>
      <w:pPr>
        <w:pStyle w:val="BodyText"/>
      </w:pPr>
    </w:p>
    <w:p>
      <w:pPr>
        <w:pStyle w:val="BodyText"/>
        <w:spacing w:before="1"/>
      </w:pPr>
    </w:p>
    <w:p>
      <w:pPr>
        <w:pStyle w:val="ListParagraph"/>
        <w:numPr>
          <w:ilvl w:val="3"/>
          <w:numId w:val="10"/>
        </w:numPr>
        <w:tabs>
          <w:tab w:pos="961" w:val="left" w:leader="none"/>
          <w:tab w:pos="962" w:val="left" w:leader="none"/>
        </w:tabs>
        <w:spacing w:line="240" w:lineRule="auto" w:before="0" w:after="0"/>
        <w:ind w:left="962" w:right="0" w:hanging="360"/>
        <w:jc w:val="left"/>
        <w:rPr>
          <w:rFonts w:ascii="Symbol"/>
          <w:sz w:val="24"/>
        </w:rPr>
      </w:pPr>
      <w:r>
        <w:rPr>
          <w:sz w:val="24"/>
        </w:rPr>
        <w:t>Universo y</w:t>
      </w:r>
      <w:r>
        <w:rPr>
          <w:spacing w:val="-6"/>
          <w:sz w:val="24"/>
        </w:rPr>
        <w:t> </w:t>
      </w:r>
      <w:r>
        <w:rPr>
          <w:sz w:val="24"/>
        </w:rPr>
        <w:t>Muestra:</w:t>
      </w:r>
    </w:p>
    <w:p>
      <w:pPr>
        <w:pStyle w:val="BodyText"/>
        <w:spacing w:before="6"/>
        <w:rPr>
          <w:sz w:val="27"/>
        </w:rPr>
      </w:pPr>
    </w:p>
    <w:p>
      <w:pPr>
        <w:pStyle w:val="ListParagraph"/>
        <w:numPr>
          <w:ilvl w:val="0"/>
          <w:numId w:val="10"/>
        </w:numPr>
        <w:tabs>
          <w:tab w:pos="384" w:val="left" w:leader="none"/>
        </w:tabs>
        <w:spacing w:line="360" w:lineRule="auto" w:before="1" w:after="0"/>
        <w:ind w:left="383" w:right="107" w:hanging="283"/>
        <w:jc w:val="both"/>
        <w:rPr>
          <w:sz w:val="24"/>
        </w:rPr>
      </w:pPr>
      <w:r>
        <w:rPr>
          <w:sz w:val="24"/>
        </w:rPr>
        <w:t>Universo: Conformado por 3004 estudiantes del Estado de México mayores de  15 años de</w:t>
      </w:r>
      <w:r>
        <w:rPr>
          <w:spacing w:val="-8"/>
          <w:sz w:val="24"/>
        </w:rPr>
        <w:t> </w:t>
      </w:r>
      <w:r>
        <w:rPr>
          <w:sz w:val="24"/>
        </w:rPr>
        <w:t>edad.</w:t>
      </w:r>
    </w:p>
    <w:p>
      <w:pPr>
        <w:pStyle w:val="ListParagraph"/>
        <w:numPr>
          <w:ilvl w:val="0"/>
          <w:numId w:val="10"/>
        </w:numPr>
        <w:tabs>
          <w:tab w:pos="384" w:val="left" w:leader="none"/>
        </w:tabs>
        <w:spacing w:line="360" w:lineRule="auto" w:before="5" w:after="0"/>
        <w:ind w:left="383" w:right="98" w:hanging="283"/>
        <w:jc w:val="both"/>
        <w:rPr>
          <w:sz w:val="24"/>
        </w:rPr>
      </w:pPr>
      <w:r>
        <w:rPr>
          <w:sz w:val="24"/>
        </w:rPr>
        <w:t>Muestra: Se trata de una muestra por conveniencia que se conformó por 97 estudiantes previamente seleccionados de la población de Toluca, Estado de México o suburbios, a quienes les fue tomada una radiografía lateral de cráneo y que fueron divididas en dos grupos que se integraron de la siguiente</w:t>
      </w:r>
      <w:r>
        <w:rPr>
          <w:spacing w:val="-25"/>
          <w:sz w:val="24"/>
        </w:rPr>
        <w:t> </w:t>
      </w:r>
      <w:r>
        <w:rPr>
          <w:sz w:val="24"/>
        </w:rPr>
        <w:t>manera:</w:t>
      </w:r>
    </w:p>
    <w:p>
      <w:pPr>
        <w:pStyle w:val="BodyText"/>
        <w:spacing w:before="7"/>
        <w:rPr>
          <w:sz w:val="19"/>
        </w:rPr>
      </w:pPr>
    </w:p>
    <w:tbl>
      <w:tblPr>
        <w:tblW w:w="0" w:type="auto"/>
        <w:jc w:val="left"/>
        <w:tblInd w:w="118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479"/>
        <w:gridCol w:w="1529"/>
        <w:gridCol w:w="1422"/>
        <w:gridCol w:w="1532"/>
      </w:tblGrid>
      <w:tr>
        <w:trPr>
          <w:trHeight w:val="484" w:hRule="exact"/>
        </w:trPr>
        <w:tc>
          <w:tcPr>
            <w:tcW w:w="2479" w:type="dxa"/>
            <w:vMerge w:val="restart"/>
            <w:shd w:val="clear" w:color="auto" w:fill="9BBA58"/>
          </w:tcPr>
          <w:p>
            <w:pPr>
              <w:pStyle w:val="TableParagraph"/>
              <w:spacing w:line="248" w:lineRule="exact"/>
              <w:ind w:left="98"/>
              <w:jc w:val="left"/>
              <w:rPr>
                <w:b/>
                <w:sz w:val="22"/>
              </w:rPr>
            </w:pPr>
            <w:r>
              <w:rPr>
                <w:b/>
                <w:color w:val="FFFFFF"/>
                <w:sz w:val="22"/>
              </w:rPr>
              <w:t>GRUPO DE EDAD</w:t>
            </w:r>
          </w:p>
        </w:tc>
        <w:tc>
          <w:tcPr>
            <w:tcW w:w="2951" w:type="dxa"/>
            <w:gridSpan w:val="2"/>
            <w:tcBorders>
              <w:bottom w:val="single" w:sz="24" w:space="0" w:color="FFFFFF"/>
              <w:right w:val="single" w:sz="8" w:space="0" w:color="FFFFFF"/>
            </w:tcBorders>
            <w:shd w:val="clear" w:color="auto" w:fill="9BBA58"/>
          </w:tcPr>
          <w:p>
            <w:pPr>
              <w:pStyle w:val="TableParagraph"/>
              <w:spacing w:line="248" w:lineRule="exact"/>
              <w:ind w:left="1149" w:right="1141"/>
              <w:rPr>
                <w:b/>
                <w:sz w:val="22"/>
              </w:rPr>
            </w:pPr>
            <w:r>
              <w:rPr>
                <w:b/>
                <w:color w:val="FFFFFF"/>
                <w:sz w:val="22"/>
              </w:rPr>
              <w:t>SEXO</w:t>
            </w:r>
          </w:p>
        </w:tc>
        <w:tc>
          <w:tcPr>
            <w:tcW w:w="1532" w:type="dxa"/>
            <w:vMerge w:val="restart"/>
            <w:tcBorders>
              <w:left w:val="single" w:sz="8" w:space="0" w:color="FFFFFF"/>
            </w:tcBorders>
            <w:shd w:val="clear" w:color="auto" w:fill="9BBA58"/>
          </w:tcPr>
          <w:p>
            <w:pPr>
              <w:pStyle w:val="TableParagraph"/>
              <w:spacing w:line="248" w:lineRule="exact"/>
              <w:ind w:left="396"/>
              <w:jc w:val="left"/>
              <w:rPr>
                <w:b/>
                <w:sz w:val="22"/>
              </w:rPr>
            </w:pPr>
            <w:r>
              <w:rPr>
                <w:b/>
                <w:color w:val="FFFFFF"/>
                <w:sz w:val="22"/>
              </w:rPr>
              <w:t>TOTAL</w:t>
            </w:r>
          </w:p>
        </w:tc>
      </w:tr>
      <w:tr>
        <w:trPr>
          <w:trHeight w:val="493" w:hRule="exact"/>
        </w:trPr>
        <w:tc>
          <w:tcPr>
            <w:tcW w:w="2479" w:type="dxa"/>
            <w:vMerge/>
            <w:tcBorders>
              <w:bottom w:val="single" w:sz="8" w:space="0" w:color="FFFFFF"/>
            </w:tcBorders>
            <w:shd w:val="clear" w:color="auto" w:fill="9BBA58"/>
          </w:tcPr>
          <w:p>
            <w:pPr/>
          </w:p>
        </w:tc>
        <w:tc>
          <w:tcPr>
            <w:tcW w:w="1529" w:type="dxa"/>
            <w:tcBorders>
              <w:top w:val="single" w:sz="24" w:space="0" w:color="FFFFFF"/>
              <w:left w:val="single" w:sz="24" w:space="0" w:color="FFFFFF"/>
              <w:bottom w:val="single" w:sz="8" w:space="0" w:color="FFFFFF"/>
              <w:right w:val="single" w:sz="9" w:space="0" w:color="FFFFFF"/>
            </w:tcBorders>
            <w:shd w:val="clear" w:color="auto" w:fill="CDDDAC"/>
          </w:tcPr>
          <w:p>
            <w:pPr>
              <w:pStyle w:val="TableParagraph"/>
              <w:spacing w:line="251" w:lineRule="exact"/>
              <w:ind w:left="62" w:right="78"/>
              <w:rPr>
                <w:sz w:val="22"/>
              </w:rPr>
            </w:pPr>
            <w:r>
              <w:rPr>
                <w:sz w:val="22"/>
              </w:rPr>
              <w:t>MASCULINO</w:t>
            </w:r>
          </w:p>
        </w:tc>
        <w:tc>
          <w:tcPr>
            <w:tcW w:w="1422" w:type="dxa"/>
            <w:tcBorders>
              <w:top w:val="single" w:sz="24" w:space="0" w:color="FFFFFF"/>
              <w:left w:val="single" w:sz="9" w:space="0" w:color="FFFFFF"/>
              <w:bottom w:val="single" w:sz="8" w:space="0" w:color="FFFFFF"/>
              <w:right w:val="single" w:sz="8" w:space="0" w:color="FFFFFF"/>
            </w:tcBorders>
            <w:shd w:val="clear" w:color="auto" w:fill="CDDDAC"/>
          </w:tcPr>
          <w:p>
            <w:pPr>
              <w:pStyle w:val="TableParagraph"/>
              <w:spacing w:line="251" w:lineRule="exact"/>
              <w:ind w:left="99" w:right="100"/>
              <w:rPr>
                <w:sz w:val="22"/>
              </w:rPr>
            </w:pPr>
            <w:r>
              <w:rPr>
                <w:sz w:val="22"/>
              </w:rPr>
              <w:t>FEMENINO</w:t>
            </w:r>
          </w:p>
        </w:tc>
        <w:tc>
          <w:tcPr>
            <w:tcW w:w="1532" w:type="dxa"/>
            <w:vMerge/>
            <w:tcBorders>
              <w:left w:val="single" w:sz="8" w:space="0" w:color="FFFFFF"/>
              <w:bottom w:val="single" w:sz="8" w:space="0" w:color="FFFFFF"/>
            </w:tcBorders>
            <w:shd w:val="clear" w:color="auto" w:fill="9BBA58"/>
          </w:tcPr>
          <w:p>
            <w:pPr/>
          </w:p>
        </w:tc>
      </w:tr>
      <w:tr>
        <w:trPr>
          <w:trHeight w:val="558" w:hRule="exact"/>
        </w:trPr>
        <w:tc>
          <w:tcPr>
            <w:tcW w:w="2479" w:type="dxa"/>
            <w:tcBorders>
              <w:top w:val="single" w:sz="8" w:space="0" w:color="FFFFFF"/>
              <w:bottom w:val="single" w:sz="9" w:space="0" w:color="FFFFFF"/>
              <w:right w:val="single" w:sz="24" w:space="0" w:color="FFFFFF"/>
            </w:tcBorders>
            <w:shd w:val="clear" w:color="auto" w:fill="9BBA58"/>
          </w:tcPr>
          <w:p>
            <w:pPr>
              <w:pStyle w:val="TableParagraph"/>
              <w:spacing w:line="248" w:lineRule="exact"/>
              <w:ind w:left="131" w:right="112"/>
              <w:rPr>
                <w:b/>
                <w:sz w:val="22"/>
              </w:rPr>
            </w:pPr>
            <w:r>
              <w:rPr>
                <w:b/>
                <w:color w:val="FFFFFF"/>
                <w:sz w:val="22"/>
              </w:rPr>
              <w:t>15- 17 años</w:t>
            </w:r>
          </w:p>
        </w:tc>
        <w:tc>
          <w:tcPr>
            <w:tcW w:w="1529" w:type="dxa"/>
            <w:tcBorders>
              <w:top w:val="single" w:sz="8" w:space="0" w:color="FFFFFF"/>
              <w:left w:val="single" w:sz="24" w:space="0" w:color="FFFFFF"/>
              <w:bottom w:val="single" w:sz="9" w:space="0" w:color="FFFFFF"/>
              <w:right w:val="single" w:sz="9" w:space="0" w:color="FFFFFF"/>
            </w:tcBorders>
            <w:shd w:val="clear" w:color="auto" w:fill="E6EDD4"/>
          </w:tcPr>
          <w:p>
            <w:pPr>
              <w:pStyle w:val="TableParagraph"/>
              <w:spacing w:line="251" w:lineRule="exact"/>
              <w:ind w:left="61" w:right="78"/>
              <w:rPr>
                <w:sz w:val="22"/>
              </w:rPr>
            </w:pPr>
            <w:r>
              <w:rPr>
                <w:sz w:val="22"/>
              </w:rPr>
              <w:t>17</w:t>
            </w:r>
          </w:p>
        </w:tc>
        <w:tc>
          <w:tcPr>
            <w:tcW w:w="1422" w:type="dxa"/>
            <w:tcBorders>
              <w:top w:val="single" w:sz="8" w:space="0" w:color="FFFFFF"/>
              <w:left w:val="single" w:sz="9" w:space="0" w:color="FFFFFF"/>
              <w:bottom w:val="single" w:sz="9" w:space="0" w:color="FFFFFF"/>
              <w:right w:val="single" w:sz="8" w:space="0" w:color="FFFFFF"/>
            </w:tcBorders>
            <w:shd w:val="clear" w:color="auto" w:fill="E6EDD4"/>
          </w:tcPr>
          <w:p>
            <w:pPr>
              <w:pStyle w:val="TableParagraph"/>
              <w:spacing w:line="251" w:lineRule="exact"/>
              <w:ind w:left="99" w:right="99"/>
              <w:rPr>
                <w:sz w:val="22"/>
              </w:rPr>
            </w:pPr>
            <w:r>
              <w:rPr>
                <w:sz w:val="22"/>
              </w:rPr>
              <w:t>33</w:t>
            </w:r>
          </w:p>
        </w:tc>
        <w:tc>
          <w:tcPr>
            <w:tcW w:w="1532" w:type="dxa"/>
            <w:tcBorders>
              <w:top w:val="single" w:sz="8" w:space="0" w:color="FFFFFF"/>
              <w:left w:val="single" w:sz="8" w:space="0" w:color="FFFFFF"/>
              <w:bottom w:val="single" w:sz="9" w:space="0" w:color="FFFFFF"/>
            </w:tcBorders>
            <w:shd w:val="clear" w:color="auto" w:fill="E6EDD4"/>
          </w:tcPr>
          <w:p>
            <w:pPr>
              <w:pStyle w:val="TableParagraph"/>
              <w:spacing w:line="251" w:lineRule="exact"/>
              <w:ind w:left="618" w:right="618"/>
              <w:rPr>
                <w:sz w:val="22"/>
              </w:rPr>
            </w:pPr>
            <w:r>
              <w:rPr>
                <w:sz w:val="22"/>
              </w:rPr>
              <w:t>49</w:t>
            </w:r>
          </w:p>
        </w:tc>
      </w:tr>
      <w:tr>
        <w:trPr>
          <w:trHeight w:val="693" w:hRule="exact"/>
        </w:trPr>
        <w:tc>
          <w:tcPr>
            <w:tcW w:w="2479" w:type="dxa"/>
            <w:tcBorders>
              <w:top w:val="single" w:sz="9" w:space="0" w:color="FFFFFF"/>
              <w:bottom w:val="single" w:sz="8" w:space="0" w:color="FFFFFF"/>
              <w:right w:val="single" w:sz="24" w:space="0" w:color="FFFFFF"/>
            </w:tcBorders>
            <w:shd w:val="clear" w:color="auto" w:fill="9BBA58"/>
          </w:tcPr>
          <w:p>
            <w:pPr>
              <w:pStyle w:val="TableParagraph"/>
              <w:spacing w:line="249" w:lineRule="exact"/>
              <w:ind w:left="130" w:right="112"/>
              <w:rPr>
                <w:b/>
                <w:sz w:val="22"/>
              </w:rPr>
            </w:pPr>
            <w:r>
              <w:rPr>
                <w:b/>
                <w:color w:val="FFFFFF"/>
                <w:sz w:val="22"/>
              </w:rPr>
              <w:t>Mayores de 18 años</w:t>
            </w:r>
          </w:p>
        </w:tc>
        <w:tc>
          <w:tcPr>
            <w:tcW w:w="1529" w:type="dxa"/>
            <w:tcBorders>
              <w:top w:val="single" w:sz="9" w:space="0" w:color="FFFFFF"/>
              <w:left w:val="single" w:sz="24" w:space="0" w:color="FFFFFF"/>
              <w:bottom w:val="single" w:sz="8" w:space="0" w:color="FFFFFF"/>
              <w:right w:val="single" w:sz="9" w:space="0" w:color="FFFFFF"/>
            </w:tcBorders>
            <w:shd w:val="clear" w:color="auto" w:fill="CDDDAC"/>
          </w:tcPr>
          <w:p>
            <w:pPr>
              <w:pStyle w:val="TableParagraph"/>
              <w:spacing w:line="251" w:lineRule="exact"/>
              <w:ind w:left="61" w:right="78"/>
              <w:rPr>
                <w:sz w:val="22"/>
              </w:rPr>
            </w:pPr>
            <w:r>
              <w:rPr>
                <w:sz w:val="22"/>
              </w:rPr>
              <w:t>25</w:t>
            </w:r>
          </w:p>
        </w:tc>
        <w:tc>
          <w:tcPr>
            <w:tcW w:w="1422" w:type="dxa"/>
            <w:tcBorders>
              <w:top w:val="single" w:sz="9" w:space="0" w:color="FFFFFF"/>
              <w:left w:val="single" w:sz="9" w:space="0" w:color="FFFFFF"/>
              <w:bottom w:val="single" w:sz="8" w:space="0" w:color="FFFFFF"/>
              <w:right w:val="single" w:sz="8" w:space="0" w:color="FFFFFF"/>
            </w:tcBorders>
            <w:shd w:val="clear" w:color="auto" w:fill="CDDDAC"/>
          </w:tcPr>
          <w:p>
            <w:pPr>
              <w:pStyle w:val="TableParagraph"/>
              <w:spacing w:line="251" w:lineRule="exact"/>
              <w:ind w:left="99" w:right="99"/>
              <w:rPr>
                <w:sz w:val="22"/>
              </w:rPr>
            </w:pPr>
            <w:r>
              <w:rPr>
                <w:sz w:val="22"/>
              </w:rPr>
              <w:t>23</w:t>
            </w:r>
          </w:p>
        </w:tc>
        <w:tc>
          <w:tcPr>
            <w:tcW w:w="1532" w:type="dxa"/>
            <w:tcBorders>
              <w:top w:val="single" w:sz="9" w:space="0" w:color="FFFFFF"/>
              <w:left w:val="single" w:sz="8" w:space="0" w:color="FFFFFF"/>
              <w:bottom w:val="single" w:sz="8" w:space="0" w:color="FFFFFF"/>
            </w:tcBorders>
            <w:shd w:val="clear" w:color="auto" w:fill="CDDDAC"/>
          </w:tcPr>
          <w:p>
            <w:pPr>
              <w:pStyle w:val="TableParagraph"/>
              <w:spacing w:line="251" w:lineRule="exact"/>
              <w:ind w:left="618" w:right="618"/>
              <w:rPr>
                <w:sz w:val="22"/>
              </w:rPr>
            </w:pPr>
            <w:r>
              <w:rPr>
                <w:sz w:val="22"/>
              </w:rPr>
              <w:t>48</w:t>
            </w:r>
          </w:p>
        </w:tc>
      </w:tr>
      <w:tr>
        <w:trPr>
          <w:trHeight w:val="463" w:hRule="exact"/>
        </w:trPr>
        <w:tc>
          <w:tcPr>
            <w:tcW w:w="2479" w:type="dxa"/>
            <w:tcBorders>
              <w:top w:val="single" w:sz="8" w:space="0" w:color="FFFFFF"/>
              <w:right w:val="single" w:sz="24" w:space="0" w:color="FFFFFF"/>
            </w:tcBorders>
            <w:shd w:val="clear" w:color="auto" w:fill="9BBA58"/>
          </w:tcPr>
          <w:p>
            <w:pPr>
              <w:pStyle w:val="TableParagraph"/>
              <w:spacing w:line="248" w:lineRule="exact"/>
              <w:ind w:left="132" w:right="112"/>
              <w:rPr>
                <w:b/>
                <w:sz w:val="22"/>
              </w:rPr>
            </w:pPr>
            <w:r>
              <w:rPr>
                <w:b/>
                <w:color w:val="FFFFFF"/>
                <w:sz w:val="22"/>
              </w:rPr>
              <w:t>Total de radiografías</w:t>
            </w:r>
          </w:p>
        </w:tc>
        <w:tc>
          <w:tcPr>
            <w:tcW w:w="1529" w:type="dxa"/>
            <w:tcBorders>
              <w:top w:val="single" w:sz="8" w:space="0" w:color="FFFFFF"/>
              <w:left w:val="single" w:sz="24" w:space="0" w:color="FFFFFF"/>
              <w:right w:val="single" w:sz="9" w:space="0" w:color="FFFFFF"/>
            </w:tcBorders>
            <w:shd w:val="clear" w:color="auto" w:fill="E6EDD4"/>
          </w:tcPr>
          <w:p>
            <w:pPr>
              <w:pStyle w:val="TableParagraph"/>
              <w:spacing w:line="251" w:lineRule="exact"/>
              <w:ind w:left="61" w:right="78"/>
              <w:rPr>
                <w:sz w:val="22"/>
              </w:rPr>
            </w:pPr>
            <w:r>
              <w:rPr>
                <w:sz w:val="22"/>
              </w:rPr>
              <w:t>42</w:t>
            </w:r>
          </w:p>
        </w:tc>
        <w:tc>
          <w:tcPr>
            <w:tcW w:w="1422" w:type="dxa"/>
            <w:tcBorders>
              <w:top w:val="single" w:sz="8" w:space="0" w:color="FFFFFF"/>
              <w:left w:val="single" w:sz="9" w:space="0" w:color="FFFFFF"/>
              <w:right w:val="single" w:sz="8" w:space="0" w:color="FFFFFF"/>
            </w:tcBorders>
            <w:shd w:val="clear" w:color="auto" w:fill="E6EDD4"/>
          </w:tcPr>
          <w:p>
            <w:pPr>
              <w:pStyle w:val="TableParagraph"/>
              <w:spacing w:line="251" w:lineRule="exact"/>
              <w:ind w:left="99" w:right="99"/>
              <w:rPr>
                <w:sz w:val="22"/>
              </w:rPr>
            </w:pPr>
            <w:r>
              <w:rPr>
                <w:sz w:val="22"/>
              </w:rPr>
              <w:t>56</w:t>
            </w:r>
          </w:p>
        </w:tc>
        <w:tc>
          <w:tcPr>
            <w:tcW w:w="1532" w:type="dxa"/>
            <w:tcBorders>
              <w:top w:val="single" w:sz="8" w:space="0" w:color="FFFFFF"/>
              <w:left w:val="single" w:sz="8" w:space="0" w:color="FFFFFF"/>
            </w:tcBorders>
            <w:shd w:val="clear" w:color="auto" w:fill="E6EDD4"/>
          </w:tcPr>
          <w:p>
            <w:pPr>
              <w:pStyle w:val="TableParagraph"/>
              <w:spacing w:line="248" w:lineRule="exact"/>
              <w:ind w:left="618" w:right="618"/>
              <w:rPr>
                <w:b/>
                <w:sz w:val="22"/>
              </w:rPr>
            </w:pPr>
            <w:r>
              <w:rPr>
                <w:b/>
                <w:sz w:val="22"/>
              </w:rPr>
              <w:t>97</w:t>
            </w:r>
          </w:p>
        </w:tc>
      </w:tr>
    </w:tbl>
    <w:p>
      <w:pPr>
        <w:pStyle w:val="BodyText"/>
        <w:rPr>
          <w:sz w:val="20"/>
        </w:rPr>
      </w:pPr>
    </w:p>
    <w:p>
      <w:pPr>
        <w:pStyle w:val="BodyText"/>
        <w:spacing w:before="2"/>
        <w:rPr>
          <w:sz w:val="18"/>
        </w:rPr>
      </w:pPr>
    </w:p>
    <w:p>
      <w:pPr>
        <w:pStyle w:val="ListParagraph"/>
        <w:numPr>
          <w:ilvl w:val="0"/>
          <w:numId w:val="17"/>
        </w:numPr>
        <w:tabs>
          <w:tab w:pos="961" w:val="left" w:leader="none"/>
          <w:tab w:pos="962" w:val="left" w:leader="none"/>
        </w:tabs>
        <w:spacing w:line="240" w:lineRule="auto" w:before="56" w:after="0"/>
        <w:ind w:left="962" w:right="0" w:hanging="360"/>
        <w:jc w:val="left"/>
        <w:rPr>
          <w:sz w:val="24"/>
        </w:rPr>
      </w:pPr>
      <w:r>
        <w:rPr>
          <w:sz w:val="24"/>
        </w:rPr>
        <w:t>Criterios de</w:t>
      </w:r>
      <w:r>
        <w:rPr>
          <w:spacing w:val="-4"/>
          <w:sz w:val="24"/>
        </w:rPr>
        <w:t> </w:t>
      </w:r>
      <w:r>
        <w:rPr>
          <w:sz w:val="24"/>
        </w:rPr>
        <w:t>inclusión:</w:t>
      </w:r>
    </w:p>
    <w:p>
      <w:pPr>
        <w:pStyle w:val="BodyText"/>
        <w:rPr>
          <w:sz w:val="29"/>
        </w:rPr>
      </w:pPr>
    </w:p>
    <w:p>
      <w:pPr>
        <w:pStyle w:val="BodyText"/>
        <w:spacing w:line="360" w:lineRule="auto"/>
        <w:ind w:left="242" w:right="72"/>
      </w:pPr>
      <w:r>
        <w:rPr/>
        <w:t>Se consideraron sujetos de estudio a aquellos que reunieron los siguientes criterios:</w:t>
      </w:r>
    </w:p>
    <w:p>
      <w:pPr>
        <w:pStyle w:val="ListParagraph"/>
        <w:numPr>
          <w:ilvl w:val="0"/>
          <w:numId w:val="10"/>
        </w:numPr>
        <w:tabs>
          <w:tab w:pos="526" w:val="left" w:leader="none"/>
        </w:tabs>
        <w:spacing w:line="360" w:lineRule="auto" w:before="205" w:after="0"/>
        <w:ind w:left="525" w:right="102" w:hanging="360"/>
        <w:jc w:val="both"/>
        <w:rPr>
          <w:sz w:val="24"/>
        </w:rPr>
      </w:pPr>
      <w:r>
        <w:rPr>
          <w:sz w:val="24"/>
        </w:rPr>
        <w:t>Adultos y adolescentes mexiquenses mayores de 15 años de edad sin  distinción de sexo, de padres y abuelos nacidos en la región central del Estado de</w:t>
      </w:r>
      <w:r>
        <w:rPr>
          <w:spacing w:val="-3"/>
          <w:sz w:val="24"/>
        </w:rPr>
        <w:t> </w:t>
      </w:r>
      <w:r>
        <w:rPr>
          <w:sz w:val="24"/>
        </w:rPr>
        <w:t>México.</w:t>
      </w:r>
    </w:p>
    <w:p>
      <w:pPr>
        <w:pStyle w:val="ListParagraph"/>
        <w:numPr>
          <w:ilvl w:val="0"/>
          <w:numId w:val="10"/>
        </w:numPr>
        <w:tabs>
          <w:tab w:pos="526" w:val="left" w:leader="none"/>
        </w:tabs>
        <w:spacing w:line="360" w:lineRule="auto" w:before="2" w:after="0"/>
        <w:ind w:left="525" w:right="101" w:hanging="360"/>
        <w:jc w:val="both"/>
        <w:rPr>
          <w:sz w:val="24"/>
        </w:rPr>
      </w:pPr>
      <w:r>
        <w:rPr>
          <w:sz w:val="24"/>
        </w:rPr>
        <w:t>Aquellos que mostraron buen perfil facial, de acuerdo a Ricketts, trazando una línea entre los puntos más prominentes entre la de la nariz y el mentón </w:t>
      </w:r>
      <w:r>
        <w:rPr>
          <w:spacing w:val="50"/>
          <w:sz w:val="24"/>
        </w:rPr>
        <w:t> </w:t>
      </w:r>
      <w:r>
        <w:rPr>
          <w:sz w:val="24"/>
        </w:rPr>
        <w:t>blando,</w:t>
      </w:r>
    </w:p>
    <w:p>
      <w:pPr>
        <w:spacing w:after="0" w:line="360" w:lineRule="auto"/>
        <w:jc w:val="both"/>
        <w:rPr>
          <w:sz w:val="24"/>
        </w:rPr>
        <w:sectPr>
          <w:pgSz w:w="12240" w:h="15840"/>
          <w:pgMar w:header="0" w:footer="1003" w:top="1360" w:bottom="1200" w:left="1460" w:right="1600"/>
        </w:sectPr>
      </w:pPr>
    </w:p>
    <w:p>
      <w:pPr>
        <w:pStyle w:val="BodyText"/>
        <w:spacing w:line="362" w:lineRule="auto" w:before="54"/>
        <w:ind w:left="505" w:right="776"/>
      </w:pPr>
      <w:r>
        <w:rPr/>
        <w:t>los labios debes situarse detrás de ésta, con el labio inferior tocando o muy cercano a este plano y el inferior aproximadamente 2mm detrás de él.</w:t>
      </w:r>
    </w:p>
    <w:p>
      <w:pPr>
        <w:pStyle w:val="ListParagraph"/>
        <w:numPr>
          <w:ilvl w:val="0"/>
          <w:numId w:val="10"/>
        </w:numPr>
        <w:tabs>
          <w:tab w:pos="505" w:val="left" w:leader="none"/>
          <w:tab w:pos="506" w:val="left" w:leader="none"/>
        </w:tabs>
        <w:spacing w:line="240" w:lineRule="auto" w:before="0" w:after="0"/>
        <w:ind w:left="505" w:right="0" w:hanging="360"/>
        <w:jc w:val="left"/>
        <w:rPr>
          <w:sz w:val="24"/>
        </w:rPr>
      </w:pPr>
      <w:r>
        <w:rPr>
          <w:sz w:val="24"/>
        </w:rPr>
        <w:t>Buena estética y simetría</w:t>
      </w:r>
      <w:r>
        <w:rPr>
          <w:spacing w:val="-9"/>
          <w:sz w:val="24"/>
        </w:rPr>
        <w:t> </w:t>
      </w:r>
      <w:r>
        <w:rPr>
          <w:sz w:val="24"/>
        </w:rPr>
        <w:t>facial</w:t>
      </w:r>
    </w:p>
    <w:p>
      <w:pPr>
        <w:pStyle w:val="ListParagraph"/>
        <w:numPr>
          <w:ilvl w:val="0"/>
          <w:numId w:val="10"/>
        </w:numPr>
        <w:tabs>
          <w:tab w:pos="505" w:val="left" w:leader="none"/>
          <w:tab w:pos="506" w:val="left" w:leader="none"/>
        </w:tabs>
        <w:spacing w:line="240" w:lineRule="auto" w:before="139" w:after="0"/>
        <w:ind w:left="505" w:right="0" w:hanging="360"/>
        <w:jc w:val="left"/>
        <w:rPr>
          <w:sz w:val="24"/>
        </w:rPr>
      </w:pPr>
      <w:r>
        <w:rPr>
          <w:sz w:val="24"/>
        </w:rPr>
        <w:t>Clase I</w:t>
      </w:r>
      <w:r>
        <w:rPr>
          <w:spacing w:val="-6"/>
          <w:sz w:val="24"/>
        </w:rPr>
        <w:t> </w:t>
      </w:r>
      <w:r>
        <w:rPr>
          <w:sz w:val="24"/>
        </w:rPr>
        <w:t>esquelética</w:t>
      </w:r>
    </w:p>
    <w:p>
      <w:pPr>
        <w:pStyle w:val="ListParagraph"/>
        <w:numPr>
          <w:ilvl w:val="0"/>
          <w:numId w:val="10"/>
        </w:numPr>
        <w:tabs>
          <w:tab w:pos="505" w:val="left" w:leader="none"/>
          <w:tab w:pos="506" w:val="left" w:leader="none"/>
        </w:tabs>
        <w:spacing w:line="240" w:lineRule="auto" w:before="137" w:after="0"/>
        <w:ind w:left="505" w:right="0" w:hanging="360"/>
        <w:jc w:val="left"/>
        <w:rPr>
          <w:sz w:val="24"/>
        </w:rPr>
      </w:pPr>
      <w:r>
        <w:rPr>
          <w:sz w:val="24"/>
        </w:rPr>
        <w:t>Relación Clase I molar y I</w:t>
      </w:r>
      <w:r>
        <w:rPr>
          <w:spacing w:val="-5"/>
          <w:sz w:val="24"/>
        </w:rPr>
        <w:t> </w:t>
      </w:r>
      <w:r>
        <w:rPr>
          <w:sz w:val="24"/>
        </w:rPr>
        <w:t>canina</w:t>
      </w:r>
    </w:p>
    <w:p>
      <w:pPr>
        <w:pStyle w:val="ListParagraph"/>
        <w:numPr>
          <w:ilvl w:val="0"/>
          <w:numId w:val="10"/>
        </w:numPr>
        <w:tabs>
          <w:tab w:pos="505" w:val="left" w:leader="none"/>
          <w:tab w:pos="506" w:val="left" w:leader="none"/>
        </w:tabs>
        <w:spacing w:line="240" w:lineRule="auto" w:before="139" w:after="0"/>
        <w:ind w:left="505" w:right="0" w:hanging="360"/>
        <w:jc w:val="left"/>
        <w:rPr>
          <w:sz w:val="24"/>
        </w:rPr>
      </w:pPr>
      <w:r>
        <w:rPr>
          <w:sz w:val="24"/>
        </w:rPr>
        <w:t>Overjet y overbite menor de 2.5</w:t>
      </w:r>
      <w:r>
        <w:rPr>
          <w:spacing w:val="-10"/>
          <w:sz w:val="24"/>
        </w:rPr>
        <w:t> </w:t>
      </w:r>
      <w:r>
        <w:rPr>
          <w:sz w:val="24"/>
        </w:rPr>
        <w:t>mm.</w:t>
      </w:r>
    </w:p>
    <w:p>
      <w:pPr>
        <w:pStyle w:val="ListParagraph"/>
        <w:numPr>
          <w:ilvl w:val="0"/>
          <w:numId w:val="10"/>
        </w:numPr>
        <w:tabs>
          <w:tab w:pos="505" w:val="left" w:leader="none"/>
          <w:tab w:pos="506" w:val="left" w:leader="none"/>
        </w:tabs>
        <w:spacing w:line="240" w:lineRule="auto" w:before="137" w:after="0"/>
        <w:ind w:left="505" w:right="0" w:hanging="360"/>
        <w:jc w:val="left"/>
        <w:rPr>
          <w:sz w:val="24"/>
        </w:rPr>
      </w:pPr>
      <w:r>
        <w:rPr>
          <w:sz w:val="24"/>
        </w:rPr>
        <w:t>Dentición permanente</w:t>
      </w:r>
      <w:r>
        <w:rPr>
          <w:spacing w:val="-11"/>
          <w:sz w:val="24"/>
        </w:rPr>
        <w:t> </w:t>
      </w:r>
      <w:r>
        <w:rPr>
          <w:sz w:val="24"/>
        </w:rPr>
        <w:t>completa</w:t>
      </w:r>
    </w:p>
    <w:p>
      <w:pPr>
        <w:pStyle w:val="ListParagraph"/>
        <w:numPr>
          <w:ilvl w:val="0"/>
          <w:numId w:val="10"/>
        </w:numPr>
        <w:tabs>
          <w:tab w:pos="505" w:val="left" w:leader="none"/>
          <w:tab w:pos="506" w:val="left" w:leader="none"/>
        </w:tabs>
        <w:spacing w:line="240" w:lineRule="auto" w:before="139" w:after="0"/>
        <w:ind w:left="505" w:right="0" w:hanging="360"/>
        <w:jc w:val="left"/>
        <w:rPr>
          <w:sz w:val="24"/>
        </w:rPr>
      </w:pPr>
      <w:r>
        <w:rPr>
          <w:sz w:val="24"/>
        </w:rPr>
        <w:t>Sin apiñamiento</w:t>
      </w:r>
      <w:r>
        <w:rPr>
          <w:spacing w:val="-13"/>
          <w:sz w:val="24"/>
        </w:rPr>
        <w:t> </w:t>
      </w:r>
      <w:r>
        <w:rPr>
          <w:sz w:val="24"/>
        </w:rPr>
        <w:t>dentario</w:t>
      </w:r>
    </w:p>
    <w:p>
      <w:pPr>
        <w:pStyle w:val="ListParagraph"/>
        <w:numPr>
          <w:ilvl w:val="0"/>
          <w:numId w:val="10"/>
        </w:numPr>
        <w:tabs>
          <w:tab w:pos="505" w:val="left" w:leader="none"/>
          <w:tab w:pos="506" w:val="left" w:leader="none"/>
        </w:tabs>
        <w:spacing w:line="240" w:lineRule="auto" w:before="137" w:after="0"/>
        <w:ind w:left="505" w:right="0" w:hanging="360"/>
        <w:jc w:val="left"/>
        <w:rPr>
          <w:sz w:val="24"/>
        </w:rPr>
      </w:pPr>
      <w:r>
        <w:rPr>
          <w:sz w:val="24"/>
        </w:rPr>
        <w:t>Piezas dentarias libres de</w:t>
      </w:r>
      <w:r>
        <w:rPr>
          <w:spacing w:val="-11"/>
          <w:sz w:val="24"/>
        </w:rPr>
        <w:t> </w:t>
      </w:r>
      <w:r>
        <w:rPr>
          <w:sz w:val="24"/>
        </w:rPr>
        <w:t>caries</w:t>
      </w:r>
    </w:p>
    <w:p>
      <w:pPr>
        <w:pStyle w:val="ListParagraph"/>
        <w:numPr>
          <w:ilvl w:val="0"/>
          <w:numId w:val="10"/>
        </w:numPr>
        <w:tabs>
          <w:tab w:pos="505" w:val="left" w:leader="none"/>
          <w:tab w:pos="506" w:val="left" w:leader="none"/>
        </w:tabs>
        <w:spacing w:line="240" w:lineRule="auto" w:before="140" w:after="0"/>
        <w:ind w:left="505" w:right="0" w:hanging="360"/>
        <w:jc w:val="left"/>
        <w:rPr>
          <w:sz w:val="24"/>
        </w:rPr>
      </w:pPr>
      <w:r>
        <w:rPr>
          <w:sz w:val="24"/>
        </w:rPr>
        <w:t>No presentaron falta de algún órgano</w:t>
      </w:r>
      <w:r>
        <w:rPr>
          <w:spacing w:val="-17"/>
          <w:sz w:val="24"/>
        </w:rPr>
        <w:t> </w:t>
      </w:r>
      <w:r>
        <w:rPr>
          <w:sz w:val="24"/>
        </w:rPr>
        <w:t>dental</w:t>
      </w:r>
    </w:p>
    <w:p>
      <w:pPr>
        <w:pStyle w:val="ListParagraph"/>
        <w:numPr>
          <w:ilvl w:val="0"/>
          <w:numId w:val="10"/>
        </w:numPr>
        <w:tabs>
          <w:tab w:pos="505" w:val="left" w:leader="none"/>
          <w:tab w:pos="506" w:val="left" w:leader="none"/>
        </w:tabs>
        <w:spacing w:line="240" w:lineRule="auto" w:before="137" w:after="0"/>
        <w:ind w:left="505" w:right="0" w:hanging="360"/>
        <w:jc w:val="left"/>
        <w:rPr>
          <w:sz w:val="24"/>
        </w:rPr>
      </w:pPr>
      <w:r>
        <w:rPr>
          <w:sz w:val="24"/>
        </w:rPr>
        <w:t>Sin antecedentes de tratamiento de ortodoncia u ortopedia</w:t>
      </w:r>
      <w:r>
        <w:rPr>
          <w:spacing w:val="-27"/>
          <w:sz w:val="24"/>
        </w:rPr>
        <w:t> </w:t>
      </w:r>
      <w:r>
        <w:rPr>
          <w:sz w:val="24"/>
        </w:rPr>
        <w:t>previo</w:t>
      </w:r>
    </w:p>
    <w:p>
      <w:pPr>
        <w:pStyle w:val="ListParagraph"/>
        <w:numPr>
          <w:ilvl w:val="0"/>
          <w:numId w:val="10"/>
        </w:numPr>
        <w:tabs>
          <w:tab w:pos="505" w:val="left" w:leader="none"/>
          <w:tab w:pos="506" w:val="left" w:leader="none"/>
        </w:tabs>
        <w:spacing w:line="240" w:lineRule="auto" w:before="139" w:after="0"/>
        <w:ind w:left="505" w:right="0" w:hanging="360"/>
        <w:jc w:val="left"/>
        <w:rPr>
          <w:sz w:val="24"/>
        </w:rPr>
      </w:pPr>
      <w:r>
        <w:rPr>
          <w:sz w:val="24"/>
        </w:rPr>
        <w:t>Sin antecedentes quirúrgicos</w:t>
      </w:r>
      <w:r>
        <w:rPr>
          <w:spacing w:val="-16"/>
          <w:sz w:val="24"/>
        </w:rPr>
        <w:t> </w:t>
      </w:r>
      <w:r>
        <w:rPr>
          <w:sz w:val="24"/>
        </w:rPr>
        <w:t>maxilofaciales.</w:t>
      </w:r>
    </w:p>
    <w:p>
      <w:pPr>
        <w:pStyle w:val="BodyText"/>
      </w:pPr>
    </w:p>
    <w:p>
      <w:pPr>
        <w:pStyle w:val="ListParagraph"/>
        <w:numPr>
          <w:ilvl w:val="0"/>
          <w:numId w:val="18"/>
        </w:numPr>
        <w:tabs>
          <w:tab w:pos="941" w:val="left" w:leader="none"/>
          <w:tab w:pos="942" w:val="left" w:leader="none"/>
        </w:tabs>
        <w:spacing w:line="240" w:lineRule="auto" w:before="142" w:after="0"/>
        <w:ind w:left="942" w:right="0" w:hanging="360"/>
        <w:jc w:val="left"/>
        <w:rPr>
          <w:sz w:val="24"/>
        </w:rPr>
      </w:pPr>
      <w:r>
        <w:rPr>
          <w:sz w:val="24"/>
        </w:rPr>
        <w:t>Criterios de</w:t>
      </w:r>
      <w:r>
        <w:rPr>
          <w:spacing w:val="-4"/>
          <w:sz w:val="24"/>
        </w:rPr>
        <w:t> </w:t>
      </w:r>
      <w:r>
        <w:rPr>
          <w:sz w:val="24"/>
        </w:rPr>
        <w:t>exclusión:</w:t>
      </w:r>
    </w:p>
    <w:p>
      <w:pPr>
        <w:pStyle w:val="BodyText"/>
        <w:spacing w:before="8"/>
        <w:rPr>
          <w:sz w:val="20"/>
        </w:rPr>
      </w:pPr>
    </w:p>
    <w:p>
      <w:pPr>
        <w:pStyle w:val="ListParagraph"/>
        <w:numPr>
          <w:ilvl w:val="0"/>
          <w:numId w:val="10"/>
        </w:numPr>
        <w:tabs>
          <w:tab w:pos="505" w:val="left" w:leader="none"/>
          <w:tab w:pos="506" w:val="left" w:leader="none"/>
        </w:tabs>
        <w:spacing w:line="240" w:lineRule="auto" w:before="0" w:after="0"/>
        <w:ind w:left="505" w:right="0" w:hanging="360"/>
        <w:jc w:val="left"/>
        <w:rPr>
          <w:sz w:val="24"/>
        </w:rPr>
      </w:pPr>
      <w:r>
        <w:rPr>
          <w:sz w:val="24"/>
        </w:rPr>
        <w:t>Adolescentes y adultos que no cumplieron con los criterios de</w:t>
      </w:r>
      <w:r>
        <w:rPr>
          <w:spacing w:val="-27"/>
          <w:sz w:val="24"/>
        </w:rPr>
        <w:t> </w:t>
      </w:r>
      <w:r>
        <w:rPr>
          <w:sz w:val="24"/>
        </w:rPr>
        <w:t>inclusión.</w:t>
      </w:r>
    </w:p>
    <w:p>
      <w:pPr>
        <w:pStyle w:val="BodyText"/>
        <w:rPr>
          <w:sz w:val="28"/>
        </w:rPr>
      </w:pPr>
    </w:p>
    <w:p>
      <w:pPr>
        <w:pStyle w:val="ListParagraph"/>
        <w:numPr>
          <w:ilvl w:val="0"/>
          <w:numId w:val="19"/>
        </w:numPr>
        <w:tabs>
          <w:tab w:pos="941" w:val="left" w:leader="none"/>
          <w:tab w:pos="942" w:val="left" w:leader="none"/>
        </w:tabs>
        <w:spacing w:line="240" w:lineRule="auto" w:before="0" w:after="0"/>
        <w:ind w:left="942" w:right="0" w:hanging="360"/>
        <w:jc w:val="left"/>
        <w:rPr>
          <w:sz w:val="24"/>
        </w:rPr>
      </w:pPr>
      <w:r>
        <w:rPr>
          <w:sz w:val="24"/>
        </w:rPr>
        <w:t>Criterios de</w:t>
      </w:r>
      <w:r>
        <w:rPr>
          <w:spacing w:val="-4"/>
          <w:sz w:val="24"/>
        </w:rPr>
        <w:t> </w:t>
      </w:r>
      <w:r>
        <w:rPr>
          <w:sz w:val="24"/>
        </w:rPr>
        <w:t>eliminación:</w:t>
      </w:r>
    </w:p>
    <w:p>
      <w:pPr>
        <w:pStyle w:val="BodyText"/>
        <w:spacing w:before="3"/>
        <w:rPr>
          <w:sz w:val="29"/>
        </w:rPr>
      </w:pPr>
    </w:p>
    <w:p>
      <w:pPr>
        <w:pStyle w:val="ListParagraph"/>
        <w:numPr>
          <w:ilvl w:val="0"/>
          <w:numId w:val="10"/>
        </w:numPr>
        <w:tabs>
          <w:tab w:pos="505" w:val="left" w:leader="none"/>
          <w:tab w:pos="506" w:val="left" w:leader="none"/>
        </w:tabs>
        <w:spacing w:line="360" w:lineRule="auto" w:before="0" w:after="0"/>
        <w:ind w:left="505" w:right="1251" w:hanging="360"/>
        <w:jc w:val="left"/>
        <w:rPr>
          <w:sz w:val="24"/>
        </w:rPr>
      </w:pPr>
      <w:r>
        <w:rPr>
          <w:sz w:val="24"/>
        </w:rPr>
        <w:t>Aquellas radiografías que por alguna razón resultaron dañadas, y que por</w:t>
      </w:r>
      <w:r>
        <w:rPr>
          <w:spacing w:val="-28"/>
          <w:sz w:val="24"/>
        </w:rPr>
        <w:t> </w:t>
      </w:r>
      <w:r>
        <w:rPr>
          <w:sz w:val="24"/>
        </w:rPr>
        <w:t>esta razón se hizo imposible su trazado y</w:t>
      </w:r>
      <w:r>
        <w:rPr>
          <w:spacing w:val="-14"/>
          <w:sz w:val="24"/>
        </w:rPr>
        <w:t> </w:t>
      </w:r>
      <w:r>
        <w:rPr>
          <w:sz w:val="24"/>
        </w:rPr>
        <w:t>análisis.</w:t>
      </w:r>
    </w:p>
    <w:p>
      <w:pPr>
        <w:pStyle w:val="ListParagraph"/>
        <w:numPr>
          <w:ilvl w:val="0"/>
          <w:numId w:val="10"/>
        </w:numPr>
        <w:tabs>
          <w:tab w:pos="505" w:val="left" w:leader="none"/>
          <w:tab w:pos="506" w:val="left" w:leader="none"/>
        </w:tabs>
        <w:spacing w:line="240" w:lineRule="auto" w:before="5" w:after="0"/>
        <w:ind w:left="505" w:right="0" w:hanging="360"/>
        <w:jc w:val="left"/>
        <w:rPr>
          <w:sz w:val="24"/>
        </w:rPr>
      </w:pPr>
      <w:r>
        <w:rPr>
          <w:sz w:val="24"/>
        </w:rPr>
        <w:t>Las radiografías mal tomadas y/o</w:t>
      </w:r>
      <w:r>
        <w:rPr>
          <w:spacing w:val="-13"/>
          <w:sz w:val="24"/>
        </w:rPr>
        <w:t> </w:t>
      </w:r>
      <w:r>
        <w:rPr>
          <w:sz w:val="24"/>
        </w:rPr>
        <w:t>reveladas.</w:t>
      </w:r>
    </w:p>
    <w:p>
      <w:pPr>
        <w:pStyle w:val="BodyText"/>
        <w:spacing w:before="1"/>
        <w:rPr>
          <w:sz w:val="31"/>
        </w:rPr>
      </w:pPr>
    </w:p>
    <w:p>
      <w:pPr>
        <w:pStyle w:val="ListParagraph"/>
        <w:numPr>
          <w:ilvl w:val="0"/>
          <w:numId w:val="20"/>
        </w:numPr>
        <w:tabs>
          <w:tab w:pos="941" w:val="left" w:leader="none"/>
          <w:tab w:pos="942" w:val="left" w:leader="none"/>
        </w:tabs>
        <w:spacing w:line="240" w:lineRule="auto" w:before="0" w:after="0"/>
        <w:ind w:left="942" w:right="0" w:hanging="360"/>
        <w:jc w:val="left"/>
        <w:rPr>
          <w:sz w:val="24"/>
        </w:rPr>
      </w:pPr>
      <w:r>
        <w:rPr>
          <w:sz w:val="24"/>
        </w:rPr>
        <w:t>Operacionalización de variables</w:t>
      </w:r>
      <w:r>
        <w:rPr>
          <w:spacing w:val="-21"/>
          <w:sz w:val="24"/>
        </w:rPr>
        <w:t> </w:t>
      </w:r>
      <w:r>
        <w:rPr>
          <w:sz w:val="24"/>
        </w:rPr>
        <w:t>independientes</w:t>
      </w:r>
    </w:p>
    <w:p>
      <w:pPr>
        <w:pStyle w:val="BodyText"/>
        <w:spacing w:before="2"/>
        <w:rPr>
          <w:sz w:val="29"/>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43"/>
        <w:gridCol w:w="2410"/>
        <w:gridCol w:w="1700"/>
        <w:gridCol w:w="1418"/>
        <w:gridCol w:w="1561"/>
        <w:gridCol w:w="1558"/>
      </w:tblGrid>
      <w:tr>
        <w:trPr>
          <w:trHeight w:val="739" w:hRule="exact"/>
        </w:trPr>
        <w:tc>
          <w:tcPr>
            <w:tcW w:w="1243" w:type="dxa"/>
          </w:tcPr>
          <w:p>
            <w:pPr>
              <w:pStyle w:val="TableParagraph"/>
              <w:spacing w:before="2"/>
              <w:ind w:left="103"/>
              <w:jc w:val="left"/>
              <w:rPr>
                <w:sz w:val="20"/>
              </w:rPr>
            </w:pPr>
            <w:r>
              <w:rPr>
                <w:sz w:val="20"/>
              </w:rPr>
              <w:t>VARIABLE</w:t>
            </w:r>
          </w:p>
        </w:tc>
        <w:tc>
          <w:tcPr>
            <w:tcW w:w="2410" w:type="dxa"/>
          </w:tcPr>
          <w:p>
            <w:pPr>
              <w:pStyle w:val="TableParagraph"/>
              <w:spacing w:line="276" w:lineRule="auto" w:before="2"/>
              <w:ind w:left="513" w:right="500" w:firstLine="105"/>
              <w:jc w:val="left"/>
              <w:rPr>
                <w:sz w:val="20"/>
              </w:rPr>
            </w:pPr>
            <w:r>
              <w:rPr>
                <w:sz w:val="20"/>
              </w:rPr>
              <w:t>DEFINICIÓN CONCEPTUAL</w:t>
            </w:r>
          </w:p>
        </w:tc>
        <w:tc>
          <w:tcPr>
            <w:tcW w:w="1700" w:type="dxa"/>
          </w:tcPr>
          <w:p>
            <w:pPr>
              <w:pStyle w:val="TableParagraph"/>
              <w:spacing w:line="276" w:lineRule="auto" w:before="2"/>
              <w:ind w:left="119" w:right="101" w:firstLine="146"/>
              <w:jc w:val="left"/>
              <w:rPr>
                <w:sz w:val="20"/>
              </w:rPr>
            </w:pPr>
            <w:r>
              <w:rPr>
                <w:sz w:val="20"/>
              </w:rPr>
              <w:t>DEFINICION </w:t>
            </w:r>
            <w:r>
              <w:rPr>
                <w:w w:val="95"/>
                <w:sz w:val="20"/>
              </w:rPr>
              <w:t>OPERACIONAL</w:t>
            </w:r>
          </w:p>
        </w:tc>
        <w:tc>
          <w:tcPr>
            <w:tcW w:w="1418" w:type="dxa"/>
          </w:tcPr>
          <w:p>
            <w:pPr>
              <w:pStyle w:val="TableParagraph"/>
              <w:spacing w:line="276" w:lineRule="auto" w:before="2"/>
              <w:ind w:left="213" w:right="197" w:firstLine="91"/>
              <w:jc w:val="left"/>
              <w:rPr>
                <w:sz w:val="20"/>
              </w:rPr>
            </w:pPr>
            <w:r>
              <w:rPr>
                <w:sz w:val="20"/>
              </w:rPr>
              <w:t>TIPO DE VARIABLE</w:t>
            </w:r>
          </w:p>
        </w:tc>
        <w:tc>
          <w:tcPr>
            <w:tcW w:w="1561" w:type="dxa"/>
          </w:tcPr>
          <w:p>
            <w:pPr>
              <w:pStyle w:val="TableParagraph"/>
              <w:spacing w:line="276" w:lineRule="auto" w:before="2"/>
              <w:ind w:left="273" w:right="195" w:hanging="60"/>
              <w:jc w:val="left"/>
              <w:rPr>
                <w:sz w:val="20"/>
              </w:rPr>
            </w:pPr>
            <w:r>
              <w:rPr>
                <w:sz w:val="20"/>
              </w:rPr>
              <w:t>ESCALA DE MEDICION</w:t>
            </w:r>
          </w:p>
        </w:tc>
        <w:tc>
          <w:tcPr>
            <w:tcW w:w="1558" w:type="dxa"/>
          </w:tcPr>
          <w:p>
            <w:pPr>
              <w:pStyle w:val="TableParagraph"/>
              <w:spacing w:before="2"/>
              <w:ind w:left="369" w:right="218"/>
              <w:jc w:val="left"/>
              <w:rPr>
                <w:sz w:val="20"/>
              </w:rPr>
            </w:pPr>
            <w:r>
              <w:rPr>
                <w:sz w:val="20"/>
              </w:rPr>
              <w:t>CÓDIGO</w:t>
            </w:r>
          </w:p>
        </w:tc>
      </w:tr>
      <w:tr>
        <w:trPr>
          <w:trHeight w:val="1666" w:hRule="exact"/>
        </w:trPr>
        <w:tc>
          <w:tcPr>
            <w:tcW w:w="1243" w:type="dxa"/>
          </w:tcPr>
          <w:p>
            <w:pPr>
              <w:pStyle w:val="TableParagraph"/>
              <w:spacing w:line="251" w:lineRule="exact"/>
              <w:ind w:left="103"/>
              <w:jc w:val="left"/>
              <w:rPr>
                <w:sz w:val="22"/>
              </w:rPr>
            </w:pPr>
            <w:r>
              <w:rPr>
                <w:sz w:val="22"/>
              </w:rPr>
              <w:t>SEXO</w:t>
            </w:r>
          </w:p>
        </w:tc>
        <w:tc>
          <w:tcPr>
            <w:tcW w:w="2410" w:type="dxa"/>
          </w:tcPr>
          <w:p>
            <w:pPr>
              <w:pStyle w:val="TableParagraph"/>
              <w:tabs>
                <w:tab w:pos="1415" w:val="left" w:leader="none"/>
              </w:tabs>
              <w:spacing w:line="276" w:lineRule="auto"/>
              <w:ind w:left="100" w:right="101"/>
              <w:jc w:val="both"/>
              <w:rPr>
                <w:sz w:val="22"/>
              </w:rPr>
            </w:pPr>
            <w:r>
              <w:rPr>
                <w:sz w:val="22"/>
              </w:rPr>
              <w:t>Condición biológica que</w:t>
              <w:tab/>
            </w:r>
            <w:r>
              <w:rPr>
                <w:spacing w:val="-1"/>
                <w:sz w:val="22"/>
              </w:rPr>
              <w:t>distingue </w:t>
            </w:r>
            <w:r>
              <w:rPr>
                <w:sz w:val="22"/>
              </w:rPr>
              <w:t>orgánicamente a los hombres y a las mujeres.</w:t>
            </w:r>
          </w:p>
        </w:tc>
        <w:tc>
          <w:tcPr>
            <w:tcW w:w="1700" w:type="dxa"/>
          </w:tcPr>
          <w:p>
            <w:pPr>
              <w:pStyle w:val="TableParagraph"/>
              <w:tabs>
                <w:tab w:pos="822" w:val="left" w:leader="none"/>
                <w:tab w:pos="1216" w:val="left" w:leader="none"/>
              </w:tabs>
              <w:spacing w:line="276" w:lineRule="auto"/>
              <w:ind w:left="100" w:right="101"/>
              <w:jc w:val="left"/>
              <w:rPr>
                <w:sz w:val="22"/>
              </w:rPr>
            </w:pPr>
            <w:r>
              <w:rPr>
                <w:sz w:val="22"/>
              </w:rPr>
              <w:t>Sexo</w:t>
              <w:tab/>
              <w:t>al</w:t>
              <w:tab/>
              <w:t>que pertenece cada</w:t>
            </w:r>
            <w:r>
              <w:rPr>
                <w:spacing w:val="-6"/>
                <w:sz w:val="22"/>
              </w:rPr>
              <w:t> </w:t>
            </w:r>
            <w:r>
              <w:rPr>
                <w:sz w:val="22"/>
              </w:rPr>
              <w:t>individuo.</w:t>
            </w:r>
          </w:p>
        </w:tc>
        <w:tc>
          <w:tcPr>
            <w:tcW w:w="1418" w:type="dxa"/>
          </w:tcPr>
          <w:p>
            <w:pPr>
              <w:pStyle w:val="TableParagraph"/>
              <w:spacing w:line="278" w:lineRule="auto"/>
              <w:ind w:left="319" w:right="170" w:hanging="128"/>
              <w:jc w:val="left"/>
              <w:rPr>
                <w:sz w:val="22"/>
              </w:rPr>
            </w:pPr>
            <w:r>
              <w:rPr>
                <w:sz w:val="22"/>
              </w:rPr>
              <w:t>Cualitativa nominal</w:t>
            </w:r>
          </w:p>
        </w:tc>
        <w:tc>
          <w:tcPr>
            <w:tcW w:w="1561" w:type="dxa"/>
          </w:tcPr>
          <w:p>
            <w:pPr>
              <w:pStyle w:val="TableParagraph"/>
              <w:numPr>
                <w:ilvl w:val="0"/>
                <w:numId w:val="21"/>
              </w:numPr>
              <w:tabs>
                <w:tab w:pos="240" w:val="left" w:leader="none"/>
              </w:tabs>
              <w:spacing w:line="251" w:lineRule="exact" w:before="0" w:after="0"/>
              <w:ind w:left="240" w:right="0" w:hanging="137"/>
              <w:jc w:val="left"/>
              <w:rPr>
                <w:sz w:val="22"/>
              </w:rPr>
            </w:pPr>
            <w:r>
              <w:rPr>
                <w:sz w:val="22"/>
              </w:rPr>
              <w:t>Masculino</w:t>
            </w:r>
          </w:p>
          <w:p>
            <w:pPr>
              <w:pStyle w:val="TableParagraph"/>
              <w:spacing w:before="9"/>
              <w:jc w:val="left"/>
              <w:rPr>
                <w:sz w:val="20"/>
              </w:rPr>
            </w:pPr>
          </w:p>
          <w:p>
            <w:pPr>
              <w:pStyle w:val="TableParagraph"/>
              <w:numPr>
                <w:ilvl w:val="0"/>
                <w:numId w:val="21"/>
              </w:numPr>
              <w:tabs>
                <w:tab w:pos="240" w:val="left" w:leader="none"/>
              </w:tabs>
              <w:spacing w:line="240" w:lineRule="auto" w:before="0" w:after="0"/>
              <w:ind w:left="240" w:right="0" w:hanging="137"/>
              <w:jc w:val="left"/>
              <w:rPr>
                <w:sz w:val="22"/>
              </w:rPr>
            </w:pPr>
            <w:r>
              <w:rPr>
                <w:sz w:val="22"/>
              </w:rPr>
              <w:t>Femenino</w:t>
            </w:r>
          </w:p>
        </w:tc>
        <w:tc>
          <w:tcPr>
            <w:tcW w:w="1558" w:type="dxa"/>
          </w:tcPr>
          <w:p>
            <w:pPr>
              <w:pStyle w:val="TableParagraph"/>
              <w:spacing w:line="468" w:lineRule="auto"/>
              <w:ind w:left="103" w:right="218"/>
              <w:jc w:val="left"/>
              <w:rPr>
                <w:sz w:val="22"/>
              </w:rPr>
            </w:pPr>
            <w:r>
              <w:rPr>
                <w:sz w:val="22"/>
              </w:rPr>
              <w:t>1-Masculino 2-Femenino</w:t>
            </w:r>
          </w:p>
        </w:tc>
      </w:tr>
      <w:tr>
        <w:trPr>
          <w:trHeight w:val="1373" w:hRule="exact"/>
        </w:trPr>
        <w:tc>
          <w:tcPr>
            <w:tcW w:w="1243" w:type="dxa"/>
          </w:tcPr>
          <w:p>
            <w:pPr>
              <w:pStyle w:val="TableParagraph"/>
              <w:spacing w:line="251" w:lineRule="exact"/>
              <w:ind w:left="103"/>
              <w:jc w:val="left"/>
              <w:rPr>
                <w:sz w:val="22"/>
              </w:rPr>
            </w:pPr>
            <w:r>
              <w:rPr>
                <w:sz w:val="22"/>
              </w:rPr>
              <w:t>EDAD</w:t>
            </w:r>
          </w:p>
        </w:tc>
        <w:tc>
          <w:tcPr>
            <w:tcW w:w="2410" w:type="dxa"/>
          </w:tcPr>
          <w:p>
            <w:pPr>
              <w:pStyle w:val="TableParagraph"/>
              <w:spacing w:line="276" w:lineRule="auto"/>
              <w:ind w:left="100" w:right="102"/>
              <w:jc w:val="both"/>
              <w:rPr>
                <w:sz w:val="22"/>
              </w:rPr>
            </w:pPr>
            <w:r>
              <w:rPr>
                <w:sz w:val="22"/>
              </w:rPr>
              <w:t>Tiempo que ha vivido una persona u otro  ser vivo contando desde su</w:t>
            </w:r>
            <w:r>
              <w:rPr>
                <w:spacing w:val="-6"/>
                <w:sz w:val="22"/>
              </w:rPr>
              <w:t> </w:t>
            </w:r>
            <w:r>
              <w:rPr>
                <w:sz w:val="22"/>
              </w:rPr>
              <w:t>nacimiento.</w:t>
            </w:r>
          </w:p>
        </w:tc>
        <w:tc>
          <w:tcPr>
            <w:tcW w:w="1700" w:type="dxa"/>
          </w:tcPr>
          <w:p>
            <w:pPr>
              <w:pStyle w:val="TableParagraph"/>
              <w:tabs>
                <w:tab w:pos="1216" w:val="left" w:leader="none"/>
              </w:tabs>
              <w:spacing w:line="276" w:lineRule="auto"/>
              <w:ind w:left="100" w:right="99"/>
              <w:jc w:val="left"/>
              <w:rPr>
                <w:sz w:val="22"/>
              </w:rPr>
            </w:pPr>
            <w:r>
              <w:rPr>
                <w:sz w:val="22"/>
              </w:rPr>
              <w:t>Grupo de edad al</w:t>
              <w:tab/>
              <w:t>que</w:t>
            </w:r>
          </w:p>
          <w:p>
            <w:pPr>
              <w:pStyle w:val="TableParagraph"/>
              <w:spacing w:line="278" w:lineRule="auto"/>
              <w:ind w:left="100" w:right="121"/>
              <w:jc w:val="left"/>
              <w:rPr>
                <w:sz w:val="22"/>
              </w:rPr>
            </w:pPr>
            <w:r>
              <w:rPr>
                <w:sz w:val="22"/>
              </w:rPr>
              <w:t>pertenece cada</w:t>
            </w:r>
            <w:r>
              <w:rPr>
                <w:spacing w:val="-6"/>
                <w:sz w:val="22"/>
              </w:rPr>
              <w:t> </w:t>
            </w:r>
            <w:r>
              <w:rPr>
                <w:sz w:val="22"/>
              </w:rPr>
              <w:t>individuo.</w:t>
            </w:r>
          </w:p>
        </w:tc>
        <w:tc>
          <w:tcPr>
            <w:tcW w:w="1418" w:type="dxa"/>
          </w:tcPr>
          <w:p>
            <w:pPr>
              <w:pStyle w:val="TableParagraph"/>
              <w:spacing w:line="276" w:lineRule="auto"/>
              <w:ind w:left="319" w:right="105" w:hanging="197"/>
              <w:jc w:val="left"/>
              <w:rPr>
                <w:sz w:val="22"/>
              </w:rPr>
            </w:pPr>
            <w:r>
              <w:rPr>
                <w:sz w:val="22"/>
              </w:rPr>
              <w:t>Cuantitativa discreta</w:t>
            </w:r>
          </w:p>
        </w:tc>
        <w:tc>
          <w:tcPr>
            <w:tcW w:w="1561" w:type="dxa"/>
          </w:tcPr>
          <w:p>
            <w:pPr>
              <w:pStyle w:val="TableParagraph"/>
              <w:spacing w:line="251" w:lineRule="exact"/>
              <w:ind w:left="103" w:right="144"/>
              <w:jc w:val="left"/>
              <w:rPr>
                <w:sz w:val="22"/>
              </w:rPr>
            </w:pPr>
            <w:r>
              <w:rPr>
                <w:sz w:val="22"/>
              </w:rPr>
              <w:t>- 15-17 años</w:t>
            </w:r>
          </w:p>
          <w:p>
            <w:pPr>
              <w:pStyle w:val="TableParagraph"/>
              <w:spacing w:before="9"/>
              <w:jc w:val="left"/>
              <w:rPr>
                <w:sz w:val="20"/>
              </w:rPr>
            </w:pPr>
          </w:p>
          <w:p>
            <w:pPr>
              <w:pStyle w:val="TableParagraph"/>
              <w:spacing w:line="276" w:lineRule="auto"/>
              <w:ind w:left="103" w:right="144"/>
              <w:jc w:val="left"/>
              <w:rPr>
                <w:sz w:val="22"/>
              </w:rPr>
            </w:pPr>
            <w:r>
              <w:rPr>
                <w:sz w:val="22"/>
              </w:rPr>
              <w:t>- Mayores de 18 años</w:t>
            </w:r>
          </w:p>
        </w:tc>
        <w:tc>
          <w:tcPr>
            <w:tcW w:w="1558" w:type="dxa"/>
          </w:tcPr>
          <w:p>
            <w:pPr>
              <w:pStyle w:val="TableParagraph"/>
              <w:spacing w:line="251" w:lineRule="exact"/>
              <w:ind w:left="103"/>
              <w:jc w:val="left"/>
              <w:rPr>
                <w:sz w:val="22"/>
              </w:rPr>
            </w:pPr>
            <w:r>
              <w:rPr>
                <w:sz w:val="22"/>
              </w:rPr>
              <w:t>1-15-17 años</w:t>
            </w:r>
          </w:p>
          <w:p>
            <w:pPr>
              <w:pStyle w:val="TableParagraph"/>
              <w:spacing w:before="9"/>
              <w:jc w:val="left"/>
              <w:rPr>
                <w:sz w:val="20"/>
              </w:rPr>
            </w:pPr>
          </w:p>
          <w:p>
            <w:pPr>
              <w:pStyle w:val="TableParagraph"/>
              <w:spacing w:line="276" w:lineRule="auto"/>
              <w:ind w:left="103" w:right="336"/>
              <w:jc w:val="left"/>
              <w:rPr>
                <w:sz w:val="22"/>
              </w:rPr>
            </w:pPr>
            <w:r>
              <w:rPr>
                <w:sz w:val="22"/>
              </w:rPr>
              <w:t>2-Mayores de 18 años</w:t>
            </w:r>
          </w:p>
        </w:tc>
      </w:tr>
    </w:tbl>
    <w:p>
      <w:pPr>
        <w:spacing w:after="0" w:line="276" w:lineRule="auto"/>
        <w:jc w:val="left"/>
        <w:rPr>
          <w:sz w:val="22"/>
        </w:rPr>
        <w:sectPr>
          <w:footerReference w:type="default" r:id="rId79"/>
          <w:pgSz w:w="12240" w:h="15840"/>
          <w:pgMar w:footer="1003" w:header="0" w:top="1360" w:bottom="1200" w:left="1480" w:right="640"/>
        </w:sectPr>
      </w:pPr>
    </w:p>
    <w:p>
      <w:pPr>
        <w:pStyle w:val="ListParagraph"/>
        <w:numPr>
          <w:ilvl w:val="0"/>
          <w:numId w:val="20"/>
        </w:numPr>
        <w:tabs>
          <w:tab w:pos="941" w:val="left" w:leader="none"/>
          <w:tab w:pos="942" w:val="left" w:leader="none"/>
        </w:tabs>
        <w:spacing w:line="240" w:lineRule="auto" w:before="34" w:after="0"/>
        <w:ind w:left="942" w:right="0" w:hanging="360"/>
        <w:jc w:val="left"/>
        <w:rPr>
          <w:sz w:val="24"/>
        </w:rPr>
      </w:pPr>
      <w:r>
        <w:rPr>
          <w:sz w:val="24"/>
        </w:rPr>
        <w:t>Operacionalización de variables</w:t>
      </w:r>
      <w:r>
        <w:rPr>
          <w:spacing w:val="-20"/>
          <w:sz w:val="24"/>
        </w:rPr>
        <w:t> </w:t>
      </w:r>
      <w:r>
        <w:rPr>
          <w:sz w:val="24"/>
        </w:rPr>
        <w:t>dependientes</w:t>
      </w:r>
    </w:p>
    <w:p>
      <w:pPr>
        <w:pStyle w:val="BodyText"/>
        <w:spacing w:before="1"/>
        <w:rPr>
          <w:sz w:val="21"/>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93"/>
        <w:gridCol w:w="2693"/>
        <w:gridCol w:w="1702"/>
        <w:gridCol w:w="1561"/>
        <w:gridCol w:w="1416"/>
      </w:tblGrid>
      <w:tr>
        <w:trPr>
          <w:trHeight w:val="670" w:hRule="exact"/>
        </w:trPr>
        <w:tc>
          <w:tcPr>
            <w:tcW w:w="2093" w:type="dxa"/>
          </w:tcPr>
          <w:p>
            <w:pPr>
              <w:pStyle w:val="TableParagraph"/>
              <w:spacing w:line="230" w:lineRule="exact"/>
              <w:ind w:left="103" w:right="151"/>
              <w:jc w:val="left"/>
              <w:rPr>
                <w:sz w:val="20"/>
              </w:rPr>
            </w:pPr>
            <w:r>
              <w:rPr>
                <w:sz w:val="20"/>
              </w:rPr>
              <w:t>VARIABLE</w:t>
            </w:r>
          </w:p>
        </w:tc>
        <w:tc>
          <w:tcPr>
            <w:tcW w:w="2693" w:type="dxa"/>
          </w:tcPr>
          <w:p>
            <w:pPr>
              <w:pStyle w:val="TableParagraph"/>
              <w:spacing w:line="242" w:lineRule="auto"/>
              <w:ind w:left="658" w:firstLine="105"/>
              <w:jc w:val="left"/>
              <w:rPr>
                <w:sz w:val="20"/>
              </w:rPr>
            </w:pPr>
            <w:r>
              <w:rPr>
                <w:sz w:val="20"/>
              </w:rPr>
              <w:t>DEFINICIÓN </w:t>
            </w:r>
            <w:r>
              <w:rPr>
                <w:w w:val="95"/>
                <w:sz w:val="20"/>
              </w:rPr>
              <w:t>CONCEPTUAL</w:t>
            </w:r>
          </w:p>
        </w:tc>
        <w:tc>
          <w:tcPr>
            <w:tcW w:w="1702" w:type="dxa"/>
          </w:tcPr>
          <w:p>
            <w:pPr>
              <w:pStyle w:val="TableParagraph"/>
              <w:spacing w:line="242" w:lineRule="auto"/>
              <w:ind w:left="122" w:firstLine="146"/>
              <w:jc w:val="left"/>
              <w:rPr>
                <w:sz w:val="20"/>
              </w:rPr>
            </w:pPr>
            <w:r>
              <w:rPr>
                <w:sz w:val="20"/>
              </w:rPr>
              <w:t>DEFINICION </w:t>
            </w:r>
            <w:r>
              <w:rPr>
                <w:w w:val="95"/>
                <w:sz w:val="20"/>
              </w:rPr>
              <w:t>OPERACIONAL</w:t>
            </w:r>
          </w:p>
        </w:tc>
        <w:tc>
          <w:tcPr>
            <w:tcW w:w="1561" w:type="dxa"/>
          </w:tcPr>
          <w:p>
            <w:pPr>
              <w:pStyle w:val="TableParagraph"/>
              <w:spacing w:line="242" w:lineRule="auto"/>
              <w:ind w:left="285" w:right="267" w:firstLine="88"/>
              <w:jc w:val="left"/>
              <w:rPr>
                <w:sz w:val="20"/>
              </w:rPr>
            </w:pPr>
            <w:r>
              <w:rPr>
                <w:sz w:val="20"/>
              </w:rPr>
              <w:t>TIPO DE VARIABLE</w:t>
            </w:r>
          </w:p>
        </w:tc>
        <w:tc>
          <w:tcPr>
            <w:tcW w:w="1416" w:type="dxa"/>
          </w:tcPr>
          <w:p>
            <w:pPr>
              <w:pStyle w:val="TableParagraph"/>
              <w:spacing w:line="242" w:lineRule="auto"/>
              <w:ind w:left="201" w:right="122" w:hanging="60"/>
              <w:jc w:val="left"/>
              <w:rPr>
                <w:sz w:val="20"/>
              </w:rPr>
            </w:pPr>
            <w:r>
              <w:rPr>
                <w:sz w:val="20"/>
              </w:rPr>
              <w:t>ESCALA DE MEDICION</w:t>
            </w:r>
          </w:p>
        </w:tc>
      </w:tr>
      <w:tr>
        <w:trPr>
          <w:trHeight w:val="2434" w:hRule="exact"/>
        </w:trPr>
        <w:tc>
          <w:tcPr>
            <w:tcW w:w="2093" w:type="dxa"/>
          </w:tcPr>
          <w:p>
            <w:pPr>
              <w:pStyle w:val="TableParagraph"/>
              <w:ind w:left="103" w:right="151"/>
              <w:jc w:val="left"/>
              <w:rPr>
                <w:sz w:val="22"/>
              </w:rPr>
            </w:pPr>
            <w:r>
              <w:rPr>
                <w:sz w:val="22"/>
              </w:rPr>
              <w:t>INDICADOR DE PROFUNDIDAD DE SOBREMORDIDA VERTICAL</w:t>
            </w:r>
          </w:p>
          <w:p>
            <w:pPr>
              <w:pStyle w:val="TableParagraph"/>
              <w:spacing w:before="2"/>
              <w:jc w:val="left"/>
              <w:rPr>
                <w:sz w:val="17"/>
              </w:rPr>
            </w:pPr>
          </w:p>
          <w:p>
            <w:pPr>
              <w:pStyle w:val="TableParagraph"/>
              <w:ind w:left="103" w:right="151"/>
              <w:jc w:val="left"/>
              <w:rPr>
                <w:sz w:val="22"/>
              </w:rPr>
            </w:pPr>
            <w:r>
              <w:rPr>
                <w:sz w:val="22"/>
              </w:rPr>
              <w:t>(ODI)</w:t>
            </w:r>
          </w:p>
        </w:tc>
        <w:tc>
          <w:tcPr>
            <w:tcW w:w="2693" w:type="dxa"/>
          </w:tcPr>
          <w:p>
            <w:pPr>
              <w:pStyle w:val="TableParagraph"/>
              <w:ind w:left="103" w:right="101"/>
              <w:jc w:val="both"/>
              <w:rPr>
                <w:sz w:val="22"/>
              </w:rPr>
            </w:pPr>
            <w:r>
              <w:rPr>
                <w:sz w:val="22"/>
              </w:rPr>
              <w:t>Analiza el componente vertical y es la suma aritmética del ángulo  de:</w:t>
            </w:r>
          </w:p>
          <w:p>
            <w:pPr>
              <w:pStyle w:val="TableParagraph"/>
              <w:ind w:left="103" w:right="101"/>
              <w:jc w:val="both"/>
              <w:rPr>
                <w:sz w:val="22"/>
              </w:rPr>
            </w:pPr>
            <w:r>
              <w:rPr>
                <w:sz w:val="22"/>
              </w:rPr>
              <w:t>-Plano A-B al plano mandibular</w:t>
            </w:r>
          </w:p>
          <w:p>
            <w:pPr>
              <w:pStyle w:val="TableParagraph"/>
              <w:spacing w:before="2"/>
              <w:jc w:val="left"/>
              <w:rPr>
                <w:sz w:val="17"/>
              </w:rPr>
            </w:pPr>
          </w:p>
          <w:p>
            <w:pPr>
              <w:pStyle w:val="TableParagraph"/>
              <w:ind w:left="103" w:right="101"/>
              <w:jc w:val="both"/>
              <w:rPr>
                <w:sz w:val="22"/>
              </w:rPr>
            </w:pPr>
            <w:r>
              <w:rPr>
                <w:sz w:val="22"/>
              </w:rPr>
              <w:t>-Y el ángulo del plano Palatino al plano horizontal de Frankfort</w:t>
            </w:r>
          </w:p>
        </w:tc>
        <w:tc>
          <w:tcPr>
            <w:tcW w:w="1702" w:type="dxa"/>
          </w:tcPr>
          <w:p>
            <w:pPr>
              <w:pStyle w:val="TableParagraph"/>
              <w:tabs>
                <w:tab w:pos="1341" w:val="left" w:leader="none"/>
                <w:tab w:pos="1418" w:val="left" w:leader="none"/>
              </w:tabs>
              <w:ind w:left="103" w:right="98"/>
              <w:jc w:val="left"/>
              <w:rPr>
                <w:sz w:val="22"/>
              </w:rPr>
            </w:pPr>
            <w:r>
              <w:rPr>
                <w:sz w:val="22"/>
              </w:rPr>
              <w:t>Medición</w:t>
              <w:tab/>
              <w:t>de éstos ángulos mediante</w:t>
              <w:tab/>
              <w:tab/>
              <w:t>el instrumento de medición: protractor</w:t>
            </w:r>
          </w:p>
        </w:tc>
        <w:tc>
          <w:tcPr>
            <w:tcW w:w="1561" w:type="dxa"/>
          </w:tcPr>
          <w:p>
            <w:pPr>
              <w:pStyle w:val="TableParagraph"/>
              <w:spacing w:line="252" w:lineRule="exact" w:before="2"/>
              <w:ind w:left="333" w:right="176" w:hanging="140"/>
              <w:jc w:val="left"/>
              <w:rPr>
                <w:sz w:val="22"/>
              </w:rPr>
            </w:pPr>
            <w:r>
              <w:rPr>
                <w:sz w:val="22"/>
              </w:rPr>
              <w:t>Cuantitativa Continua</w:t>
            </w:r>
          </w:p>
        </w:tc>
        <w:tc>
          <w:tcPr>
            <w:tcW w:w="1416" w:type="dxa"/>
          </w:tcPr>
          <w:p>
            <w:pPr>
              <w:pStyle w:val="TableParagraph"/>
              <w:spacing w:line="251" w:lineRule="exact"/>
              <w:ind w:left="322" w:right="322"/>
              <w:rPr>
                <w:sz w:val="22"/>
              </w:rPr>
            </w:pPr>
            <w:r>
              <w:rPr>
                <w:sz w:val="22"/>
              </w:rPr>
              <w:t>Grados</w:t>
            </w:r>
          </w:p>
        </w:tc>
      </w:tr>
      <w:tr>
        <w:trPr>
          <w:trHeight w:val="3086" w:hRule="exact"/>
        </w:trPr>
        <w:tc>
          <w:tcPr>
            <w:tcW w:w="2093" w:type="dxa"/>
          </w:tcPr>
          <w:p>
            <w:pPr>
              <w:pStyle w:val="TableParagraph"/>
              <w:ind w:left="103" w:right="358"/>
              <w:jc w:val="left"/>
              <w:rPr>
                <w:sz w:val="22"/>
              </w:rPr>
            </w:pPr>
            <w:r>
              <w:rPr>
                <w:sz w:val="22"/>
              </w:rPr>
              <w:t>INDICADOR DE DISPLASIA ANTERO POSTERIOR (APDI)</w:t>
            </w:r>
          </w:p>
        </w:tc>
        <w:tc>
          <w:tcPr>
            <w:tcW w:w="2693" w:type="dxa"/>
          </w:tcPr>
          <w:p>
            <w:pPr>
              <w:pStyle w:val="TableParagraph"/>
              <w:ind w:left="103" w:right="102"/>
              <w:jc w:val="both"/>
              <w:rPr>
                <w:sz w:val="22"/>
              </w:rPr>
            </w:pPr>
            <w:r>
              <w:rPr>
                <w:sz w:val="22"/>
              </w:rPr>
              <w:t>Diferencía el patrón anteroposterior de la maloclusión y está determinado por la suma aritmética de tres ángulos:</w:t>
            </w:r>
          </w:p>
          <w:p>
            <w:pPr>
              <w:pStyle w:val="TableParagraph"/>
              <w:spacing w:before="5"/>
              <w:jc w:val="left"/>
              <w:rPr>
                <w:sz w:val="17"/>
              </w:rPr>
            </w:pPr>
          </w:p>
          <w:p>
            <w:pPr>
              <w:pStyle w:val="TableParagraph"/>
              <w:ind w:left="103"/>
              <w:jc w:val="both"/>
              <w:rPr>
                <w:sz w:val="22"/>
              </w:rPr>
            </w:pPr>
            <w:r>
              <w:rPr>
                <w:sz w:val="22"/>
              </w:rPr>
              <w:t>-Plano facial/ plano FH</w:t>
            </w:r>
          </w:p>
          <w:p>
            <w:pPr>
              <w:pStyle w:val="TableParagraph"/>
              <w:spacing w:before="5"/>
              <w:jc w:val="left"/>
              <w:rPr>
                <w:sz w:val="17"/>
              </w:rPr>
            </w:pPr>
          </w:p>
          <w:p>
            <w:pPr>
              <w:pStyle w:val="TableParagraph"/>
              <w:ind w:left="103"/>
              <w:jc w:val="both"/>
              <w:rPr>
                <w:sz w:val="22"/>
              </w:rPr>
            </w:pPr>
            <w:r>
              <w:rPr>
                <w:sz w:val="22"/>
              </w:rPr>
              <w:t>-Plano facial/AB</w:t>
            </w:r>
          </w:p>
          <w:p>
            <w:pPr>
              <w:pStyle w:val="TableParagraph"/>
              <w:spacing w:before="2"/>
              <w:jc w:val="left"/>
              <w:rPr>
                <w:sz w:val="17"/>
              </w:rPr>
            </w:pPr>
          </w:p>
          <w:p>
            <w:pPr>
              <w:pStyle w:val="TableParagraph"/>
              <w:ind w:left="103"/>
              <w:jc w:val="both"/>
              <w:rPr>
                <w:sz w:val="22"/>
              </w:rPr>
            </w:pPr>
            <w:r>
              <w:rPr>
                <w:sz w:val="22"/>
              </w:rPr>
              <w:t>-Plano palatino/Plano FH</w:t>
            </w:r>
          </w:p>
        </w:tc>
        <w:tc>
          <w:tcPr>
            <w:tcW w:w="1702" w:type="dxa"/>
          </w:tcPr>
          <w:p>
            <w:pPr>
              <w:pStyle w:val="TableParagraph"/>
              <w:tabs>
                <w:tab w:pos="1341" w:val="left" w:leader="none"/>
                <w:tab w:pos="1418" w:val="left" w:leader="none"/>
              </w:tabs>
              <w:ind w:left="103" w:right="98"/>
              <w:jc w:val="left"/>
              <w:rPr>
                <w:sz w:val="22"/>
              </w:rPr>
            </w:pPr>
            <w:r>
              <w:rPr>
                <w:sz w:val="22"/>
              </w:rPr>
              <w:t>Medición</w:t>
              <w:tab/>
              <w:t>de éstos ángulos mediante</w:t>
              <w:tab/>
              <w:tab/>
              <w:t>el instrumento de medición: protractor</w:t>
            </w:r>
          </w:p>
        </w:tc>
        <w:tc>
          <w:tcPr>
            <w:tcW w:w="1561" w:type="dxa"/>
          </w:tcPr>
          <w:p>
            <w:pPr>
              <w:pStyle w:val="TableParagraph"/>
              <w:spacing w:line="242" w:lineRule="auto"/>
              <w:ind w:left="333" w:right="176" w:hanging="140"/>
              <w:jc w:val="left"/>
              <w:rPr>
                <w:sz w:val="22"/>
              </w:rPr>
            </w:pPr>
            <w:r>
              <w:rPr>
                <w:sz w:val="22"/>
              </w:rPr>
              <w:t>Cuantitativa Continua</w:t>
            </w:r>
          </w:p>
        </w:tc>
        <w:tc>
          <w:tcPr>
            <w:tcW w:w="1416" w:type="dxa"/>
          </w:tcPr>
          <w:p>
            <w:pPr>
              <w:pStyle w:val="TableParagraph"/>
              <w:spacing w:line="251" w:lineRule="exact"/>
              <w:ind w:left="322" w:right="322"/>
              <w:rPr>
                <w:sz w:val="22"/>
              </w:rPr>
            </w:pPr>
            <w:r>
              <w:rPr>
                <w:sz w:val="22"/>
              </w:rPr>
              <w:t>Grados</w:t>
            </w:r>
          </w:p>
        </w:tc>
      </w:tr>
    </w:tbl>
    <w:p>
      <w:pPr>
        <w:pStyle w:val="BodyText"/>
        <w:rPr>
          <w:sz w:val="20"/>
        </w:rPr>
      </w:pPr>
    </w:p>
    <w:p>
      <w:pPr>
        <w:pStyle w:val="BodyText"/>
        <w:spacing w:before="7"/>
        <w:rPr>
          <w:sz w:val="16"/>
        </w:rPr>
      </w:pPr>
    </w:p>
    <w:p>
      <w:pPr>
        <w:pStyle w:val="ListParagraph"/>
        <w:numPr>
          <w:ilvl w:val="0"/>
          <w:numId w:val="20"/>
        </w:numPr>
        <w:tabs>
          <w:tab w:pos="941" w:val="left" w:leader="none"/>
          <w:tab w:pos="942" w:val="left" w:leader="none"/>
        </w:tabs>
        <w:spacing w:line="240" w:lineRule="auto" w:before="55" w:after="0"/>
        <w:ind w:left="942" w:right="0" w:hanging="360"/>
        <w:jc w:val="left"/>
        <w:rPr>
          <w:sz w:val="24"/>
        </w:rPr>
      </w:pPr>
      <w:r>
        <w:rPr>
          <w:sz w:val="24"/>
        </w:rPr>
        <w:t>Material</w:t>
      </w:r>
    </w:p>
    <w:p>
      <w:pPr>
        <w:pStyle w:val="BodyText"/>
        <w:spacing w:before="197"/>
        <w:ind w:left="202" w:right="5375"/>
        <w:jc w:val="center"/>
      </w:pPr>
      <w:r>
        <w:rPr/>
        <w:t>Se utilizaron los siguientes materiales:</w:t>
      </w:r>
    </w:p>
    <w:p>
      <w:pPr>
        <w:pStyle w:val="ListParagraph"/>
        <w:numPr>
          <w:ilvl w:val="1"/>
          <w:numId w:val="10"/>
        </w:numPr>
        <w:tabs>
          <w:tab w:pos="941" w:val="left" w:leader="none"/>
          <w:tab w:pos="942" w:val="left" w:leader="none"/>
        </w:tabs>
        <w:spacing w:line="240" w:lineRule="auto" w:before="197" w:after="0"/>
        <w:ind w:left="942" w:right="5742" w:hanging="360"/>
        <w:jc w:val="left"/>
        <w:rPr>
          <w:sz w:val="24"/>
        </w:rPr>
      </w:pPr>
      <w:r>
        <w:rPr>
          <w:sz w:val="24"/>
        </w:rPr>
        <w:t>Acetatos para trazado cefalométrico acabado</w:t>
      </w:r>
      <w:r>
        <w:rPr>
          <w:spacing w:val="-10"/>
          <w:sz w:val="24"/>
        </w:rPr>
        <w:t> </w:t>
      </w:r>
      <w:r>
        <w:rPr>
          <w:sz w:val="24"/>
        </w:rPr>
        <w:t>mate (Dentaurum,</w:t>
      </w:r>
      <w:r>
        <w:rPr>
          <w:spacing w:val="-8"/>
          <w:sz w:val="24"/>
        </w:rPr>
        <w:t> </w:t>
      </w:r>
      <w:r>
        <w:rPr>
          <w:sz w:val="24"/>
        </w:rPr>
        <w:t>USA)</w:t>
      </w:r>
    </w:p>
    <w:p>
      <w:pPr>
        <w:pStyle w:val="ListParagraph"/>
        <w:numPr>
          <w:ilvl w:val="1"/>
          <w:numId w:val="10"/>
        </w:numPr>
        <w:tabs>
          <w:tab w:pos="941" w:val="left" w:leader="none"/>
          <w:tab w:pos="942" w:val="left" w:leader="none"/>
        </w:tabs>
        <w:spacing w:line="240" w:lineRule="auto" w:before="0" w:after="0"/>
        <w:ind w:left="942" w:right="5877" w:hanging="360"/>
        <w:jc w:val="left"/>
        <w:rPr>
          <w:sz w:val="24"/>
        </w:rPr>
      </w:pPr>
      <w:r>
        <w:rPr>
          <w:sz w:val="24"/>
        </w:rPr>
        <w:t>Cinta adherible (diurex</w:t>
      </w:r>
      <w:r>
        <w:rPr>
          <w:spacing w:val="-9"/>
          <w:sz w:val="24"/>
        </w:rPr>
        <w:t> </w:t>
      </w:r>
      <w:r>
        <w:rPr>
          <w:sz w:val="24"/>
        </w:rPr>
        <w:t>3M, USA)</w:t>
      </w:r>
    </w:p>
    <w:p>
      <w:pPr>
        <w:pStyle w:val="ListParagraph"/>
        <w:numPr>
          <w:ilvl w:val="1"/>
          <w:numId w:val="10"/>
        </w:numPr>
        <w:tabs>
          <w:tab w:pos="941" w:val="left" w:leader="none"/>
          <w:tab w:pos="942" w:val="left" w:leader="none"/>
        </w:tabs>
        <w:spacing w:line="240" w:lineRule="auto" w:before="0" w:after="0"/>
        <w:ind w:left="942" w:right="0" w:hanging="360"/>
        <w:jc w:val="left"/>
        <w:rPr>
          <w:sz w:val="24"/>
        </w:rPr>
      </w:pPr>
      <w:r>
        <w:rPr>
          <w:sz w:val="24"/>
        </w:rPr>
        <w:t>Negatoscopio</w:t>
      </w:r>
    </w:p>
    <w:p>
      <w:pPr>
        <w:pStyle w:val="ListParagraph"/>
        <w:numPr>
          <w:ilvl w:val="1"/>
          <w:numId w:val="10"/>
        </w:numPr>
        <w:tabs>
          <w:tab w:pos="941" w:val="left" w:leader="none"/>
          <w:tab w:pos="942" w:val="left" w:leader="none"/>
        </w:tabs>
        <w:spacing w:line="240" w:lineRule="auto" w:before="0" w:after="0"/>
        <w:ind w:left="942" w:right="0" w:hanging="360"/>
        <w:jc w:val="left"/>
        <w:rPr>
          <w:sz w:val="24"/>
        </w:rPr>
      </w:pPr>
      <w:r>
        <w:rPr>
          <w:sz w:val="24"/>
        </w:rPr>
        <w:t>Protractor  (ORMCO,</w:t>
      </w:r>
      <w:r>
        <w:rPr>
          <w:spacing w:val="-4"/>
          <w:sz w:val="24"/>
        </w:rPr>
        <w:t> </w:t>
      </w:r>
      <w:r>
        <w:rPr>
          <w:sz w:val="24"/>
        </w:rPr>
        <w:t>USA)</w:t>
      </w:r>
    </w:p>
    <w:p>
      <w:pPr>
        <w:pStyle w:val="ListParagraph"/>
        <w:numPr>
          <w:ilvl w:val="1"/>
          <w:numId w:val="10"/>
        </w:numPr>
        <w:tabs>
          <w:tab w:pos="941" w:val="left" w:leader="none"/>
          <w:tab w:pos="942" w:val="left" w:leader="none"/>
        </w:tabs>
        <w:spacing w:line="240" w:lineRule="auto" w:before="0" w:after="0"/>
        <w:ind w:left="942" w:right="0" w:hanging="360"/>
        <w:jc w:val="left"/>
        <w:rPr>
          <w:sz w:val="24"/>
        </w:rPr>
      </w:pPr>
      <w:r>
        <w:rPr>
          <w:sz w:val="24"/>
        </w:rPr>
        <w:t>Escuadras</w:t>
      </w:r>
      <w:r>
        <w:rPr>
          <w:spacing w:val="-7"/>
          <w:sz w:val="24"/>
        </w:rPr>
        <w:t> </w:t>
      </w:r>
      <w:r>
        <w:rPr>
          <w:sz w:val="24"/>
        </w:rPr>
        <w:t>calibradas</w:t>
      </w:r>
    </w:p>
    <w:p>
      <w:pPr>
        <w:pStyle w:val="ListParagraph"/>
        <w:numPr>
          <w:ilvl w:val="1"/>
          <w:numId w:val="10"/>
        </w:numPr>
        <w:tabs>
          <w:tab w:pos="941" w:val="left" w:leader="none"/>
          <w:tab w:pos="942" w:val="left" w:leader="none"/>
        </w:tabs>
        <w:spacing w:line="240" w:lineRule="auto" w:before="0" w:after="0"/>
        <w:ind w:left="942" w:right="0" w:hanging="360"/>
        <w:jc w:val="left"/>
        <w:rPr>
          <w:sz w:val="24"/>
        </w:rPr>
      </w:pPr>
      <w:r>
        <w:rPr>
          <w:sz w:val="24"/>
        </w:rPr>
        <w:t>Bicolor</w:t>
      </w:r>
    </w:p>
    <w:p>
      <w:pPr>
        <w:pStyle w:val="ListParagraph"/>
        <w:numPr>
          <w:ilvl w:val="1"/>
          <w:numId w:val="10"/>
        </w:numPr>
        <w:tabs>
          <w:tab w:pos="941" w:val="left" w:leader="none"/>
          <w:tab w:pos="942" w:val="left" w:leader="none"/>
        </w:tabs>
        <w:spacing w:line="240" w:lineRule="auto" w:before="0" w:after="0"/>
        <w:ind w:left="942" w:right="0" w:hanging="360"/>
        <w:jc w:val="left"/>
        <w:rPr>
          <w:sz w:val="24"/>
        </w:rPr>
      </w:pPr>
      <w:r>
        <w:rPr>
          <w:sz w:val="24"/>
        </w:rPr>
        <w:t>Lápiz portaminas de 0.5</w:t>
      </w:r>
      <w:r>
        <w:rPr>
          <w:spacing w:val="-8"/>
          <w:sz w:val="24"/>
        </w:rPr>
        <w:t> </w:t>
      </w:r>
      <w:r>
        <w:rPr>
          <w:sz w:val="24"/>
        </w:rPr>
        <w:t>mm</w:t>
      </w:r>
    </w:p>
    <w:p>
      <w:pPr>
        <w:pStyle w:val="ListParagraph"/>
        <w:numPr>
          <w:ilvl w:val="1"/>
          <w:numId w:val="10"/>
        </w:numPr>
        <w:tabs>
          <w:tab w:pos="941" w:val="left" w:leader="none"/>
          <w:tab w:pos="942" w:val="left" w:leader="none"/>
        </w:tabs>
        <w:spacing w:line="240" w:lineRule="auto" w:before="0" w:after="0"/>
        <w:ind w:left="942" w:right="0" w:hanging="360"/>
        <w:jc w:val="left"/>
        <w:rPr>
          <w:sz w:val="24"/>
        </w:rPr>
      </w:pPr>
      <w:r>
        <w:rPr>
          <w:sz w:val="24"/>
        </w:rPr>
        <w:t>Borrador</w:t>
      </w:r>
    </w:p>
    <w:p>
      <w:pPr>
        <w:pStyle w:val="ListParagraph"/>
        <w:numPr>
          <w:ilvl w:val="1"/>
          <w:numId w:val="10"/>
        </w:numPr>
        <w:tabs>
          <w:tab w:pos="941" w:val="left" w:leader="none"/>
          <w:tab w:pos="942" w:val="left" w:leader="none"/>
        </w:tabs>
        <w:spacing w:line="240" w:lineRule="auto" w:before="0" w:after="0"/>
        <w:ind w:left="942" w:right="0" w:hanging="360"/>
        <w:jc w:val="left"/>
        <w:rPr>
          <w:sz w:val="24"/>
        </w:rPr>
      </w:pPr>
      <w:r>
        <w:rPr>
          <w:sz w:val="24"/>
        </w:rPr>
        <w:t>Hojas de</w:t>
      </w:r>
      <w:r>
        <w:rPr>
          <w:spacing w:val="-3"/>
          <w:sz w:val="24"/>
        </w:rPr>
        <w:t> </w:t>
      </w:r>
      <w:r>
        <w:rPr>
          <w:sz w:val="24"/>
        </w:rPr>
        <w:t>papel</w:t>
      </w:r>
    </w:p>
    <w:p>
      <w:pPr>
        <w:pStyle w:val="ListParagraph"/>
        <w:numPr>
          <w:ilvl w:val="1"/>
          <w:numId w:val="10"/>
        </w:numPr>
        <w:tabs>
          <w:tab w:pos="941" w:val="left" w:leader="none"/>
          <w:tab w:pos="942" w:val="left" w:leader="none"/>
        </w:tabs>
        <w:spacing w:line="240" w:lineRule="auto" w:before="0" w:after="0"/>
        <w:ind w:left="942" w:right="0" w:hanging="360"/>
        <w:jc w:val="left"/>
        <w:rPr>
          <w:sz w:val="24"/>
        </w:rPr>
      </w:pPr>
      <w:r>
        <w:rPr>
          <w:sz w:val="24"/>
        </w:rPr>
        <w:t>Guantes</w:t>
      </w:r>
    </w:p>
    <w:p>
      <w:pPr>
        <w:spacing w:after="0" w:line="240" w:lineRule="auto"/>
        <w:jc w:val="left"/>
        <w:rPr>
          <w:sz w:val="24"/>
        </w:rPr>
        <w:sectPr>
          <w:footerReference w:type="default" r:id="rId80"/>
          <w:pgSz w:w="12240" w:h="15840"/>
          <w:pgMar w:footer="1003" w:header="0" w:top="1380" w:bottom="1200" w:left="1480" w:right="1060"/>
          <w:pgNumType w:start="51"/>
        </w:sectPr>
      </w:pPr>
    </w:p>
    <w:p>
      <w:pPr>
        <w:pStyle w:val="ListParagraph"/>
        <w:numPr>
          <w:ilvl w:val="0"/>
          <w:numId w:val="22"/>
        </w:numPr>
        <w:tabs>
          <w:tab w:pos="821" w:val="left" w:leader="none"/>
          <w:tab w:pos="822" w:val="left" w:leader="none"/>
        </w:tabs>
        <w:spacing w:line="240" w:lineRule="auto" w:before="34" w:after="0"/>
        <w:ind w:left="822" w:right="0" w:hanging="360"/>
        <w:jc w:val="left"/>
        <w:rPr>
          <w:sz w:val="24"/>
        </w:rPr>
      </w:pPr>
      <w:r>
        <w:rPr>
          <w:sz w:val="24"/>
        </w:rPr>
        <w:t>Trazado</w:t>
      </w:r>
      <w:r>
        <w:rPr>
          <w:spacing w:val="-7"/>
          <w:sz w:val="24"/>
        </w:rPr>
        <w:t> </w:t>
      </w:r>
      <w:r>
        <w:rPr>
          <w:sz w:val="24"/>
        </w:rPr>
        <w:t>cefalométrico</w:t>
      </w:r>
    </w:p>
    <w:p>
      <w:pPr>
        <w:pStyle w:val="BodyText"/>
        <w:spacing w:before="3"/>
        <w:rPr>
          <w:sz w:val="29"/>
        </w:rPr>
      </w:pPr>
    </w:p>
    <w:p>
      <w:pPr>
        <w:pStyle w:val="ListParagraph"/>
        <w:numPr>
          <w:ilvl w:val="0"/>
          <w:numId w:val="10"/>
        </w:numPr>
        <w:tabs>
          <w:tab w:pos="386" w:val="left" w:leader="none"/>
        </w:tabs>
        <w:spacing w:line="360" w:lineRule="auto" w:before="0" w:after="0"/>
        <w:ind w:left="385" w:right="99" w:hanging="283"/>
        <w:jc w:val="both"/>
        <w:rPr>
          <w:sz w:val="24"/>
        </w:rPr>
      </w:pPr>
      <w:r>
        <w:rPr>
          <w:sz w:val="24"/>
        </w:rPr>
        <w:t>Se tomó cada una de las radiografías laterales de cráneo y sobre ella se colocó un acetato para trazado cefalométrico, con el lado mate visto hacia el frente y sujetado con cinta adherible en su extremo</w:t>
      </w:r>
      <w:r>
        <w:rPr>
          <w:spacing w:val="-19"/>
          <w:sz w:val="24"/>
        </w:rPr>
        <w:t> </w:t>
      </w:r>
      <w:r>
        <w:rPr>
          <w:sz w:val="24"/>
        </w:rPr>
        <w:t>superior.</w:t>
      </w:r>
    </w:p>
    <w:p>
      <w:pPr>
        <w:pStyle w:val="ListParagraph"/>
        <w:numPr>
          <w:ilvl w:val="0"/>
          <w:numId w:val="10"/>
        </w:numPr>
        <w:tabs>
          <w:tab w:pos="385" w:val="left" w:leader="none"/>
          <w:tab w:pos="386" w:val="left" w:leader="none"/>
        </w:tabs>
        <w:spacing w:line="240" w:lineRule="auto" w:before="2" w:after="0"/>
        <w:ind w:left="385" w:right="0" w:hanging="283"/>
        <w:jc w:val="left"/>
        <w:rPr>
          <w:sz w:val="24"/>
        </w:rPr>
      </w:pPr>
      <w:r>
        <w:rPr>
          <w:sz w:val="24"/>
        </w:rPr>
        <w:t>Posteriormente se colocó sobre un negatoscopio (Fig</w:t>
      </w:r>
      <w:r>
        <w:rPr>
          <w:spacing w:val="-19"/>
          <w:sz w:val="24"/>
        </w:rPr>
        <w:t> </w:t>
      </w:r>
      <w:r>
        <w:rPr>
          <w:sz w:val="24"/>
        </w:rPr>
        <w:t>51).</w:t>
      </w:r>
    </w:p>
    <w:p>
      <w:pPr>
        <w:pStyle w:val="BodyText"/>
        <w:spacing w:before="9"/>
        <w:rPr>
          <w:sz w:val="8"/>
        </w:rPr>
      </w:pPr>
      <w:r>
        <w:rPr/>
        <w:drawing>
          <wp:anchor distT="0" distB="0" distL="0" distR="0" allowOverlap="1" layoutInCell="1" locked="0" behindDoc="0" simplePos="0" relativeHeight="1912">
            <wp:simplePos x="0" y="0"/>
            <wp:positionH relativeFrom="page">
              <wp:posOffset>2709926</wp:posOffset>
            </wp:positionH>
            <wp:positionV relativeFrom="paragraph">
              <wp:posOffset>89370</wp:posOffset>
            </wp:positionV>
            <wp:extent cx="2367489" cy="2314575"/>
            <wp:effectExtent l="0" t="0" r="0" b="0"/>
            <wp:wrapTopAndBottom/>
            <wp:docPr id="97" name="image56.jpeg" descr=""/>
            <wp:cNvGraphicFramePr>
              <a:graphicFrameLocks noChangeAspect="1"/>
            </wp:cNvGraphicFramePr>
            <a:graphic>
              <a:graphicData uri="http://schemas.openxmlformats.org/drawingml/2006/picture">
                <pic:pic>
                  <pic:nvPicPr>
                    <pic:cNvPr id="98" name="image56.jpeg"/>
                    <pic:cNvPicPr/>
                  </pic:nvPicPr>
                  <pic:blipFill>
                    <a:blip r:embed="rId81" cstate="print"/>
                    <a:stretch>
                      <a:fillRect/>
                    </a:stretch>
                  </pic:blipFill>
                  <pic:spPr>
                    <a:xfrm>
                      <a:off x="0" y="0"/>
                      <a:ext cx="2367489" cy="2314575"/>
                    </a:xfrm>
                    <a:prstGeom prst="rect">
                      <a:avLst/>
                    </a:prstGeom>
                  </pic:spPr>
                </pic:pic>
              </a:graphicData>
            </a:graphic>
          </wp:anchor>
        </w:drawing>
      </w:r>
    </w:p>
    <w:p>
      <w:pPr>
        <w:spacing w:before="92"/>
        <w:ind w:left="3978" w:right="2366" w:hanging="1316"/>
        <w:jc w:val="left"/>
        <w:rPr>
          <w:sz w:val="20"/>
        </w:rPr>
      </w:pPr>
      <w:r>
        <w:rPr>
          <w:sz w:val="20"/>
        </w:rPr>
        <w:t>Fig. 51. Inicio de trazado sobre negatoscopio Fuente: Directa</w:t>
      </w:r>
    </w:p>
    <w:p>
      <w:pPr>
        <w:pStyle w:val="BodyText"/>
        <w:spacing w:before="11"/>
        <w:rPr>
          <w:sz w:val="29"/>
        </w:rPr>
      </w:pPr>
    </w:p>
    <w:p>
      <w:pPr>
        <w:pStyle w:val="ListParagraph"/>
        <w:numPr>
          <w:ilvl w:val="0"/>
          <w:numId w:val="10"/>
        </w:numPr>
        <w:tabs>
          <w:tab w:pos="386" w:val="left" w:leader="none"/>
        </w:tabs>
        <w:spacing w:line="360" w:lineRule="auto" w:before="0" w:after="6"/>
        <w:ind w:left="385" w:right="102" w:hanging="283"/>
        <w:jc w:val="both"/>
        <w:rPr>
          <w:sz w:val="24"/>
        </w:rPr>
      </w:pPr>
      <w:r>
        <w:rPr>
          <w:sz w:val="24"/>
        </w:rPr>
        <w:t>Con el lápiz bicolor se trazaron las principales estructuras anatómicas  referentes a base de cráneo, conducto auditivo externo, hueso nasal, orbita, maxila, mandíbula, órganos dentales (incisivo superior e inferior, y primeros molares), fosa pterigomaxilar, primeras tres vértebras, odontoides, ojo y perfil blando (Fig.</w:t>
      </w:r>
      <w:r>
        <w:rPr>
          <w:spacing w:val="-5"/>
          <w:sz w:val="24"/>
        </w:rPr>
        <w:t> </w:t>
      </w:r>
      <w:r>
        <w:rPr>
          <w:sz w:val="24"/>
        </w:rPr>
        <w:t>52).</w:t>
      </w:r>
    </w:p>
    <w:p>
      <w:pPr>
        <w:pStyle w:val="BodyText"/>
        <w:ind w:left="2700"/>
        <w:rPr>
          <w:sz w:val="20"/>
        </w:rPr>
      </w:pPr>
      <w:r>
        <w:rPr>
          <w:sz w:val="20"/>
        </w:rPr>
        <w:drawing>
          <wp:inline distT="0" distB="0" distL="0" distR="0">
            <wp:extent cx="2323048" cy="2121693"/>
            <wp:effectExtent l="0" t="0" r="0" b="0"/>
            <wp:docPr id="99" name="image57.jpeg" descr=""/>
            <wp:cNvGraphicFramePr>
              <a:graphicFrameLocks noChangeAspect="1"/>
            </wp:cNvGraphicFramePr>
            <a:graphic>
              <a:graphicData uri="http://schemas.openxmlformats.org/drawingml/2006/picture">
                <pic:pic>
                  <pic:nvPicPr>
                    <pic:cNvPr id="100" name="image57.jpeg"/>
                    <pic:cNvPicPr/>
                  </pic:nvPicPr>
                  <pic:blipFill>
                    <a:blip r:embed="rId82" cstate="print"/>
                    <a:stretch>
                      <a:fillRect/>
                    </a:stretch>
                  </pic:blipFill>
                  <pic:spPr>
                    <a:xfrm>
                      <a:off x="0" y="0"/>
                      <a:ext cx="2323048" cy="2121693"/>
                    </a:xfrm>
                    <a:prstGeom prst="rect">
                      <a:avLst/>
                    </a:prstGeom>
                  </pic:spPr>
                </pic:pic>
              </a:graphicData>
            </a:graphic>
          </wp:inline>
        </w:drawing>
      </w:r>
      <w:r>
        <w:rPr>
          <w:sz w:val="20"/>
        </w:rPr>
      </w:r>
    </w:p>
    <w:p>
      <w:pPr>
        <w:spacing w:before="125"/>
        <w:ind w:left="3978" w:right="2490" w:hanging="1306"/>
        <w:jc w:val="left"/>
        <w:rPr>
          <w:sz w:val="20"/>
        </w:rPr>
      </w:pPr>
      <w:r>
        <w:rPr>
          <w:sz w:val="20"/>
        </w:rPr>
        <w:t>Fig. 52. Trazado de estructuras anatómicas Fuente: Directa</w:t>
      </w:r>
    </w:p>
    <w:p>
      <w:pPr>
        <w:spacing w:after="0"/>
        <w:jc w:val="left"/>
        <w:rPr>
          <w:sz w:val="20"/>
        </w:rPr>
        <w:sectPr>
          <w:pgSz w:w="12240" w:h="15840"/>
          <w:pgMar w:header="0" w:footer="1003" w:top="1380" w:bottom="1200" w:left="1600" w:right="1600"/>
        </w:sectPr>
      </w:pPr>
    </w:p>
    <w:p>
      <w:pPr>
        <w:pStyle w:val="ListParagraph"/>
        <w:numPr>
          <w:ilvl w:val="1"/>
          <w:numId w:val="10"/>
        </w:numPr>
        <w:tabs>
          <w:tab w:pos="465" w:val="left" w:leader="none"/>
          <w:tab w:pos="466" w:val="left" w:leader="none"/>
        </w:tabs>
        <w:spacing w:line="362" w:lineRule="auto" w:before="54" w:after="0"/>
        <w:ind w:left="465" w:right="105" w:hanging="283"/>
        <w:jc w:val="left"/>
        <w:rPr>
          <w:sz w:val="24"/>
        </w:rPr>
      </w:pPr>
      <w:r>
        <w:rPr>
          <w:sz w:val="24"/>
        </w:rPr>
        <w:t>Con el lápiz portaminas se identificaron los siguientes puntos de referencia para el análisis de Kim (Fig.</w:t>
      </w:r>
      <w:r>
        <w:rPr>
          <w:spacing w:val="-9"/>
          <w:sz w:val="24"/>
        </w:rPr>
        <w:t> </w:t>
      </w:r>
      <w:r>
        <w:rPr>
          <w:sz w:val="24"/>
        </w:rPr>
        <w:t>53):</w:t>
      </w:r>
    </w:p>
    <w:p>
      <w:pPr>
        <w:pStyle w:val="BodyText"/>
      </w:pPr>
    </w:p>
    <w:p>
      <w:pPr>
        <w:pStyle w:val="BodyText"/>
        <w:spacing w:before="5"/>
        <w:rPr>
          <w:sz w:val="29"/>
        </w:rPr>
      </w:pPr>
    </w:p>
    <w:p>
      <w:pPr>
        <w:pStyle w:val="ListParagraph"/>
        <w:numPr>
          <w:ilvl w:val="0"/>
          <w:numId w:val="23"/>
        </w:numPr>
        <w:tabs>
          <w:tab w:pos="466" w:val="left" w:leader="none"/>
        </w:tabs>
        <w:spacing w:line="240" w:lineRule="auto" w:before="0" w:after="0"/>
        <w:ind w:left="465" w:right="0" w:hanging="283"/>
        <w:jc w:val="left"/>
        <w:rPr>
          <w:sz w:val="24"/>
        </w:rPr>
      </w:pPr>
      <w:r>
        <w:rPr>
          <w:sz w:val="24"/>
        </w:rPr>
        <w:t>N- Nasion: Punto de unión entre los huesos nasales con el hueso</w:t>
      </w:r>
      <w:r>
        <w:rPr>
          <w:spacing w:val="-24"/>
          <w:sz w:val="24"/>
        </w:rPr>
        <w:t> </w:t>
      </w:r>
      <w:r>
        <w:rPr>
          <w:sz w:val="24"/>
        </w:rPr>
        <w:t>frontal.</w:t>
      </w:r>
    </w:p>
    <w:p>
      <w:pPr>
        <w:pStyle w:val="ListParagraph"/>
        <w:numPr>
          <w:ilvl w:val="0"/>
          <w:numId w:val="23"/>
        </w:numPr>
        <w:tabs>
          <w:tab w:pos="466" w:val="left" w:leader="none"/>
        </w:tabs>
        <w:spacing w:line="360" w:lineRule="auto" w:before="139" w:after="0"/>
        <w:ind w:left="465" w:right="103" w:hanging="283"/>
        <w:jc w:val="left"/>
        <w:rPr>
          <w:sz w:val="24"/>
        </w:rPr>
      </w:pPr>
      <w:r>
        <w:rPr>
          <w:sz w:val="24"/>
        </w:rPr>
        <w:t>Po-Porion: Parte superior del meato auditivo externo. Representa un punto de referencia facial</w:t>
      </w:r>
      <w:r>
        <w:rPr>
          <w:spacing w:val="-8"/>
          <w:sz w:val="24"/>
        </w:rPr>
        <w:t> </w:t>
      </w:r>
      <w:r>
        <w:rPr>
          <w:sz w:val="24"/>
        </w:rPr>
        <w:t>posterior.</w:t>
      </w:r>
    </w:p>
    <w:p>
      <w:pPr>
        <w:pStyle w:val="ListParagraph"/>
        <w:numPr>
          <w:ilvl w:val="0"/>
          <w:numId w:val="23"/>
        </w:numPr>
        <w:tabs>
          <w:tab w:pos="466" w:val="left" w:leader="none"/>
        </w:tabs>
        <w:spacing w:line="240" w:lineRule="auto" w:before="5" w:after="0"/>
        <w:ind w:left="465" w:right="0" w:hanging="283"/>
        <w:jc w:val="left"/>
        <w:rPr>
          <w:sz w:val="24"/>
        </w:rPr>
      </w:pPr>
      <w:r>
        <w:rPr>
          <w:sz w:val="24"/>
        </w:rPr>
        <w:t>Or-Orbital: Punto más inferior en el margen</w:t>
      </w:r>
      <w:r>
        <w:rPr>
          <w:spacing w:val="-35"/>
          <w:sz w:val="24"/>
        </w:rPr>
        <w:t> </w:t>
      </w:r>
      <w:r>
        <w:rPr>
          <w:sz w:val="24"/>
        </w:rPr>
        <w:t>infraorbital</w:t>
      </w:r>
    </w:p>
    <w:p>
      <w:pPr>
        <w:pStyle w:val="ListParagraph"/>
        <w:numPr>
          <w:ilvl w:val="0"/>
          <w:numId w:val="23"/>
        </w:numPr>
        <w:tabs>
          <w:tab w:pos="466" w:val="left" w:leader="none"/>
        </w:tabs>
        <w:spacing w:line="240" w:lineRule="auto" w:before="137" w:after="0"/>
        <w:ind w:left="465" w:right="0" w:hanging="283"/>
        <w:jc w:val="left"/>
        <w:rPr>
          <w:sz w:val="24"/>
        </w:rPr>
      </w:pPr>
      <w:r>
        <w:rPr>
          <w:sz w:val="24"/>
        </w:rPr>
        <w:t>P- Pogonion: Punto más anterior en el contorno del</w:t>
      </w:r>
      <w:r>
        <w:rPr>
          <w:spacing w:val="-38"/>
          <w:sz w:val="24"/>
        </w:rPr>
        <w:t> </w:t>
      </w:r>
      <w:r>
        <w:rPr>
          <w:sz w:val="24"/>
        </w:rPr>
        <w:t>mentón.</w:t>
      </w:r>
    </w:p>
    <w:p>
      <w:pPr>
        <w:pStyle w:val="ListParagraph"/>
        <w:numPr>
          <w:ilvl w:val="0"/>
          <w:numId w:val="23"/>
        </w:numPr>
        <w:tabs>
          <w:tab w:pos="466" w:val="left" w:leader="none"/>
        </w:tabs>
        <w:spacing w:line="240" w:lineRule="auto" w:before="140" w:after="0"/>
        <w:ind w:left="465" w:right="0" w:hanging="283"/>
        <w:jc w:val="left"/>
        <w:rPr>
          <w:sz w:val="24"/>
        </w:rPr>
      </w:pPr>
      <w:r>
        <w:rPr>
          <w:sz w:val="24"/>
        </w:rPr>
        <w:t>M- Menton: Punto más inferior y anterior del contorno del</w:t>
      </w:r>
      <w:r>
        <w:rPr>
          <w:spacing w:val="-20"/>
          <w:sz w:val="24"/>
        </w:rPr>
        <w:t> </w:t>
      </w:r>
      <w:r>
        <w:rPr>
          <w:sz w:val="24"/>
        </w:rPr>
        <w:t>mentón.</w:t>
      </w:r>
    </w:p>
    <w:p>
      <w:pPr>
        <w:pStyle w:val="ListParagraph"/>
        <w:numPr>
          <w:ilvl w:val="0"/>
          <w:numId w:val="23"/>
        </w:numPr>
        <w:tabs>
          <w:tab w:pos="466" w:val="left" w:leader="none"/>
        </w:tabs>
        <w:spacing w:line="360" w:lineRule="auto" w:before="137" w:after="0"/>
        <w:ind w:left="465" w:right="105" w:hanging="283"/>
        <w:jc w:val="left"/>
        <w:rPr>
          <w:sz w:val="24"/>
        </w:rPr>
      </w:pPr>
      <w:r>
        <w:rPr>
          <w:sz w:val="24"/>
        </w:rPr>
        <w:t>G- Gonion: Punto de intersección de las líneas tangentes del plano mandibular  y la rama</w:t>
      </w:r>
      <w:r>
        <w:rPr>
          <w:spacing w:val="-4"/>
          <w:sz w:val="24"/>
        </w:rPr>
        <w:t> </w:t>
      </w:r>
      <w:r>
        <w:rPr>
          <w:sz w:val="24"/>
        </w:rPr>
        <w:t>mandibular.</w:t>
      </w:r>
    </w:p>
    <w:p>
      <w:pPr>
        <w:pStyle w:val="ListParagraph"/>
        <w:numPr>
          <w:ilvl w:val="0"/>
          <w:numId w:val="23"/>
        </w:numPr>
        <w:tabs>
          <w:tab w:pos="466" w:val="left" w:leader="none"/>
        </w:tabs>
        <w:spacing w:line="360" w:lineRule="auto" w:before="2" w:after="0"/>
        <w:ind w:left="465" w:right="102" w:hanging="283"/>
        <w:jc w:val="left"/>
        <w:rPr>
          <w:sz w:val="24"/>
        </w:rPr>
      </w:pPr>
      <w:r>
        <w:rPr>
          <w:sz w:val="24"/>
        </w:rPr>
        <w:t>A- Subespinal: Punto más posterior en la curva anterior del proceso alveolar del maxilar.</w:t>
      </w:r>
    </w:p>
    <w:p>
      <w:pPr>
        <w:pStyle w:val="ListParagraph"/>
        <w:numPr>
          <w:ilvl w:val="0"/>
          <w:numId w:val="23"/>
        </w:numPr>
        <w:tabs>
          <w:tab w:pos="466" w:val="left" w:leader="none"/>
        </w:tabs>
        <w:spacing w:line="360" w:lineRule="auto" w:before="2" w:after="0"/>
        <w:ind w:left="465" w:right="98" w:hanging="283"/>
        <w:jc w:val="left"/>
        <w:rPr>
          <w:sz w:val="24"/>
        </w:rPr>
      </w:pPr>
      <w:r>
        <w:rPr>
          <w:sz w:val="24"/>
        </w:rPr>
        <w:t>B- Supramental: Punto más posterior de la curvatura anterior del porceso alveolar de la</w:t>
      </w:r>
      <w:r>
        <w:rPr>
          <w:spacing w:val="-11"/>
          <w:sz w:val="24"/>
        </w:rPr>
        <w:t> </w:t>
      </w:r>
      <w:r>
        <w:rPr>
          <w:sz w:val="24"/>
        </w:rPr>
        <w:t>mandíbula.</w:t>
      </w:r>
    </w:p>
    <w:p>
      <w:pPr>
        <w:pStyle w:val="ListParagraph"/>
        <w:numPr>
          <w:ilvl w:val="0"/>
          <w:numId w:val="23"/>
        </w:numPr>
        <w:tabs>
          <w:tab w:pos="466" w:val="left" w:leader="none"/>
        </w:tabs>
        <w:spacing w:line="362" w:lineRule="auto" w:before="2" w:after="0"/>
        <w:ind w:left="465" w:right="105" w:hanging="283"/>
        <w:jc w:val="left"/>
        <w:rPr>
          <w:sz w:val="24"/>
        </w:rPr>
      </w:pPr>
      <w:r>
        <w:rPr>
          <w:sz w:val="24"/>
        </w:rPr>
        <w:t>Ena- Espina nasal anterior: El ápice de la espina nasal anterior. Representa la parte más anterior de la base del maxilar</w:t>
      </w:r>
      <w:r>
        <w:rPr>
          <w:spacing w:val="-16"/>
          <w:sz w:val="24"/>
        </w:rPr>
        <w:t> </w:t>
      </w:r>
      <w:r>
        <w:rPr>
          <w:sz w:val="24"/>
        </w:rPr>
        <w:t>superior.</w:t>
      </w:r>
    </w:p>
    <w:p>
      <w:pPr>
        <w:pStyle w:val="ListParagraph"/>
        <w:numPr>
          <w:ilvl w:val="0"/>
          <w:numId w:val="23"/>
        </w:numPr>
        <w:tabs>
          <w:tab w:pos="466" w:val="left" w:leader="none"/>
        </w:tabs>
        <w:spacing w:line="360" w:lineRule="auto" w:before="0" w:after="0"/>
        <w:ind w:left="465" w:right="101" w:hanging="360"/>
        <w:jc w:val="left"/>
        <w:rPr>
          <w:sz w:val="24"/>
        </w:rPr>
      </w:pPr>
      <w:r>
        <w:rPr>
          <w:sz w:val="24"/>
        </w:rPr>
        <w:t>Enp- Espina nasal posterior: Punto más posterior en el paladar duro óseo en el plano sagital.  Representa el límite posterior de la base del maxilar</w:t>
      </w:r>
      <w:r>
        <w:rPr>
          <w:spacing w:val="-26"/>
          <w:sz w:val="24"/>
        </w:rPr>
        <w:t> </w:t>
      </w:r>
      <w:r>
        <w:rPr>
          <w:sz w:val="24"/>
        </w:rPr>
        <w:t>superior.</w:t>
      </w:r>
    </w:p>
    <w:p>
      <w:pPr>
        <w:pStyle w:val="BodyText"/>
        <w:rPr>
          <w:sz w:val="20"/>
        </w:rPr>
      </w:pPr>
    </w:p>
    <w:p>
      <w:pPr>
        <w:pStyle w:val="BodyText"/>
        <w:spacing w:before="5"/>
        <w:rPr>
          <w:sz w:val="18"/>
        </w:rPr>
      </w:pPr>
      <w:r>
        <w:rPr/>
        <w:drawing>
          <wp:anchor distT="0" distB="0" distL="0" distR="0" allowOverlap="1" layoutInCell="1" locked="0" behindDoc="0" simplePos="0" relativeHeight="1936">
            <wp:simplePos x="0" y="0"/>
            <wp:positionH relativeFrom="page">
              <wp:posOffset>2674239</wp:posOffset>
            </wp:positionH>
            <wp:positionV relativeFrom="paragraph">
              <wp:posOffset>159828</wp:posOffset>
            </wp:positionV>
            <wp:extent cx="2447856" cy="2183511"/>
            <wp:effectExtent l="0" t="0" r="0" b="0"/>
            <wp:wrapTopAndBottom/>
            <wp:docPr id="101" name="image58.jpeg" descr=""/>
            <wp:cNvGraphicFramePr>
              <a:graphicFrameLocks noChangeAspect="1"/>
            </wp:cNvGraphicFramePr>
            <a:graphic>
              <a:graphicData uri="http://schemas.openxmlformats.org/drawingml/2006/picture">
                <pic:pic>
                  <pic:nvPicPr>
                    <pic:cNvPr id="102" name="image58.jpeg"/>
                    <pic:cNvPicPr/>
                  </pic:nvPicPr>
                  <pic:blipFill>
                    <a:blip r:embed="rId83" cstate="print"/>
                    <a:stretch>
                      <a:fillRect/>
                    </a:stretch>
                  </pic:blipFill>
                  <pic:spPr>
                    <a:xfrm>
                      <a:off x="0" y="0"/>
                      <a:ext cx="2447856" cy="2183511"/>
                    </a:xfrm>
                    <a:prstGeom prst="rect">
                      <a:avLst/>
                    </a:prstGeom>
                  </pic:spPr>
                </pic:pic>
              </a:graphicData>
            </a:graphic>
          </wp:anchor>
        </w:drawing>
      </w:r>
    </w:p>
    <w:p>
      <w:pPr>
        <w:spacing w:line="229" w:lineRule="exact" w:before="75"/>
        <w:ind w:left="2077" w:right="1997" w:firstLine="0"/>
        <w:jc w:val="center"/>
        <w:rPr>
          <w:sz w:val="20"/>
        </w:rPr>
      </w:pPr>
      <w:r>
        <w:rPr>
          <w:sz w:val="20"/>
        </w:rPr>
        <w:t>Fig. 53. Puntos cefalométricos.</w:t>
      </w:r>
    </w:p>
    <w:p>
      <w:pPr>
        <w:spacing w:line="229" w:lineRule="exact" w:before="0"/>
        <w:ind w:left="2077" w:right="1715" w:firstLine="0"/>
        <w:jc w:val="center"/>
        <w:rPr>
          <w:sz w:val="20"/>
        </w:rPr>
      </w:pPr>
      <w:r>
        <w:rPr>
          <w:sz w:val="20"/>
        </w:rPr>
        <w:t>Fuente: Directa</w:t>
      </w:r>
    </w:p>
    <w:p>
      <w:pPr>
        <w:spacing w:after="0" w:line="229" w:lineRule="exact"/>
        <w:jc w:val="center"/>
        <w:rPr>
          <w:sz w:val="20"/>
        </w:rPr>
        <w:sectPr>
          <w:pgSz w:w="12240" w:h="15840"/>
          <w:pgMar w:header="0" w:footer="1003" w:top="1360" w:bottom="1200" w:left="1520" w:right="1600"/>
        </w:sectPr>
      </w:pPr>
    </w:p>
    <w:p>
      <w:pPr>
        <w:pStyle w:val="ListParagraph"/>
        <w:numPr>
          <w:ilvl w:val="0"/>
          <w:numId w:val="10"/>
        </w:numPr>
        <w:tabs>
          <w:tab w:pos="385" w:val="left" w:leader="none"/>
          <w:tab w:pos="386" w:val="left" w:leader="none"/>
        </w:tabs>
        <w:spacing w:line="240" w:lineRule="auto" w:before="54" w:after="0"/>
        <w:ind w:left="385" w:right="0" w:hanging="283"/>
        <w:jc w:val="left"/>
        <w:rPr>
          <w:sz w:val="24"/>
        </w:rPr>
      </w:pPr>
      <w:r>
        <w:rPr>
          <w:sz w:val="24"/>
        </w:rPr>
        <w:t>Se trazaron con ayuda de las escuadras  los planos del análisis de</w:t>
      </w:r>
      <w:r>
        <w:rPr>
          <w:spacing w:val="-26"/>
          <w:sz w:val="24"/>
        </w:rPr>
        <w:t> </w:t>
      </w:r>
      <w:r>
        <w:rPr>
          <w:sz w:val="24"/>
        </w:rPr>
        <w:t>Kim:</w:t>
      </w:r>
    </w:p>
    <w:p>
      <w:pPr>
        <w:pStyle w:val="BodyText"/>
      </w:pPr>
    </w:p>
    <w:p>
      <w:pPr>
        <w:pStyle w:val="BodyText"/>
      </w:pPr>
    </w:p>
    <w:p>
      <w:pPr>
        <w:pStyle w:val="ListParagraph"/>
        <w:numPr>
          <w:ilvl w:val="0"/>
          <w:numId w:val="24"/>
        </w:numPr>
        <w:tabs>
          <w:tab w:pos="386" w:val="left" w:leader="none"/>
        </w:tabs>
        <w:spacing w:line="360" w:lineRule="auto" w:before="139" w:after="0"/>
        <w:ind w:left="385" w:right="107" w:hanging="283"/>
        <w:jc w:val="left"/>
        <w:rPr>
          <w:sz w:val="24"/>
        </w:rPr>
      </w:pPr>
      <w:r>
        <w:rPr>
          <w:sz w:val="24"/>
        </w:rPr>
        <w:t>Plano de Frankfort: Plano formado por una línea que pasa por los puntos Porion y</w:t>
      </w:r>
      <w:r>
        <w:rPr>
          <w:spacing w:val="-4"/>
          <w:sz w:val="24"/>
        </w:rPr>
        <w:t> </w:t>
      </w:r>
      <w:r>
        <w:rPr>
          <w:sz w:val="24"/>
        </w:rPr>
        <w:t>Orbital.</w:t>
      </w:r>
    </w:p>
    <w:p>
      <w:pPr>
        <w:pStyle w:val="ListParagraph"/>
        <w:numPr>
          <w:ilvl w:val="0"/>
          <w:numId w:val="24"/>
        </w:numPr>
        <w:tabs>
          <w:tab w:pos="386" w:val="left" w:leader="none"/>
        </w:tabs>
        <w:spacing w:line="240" w:lineRule="auto" w:before="5" w:after="0"/>
        <w:ind w:left="385" w:right="0" w:hanging="283"/>
        <w:jc w:val="left"/>
        <w:rPr>
          <w:sz w:val="24"/>
        </w:rPr>
      </w:pPr>
      <w:r>
        <w:rPr>
          <w:sz w:val="24"/>
        </w:rPr>
        <w:t>Plano Facial:  Formado por la unión de los puntos Nasion y</w:t>
      </w:r>
      <w:r>
        <w:rPr>
          <w:spacing w:val="-27"/>
          <w:sz w:val="24"/>
        </w:rPr>
        <w:t> </w:t>
      </w:r>
      <w:r>
        <w:rPr>
          <w:sz w:val="24"/>
        </w:rPr>
        <w:t>Pogonion,</w:t>
      </w:r>
    </w:p>
    <w:p>
      <w:pPr>
        <w:pStyle w:val="ListParagraph"/>
        <w:numPr>
          <w:ilvl w:val="0"/>
          <w:numId w:val="24"/>
        </w:numPr>
        <w:tabs>
          <w:tab w:pos="386" w:val="left" w:leader="none"/>
        </w:tabs>
        <w:spacing w:line="240" w:lineRule="auto" w:before="137" w:after="0"/>
        <w:ind w:left="385" w:right="0" w:hanging="283"/>
        <w:jc w:val="left"/>
        <w:rPr>
          <w:sz w:val="24"/>
        </w:rPr>
      </w:pPr>
      <w:r>
        <w:rPr>
          <w:sz w:val="24"/>
        </w:rPr>
        <w:t>Plano mandibular: Plano formado por la unión de los puntos Menton y</w:t>
      </w:r>
      <w:r>
        <w:rPr>
          <w:spacing w:val="-25"/>
          <w:sz w:val="24"/>
        </w:rPr>
        <w:t> </w:t>
      </w:r>
      <w:r>
        <w:rPr>
          <w:sz w:val="24"/>
        </w:rPr>
        <w:t>Gonion.</w:t>
      </w:r>
    </w:p>
    <w:p>
      <w:pPr>
        <w:pStyle w:val="ListParagraph"/>
        <w:numPr>
          <w:ilvl w:val="0"/>
          <w:numId w:val="24"/>
        </w:numPr>
        <w:tabs>
          <w:tab w:pos="386" w:val="left" w:leader="none"/>
        </w:tabs>
        <w:spacing w:line="240" w:lineRule="auto" w:before="139" w:after="0"/>
        <w:ind w:left="385" w:right="0" w:hanging="283"/>
        <w:jc w:val="left"/>
        <w:rPr>
          <w:sz w:val="24"/>
        </w:rPr>
      </w:pPr>
      <w:r>
        <w:rPr>
          <w:sz w:val="24"/>
        </w:rPr>
        <w:t>Plano AB: Formado por los puntos Subespinal y</w:t>
      </w:r>
      <w:r>
        <w:rPr>
          <w:spacing w:val="-23"/>
          <w:sz w:val="24"/>
        </w:rPr>
        <w:t> </w:t>
      </w:r>
      <w:r>
        <w:rPr>
          <w:sz w:val="24"/>
        </w:rPr>
        <w:t>Supramental.</w:t>
      </w:r>
    </w:p>
    <w:p>
      <w:pPr>
        <w:pStyle w:val="ListParagraph"/>
        <w:numPr>
          <w:ilvl w:val="0"/>
          <w:numId w:val="24"/>
        </w:numPr>
        <w:tabs>
          <w:tab w:pos="386" w:val="left" w:leader="none"/>
        </w:tabs>
        <w:spacing w:line="362" w:lineRule="auto" w:before="137" w:after="0"/>
        <w:ind w:left="385" w:right="109" w:hanging="283"/>
        <w:jc w:val="left"/>
        <w:rPr>
          <w:sz w:val="24"/>
        </w:rPr>
      </w:pPr>
      <w:r>
        <w:rPr>
          <w:sz w:val="24"/>
        </w:rPr>
        <w:t>Plano Palatino: Formado por los puntos espina nasal anterior y espina nasal posterior (Fig.</w:t>
      </w:r>
      <w:r>
        <w:rPr>
          <w:spacing w:val="-4"/>
          <w:sz w:val="24"/>
        </w:rPr>
        <w:t> </w:t>
      </w:r>
      <w:r>
        <w:rPr>
          <w:sz w:val="24"/>
        </w:rPr>
        <w:t>54).</w:t>
      </w:r>
    </w:p>
    <w:p>
      <w:pPr>
        <w:pStyle w:val="BodyText"/>
        <w:rPr>
          <w:sz w:val="20"/>
        </w:rPr>
      </w:pPr>
    </w:p>
    <w:p>
      <w:pPr>
        <w:pStyle w:val="BodyText"/>
        <w:rPr>
          <w:sz w:val="20"/>
        </w:rPr>
      </w:pPr>
    </w:p>
    <w:p>
      <w:pPr>
        <w:pStyle w:val="BodyText"/>
        <w:spacing w:before="9"/>
        <w:rPr>
          <w:sz w:val="16"/>
        </w:rPr>
      </w:pPr>
      <w:r>
        <w:rPr/>
        <w:drawing>
          <wp:anchor distT="0" distB="0" distL="0" distR="0" allowOverlap="1" layoutInCell="1" locked="0" behindDoc="0" simplePos="0" relativeHeight="1960">
            <wp:simplePos x="0" y="0"/>
            <wp:positionH relativeFrom="page">
              <wp:posOffset>2819400</wp:posOffset>
            </wp:positionH>
            <wp:positionV relativeFrom="paragraph">
              <wp:posOffset>147469</wp:posOffset>
            </wp:positionV>
            <wp:extent cx="2579068" cy="2310384"/>
            <wp:effectExtent l="0" t="0" r="0" b="0"/>
            <wp:wrapTopAndBottom/>
            <wp:docPr id="103" name="image59.jpeg" descr=""/>
            <wp:cNvGraphicFramePr>
              <a:graphicFrameLocks noChangeAspect="1"/>
            </wp:cNvGraphicFramePr>
            <a:graphic>
              <a:graphicData uri="http://schemas.openxmlformats.org/drawingml/2006/picture">
                <pic:pic>
                  <pic:nvPicPr>
                    <pic:cNvPr id="104" name="image59.jpeg"/>
                    <pic:cNvPicPr/>
                  </pic:nvPicPr>
                  <pic:blipFill>
                    <a:blip r:embed="rId84" cstate="print"/>
                    <a:stretch>
                      <a:fillRect/>
                    </a:stretch>
                  </pic:blipFill>
                  <pic:spPr>
                    <a:xfrm>
                      <a:off x="0" y="0"/>
                      <a:ext cx="2579068" cy="2310384"/>
                    </a:xfrm>
                    <a:prstGeom prst="rect">
                      <a:avLst/>
                    </a:prstGeom>
                  </pic:spPr>
                </pic:pic>
              </a:graphicData>
            </a:graphic>
          </wp:anchor>
        </w:drawing>
      </w:r>
    </w:p>
    <w:p>
      <w:pPr>
        <w:spacing w:before="113"/>
        <w:ind w:left="183" w:right="183" w:firstLine="0"/>
        <w:jc w:val="center"/>
        <w:rPr>
          <w:sz w:val="20"/>
        </w:rPr>
      </w:pPr>
      <w:r>
        <w:rPr>
          <w:sz w:val="20"/>
        </w:rPr>
        <w:t>Fig. 54. Planos cefalométricos.</w:t>
      </w:r>
    </w:p>
    <w:p>
      <w:pPr>
        <w:spacing w:before="0"/>
        <w:ind w:left="472" w:right="190" w:firstLine="0"/>
        <w:jc w:val="center"/>
        <w:rPr>
          <w:sz w:val="20"/>
        </w:rPr>
      </w:pPr>
      <w:r>
        <w:rPr>
          <w:sz w:val="20"/>
        </w:rPr>
        <w:t>Fuente: Directa</w:t>
      </w:r>
    </w:p>
    <w:p>
      <w:pPr>
        <w:spacing w:after="0"/>
        <w:jc w:val="center"/>
        <w:rPr>
          <w:sz w:val="20"/>
        </w:rPr>
        <w:sectPr>
          <w:pgSz w:w="12240" w:h="15840"/>
          <w:pgMar w:header="0" w:footer="1003" w:top="1360" w:bottom="1200" w:left="1600" w:right="1600"/>
        </w:sectPr>
      </w:pPr>
    </w:p>
    <w:p>
      <w:pPr>
        <w:pStyle w:val="ListParagraph"/>
        <w:numPr>
          <w:ilvl w:val="1"/>
          <w:numId w:val="24"/>
        </w:numPr>
        <w:tabs>
          <w:tab w:pos="821" w:val="left" w:leader="none"/>
          <w:tab w:pos="822" w:val="left" w:leader="none"/>
        </w:tabs>
        <w:spacing w:line="240" w:lineRule="auto" w:before="34" w:after="0"/>
        <w:ind w:left="822" w:right="0" w:hanging="360"/>
        <w:jc w:val="left"/>
        <w:rPr>
          <w:sz w:val="24"/>
        </w:rPr>
      </w:pPr>
      <w:r>
        <w:rPr>
          <w:sz w:val="24"/>
        </w:rPr>
        <w:t>Técnica de</w:t>
      </w:r>
      <w:r>
        <w:rPr>
          <w:spacing w:val="-8"/>
          <w:sz w:val="24"/>
        </w:rPr>
        <w:t> </w:t>
      </w:r>
      <w:r>
        <w:rPr>
          <w:sz w:val="24"/>
        </w:rPr>
        <w:t>medición</w:t>
      </w:r>
    </w:p>
    <w:p>
      <w:pPr>
        <w:pStyle w:val="BodyText"/>
        <w:spacing w:before="3"/>
        <w:rPr>
          <w:sz w:val="29"/>
        </w:rPr>
      </w:pPr>
    </w:p>
    <w:p>
      <w:pPr>
        <w:pStyle w:val="ListParagraph"/>
        <w:numPr>
          <w:ilvl w:val="0"/>
          <w:numId w:val="10"/>
        </w:numPr>
        <w:tabs>
          <w:tab w:pos="249" w:val="left" w:leader="none"/>
        </w:tabs>
        <w:spacing w:line="240" w:lineRule="auto" w:before="0" w:after="0"/>
        <w:ind w:left="248" w:right="0" w:hanging="146"/>
        <w:jc w:val="both"/>
        <w:rPr>
          <w:sz w:val="24"/>
        </w:rPr>
      </w:pPr>
      <w:r>
        <w:rPr>
          <w:sz w:val="24"/>
        </w:rPr>
        <w:t>Procedimiento para la obtención del</w:t>
      </w:r>
      <w:r>
        <w:rPr>
          <w:spacing w:val="-11"/>
          <w:sz w:val="24"/>
        </w:rPr>
        <w:t> </w:t>
      </w:r>
      <w:r>
        <w:rPr>
          <w:sz w:val="24"/>
        </w:rPr>
        <w:t>ODI</w:t>
      </w:r>
    </w:p>
    <w:p>
      <w:pPr>
        <w:pStyle w:val="BodyText"/>
        <w:spacing w:before="4"/>
        <w:rPr>
          <w:sz w:val="29"/>
        </w:rPr>
      </w:pPr>
    </w:p>
    <w:p>
      <w:pPr>
        <w:pStyle w:val="ListParagraph"/>
        <w:numPr>
          <w:ilvl w:val="0"/>
          <w:numId w:val="25"/>
        </w:numPr>
        <w:tabs>
          <w:tab w:pos="388" w:val="left" w:leader="none"/>
        </w:tabs>
        <w:spacing w:line="360" w:lineRule="auto" w:before="1" w:after="0"/>
        <w:ind w:left="102" w:right="114" w:firstLine="0"/>
        <w:jc w:val="both"/>
        <w:rPr>
          <w:sz w:val="24"/>
        </w:rPr>
      </w:pPr>
      <w:r>
        <w:rPr>
          <w:sz w:val="24"/>
        </w:rPr>
        <w:t>Se midió el ángulo formado por el plano mandibular (MP) y el plano A-B: (MP- AB). Se anotó en la ficha individual para cada radiografía (Fig.</w:t>
      </w:r>
      <w:r>
        <w:rPr>
          <w:spacing w:val="-19"/>
          <w:sz w:val="24"/>
        </w:rPr>
        <w:t> </w:t>
      </w:r>
      <w:r>
        <w:rPr>
          <w:sz w:val="24"/>
        </w:rPr>
        <w:t>55).</w:t>
      </w:r>
    </w:p>
    <w:p>
      <w:pPr>
        <w:pStyle w:val="BodyText"/>
        <w:spacing w:before="6"/>
        <w:rPr>
          <w:sz w:val="14"/>
        </w:rPr>
      </w:pPr>
      <w:r>
        <w:rPr/>
        <w:drawing>
          <wp:anchor distT="0" distB="0" distL="0" distR="0" allowOverlap="1" layoutInCell="1" locked="0" behindDoc="0" simplePos="0" relativeHeight="1984">
            <wp:simplePos x="0" y="0"/>
            <wp:positionH relativeFrom="page">
              <wp:posOffset>2719451</wp:posOffset>
            </wp:positionH>
            <wp:positionV relativeFrom="paragraph">
              <wp:posOffset>130859</wp:posOffset>
            </wp:positionV>
            <wp:extent cx="2325823" cy="2093785"/>
            <wp:effectExtent l="0" t="0" r="0" b="0"/>
            <wp:wrapTopAndBottom/>
            <wp:docPr id="105" name="image60.jpeg" descr=""/>
            <wp:cNvGraphicFramePr>
              <a:graphicFrameLocks noChangeAspect="1"/>
            </wp:cNvGraphicFramePr>
            <a:graphic>
              <a:graphicData uri="http://schemas.openxmlformats.org/drawingml/2006/picture">
                <pic:pic>
                  <pic:nvPicPr>
                    <pic:cNvPr id="106" name="image60.jpeg"/>
                    <pic:cNvPicPr/>
                  </pic:nvPicPr>
                  <pic:blipFill>
                    <a:blip r:embed="rId85" cstate="print"/>
                    <a:stretch>
                      <a:fillRect/>
                    </a:stretch>
                  </pic:blipFill>
                  <pic:spPr>
                    <a:xfrm>
                      <a:off x="0" y="0"/>
                      <a:ext cx="2325823" cy="2093785"/>
                    </a:xfrm>
                    <a:prstGeom prst="rect">
                      <a:avLst/>
                    </a:prstGeom>
                  </pic:spPr>
                </pic:pic>
              </a:graphicData>
            </a:graphic>
          </wp:anchor>
        </w:drawing>
      </w:r>
    </w:p>
    <w:p>
      <w:pPr>
        <w:pStyle w:val="BodyText"/>
        <w:spacing w:before="6"/>
        <w:rPr>
          <w:sz w:val="27"/>
        </w:rPr>
      </w:pPr>
    </w:p>
    <w:p>
      <w:pPr>
        <w:spacing w:before="1"/>
        <w:ind w:left="3978" w:right="3448" w:hanging="476"/>
        <w:jc w:val="left"/>
        <w:rPr>
          <w:sz w:val="20"/>
        </w:rPr>
      </w:pPr>
      <w:r>
        <w:rPr>
          <w:sz w:val="20"/>
        </w:rPr>
        <w:t>Fig. 55. Ángulo MP-AB. Fuente: Directa</w:t>
      </w:r>
    </w:p>
    <w:p>
      <w:pPr>
        <w:pStyle w:val="BodyText"/>
        <w:rPr>
          <w:sz w:val="20"/>
        </w:rPr>
      </w:pPr>
    </w:p>
    <w:p>
      <w:pPr>
        <w:pStyle w:val="BodyText"/>
        <w:spacing w:before="5"/>
        <w:rPr>
          <w:sz w:val="21"/>
        </w:rPr>
      </w:pPr>
    </w:p>
    <w:p>
      <w:pPr>
        <w:pStyle w:val="ListParagraph"/>
        <w:numPr>
          <w:ilvl w:val="0"/>
          <w:numId w:val="25"/>
        </w:numPr>
        <w:tabs>
          <w:tab w:pos="395" w:val="left" w:leader="none"/>
        </w:tabs>
        <w:spacing w:line="360" w:lineRule="auto" w:before="0" w:after="0"/>
        <w:ind w:left="102" w:right="119" w:firstLine="0"/>
        <w:jc w:val="both"/>
        <w:rPr>
          <w:sz w:val="24"/>
        </w:rPr>
      </w:pPr>
      <w:r>
        <w:rPr>
          <w:sz w:val="24"/>
        </w:rPr>
        <w:t>Se midió el ángulo formado por el plano de Frankfort (FH), y el plano palatino (PP). Este puede ser positivo o negativo. El ángulo positivo indica que el paladar está inclinado adelante hacia abajo, y un ángulo negativo indica que el paladar está inclinado hacia arriba y adelante: (FH-PP) (Fig.</w:t>
      </w:r>
      <w:r>
        <w:rPr>
          <w:spacing w:val="-17"/>
          <w:sz w:val="24"/>
        </w:rPr>
        <w:t> </w:t>
      </w:r>
      <w:r>
        <w:rPr>
          <w:sz w:val="24"/>
        </w:rPr>
        <w:t>56).</w:t>
      </w:r>
    </w:p>
    <w:p>
      <w:pPr>
        <w:pStyle w:val="BodyText"/>
        <w:spacing w:before="4"/>
        <w:rPr>
          <w:sz w:val="14"/>
        </w:rPr>
      </w:pPr>
      <w:r>
        <w:rPr/>
        <w:drawing>
          <wp:anchor distT="0" distB="0" distL="0" distR="0" allowOverlap="1" layoutInCell="1" locked="0" behindDoc="0" simplePos="0" relativeHeight="2008">
            <wp:simplePos x="0" y="0"/>
            <wp:positionH relativeFrom="page">
              <wp:posOffset>2700401</wp:posOffset>
            </wp:positionH>
            <wp:positionV relativeFrom="paragraph">
              <wp:posOffset>130097</wp:posOffset>
            </wp:positionV>
            <wp:extent cx="2383674" cy="2129885"/>
            <wp:effectExtent l="0" t="0" r="0" b="0"/>
            <wp:wrapTopAndBottom/>
            <wp:docPr id="107" name="image61.jpeg" descr=""/>
            <wp:cNvGraphicFramePr>
              <a:graphicFrameLocks noChangeAspect="1"/>
            </wp:cNvGraphicFramePr>
            <a:graphic>
              <a:graphicData uri="http://schemas.openxmlformats.org/drawingml/2006/picture">
                <pic:pic>
                  <pic:nvPicPr>
                    <pic:cNvPr id="108" name="image61.jpeg"/>
                    <pic:cNvPicPr/>
                  </pic:nvPicPr>
                  <pic:blipFill>
                    <a:blip r:embed="rId86" cstate="print"/>
                    <a:stretch>
                      <a:fillRect/>
                    </a:stretch>
                  </pic:blipFill>
                  <pic:spPr>
                    <a:xfrm>
                      <a:off x="0" y="0"/>
                      <a:ext cx="2383674" cy="2129885"/>
                    </a:xfrm>
                    <a:prstGeom prst="rect">
                      <a:avLst/>
                    </a:prstGeom>
                  </pic:spPr>
                </pic:pic>
              </a:graphicData>
            </a:graphic>
          </wp:anchor>
        </w:drawing>
      </w:r>
    </w:p>
    <w:p>
      <w:pPr>
        <w:pStyle w:val="BodyText"/>
        <w:spacing w:before="2"/>
        <w:rPr>
          <w:sz w:val="25"/>
        </w:rPr>
      </w:pPr>
    </w:p>
    <w:p>
      <w:pPr>
        <w:spacing w:line="242" w:lineRule="auto" w:before="1"/>
        <w:ind w:left="3549" w:right="3454" w:firstLine="0"/>
        <w:jc w:val="center"/>
        <w:rPr>
          <w:sz w:val="20"/>
        </w:rPr>
      </w:pPr>
      <w:r>
        <w:rPr>
          <w:sz w:val="20"/>
        </w:rPr>
        <w:t>Fig. 56. Ángulo FH-PP. Fuente: Directa</w:t>
      </w:r>
    </w:p>
    <w:p>
      <w:pPr>
        <w:spacing w:after="0" w:line="242" w:lineRule="auto"/>
        <w:jc w:val="center"/>
        <w:rPr>
          <w:sz w:val="20"/>
        </w:rPr>
        <w:sectPr>
          <w:pgSz w:w="12240" w:h="15840"/>
          <w:pgMar w:header="0" w:footer="1003" w:top="1380" w:bottom="1200" w:left="1600" w:right="1580"/>
        </w:sectPr>
      </w:pPr>
    </w:p>
    <w:p>
      <w:pPr>
        <w:pStyle w:val="ListParagraph"/>
        <w:numPr>
          <w:ilvl w:val="0"/>
          <w:numId w:val="25"/>
        </w:numPr>
        <w:tabs>
          <w:tab w:pos="376" w:val="left" w:leader="none"/>
        </w:tabs>
        <w:spacing w:line="362" w:lineRule="auto" w:before="54" w:after="0"/>
        <w:ind w:left="102" w:right="108" w:firstLine="0"/>
        <w:jc w:val="left"/>
        <w:rPr>
          <w:sz w:val="24"/>
        </w:rPr>
      </w:pPr>
      <w:r>
        <w:rPr>
          <w:sz w:val="24"/>
        </w:rPr>
        <w:t>Una vez anotados los valores se llevó a cabo la fórmula con la que se obtuvo el Indicador de Profundidad de Sobremordida Vertical (MP-A-B) – (FH-PP) (Fig.</w:t>
      </w:r>
      <w:r>
        <w:rPr>
          <w:spacing w:val="-26"/>
          <w:sz w:val="24"/>
        </w:rPr>
        <w:t> </w:t>
      </w:r>
      <w:r>
        <w:rPr>
          <w:sz w:val="24"/>
        </w:rPr>
        <w:t>57).</w:t>
      </w:r>
    </w:p>
    <w:p>
      <w:pPr>
        <w:pStyle w:val="BodyText"/>
        <w:spacing w:before="3"/>
        <w:rPr>
          <w:sz w:val="14"/>
        </w:rPr>
      </w:pPr>
      <w:r>
        <w:rPr/>
        <w:drawing>
          <wp:anchor distT="0" distB="0" distL="0" distR="0" allowOverlap="1" layoutInCell="1" locked="0" behindDoc="0" simplePos="0" relativeHeight="2032">
            <wp:simplePos x="0" y="0"/>
            <wp:positionH relativeFrom="page">
              <wp:posOffset>2533650</wp:posOffset>
            </wp:positionH>
            <wp:positionV relativeFrom="paragraph">
              <wp:posOffset>129030</wp:posOffset>
            </wp:positionV>
            <wp:extent cx="2712693" cy="2399538"/>
            <wp:effectExtent l="0" t="0" r="0" b="0"/>
            <wp:wrapTopAndBottom/>
            <wp:docPr id="109" name="image62.jpeg" descr=""/>
            <wp:cNvGraphicFramePr>
              <a:graphicFrameLocks noChangeAspect="1"/>
            </wp:cNvGraphicFramePr>
            <a:graphic>
              <a:graphicData uri="http://schemas.openxmlformats.org/drawingml/2006/picture">
                <pic:pic>
                  <pic:nvPicPr>
                    <pic:cNvPr id="110" name="image62.jpeg"/>
                    <pic:cNvPicPr/>
                  </pic:nvPicPr>
                  <pic:blipFill>
                    <a:blip r:embed="rId87" cstate="print"/>
                    <a:stretch>
                      <a:fillRect/>
                    </a:stretch>
                  </pic:blipFill>
                  <pic:spPr>
                    <a:xfrm>
                      <a:off x="0" y="0"/>
                      <a:ext cx="2712693" cy="2399538"/>
                    </a:xfrm>
                    <a:prstGeom prst="rect">
                      <a:avLst/>
                    </a:prstGeom>
                  </pic:spPr>
                </pic:pic>
              </a:graphicData>
            </a:graphic>
          </wp:anchor>
        </w:drawing>
      </w:r>
    </w:p>
    <w:p>
      <w:pPr>
        <w:pStyle w:val="BodyText"/>
        <w:spacing w:before="4"/>
        <w:rPr>
          <w:sz w:val="21"/>
        </w:rPr>
      </w:pPr>
    </w:p>
    <w:p>
      <w:pPr>
        <w:spacing w:before="1"/>
        <w:ind w:left="2382" w:right="104" w:firstLine="0"/>
        <w:jc w:val="left"/>
        <w:rPr>
          <w:sz w:val="20"/>
        </w:rPr>
      </w:pPr>
      <w:r>
        <w:rPr>
          <w:sz w:val="20"/>
        </w:rPr>
        <w:t>Fig. 57.Ángulos necesarios para obtener el ODI.</w:t>
      </w:r>
    </w:p>
    <w:p>
      <w:pPr>
        <w:spacing w:before="0"/>
        <w:ind w:left="472" w:right="190" w:firstLine="0"/>
        <w:jc w:val="center"/>
        <w:rPr>
          <w:sz w:val="20"/>
        </w:rPr>
      </w:pPr>
      <w:r>
        <w:rPr>
          <w:sz w:val="20"/>
        </w:rPr>
        <w:t>Fuente: Directa</w:t>
      </w:r>
    </w:p>
    <w:p>
      <w:pPr>
        <w:pStyle w:val="BodyText"/>
        <w:rPr>
          <w:sz w:val="20"/>
        </w:rPr>
      </w:pPr>
    </w:p>
    <w:p>
      <w:pPr>
        <w:pStyle w:val="BodyText"/>
        <w:rPr>
          <w:sz w:val="20"/>
        </w:rPr>
      </w:pPr>
    </w:p>
    <w:p>
      <w:pPr>
        <w:pStyle w:val="ListParagraph"/>
        <w:numPr>
          <w:ilvl w:val="0"/>
          <w:numId w:val="10"/>
        </w:numPr>
        <w:tabs>
          <w:tab w:pos="249" w:val="left" w:leader="none"/>
        </w:tabs>
        <w:spacing w:line="240" w:lineRule="auto" w:before="155" w:after="0"/>
        <w:ind w:left="248" w:right="0" w:hanging="146"/>
        <w:jc w:val="left"/>
        <w:rPr>
          <w:sz w:val="24"/>
        </w:rPr>
      </w:pPr>
      <w:r>
        <w:rPr>
          <w:sz w:val="24"/>
        </w:rPr>
        <w:t>Procedimiento para la obtención del</w:t>
      </w:r>
      <w:r>
        <w:rPr>
          <w:spacing w:val="-8"/>
          <w:sz w:val="24"/>
        </w:rPr>
        <w:t> </w:t>
      </w:r>
      <w:r>
        <w:rPr>
          <w:sz w:val="24"/>
        </w:rPr>
        <w:t>APDI</w:t>
      </w:r>
    </w:p>
    <w:p>
      <w:pPr>
        <w:pStyle w:val="BodyText"/>
        <w:spacing w:before="2"/>
        <w:rPr>
          <w:sz w:val="29"/>
        </w:rPr>
      </w:pPr>
    </w:p>
    <w:p>
      <w:pPr>
        <w:pStyle w:val="ListParagraph"/>
        <w:numPr>
          <w:ilvl w:val="0"/>
          <w:numId w:val="26"/>
        </w:numPr>
        <w:tabs>
          <w:tab w:pos="409" w:val="left" w:leader="none"/>
        </w:tabs>
        <w:spacing w:line="360" w:lineRule="auto" w:before="1" w:after="0"/>
        <w:ind w:left="102" w:right="106" w:firstLine="0"/>
        <w:jc w:val="left"/>
        <w:rPr>
          <w:sz w:val="24"/>
        </w:rPr>
      </w:pPr>
      <w:r>
        <w:rPr>
          <w:sz w:val="24"/>
        </w:rPr>
        <w:t>Se midió el ángulo formado por el plano de Frankfort (FH) y el Plano Facial (FP). (Fig.</w:t>
      </w:r>
      <w:r>
        <w:rPr>
          <w:spacing w:val="-4"/>
          <w:sz w:val="24"/>
        </w:rPr>
        <w:t> </w:t>
      </w:r>
      <w:r>
        <w:rPr>
          <w:sz w:val="24"/>
        </w:rPr>
        <w:t>58)</w:t>
      </w:r>
    </w:p>
    <w:p>
      <w:pPr>
        <w:pStyle w:val="BodyText"/>
        <w:spacing w:before="4"/>
        <w:rPr>
          <w:sz w:val="14"/>
        </w:rPr>
      </w:pPr>
      <w:r>
        <w:rPr/>
        <w:drawing>
          <wp:anchor distT="0" distB="0" distL="0" distR="0" allowOverlap="1" layoutInCell="1" locked="0" behindDoc="0" simplePos="0" relativeHeight="2056">
            <wp:simplePos x="0" y="0"/>
            <wp:positionH relativeFrom="page">
              <wp:posOffset>2577464</wp:posOffset>
            </wp:positionH>
            <wp:positionV relativeFrom="paragraph">
              <wp:posOffset>130097</wp:posOffset>
            </wp:positionV>
            <wp:extent cx="2619409" cy="2315527"/>
            <wp:effectExtent l="0" t="0" r="0" b="0"/>
            <wp:wrapTopAndBottom/>
            <wp:docPr id="111" name="image63.jpeg" descr=""/>
            <wp:cNvGraphicFramePr>
              <a:graphicFrameLocks noChangeAspect="1"/>
            </wp:cNvGraphicFramePr>
            <a:graphic>
              <a:graphicData uri="http://schemas.openxmlformats.org/drawingml/2006/picture">
                <pic:pic>
                  <pic:nvPicPr>
                    <pic:cNvPr id="112" name="image63.jpeg"/>
                    <pic:cNvPicPr/>
                  </pic:nvPicPr>
                  <pic:blipFill>
                    <a:blip r:embed="rId88" cstate="print"/>
                    <a:stretch>
                      <a:fillRect/>
                    </a:stretch>
                  </pic:blipFill>
                  <pic:spPr>
                    <a:xfrm>
                      <a:off x="0" y="0"/>
                      <a:ext cx="2619409" cy="2315527"/>
                    </a:xfrm>
                    <a:prstGeom prst="rect">
                      <a:avLst/>
                    </a:prstGeom>
                  </pic:spPr>
                </pic:pic>
              </a:graphicData>
            </a:graphic>
          </wp:anchor>
        </w:drawing>
      </w:r>
    </w:p>
    <w:p>
      <w:pPr>
        <w:pStyle w:val="BodyText"/>
        <w:spacing w:before="6"/>
        <w:rPr>
          <w:sz w:val="26"/>
        </w:rPr>
      </w:pPr>
    </w:p>
    <w:p>
      <w:pPr>
        <w:spacing w:before="0"/>
        <w:ind w:left="3978" w:right="3395" w:hanging="399"/>
        <w:jc w:val="left"/>
        <w:rPr>
          <w:sz w:val="20"/>
        </w:rPr>
      </w:pPr>
      <w:r>
        <w:rPr>
          <w:sz w:val="20"/>
        </w:rPr>
        <w:t>Fig. 58. Ángulo FH-FP. Fuente: Directa</w:t>
      </w:r>
    </w:p>
    <w:p>
      <w:pPr>
        <w:spacing w:after="0"/>
        <w:jc w:val="left"/>
        <w:rPr>
          <w:sz w:val="20"/>
        </w:rPr>
        <w:sectPr>
          <w:pgSz w:w="12240" w:h="15840"/>
          <w:pgMar w:header="0" w:footer="1003" w:top="1360" w:bottom="1200" w:left="1600" w:right="1600"/>
        </w:sectPr>
      </w:pPr>
    </w:p>
    <w:p>
      <w:pPr>
        <w:pStyle w:val="ListParagraph"/>
        <w:numPr>
          <w:ilvl w:val="0"/>
          <w:numId w:val="26"/>
        </w:numPr>
        <w:tabs>
          <w:tab w:pos="388" w:val="left" w:leader="none"/>
        </w:tabs>
        <w:spacing w:line="360" w:lineRule="auto" w:before="54" w:after="0"/>
        <w:ind w:left="102" w:right="114" w:firstLine="0"/>
        <w:jc w:val="both"/>
        <w:rPr>
          <w:sz w:val="24"/>
        </w:rPr>
      </w:pPr>
      <w:r>
        <w:rPr>
          <w:sz w:val="24"/>
        </w:rPr>
        <w:t>Se midió el ángulo formado por el plano Facial (FP) y el plano AB. Este puede ser positivo o negativo. Un ángulo positivo indica que el punto A se encuentra por detrás del punto B. Un ángulo negativo indica que el punto A está adelante </w:t>
      </w:r>
      <w:r>
        <w:rPr>
          <w:spacing w:val="4"/>
          <w:sz w:val="24"/>
        </w:rPr>
        <w:t>del </w:t>
      </w:r>
      <w:r>
        <w:rPr>
          <w:sz w:val="24"/>
        </w:rPr>
        <w:t>punto B: (FP-AB) (Fig.</w:t>
      </w:r>
      <w:r>
        <w:rPr>
          <w:spacing w:val="-7"/>
          <w:sz w:val="24"/>
        </w:rPr>
        <w:t> </w:t>
      </w:r>
      <w:r>
        <w:rPr>
          <w:sz w:val="24"/>
        </w:rPr>
        <w:t>59).</w:t>
      </w:r>
    </w:p>
    <w:p>
      <w:pPr>
        <w:pStyle w:val="BodyText"/>
        <w:spacing w:before="5"/>
        <w:rPr>
          <w:sz w:val="14"/>
        </w:rPr>
      </w:pPr>
      <w:r>
        <w:rPr/>
        <w:drawing>
          <wp:anchor distT="0" distB="0" distL="0" distR="0" allowOverlap="1" layoutInCell="1" locked="0" behindDoc="0" simplePos="0" relativeHeight="2080">
            <wp:simplePos x="0" y="0"/>
            <wp:positionH relativeFrom="page">
              <wp:posOffset>2605151</wp:posOffset>
            </wp:positionH>
            <wp:positionV relativeFrom="paragraph">
              <wp:posOffset>130732</wp:posOffset>
            </wp:positionV>
            <wp:extent cx="2573046" cy="2310383"/>
            <wp:effectExtent l="0" t="0" r="0" b="0"/>
            <wp:wrapTopAndBottom/>
            <wp:docPr id="113" name="image64.jpeg" descr=""/>
            <wp:cNvGraphicFramePr>
              <a:graphicFrameLocks noChangeAspect="1"/>
            </wp:cNvGraphicFramePr>
            <a:graphic>
              <a:graphicData uri="http://schemas.openxmlformats.org/drawingml/2006/picture">
                <pic:pic>
                  <pic:nvPicPr>
                    <pic:cNvPr id="114" name="image64.jpeg"/>
                    <pic:cNvPicPr/>
                  </pic:nvPicPr>
                  <pic:blipFill>
                    <a:blip r:embed="rId89" cstate="print"/>
                    <a:stretch>
                      <a:fillRect/>
                    </a:stretch>
                  </pic:blipFill>
                  <pic:spPr>
                    <a:xfrm>
                      <a:off x="0" y="0"/>
                      <a:ext cx="2573046" cy="2310383"/>
                    </a:xfrm>
                    <a:prstGeom prst="rect">
                      <a:avLst/>
                    </a:prstGeom>
                  </pic:spPr>
                </pic:pic>
              </a:graphicData>
            </a:graphic>
          </wp:anchor>
        </w:drawing>
      </w:r>
    </w:p>
    <w:p>
      <w:pPr>
        <w:pStyle w:val="BodyText"/>
        <w:spacing w:before="10"/>
        <w:rPr>
          <w:sz w:val="25"/>
        </w:rPr>
      </w:pPr>
    </w:p>
    <w:p>
      <w:pPr>
        <w:spacing w:before="0"/>
        <w:ind w:left="3978" w:right="3415" w:hanging="399"/>
        <w:jc w:val="left"/>
        <w:rPr>
          <w:sz w:val="20"/>
        </w:rPr>
      </w:pPr>
      <w:r>
        <w:rPr>
          <w:sz w:val="20"/>
        </w:rPr>
        <w:t>Fig. 59. Ángulo FP-AB. Fuente: Directa</w:t>
      </w:r>
    </w:p>
    <w:p>
      <w:pPr>
        <w:pStyle w:val="BodyText"/>
        <w:rPr>
          <w:sz w:val="20"/>
        </w:rPr>
      </w:pPr>
    </w:p>
    <w:p>
      <w:pPr>
        <w:pStyle w:val="BodyText"/>
        <w:spacing w:before="5"/>
        <w:rPr>
          <w:sz w:val="21"/>
        </w:rPr>
      </w:pPr>
    </w:p>
    <w:p>
      <w:pPr>
        <w:pStyle w:val="ListParagraph"/>
        <w:numPr>
          <w:ilvl w:val="0"/>
          <w:numId w:val="26"/>
        </w:numPr>
        <w:tabs>
          <w:tab w:pos="476" w:val="left" w:leader="none"/>
        </w:tabs>
        <w:spacing w:line="360" w:lineRule="auto" w:before="0" w:after="0"/>
        <w:ind w:left="102" w:right="116" w:firstLine="0"/>
        <w:jc w:val="both"/>
        <w:rPr>
          <w:sz w:val="24"/>
        </w:rPr>
      </w:pPr>
      <w:r>
        <w:rPr>
          <w:sz w:val="24"/>
        </w:rPr>
        <w:t>El ángulo formado por el plano de Frankfort (FH), y el plano palatino (PP) fue medido. Esta medida ya se había obtenido en el número 2 de la sección del ODI: (FH-PP) (Fig.</w:t>
      </w:r>
      <w:r>
        <w:rPr>
          <w:spacing w:val="-5"/>
          <w:sz w:val="24"/>
        </w:rPr>
        <w:t> </w:t>
      </w:r>
      <w:r>
        <w:rPr>
          <w:sz w:val="24"/>
        </w:rPr>
        <w:t>60).</w:t>
      </w:r>
    </w:p>
    <w:p>
      <w:pPr>
        <w:pStyle w:val="BodyText"/>
        <w:spacing w:before="4"/>
        <w:rPr>
          <w:sz w:val="14"/>
        </w:rPr>
      </w:pPr>
      <w:r>
        <w:rPr/>
        <w:drawing>
          <wp:anchor distT="0" distB="0" distL="0" distR="0" allowOverlap="1" layoutInCell="1" locked="0" behindDoc="0" simplePos="0" relativeHeight="2104">
            <wp:simplePos x="0" y="0"/>
            <wp:positionH relativeFrom="page">
              <wp:posOffset>2628900</wp:posOffset>
            </wp:positionH>
            <wp:positionV relativeFrom="paragraph">
              <wp:posOffset>130097</wp:posOffset>
            </wp:positionV>
            <wp:extent cx="2513552" cy="2249900"/>
            <wp:effectExtent l="0" t="0" r="0" b="0"/>
            <wp:wrapTopAndBottom/>
            <wp:docPr id="115" name="image65.jpeg" descr=""/>
            <wp:cNvGraphicFramePr>
              <a:graphicFrameLocks noChangeAspect="1"/>
            </wp:cNvGraphicFramePr>
            <a:graphic>
              <a:graphicData uri="http://schemas.openxmlformats.org/drawingml/2006/picture">
                <pic:pic>
                  <pic:nvPicPr>
                    <pic:cNvPr id="116" name="image65.jpeg"/>
                    <pic:cNvPicPr/>
                  </pic:nvPicPr>
                  <pic:blipFill>
                    <a:blip r:embed="rId90" cstate="print"/>
                    <a:stretch>
                      <a:fillRect/>
                    </a:stretch>
                  </pic:blipFill>
                  <pic:spPr>
                    <a:xfrm>
                      <a:off x="0" y="0"/>
                      <a:ext cx="2513552" cy="2249900"/>
                    </a:xfrm>
                    <a:prstGeom prst="rect">
                      <a:avLst/>
                    </a:prstGeom>
                  </pic:spPr>
                </pic:pic>
              </a:graphicData>
            </a:graphic>
          </wp:anchor>
        </w:drawing>
      </w:r>
    </w:p>
    <w:p>
      <w:pPr>
        <w:pStyle w:val="BodyText"/>
        <w:rPr>
          <w:sz w:val="27"/>
        </w:rPr>
      </w:pPr>
    </w:p>
    <w:p>
      <w:pPr>
        <w:spacing w:line="228" w:lineRule="exact" w:before="0"/>
        <w:ind w:left="3978" w:right="3435" w:hanging="430"/>
        <w:jc w:val="left"/>
        <w:rPr>
          <w:sz w:val="20"/>
        </w:rPr>
      </w:pPr>
      <w:r>
        <w:rPr>
          <w:sz w:val="20"/>
        </w:rPr>
        <w:t>Fig. 60. Ángulo FH-PP. Fuente: Directa</w:t>
      </w:r>
    </w:p>
    <w:p>
      <w:pPr>
        <w:spacing w:after="0" w:line="228" w:lineRule="exact"/>
        <w:jc w:val="left"/>
        <w:rPr>
          <w:sz w:val="20"/>
        </w:rPr>
        <w:sectPr>
          <w:pgSz w:w="12240" w:h="15840"/>
          <w:pgMar w:header="0" w:footer="1003" w:top="1360" w:bottom="1200" w:left="1600" w:right="1580"/>
        </w:sectPr>
      </w:pPr>
    </w:p>
    <w:p>
      <w:pPr>
        <w:pStyle w:val="ListParagraph"/>
        <w:numPr>
          <w:ilvl w:val="0"/>
          <w:numId w:val="26"/>
        </w:numPr>
        <w:tabs>
          <w:tab w:pos="419" w:val="left" w:leader="none"/>
        </w:tabs>
        <w:spacing w:line="362" w:lineRule="auto" w:before="54" w:after="0"/>
        <w:ind w:left="102" w:right="103" w:firstLine="0"/>
        <w:jc w:val="left"/>
        <w:rPr>
          <w:sz w:val="24"/>
        </w:rPr>
      </w:pPr>
      <w:r>
        <w:rPr>
          <w:sz w:val="24"/>
        </w:rPr>
        <w:t>Se calculó la fórmula para obtener el Indicador de Displasia Anteroposterior (FH-FP) -(FP-AB) = X - (FH-PP) (Fig.</w:t>
      </w:r>
      <w:r>
        <w:rPr>
          <w:spacing w:val="-8"/>
          <w:sz w:val="24"/>
        </w:rPr>
        <w:t> </w:t>
      </w:r>
      <w:r>
        <w:rPr>
          <w:sz w:val="24"/>
        </w:rPr>
        <w:t>61).</w:t>
      </w:r>
    </w:p>
    <w:p>
      <w:pPr>
        <w:pStyle w:val="BodyText"/>
        <w:spacing w:before="3"/>
        <w:rPr>
          <w:sz w:val="14"/>
        </w:rPr>
      </w:pPr>
      <w:r>
        <w:rPr/>
        <w:drawing>
          <wp:anchor distT="0" distB="0" distL="0" distR="0" allowOverlap="1" layoutInCell="1" locked="0" behindDoc="0" simplePos="0" relativeHeight="2128">
            <wp:simplePos x="0" y="0"/>
            <wp:positionH relativeFrom="page">
              <wp:posOffset>2619375</wp:posOffset>
            </wp:positionH>
            <wp:positionV relativeFrom="paragraph">
              <wp:posOffset>129030</wp:posOffset>
            </wp:positionV>
            <wp:extent cx="2550722" cy="2274284"/>
            <wp:effectExtent l="0" t="0" r="0" b="0"/>
            <wp:wrapTopAndBottom/>
            <wp:docPr id="117" name="image66.jpeg" descr=""/>
            <wp:cNvGraphicFramePr>
              <a:graphicFrameLocks noChangeAspect="1"/>
            </wp:cNvGraphicFramePr>
            <a:graphic>
              <a:graphicData uri="http://schemas.openxmlformats.org/drawingml/2006/picture">
                <pic:pic>
                  <pic:nvPicPr>
                    <pic:cNvPr id="118" name="image66.jpeg"/>
                    <pic:cNvPicPr/>
                  </pic:nvPicPr>
                  <pic:blipFill>
                    <a:blip r:embed="rId91" cstate="print"/>
                    <a:stretch>
                      <a:fillRect/>
                    </a:stretch>
                  </pic:blipFill>
                  <pic:spPr>
                    <a:xfrm>
                      <a:off x="0" y="0"/>
                      <a:ext cx="2550722" cy="2274284"/>
                    </a:xfrm>
                    <a:prstGeom prst="rect">
                      <a:avLst/>
                    </a:prstGeom>
                  </pic:spPr>
                </pic:pic>
              </a:graphicData>
            </a:graphic>
          </wp:anchor>
        </w:drawing>
      </w:r>
    </w:p>
    <w:p>
      <w:pPr>
        <w:pStyle w:val="BodyText"/>
        <w:spacing w:before="7"/>
        <w:rPr>
          <w:sz w:val="21"/>
        </w:rPr>
      </w:pPr>
    </w:p>
    <w:p>
      <w:pPr>
        <w:spacing w:before="0"/>
        <w:ind w:left="3978" w:right="2223" w:hanging="1628"/>
        <w:jc w:val="left"/>
        <w:rPr>
          <w:sz w:val="20"/>
        </w:rPr>
      </w:pPr>
      <w:r>
        <w:rPr>
          <w:sz w:val="20"/>
        </w:rPr>
        <w:t>Fig. 61. Ángulos necesarios para obtener el APDI. Fuente: Directa</w:t>
      </w:r>
    </w:p>
    <w:p>
      <w:pPr>
        <w:pStyle w:val="BodyText"/>
        <w:rPr>
          <w:sz w:val="20"/>
        </w:rPr>
      </w:pPr>
    </w:p>
    <w:p>
      <w:pPr>
        <w:pStyle w:val="BodyText"/>
        <w:rPr>
          <w:sz w:val="20"/>
        </w:rPr>
      </w:pPr>
    </w:p>
    <w:p>
      <w:pPr>
        <w:pStyle w:val="BodyText"/>
        <w:spacing w:before="6"/>
        <w:rPr>
          <w:sz w:val="21"/>
        </w:rPr>
      </w:pPr>
    </w:p>
    <w:p>
      <w:pPr>
        <w:pStyle w:val="ListParagraph"/>
        <w:numPr>
          <w:ilvl w:val="0"/>
          <w:numId w:val="27"/>
        </w:numPr>
        <w:tabs>
          <w:tab w:pos="521" w:val="left" w:leader="none"/>
          <w:tab w:pos="522" w:val="left" w:leader="none"/>
        </w:tabs>
        <w:spacing w:line="240" w:lineRule="auto" w:before="0" w:after="0"/>
        <w:ind w:left="522" w:right="0" w:hanging="360"/>
        <w:jc w:val="left"/>
        <w:rPr>
          <w:sz w:val="24"/>
        </w:rPr>
      </w:pPr>
      <w:r>
        <w:rPr>
          <w:sz w:val="24"/>
        </w:rPr>
        <w:t>Análisis</w:t>
      </w:r>
      <w:r>
        <w:rPr>
          <w:spacing w:val="-6"/>
          <w:sz w:val="24"/>
        </w:rPr>
        <w:t> </w:t>
      </w:r>
      <w:r>
        <w:rPr>
          <w:sz w:val="24"/>
        </w:rPr>
        <w:t>estadístico</w:t>
      </w:r>
    </w:p>
    <w:p>
      <w:pPr>
        <w:pStyle w:val="BodyText"/>
      </w:pPr>
    </w:p>
    <w:p>
      <w:pPr>
        <w:pStyle w:val="BodyText"/>
        <w:spacing w:line="360" w:lineRule="auto" w:before="197"/>
        <w:ind w:left="102" w:right="104"/>
      </w:pPr>
      <w:r>
        <w:rPr/>
        <w:t>Los datos recolectados por las mediciones de cada radiografía de la muestra fueron vaciados en un la computadora, con ayuda del programa estadístico  SPSS</w:t>
      </w:r>
    </w:p>
    <w:p>
      <w:pPr>
        <w:pStyle w:val="BodyText"/>
        <w:spacing w:line="360" w:lineRule="auto" w:before="5"/>
        <w:ind w:left="102" w:right="104"/>
      </w:pPr>
      <w:r>
        <w:rPr/>
        <w:t>v. 20 se obtuvo la estadística descriptiva e inferencial bajo la prueba “t” de student para muestras independientes, estableciendo un valor de significancia de p</w:t>
      </w:r>
      <w:r>
        <w:rPr>
          <w:u w:val="single"/>
        </w:rPr>
        <w:t>&lt; </w:t>
      </w:r>
      <w:r>
        <w:rPr/>
        <w:t>0.05.</w:t>
      </w:r>
    </w:p>
    <w:p>
      <w:pPr>
        <w:spacing w:after="0" w:line="360" w:lineRule="auto"/>
        <w:sectPr>
          <w:pgSz w:w="12240" w:h="15840"/>
          <w:pgMar w:header="0" w:footer="1003" w:top="1360" w:bottom="1200" w:left="1600" w:right="1600"/>
        </w:sectPr>
      </w:pPr>
    </w:p>
    <w:p>
      <w:pPr>
        <w:pStyle w:val="Heading1"/>
        <w:numPr>
          <w:ilvl w:val="1"/>
          <w:numId w:val="26"/>
        </w:numPr>
        <w:tabs>
          <w:tab w:pos="3962" w:val="left" w:leader="none"/>
        </w:tabs>
        <w:spacing w:line="240" w:lineRule="auto" w:before="52" w:after="0"/>
        <w:ind w:left="3961" w:right="0" w:hanging="391"/>
        <w:jc w:val="left"/>
      </w:pPr>
      <w:r>
        <w:rPr/>
        <w:t>Resultados</w:t>
      </w:r>
    </w:p>
    <w:p>
      <w:pPr>
        <w:pStyle w:val="BodyText"/>
        <w:spacing w:line="360" w:lineRule="auto" w:before="251"/>
        <w:ind w:left="102" w:right="117"/>
        <w:jc w:val="both"/>
      </w:pPr>
      <w:r>
        <w:rPr/>
        <w:t>Teniendo como base la efectividad del análisis de Kim y  conociendo  las diferencias étnicas de cada región, la presente investigación se realizó en la población de Toluca, Estado de México y suburbios con la intención de obtener los estándares cefalométricos correspondientes. A continuación se presentan los valores obtenidos con la estadística descriptiva e inferencial realizada del total de la muestra, que corresponden a 49 radiografías laterales de cráneo para el grupo  1 de adolescentes de 15 a 17 años de edad, el cual presenta un 34.7% del sexo masculino y un 65.3% femenino y 48 radiografías para el grupo 2 de adultos mayores de 18 años de edad con 47.9% del sexo masculino y del femenino  52.2%, como se muestra en la tabla</w:t>
      </w:r>
      <w:r>
        <w:rPr>
          <w:spacing w:val="-15"/>
        </w:rPr>
        <w:t> </w:t>
      </w:r>
      <w:r>
        <w:rPr/>
        <w:t>1:</w:t>
      </w:r>
    </w:p>
    <w:p>
      <w:pPr>
        <w:pStyle w:val="BodyText"/>
        <w:spacing w:before="6"/>
      </w:pPr>
    </w:p>
    <w:p>
      <w:pPr>
        <w:spacing w:before="0"/>
        <w:ind w:left="2108" w:right="139" w:firstLine="0"/>
        <w:jc w:val="left"/>
        <w:rPr>
          <w:sz w:val="20"/>
        </w:rPr>
      </w:pPr>
      <w:r>
        <w:rPr>
          <w:sz w:val="20"/>
        </w:rPr>
        <w:t>Tabla 1. Porcentajes por sexo en cada grupo de edad.</w:t>
      </w:r>
    </w:p>
    <w:p>
      <w:pPr>
        <w:pStyle w:val="BodyText"/>
        <w:spacing w:before="3"/>
        <w:rPr>
          <w:sz w:val="20"/>
        </w:rPr>
      </w:pPr>
    </w:p>
    <w:tbl>
      <w:tblPr>
        <w:tblW w:w="0" w:type="auto"/>
        <w:jc w:val="left"/>
        <w:tblInd w:w="2356" w:type="dxa"/>
        <w:tblBorders>
          <w:top w:val="single" w:sz="8" w:space="0" w:color="4AACC5"/>
          <w:left w:val="single" w:sz="8" w:space="0" w:color="4AACC5"/>
          <w:bottom w:val="single" w:sz="8" w:space="0" w:color="4AACC5"/>
          <w:right w:val="single" w:sz="8" w:space="0" w:color="4AACC5"/>
          <w:insideH w:val="single" w:sz="8" w:space="0" w:color="4AACC5"/>
          <w:insideV w:val="single" w:sz="8" w:space="0" w:color="4AACC5"/>
        </w:tblBorders>
        <w:tblLayout w:type="fixed"/>
        <w:tblCellMar>
          <w:top w:w="0" w:type="dxa"/>
          <w:left w:w="0" w:type="dxa"/>
          <w:bottom w:w="0" w:type="dxa"/>
          <w:right w:w="0" w:type="dxa"/>
        </w:tblCellMar>
        <w:tblLook w:val="01E0"/>
      </w:tblPr>
      <w:tblGrid>
        <w:gridCol w:w="960"/>
        <w:gridCol w:w="1116"/>
        <w:gridCol w:w="1102"/>
        <w:gridCol w:w="1133"/>
      </w:tblGrid>
      <w:tr>
        <w:trPr>
          <w:trHeight w:val="503" w:hRule="exact"/>
        </w:trPr>
        <w:tc>
          <w:tcPr>
            <w:tcW w:w="960" w:type="dxa"/>
            <w:tcBorders>
              <w:bottom w:val="single" w:sz="17" w:space="0" w:color="4AACC5"/>
            </w:tcBorders>
          </w:tcPr>
          <w:p>
            <w:pPr>
              <w:pStyle w:val="TableParagraph"/>
              <w:spacing w:before="2"/>
              <w:ind w:left="107" w:right="92" w:firstLine="74"/>
              <w:jc w:val="left"/>
              <w:rPr>
                <w:rFonts w:ascii="Cambria"/>
                <w:b/>
                <w:sz w:val="20"/>
              </w:rPr>
            </w:pPr>
            <w:r>
              <w:rPr>
                <w:rFonts w:ascii="Cambria"/>
                <w:b/>
                <w:sz w:val="20"/>
              </w:rPr>
              <w:t>Grupo de edad</w:t>
            </w:r>
          </w:p>
        </w:tc>
        <w:tc>
          <w:tcPr>
            <w:tcW w:w="1116" w:type="dxa"/>
            <w:tcBorders>
              <w:bottom w:val="single" w:sz="17" w:space="0" w:color="4AACC5"/>
            </w:tcBorders>
          </w:tcPr>
          <w:p>
            <w:pPr>
              <w:pStyle w:val="TableParagraph"/>
              <w:spacing w:before="2"/>
              <w:ind w:left="109" w:right="109"/>
              <w:rPr>
                <w:rFonts w:ascii="Cambria"/>
                <w:b/>
                <w:sz w:val="20"/>
              </w:rPr>
            </w:pPr>
            <w:r>
              <w:rPr>
                <w:rFonts w:ascii="Cambria"/>
                <w:b/>
                <w:sz w:val="20"/>
              </w:rPr>
              <w:t>Sexo</w:t>
            </w:r>
          </w:p>
        </w:tc>
        <w:tc>
          <w:tcPr>
            <w:tcW w:w="1102" w:type="dxa"/>
            <w:tcBorders>
              <w:bottom w:val="single" w:sz="17" w:space="0" w:color="4AACC5"/>
            </w:tcBorders>
          </w:tcPr>
          <w:p>
            <w:pPr>
              <w:pStyle w:val="TableParagraph"/>
              <w:spacing w:line="183" w:lineRule="exact"/>
              <w:ind w:left="98" w:right="98"/>
              <w:rPr>
                <w:b/>
                <w:i/>
                <w:sz w:val="16"/>
              </w:rPr>
            </w:pPr>
            <w:r>
              <w:rPr>
                <w:b/>
                <w:i/>
                <w:sz w:val="16"/>
              </w:rPr>
              <w:t>Frecuencia</w:t>
            </w:r>
          </w:p>
        </w:tc>
        <w:tc>
          <w:tcPr>
            <w:tcW w:w="1133" w:type="dxa"/>
            <w:tcBorders>
              <w:bottom w:val="single" w:sz="17" w:space="0" w:color="4AACC5"/>
            </w:tcBorders>
          </w:tcPr>
          <w:p>
            <w:pPr>
              <w:pStyle w:val="TableParagraph"/>
              <w:spacing w:line="180" w:lineRule="exact"/>
              <w:ind w:left="125" w:right="129"/>
              <w:rPr>
                <w:b/>
                <w:sz w:val="16"/>
              </w:rPr>
            </w:pPr>
            <w:r>
              <w:rPr>
                <w:b/>
                <w:sz w:val="16"/>
              </w:rPr>
              <w:t>Porcentaje</w:t>
            </w:r>
          </w:p>
        </w:tc>
      </w:tr>
      <w:tr>
        <w:trPr>
          <w:trHeight w:val="520" w:hRule="exact"/>
        </w:trPr>
        <w:tc>
          <w:tcPr>
            <w:tcW w:w="960" w:type="dxa"/>
            <w:tcBorders>
              <w:top w:val="single" w:sz="17" w:space="0" w:color="4AACC5"/>
            </w:tcBorders>
            <w:shd w:val="clear" w:color="auto" w:fill="D2EAF0"/>
          </w:tcPr>
          <w:p>
            <w:pPr>
              <w:pStyle w:val="TableParagraph"/>
              <w:ind w:left="139" w:right="92"/>
              <w:jc w:val="left"/>
              <w:rPr>
                <w:rFonts w:ascii="Calibri"/>
                <w:b/>
                <w:i/>
                <w:sz w:val="20"/>
              </w:rPr>
            </w:pPr>
            <w:r>
              <w:rPr>
                <w:rFonts w:ascii="Calibri"/>
                <w:b/>
                <w:i/>
                <w:sz w:val="20"/>
              </w:rPr>
              <w:t>Grupo 1</w:t>
            </w:r>
          </w:p>
        </w:tc>
        <w:tc>
          <w:tcPr>
            <w:tcW w:w="1116" w:type="dxa"/>
            <w:tcBorders>
              <w:top w:val="single" w:sz="17" w:space="0" w:color="4AACC5"/>
            </w:tcBorders>
            <w:shd w:val="clear" w:color="auto" w:fill="D2EAF0"/>
          </w:tcPr>
          <w:p>
            <w:pPr>
              <w:pStyle w:val="TableParagraph"/>
              <w:ind w:left="109" w:right="111"/>
              <w:rPr>
                <w:rFonts w:ascii="Calibri"/>
                <w:i/>
                <w:sz w:val="20"/>
              </w:rPr>
            </w:pPr>
            <w:r>
              <w:rPr>
                <w:rFonts w:ascii="Calibri"/>
                <w:i/>
                <w:sz w:val="20"/>
              </w:rPr>
              <w:t>Masculino</w:t>
            </w:r>
          </w:p>
        </w:tc>
        <w:tc>
          <w:tcPr>
            <w:tcW w:w="1102" w:type="dxa"/>
            <w:tcBorders>
              <w:top w:val="single" w:sz="17" w:space="0" w:color="4AACC5"/>
            </w:tcBorders>
            <w:shd w:val="clear" w:color="auto" w:fill="D2EAF0"/>
          </w:tcPr>
          <w:p>
            <w:pPr>
              <w:pStyle w:val="TableParagraph"/>
              <w:ind w:left="97" w:right="98"/>
              <w:rPr>
                <w:rFonts w:ascii="Calibri"/>
                <w:sz w:val="20"/>
              </w:rPr>
            </w:pPr>
            <w:r>
              <w:rPr>
                <w:rFonts w:ascii="Calibri"/>
                <w:sz w:val="20"/>
              </w:rPr>
              <w:t>17</w:t>
            </w:r>
          </w:p>
        </w:tc>
        <w:tc>
          <w:tcPr>
            <w:tcW w:w="1133" w:type="dxa"/>
            <w:tcBorders>
              <w:top w:val="single" w:sz="17" w:space="0" w:color="4AACC5"/>
            </w:tcBorders>
            <w:shd w:val="clear" w:color="auto" w:fill="D2EAF0"/>
          </w:tcPr>
          <w:p>
            <w:pPr>
              <w:pStyle w:val="TableParagraph"/>
              <w:ind w:left="125" w:right="129"/>
              <w:rPr>
                <w:rFonts w:ascii="Calibri"/>
                <w:sz w:val="20"/>
              </w:rPr>
            </w:pPr>
            <w:r>
              <w:rPr>
                <w:rFonts w:ascii="Calibri"/>
                <w:sz w:val="20"/>
              </w:rPr>
              <w:t>34.7</w:t>
            </w:r>
          </w:p>
        </w:tc>
      </w:tr>
      <w:tr>
        <w:trPr>
          <w:trHeight w:val="509" w:hRule="exact"/>
        </w:trPr>
        <w:tc>
          <w:tcPr>
            <w:tcW w:w="960" w:type="dxa"/>
          </w:tcPr>
          <w:p>
            <w:pPr/>
          </w:p>
        </w:tc>
        <w:tc>
          <w:tcPr>
            <w:tcW w:w="1116" w:type="dxa"/>
          </w:tcPr>
          <w:p>
            <w:pPr>
              <w:pStyle w:val="TableParagraph"/>
              <w:spacing w:before="1"/>
              <w:ind w:left="109" w:right="109"/>
              <w:rPr>
                <w:rFonts w:ascii="Calibri"/>
                <w:i/>
                <w:sz w:val="20"/>
              </w:rPr>
            </w:pPr>
            <w:r>
              <w:rPr>
                <w:rFonts w:ascii="Calibri"/>
                <w:i/>
                <w:sz w:val="20"/>
              </w:rPr>
              <w:t>Femenino</w:t>
            </w:r>
          </w:p>
        </w:tc>
        <w:tc>
          <w:tcPr>
            <w:tcW w:w="1102" w:type="dxa"/>
          </w:tcPr>
          <w:p>
            <w:pPr>
              <w:pStyle w:val="TableParagraph"/>
              <w:spacing w:before="1"/>
              <w:ind w:left="97" w:right="98"/>
              <w:rPr>
                <w:rFonts w:ascii="Calibri"/>
                <w:sz w:val="20"/>
              </w:rPr>
            </w:pPr>
            <w:r>
              <w:rPr>
                <w:rFonts w:ascii="Calibri"/>
                <w:sz w:val="20"/>
              </w:rPr>
              <w:t>32</w:t>
            </w:r>
          </w:p>
        </w:tc>
        <w:tc>
          <w:tcPr>
            <w:tcW w:w="1133" w:type="dxa"/>
          </w:tcPr>
          <w:p>
            <w:pPr>
              <w:pStyle w:val="TableParagraph"/>
              <w:spacing w:before="1"/>
              <w:ind w:left="125" w:right="129"/>
              <w:rPr>
                <w:rFonts w:ascii="Calibri"/>
                <w:sz w:val="20"/>
              </w:rPr>
            </w:pPr>
            <w:r>
              <w:rPr>
                <w:rFonts w:ascii="Calibri"/>
                <w:sz w:val="20"/>
              </w:rPr>
              <w:t>65.3</w:t>
            </w:r>
          </w:p>
        </w:tc>
      </w:tr>
      <w:tr>
        <w:trPr>
          <w:trHeight w:val="490" w:hRule="exact"/>
        </w:trPr>
        <w:tc>
          <w:tcPr>
            <w:tcW w:w="960" w:type="dxa"/>
            <w:shd w:val="clear" w:color="auto" w:fill="D2EAF0"/>
          </w:tcPr>
          <w:p>
            <w:pPr>
              <w:pStyle w:val="TableParagraph"/>
              <w:spacing w:line="234" w:lineRule="exact"/>
              <w:ind w:left="112"/>
              <w:jc w:val="left"/>
              <w:rPr>
                <w:rFonts w:ascii="Cambria"/>
                <w:b/>
                <w:i/>
                <w:sz w:val="20"/>
              </w:rPr>
            </w:pPr>
            <w:r>
              <w:rPr>
                <w:rFonts w:ascii="Cambria"/>
                <w:b/>
                <w:i/>
                <w:sz w:val="20"/>
              </w:rPr>
              <w:t>Grupo 2</w:t>
            </w:r>
          </w:p>
        </w:tc>
        <w:tc>
          <w:tcPr>
            <w:tcW w:w="1116" w:type="dxa"/>
            <w:shd w:val="clear" w:color="auto" w:fill="D2EAF0"/>
          </w:tcPr>
          <w:p>
            <w:pPr>
              <w:pStyle w:val="TableParagraph"/>
              <w:spacing w:line="243" w:lineRule="exact"/>
              <w:ind w:left="109" w:right="111"/>
              <w:rPr>
                <w:rFonts w:ascii="Calibri"/>
                <w:i/>
                <w:sz w:val="20"/>
              </w:rPr>
            </w:pPr>
            <w:r>
              <w:rPr>
                <w:rFonts w:ascii="Calibri"/>
                <w:i/>
                <w:sz w:val="20"/>
              </w:rPr>
              <w:t>Masculino</w:t>
            </w:r>
          </w:p>
        </w:tc>
        <w:tc>
          <w:tcPr>
            <w:tcW w:w="1102" w:type="dxa"/>
            <w:shd w:val="clear" w:color="auto" w:fill="D2EAF0"/>
          </w:tcPr>
          <w:p>
            <w:pPr>
              <w:pStyle w:val="TableParagraph"/>
              <w:spacing w:line="243" w:lineRule="exact"/>
              <w:ind w:left="97" w:right="98"/>
              <w:rPr>
                <w:rFonts w:ascii="Calibri"/>
                <w:sz w:val="20"/>
              </w:rPr>
            </w:pPr>
            <w:r>
              <w:rPr>
                <w:rFonts w:ascii="Calibri"/>
                <w:sz w:val="20"/>
              </w:rPr>
              <w:t>23</w:t>
            </w:r>
          </w:p>
        </w:tc>
        <w:tc>
          <w:tcPr>
            <w:tcW w:w="1133" w:type="dxa"/>
            <w:shd w:val="clear" w:color="auto" w:fill="D2EAF0"/>
          </w:tcPr>
          <w:p>
            <w:pPr>
              <w:pStyle w:val="TableParagraph"/>
              <w:spacing w:line="243" w:lineRule="exact"/>
              <w:ind w:left="125" w:right="129"/>
              <w:rPr>
                <w:rFonts w:ascii="Calibri"/>
                <w:sz w:val="20"/>
              </w:rPr>
            </w:pPr>
            <w:r>
              <w:rPr>
                <w:rFonts w:ascii="Calibri"/>
                <w:sz w:val="20"/>
              </w:rPr>
              <w:t>47.9</w:t>
            </w:r>
          </w:p>
        </w:tc>
      </w:tr>
      <w:tr>
        <w:trPr>
          <w:trHeight w:val="509" w:hRule="exact"/>
        </w:trPr>
        <w:tc>
          <w:tcPr>
            <w:tcW w:w="960" w:type="dxa"/>
          </w:tcPr>
          <w:p>
            <w:pPr/>
          </w:p>
        </w:tc>
        <w:tc>
          <w:tcPr>
            <w:tcW w:w="1116" w:type="dxa"/>
          </w:tcPr>
          <w:p>
            <w:pPr>
              <w:pStyle w:val="TableParagraph"/>
              <w:spacing w:line="243" w:lineRule="exact"/>
              <w:ind w:left="109" w:right="109"/>
              <w:rPr>
                <w:rFonts w:ascii="Calibri"/>
                <w:i/>
                <w:sz w:val="20"/>
              </w:rPr>
            </w:pPr>
            <w:r>
              <w:rPr>
                <w:rFonts w:ascii="Calibri"/>
                <w:i/>
                <w:sz w:val="20"/>
              </w:rPr>
              <w:t>Femenino</w:t>
            </w:r>
          </w:p>
        </w:tc>
        <w:tc>
          <w:tcPr>
            <w:tcW w:w="1102" w:type="dxa"/>
          </w:tcPr>
          <w:p>
            <w:pPr>
              <w:pStyle w:val="TableParagraph"/>
              <w:spacing w:line="243" w:lineRule="exact"/>
              <w:ind w:left="97" w:right="98"/>
              <w:rPr>
                <w:rFonts w:ascii="Calibri"/>
                <w:sz w:val="20"/>
              </w:rPr>
            </w:pPr>
            <w:r>
              <w:rPr>
                <w:rFonts w:ascii="Calibri"/>
                <w:sz w:val="20"/>
              </w:rPr>
              <w:t>25</w:t>
            </w:r>
          </w:p>
        </w:tc>
        <w:tc>
          <w:tcPr>
            <w:tcW w:w="1133" w:type="dxa"/>
          </w:tcPr>
          <w:p>
            <w:pPr>
              <w:pStyle w:val="TableParagraph"/>
              <w:spacing w:line="243" w:lineRule="exact"/>
              <w:ind w:left="125" w:right="129"/>
              <w:rPr>
                <w:rFonts w:ascii="Calibri"/>
                <w:sz w:val="20"/>
              </w:rPr>
            </w:pPr>
            <w:r>
              <w:rPr>
                <w:rFonts w:ascii="Calibri"/>
                <w:sz w:val="20"/>
              </w:rPr>
              <w:t>52.1</w:t>
            </w:r>
          </w:p>
        </w:tc>
      </w:tr>
    </w:tbl>
    <w:p>
      <w:pPr>
        <w:spacing w:line="230" w:lineRule="exact" w:before="0"/>
        <w:ind w:left="5032" w:right="139" w:firstLine="0"/>
        <w:jc w:val="left"/>
        <w:rPr>
          <w:sz w:val="20"/>
        </w:rPr>
      </w:pPr>
      <w:r>
        <w:rPr>
          <w:sz w:val="20"/>
        </w:rPr>
        <w:t>Fuente: Directa.</w:t>
      </w:r>
    </w:p>
    <w:p>
      <w:pPr>
        <w:pStyle w:val="BodyText"/>
        <w:spacing w:before="9"/>
        <w:rPr>
          <w:sz w:val="25"/>
        </w:rPr>
      </w:pPr>
    </w:p>
    <w:p>
      <w:pPr>
        <w:pStyle w:val="Heading3"/>
        <w:tabs>
          <w:tab w:pos="821" w:val="left" w:leader="none"/>
        </w:tabs>
        <w:ind w:right="139"/>
      </w:pPr>
      <w:r>
        <w:rPr>
          <w:b w:val="0"/>
        </w:rPr>
        <w:t>-</w:t>
        <w:tab/>
      </w:r>
      <w:r>
        <w:rPr/>
        <w:t>Diferencias entre grupos de edad del total de la</w:t>
      </w:r>
      <w:r>
        <w:rPr>
          <w:spacing w:val="-14"/>
        </w:rPr>
        <w:t> </w:t>
      </w:r>
      <w:r>
        <w:rPr/>
        <w:t>muestra</w:t>
      </w:r>
    </w:p>
    <w:p>
      <w:pPr>
        <w:pStyle w:val="BodyText"/>
        <w:spacing w:before="8"/>
        <w:rPr>
          <w:b/>
          <w:sz w:val="26"/>
        </w:rPr>
      </w:pPr>
    </w:p>
    <w:p>
      <w:pPr>
        <w:pStyle w:val="BodyText"/>
        <w:spacing w:line="360" w:lineRule="auto"/>
        <w:ind w:left="102" w:right="118"/>
        <w:jc w:val="both"/>
      </w:pPr>
      <w:r>
        <w:rPr/>
        <w:t>Observando la Tabla 2 que corresponde al total de la muestra, notamos que en general los valores obtenidos para el grupo 2 son mayores, donde se establece para el ángulo MP-AB una media de 70.09 para el grupo 1 y de 70.19 para el grupo 2, el ángulo FH-PP una media de 1.34 en el grupo 1 y 1.41 en el grupo2, el ángulo FH-FP de 88.96 en el grupo 1 y en el grupo 2 de 88.08, mientras que para el ángulo FP-AB una media de -4.38 y -5.33</w:t>
      </w:r>
      <w:r>
        <w:rPr>
          <w:spacing w:val="-17"/>
        </w:rPr>
        <w:t> </w:t>
      </w:r>
      <w:r>
        <w:rPr/>
        <w:t>respectivamente.</w:t>
      </w:r>
    </w:p>
    <w:p>
      <w:pPr>
        <w:pStyle w:val="BodyText"/>
      </w:pPr>
    </w:p>
    <w:p>
      <w:pPr>
        <w:pStyle w:val="BodyText"/>
        <w:spacing w:line="360" w:lineRule="auto" w:before="142"/>
        <w:ind w:left="102" w:right="120"/>
        <w:jc w:val="both"/>
      </w:pPr>
      <w:r>
        <w:rPr/>
        <w:t>En el grupo 1 se obtuvo para el Índice de Sobremordida Vertical (ODI) una media de 71.43 </w:t>
      </w:r>
      <w:r>
        <w:rPr>
          <w:u w:val="single"/>
        </w:rPr>
        <w:t>+ </w:t>
      </w:r>
      <w:r>
        <w:rPr/>
        <w:t>4.89 y en el grupo 2 de 71.61 </w:t>
      </w:r>
      <w:r>
        <w:rPr>
          <w:u w:val="single"/>
        </w:rPr>
        <w:t>+ </w:t>
      </w:r>
      <w:r>
        <w:rPr/>
        <w:t>4.91; finalmente para el índice de</w:t>
      </w:r>
    </w:p>
    <w:p>
      <w:pPr>
        <w:spacing w:after="0" w:line="360" w:lineRule="auto"/>
        <w:jc w:val="both"/>
        <w:sectPr>
          <w:pgSz w:w="12240" w:h="15840"/>
          <w:pgMar w:header="0" w:footer="1003" w:top="1360" w:bottom="1200" w:left="1600" w:right="1580"/>
        </w:sectPr>
      </w:pPr>
    </w:p>
    <w:p>
      <w:pPr>
        <w:pStyle w:val="BodyText"/>
        <w:spacing w:line="362" w:lineRule="auto" w:before="54"/>
        <w:ind w:left="102" w:right="116"/>
        <w:jc w:val="both"/>
      </w:pPr>
      <w:r>
        <w:rPr/>
        <w:t>Discrepancia Antero Posterior (APDI) la media fue de 85.92 </w:t>
      </w:r>
      <w:r>
        <w:rPr>
          <w:u w:val="single"/>
        </w:rPr>
        <w:t>+ </w:t>
      </w:r>
      <w:r>
        <w:rPr/>
        <w:t>4.02 y 84.16 </w:t>
      </w:r>
      <w:r>
        <w:rPr>
          <w:u w:val="single"/>
        </w:rPr>
        <w:t>+ </w:t>
      </w:r>
      <w:r>
        <w:rPr/>
        <w:t>4.93 respectivamente para cada grupo de edad.</w:t>
      </w:r>
    </w:p>
    <w:p>
      <w:pPr>
        <w:pStyle w:val="BodyText"/>
        <w:spacing w:before="8"/>
        <w:rPr>
          <w:sz w:val="27"/>
        </w:rPr>
      </w:pPr>
    </w:p>
    <w:p>
      <w:pPr>
        <w:pStyle w:val="BodyText"/>
        <w:spacing w:line="360" w:lineRule="auto" w:before="1"/>
        <w:ind w:left="102" w:right="121"/>
        <w:jc w:val="both"/>
      </w:pPr>
      <w:r>
        <w:rPr/>
        <w:t>Se observó una diferencia significativa en el Índice de Discrepancia Antero Posterior (APDI) en la prueba T de Student por grupos de edad en el total de la muestra estudiada. No se encontraron diferencias significativas en los demás parámetros cefalométricos.</w:t>
      </w:r>
    </w:p>
    <w:p>
      <w:pPr>
        <w:pStyle w:val="BodyText"/>
        <w:spacing w:before="6"/>
        <w:rPr>
          <w:sz w:val="23"/>
        </w:rPr>
      </w:pPr>
    </w:p>
    <w:p>
      <w:pPr>
        <w:spacing w:before="0"/>
        <w:ind w:left="1923" w:right="139" w:firstLine="0"/>
        <w:jc w:val="left"/>
        <w:rPr>
          <w:sz w:val="20"/>
        </w:rPr>
      </w:pPr>
      <w:r>
        <w:rPr>
          <w:sz w:val="20"/>
        </w:rPr>
        <w:t>Tabla 2. Media por grupos de edad del total de la muestra.</w:t>
      </w:r>
    </w:p>
    <w:p>
      <w:pPr>
        <w:pStyle w:val="BodyText"/>
        <w:spacing w:before="3"/>
        <w:rPr>
          <w:sz w:val="20"/>
        </w:rPr>
      </w:pPr>
    </w:p>
    <w:tbl>
      <w:tblPr>
        <w:tblW w:w="0" w:type="auto"/>
        <w:jc w:val="left"/>
        <w:tblInd w:w="750" w:type="dxa"/>
        <w:tblBorders>
          <w:top w:val="single" w:sz="8" w:space="0" w:color="4AACC5"/>
          <w:left w:val="single" w:sz="8" w:space="0" w:color="4AACC5"/>
          <w:bottom w:val="single" w:sz="8" w:space="0" w:color="4AACC5"/>
          <w:right w:val="single" w:sz="8" w:space="0" w:color="4AACC5"/>
          <w:insideH w:val="single" w:sz="8" w:space="0" w:color="4AACC5"/>
          <w:insideV w:val="single" w:sz="8" w:space="0" w:color="4AACC5"/>
        </w:tblBorders>
        <w:tblLayout w:type="fixed"/>
        <w:tblCellMar>
          <w:top w:w="0" w:type="dxa"/>
          <w:left w:w="0" w:type="dxa"/>
          <w:bottom w:w="0" w:type="dxa"/>
          <w:right w:w="0" w:type="dxa"/>
        </w:tblCellMar>
        <w:tblLook w:val="01E0"/>
      </w:tblPr>
      <w:tblGrid>
        <w:gridCol w:w="1308"/>
        <w:gridCol w:w="2127"/>
        <w:gridCol w:w="1296"/>
        <w:gridCol w:w="1416"/>
        <w:gridCol w:w="1376"/>
      </w:tblGrid>
      <w:tr>
        <w:trPr>
          <w:trHeight w:val="627" w:hRule="exact"/>
        </w:trPr>
        <w:tc>
          <w:tcPr>
            <w:tcW w:w="1308" w:type="dxa"/>
            <w:tcBorders>
              <w:bottom w:val="single" w:sz="17" w:space="0" w:color="4AACC5"/>
            </w:tcBorders>
          </w:tcPr>
          <w:p>
            <w:pPr>
              <w:pStyle w:val="TableParagraph"/>
              <w:spacing w:before="2"/>
              <w:ind w:left="98"/>
              <w:jc w:val="left"/>
              <w:rPr>
                <w:rFonts w:ascii="Cambria" w:hAnsi="Cambria"/>
                <w:b/>
                <w:sz w:val="22"/>
              </w:rPr>
            </w:pPr>
            <w:r>
              <w:rPr>
                <w:rFonts w:ascii="Cambria" w:hAnsi="Cambria"/>
                <w:b/>
                <w:sz w:val="22"/>
              </w:rPr>
              <w:t>Parámetro</w:t>
            </w:r>
          </w:p>
        </w:tc>
        <w:tc>
          <w:tcPr>
            <w:tcW w:w="2127" w:type="dxa"/>
            <w:tcBorders>
              <w:bottom w:val="single" w:sz="17" w:space="0" w:color="4AACC5"/>
            </w:tcBorders>
          </w:tcPr>
          <w:p>
            <w:pPr>
              <w:pStyle w:val="TableParagraph"/>
              <w:spacing w:before="2"/>
              <w:ind w:left="138" w:right="139"/>
              <w:rPr>
                <w:rFonts w:ascii="Cambria"/>
                <w:b/>
                <w:sz w:val="22"/>
              </w:rPr>
            </w:pPr>
            <w:r>
              <w:rPr>
                <w:rFonts w:ascii="Cambria"/>
                <w:b/>
                <w:sz w:val="22"/>
              </w:rPr>
              <w:t>Grupos de edad</w:t>
            </w:r>
          </w:p>
        </w:tc>
        <w:tc>
          <w:tcPr>
            <w:tcW w:w="1296" w:type="dxa"/>
            <w:tcBorders>
              <w:bottom w:val="single" w:sz="17" w:space="0" w:color="4AACC5"/>
            </w:tcBorders>
          </w:tcPr>
          <w:p>
            <w:pPr>
              <w:pStyle w:val="TableParagraph"/>
              <w:spacing w:before="2"/>
              <w:ind w:left="306" w:right="309"/>
              <w:rPr>
                <w:rFonts w:ascii="Cambria"/>
                <w:b/>
                <w:sz w:val="22"/>
              </w:rPr>
            </w:pPr>
            <w:r>
              <w:rPr>
                <w:rFonts w:ascii="Cambria"/>
                <w:b/>
                <w:sz w:val="22"/>
              </w:rPr>
              <w:t>Media</w:t>
            </w:r>
          </w:p>
        </w:tc>
        <w:tc>
          <w:tcPr>
            <w:tcW w:w="1416" w:type="dxa"/>
            <w:tcBorders>
              <w:bottom w:val="single" w:sz="17" w:space="0" w:color="4AACC5"/>
            </w:tcBorders>
          </w:tcPr>
          <w:p>
            <w:pPr>
              <w:pStyle w:val="TableParagraph"/>
              <w:spacing w:line="273" w:lineRule="auto" w:before="2"/>
              <w:ind w:left="530" w:right="129" w:hanging="389"/>
              <w:jc w:val="left"/>
              <w:rPr>
                <w:rFonts w:ascii="Cambria" w:hAnsi="Cambria"/>
                <w:b/>
                <w:sz w:val="22"/>
              </w:rPr>
            </w:pPr>
            <w:r>
              <w:rPr>
                <w:rFonts w:ascii="Cambria" w:hAnsi="Cambria"/>
                <w:b/>
                <w:sz w:val="22"/>
              </w:rPr>
              <w:t>Desviación típ.</w:t>
            </w:r>
          </w:p>
        </w:tc>
        <w:tc>
          <w:tcPr>
            <w:tcW w:w="1376" w:type="dxa"/>
            <w:tcBorders>
              <w:bottom w:val="single" w:sz="17" w:space="0" w:color="4AACC5"/>
            </w:tcBorders>
          </w:tcPr>
          <w:p>
            <w:pPr>
              <w:pStyle w:val="TableParagraph"/>
              <w:spacing w:before="2"/>
              <w:rPr>
                <w:rFonts w:ascii="Cambria"/>
                <w:b/>
                <w:sz w:val="22"/>
              </w:rPr>
            </w:pPr>
            <w:r>
              <w:rPr>
                <w:rFonts w:ascii="Cambria"/>
                <w:b/>
                <w:w w:val="100"/>
                <w:sz w:val="22"/>
              </w:rPr>
              <w:t>P</w:t>
            </w:r>
          </w:p>
        </w:tc>
      </w:tr>
      <w:tr>
        <w:trPr>
          <w:trHeight w:val="341" w:hRule="exact"/>
        </w:trPr>
        <w:tc>
          <w:tcPr>
            <w:tcW w:w="1308" w:type="dxa"/>
            <w:vMerge w:val="restart"/>
            <w:tcBorders>
              <w:top w:val="single" w:sz="17" w:space="0" w:color="4AACC5"/>
            </w:tcBorders>
            <w:shd w:val="clear" w:color="auto" w:fill="D2EAF0"/>
          </w:tcPr>
          <w:p>
            <w:pPr>
              <w:pStyle w:val="TableParagraph"/>
              <w:spacing w:line="268" w:lineRule="exact"/>
              <w:ind w:left="326"/>
              <w:jc w:val="left"/>
              <w:rPr>
                <w:rFonts w:ascii="Calibri"/>
                <w:b/>
                <w:i/>
                <w:sz w:val="22"/>
              </w:rPr>
            </w:pPr>
            <w:r>
              <w:rPr>
                <w:rFonts w:ascii="Calibri"/>
                <w:b/>
                <w:i/>
                <w:sz w:val="22"/>
              </w:rPr>
              <w:t>MP-AB</w:t>
            </w:r>
          </w:p>
        </w:tc>
        <w:tc>
          <w:tcPr>
            <w:tcW w:w="2127" w:type="dxa"/>
            <w:tcBorders>
              <w:top w:val="single" w:sz="17" w:space="0" w:color="4AACC5"/>
            </w:tcBorders>
            <w:shd w:val="clear" w:color="auto" w:fill="D2EAF0"/>
          </w:tcPr>
          <w:p>
            <w:pPr>
              <w:pStyle w:val="TableParagraph"/>
              <w:spacing w:line="268" w:lineRule="exact"/>
              <w:ind w:left="138" w:right="138"/>
              <w:rPr>
                <w:rFonts w:ascii="Calibri" w:hAnsi="Calibri"/>
                <w:sz w:val="22"/>
              </w:rPr>
            </w:pPr>
            <w:r>
              <w:rPr>
                <w:rFonts w:ascii="Calibri" w:hAnsi="Calibri"/>
                <w:sz w:val="22"/>
              </w:rPr>
              <w:t>15 a 17 años</w:t>
            </w:r>
          </w:p>
        </w:tc>
        <w:tc>
          <w:tcPr>
            <w:tcW w:w="1296" w:type="dxa"/>
            <w:tcBorders>
              <w:top w:val="single" w:sz="17" w:space="0" w:color="4AACC5"/>
            </w:tcBorders>
            <w:shd w:val="clear" w:color="auto" w:fill="D2EAF0"/>
          </w:tcPr>
          <w:p>
            <w:pPr>
              <w:pStyle w:val="TableParagraph"/>
              <w:spacing w:line="268" w:lineRule="exact"/>
              <w:ind w:left="305" w:right="309"/>
              <w:rPr>
                <w:rFonts w:ascii="Calibri"/>
                <w:sz w:val="22"/>
              </w:rPr>
            </w:pPr>
            <w:r>
              <w:rPr>
                <w:rFonts w:ascii="Calibri"/>
                <w:sz w:val="22"/>
              </w:rPr>
              <w:t>70.09</w:t>
            </w:r>
          </w:p>
        </w:tc>
        <w:tc>
          <w:tcPr>
            <w:tcW w:w="1416" w:type="dxa"/>
            <w:tcBorders>
              <w:top w:val="single" w:sz="17" w:space="0" w:color="4AACC5"/>
            </w:tcBorders>
            <w:shd w:val="clear" w:color="auto" w:fill="D2EAF0"/>
          </w:tcPr>
          <w:p>
            <w:pPr>
              <w:pStyle w:val="TableParagraph"/>
              <w:spacing w:line="268" w:lineRule="exact"/>
              <w:ind w:left="481" w:right="485"/>
              <w:rPr>
                <w:rFonts w:ascii="Calibri"/>
                <w:sz w:val="22"/>
              </w:rPr>
            </w:pPr>
            <w:r>
              <w:rPr>
                <w:rFonts w:ascii="Calibri"/>
                <w:sz w:val="22"/>
              </w:rPr>
              <w:t>3.42</w:t>
            </w:r>
          </w:p>
        </w:tc>
        <w:tc>
          <w:tcPr>
            <w:tcW w:w="1376" w:type="dxa"/>
            <w:vMerge w:val="restart"/>
            <w:tcBorders>
              <w:top w:val="single" w:sz="17" w:space="0" w:color="4AACC5"/>
            </w:tcBorders>
            <w:shd w:val="clear" w:color="auto" w:fill="D2EAF0"/>
          </w:tcPr>
          <w:p>
            <w:pPr>
              <w:pStyle w:val="TableParagraph"/>
              <w:spacing w:line="268" w:lineRule="exact"/>
              <w:ind w:left="463" w:right="461"/>
              <w:rPr>
                <w:rFonts w:ascii="Calibri"/>
                <w:sz w:val="22"/>
              </w:rPr>
            </w:pPr>
            <w:r>
              <w:rPr>
                <w:rFonts w:ascii="Calibri"/>
                <w:sz w:val="22"/>
              </w:rPr>
              <w:t>.887</w:t>
            </w:r>
          </w:p>
        </w:tc>
      </w:tr>
      <w:tr>
        <w:trPr>
          <w:trHeight w:val="329" w:hRule="exact"/>
        </w:trPr>
        <w:tc>
          <w:tcPr>
            <w:tcW w:w="1308" w:type="dxa"/>
            <w:vMerge/>
            <w:shd w:val="clear" w:color="auto" w:fill="D2EAF0"/>
          </w:tcPr>
          <w:p>
            <w:pPr/>
          </w:p>
        </w:tc>
        <w:tc>
          <w:tcPr>
            <w:tcW w:w="2127" w:type="dxa"/>
          </w:tcPr>
          <w:p>
            <w:pPr>
              <w:pStyle w:val="TableParagraph"/>
              <w:spacing w:line="268" w:lineRule="exact"/>
              <w:ind w:left="138" w:right="139"/>
              <w:rPr>
                <w:rFonts w:ascii="Calibri" w:hAnsi="Calibri"/>
                <w:sz w:val="22"/>
              </w:rPr>
            </w:pPr>
            <w:r>
              <w:rPr>
                <w:rFonts w:ascii="Calibri" w:hAnsi="Calibri"/>
                <w:sz w:val="22"/>
              </w:rPr>
              <w:t>mayores de 18 años</w:t>
            </w:r>
          </w:p>
        </w:tc>
        <w:tc>
          <w:tcPr>
            <w:tcW w:w="1296" w:type="dxa"/>
          </w:tcPr>
          <w:p>
            <w:pPr>
              <w:pStyle w:val="TableParagraph"/>
              <w:spacing w:line="268" w:lineRule="exact"/>
              <w:ind w:left="305" w:right="309"/>
              <w:rPr>
                <w:rFonts w:ascii="Calibri"/>
                <w:sz w:val="22"/>
              </w:rPr>
            </w:pPr>
            <w:r>
              <w:rPr>
                <w:rFonts w:ascii="Calibri"/>
                <w:sz w:val="22"/>
              </w:rPr>
              <w:t>70.19</w:t>
            </w:r>
          </w:p>
        </w:tc>
        <w:tc>
          <w:tcPr>
            <w:tcW w:w="1416" w:type="dxa"/>
          </w:tcPr>
          <w:p>
            <w:pPr>
              <w:pStyle w:val="TableParagraph"/>
              <w:spacing w:line="268" w:lineRule="exact"/>
              <w:ind w:left="481" w:right="485"/>
              <w:rPr>
                <w:rFonts w:ascii="Calibri"/>
                <w:sz w:val="22"/>
              </w:rPr>
            </w:pPr>
            <w:r>
              <w:rPr>
                <w:rFonts w:ascii="Calibri"/>
                <w:sz w:val="22"/>
              </w:rPr>
              <w:t>3.86</w:t>
            </w:r>
          </w:p>
        </w:tc>
        <w:tc>
          <w:tcPr>
            <w:tcW w:w="1376" w:type="dxa"/>
            <w:vMerge/>
            <w:shd w:val="clear" w:color="auto" w:fill="D2EAF0"/>
          </w:tcPr>
          <w:p>
            <w:pPr/>
          </w:p>
        </w:tc>
      </w:tr>
      <w:tr>
        <w:trPr>
          <w:trHeight w:val="329" w:hRule="exact"/>
        </w:trPr>
        <w:tc>
          <w:tcPr>
            <w:tcW w:w="1308" w:type="dxa"/>
            <w:vMerge w:val="restart"/>
            <w:shd w:val="clear" w:color="auto" w:fill="D2EAF0"/>
          </w:tcPr>
          <w:p>
            <w:pPr>
              <w:pStyle w:val="TableParagraph"/>
              <w:spacing w:line="268" w:lineRule="exact"/>
              <w:ind w:left="371"/>
              <w:jc w:val="left"/>
              <w:rPr>
                <w:rFonts w:ascii="Calibri"/>
                <w:b/>
                <w:i/>
                <w:sz w:val="22"/>
              </w:rPr>
            </w:pPr>
            <w:r>
              <w:rPr>
                <w:rFonts w:ascii="Calibri"/>
                <w:b/>
                <w:i/>
                <w:sz w:val="22"/>
              </w:rPr>
              <w:t>FH-PP</w:t>
            </w:r>
          </w:p>
        </w:tc>
        <w:tc>
          <w:tcPr>
            <w:tcW w:w="2127" w:type="dxa"/>
            <w:shd w:val="clear" w:color="auto" w:fill="D2EAF0"/>
          </w:tcPr>
          <w:p>
            <w:pPr>
              <w:pStyle w:val="TableParagraph"/>
              <w:spacing w:line="268" w:lineRule="exact"/>
              <w:ind w:left="138" w:right="138"/>
              <w:rPr>
                <w:rFonts w:ascii="Calibri" w:hAnsi="Calibri"/>
                <w:sz w:val="22"/>
              </w:rPr>
            </w:pPr>
            <w:r>
              <w:rPr>
                <w:rFonts w:ascii="Calibri" w:hAnsi="Calibri"/>
                <w:sz w:val="22"/>
              </w:rPr>
              <w:t>15 a 17 años</w:t>
            </w:r>
          </w:p>
        </w:tc>
        <w:tc>
          <w:tcPr>
            <w:tcW w:w="1296" w:type="dxa"/>
            <w:shd w:val="clear" w:color="auto" w:fill="D2EAF0"/>
          </w:tcPr>
          <w:p>
            <w:pPr>
              <w:pStyle w:val="TableParagraph"/>
              <w:spacing w:line="268" w:lineRule="exact"/>
              <w:ind w:left="305" w:right="309"/>
              <w:rPr>
                <w:rFonts w:ascii="Calibri"/>
                <w:sz w:val="22"/>
              </w:rPr>
            </w:pPr>
            <w:r>
              <w:rPr>
                <w:rFonts w:ascii="Calibri"/>
                <w:sz w:val="22"/>
              </w:rPr>
              <w:t>1.34</w:t>
            </w:r>
          </w:p>
        </w:tc>
        <w:tc>
          <w:tcPr>
            <w:tcW w:w="1416" w:type="dxa"/>
            <w:shd w:val="clear" w:color="auto" w:fill="D2EAF0"/>
          </w:tcPr>
          <w:p>
            <w:pPr>
              <w:pStyle w:val="TableParagraph"/>
              <w:spacing w:line="268" w:lineRule="exact"/>
              <w:ind w:left="481" w:right="485"/>
              <w:rPr>
                <w:rFonts w:ascii="Calibri"/>
                <w:sz w:val="22"/>
              </w:rPr>
            </w:pPr>
            <w:r>
              <w:rPr>
                <w:rFonts w:ascii="Calibri"/>
                <w:sz w:val="22"/>
              </w:rPr>
              <w:t>3.00</w:t>
            </w:r>
          </w:p>
        </w:tc>
        <w:tc>
          <w:tcPr>
            <w:tcW w:w="1376" w:type="dxa"/>
            <w:vMerge w:val="restart"/>
            <w:shd w:val="clear" w:color="auto" w:fill="D2EAF0"/>
          </w:tcPr>
          <w:p>
            <w:pPr>
              <w:pStyle w:val="TableParagraph"/>
              <w:spacing w:line="268" w:lineRule="exact"/>
              <w:ind w:left="463" w:right="462"/>
              <w:rPr>
                <w:rFonts w:ascii="Calibri"/>
                <w:sz w:val="22"/>
              </w:rPr>
            </w:pPr>
            <w:r>
              <w:rPr>
                <w:rFonts w:ascii="Calibri"/>
                <w:sz w:val="22"/>
              </w:rPr>
              <w:t>.908</w:t>
            </w:r>
          </w:p>
        </w:tc>
      </w:tr>
      <w:tr>
        <w:trPr>
          <w:trHeight w:val="329" w:hRule="exact"/>
        </w:trPr>
        <w:tc>
          <w:tcPr>
            <w:tcW w:w="1308" w:type="dxa"/>
            <w:vMerge/>
            <w:shd w:val="clear" w:color="auto" w:fill="D2EAF0"/>
          </w:tcPr>
          <w:p>
            <w:pPr/>
          </w:p>
        </w:tc>
        <w:tc>
          <w:tcPr>
            <w:tcW w:w="2127" w:type="dxa"/>
          </w:tcPr>
          <w:p>
            <w:pPr>
              <w:pStyle w:val="TableParagraph"/>
              <w:spacing w:line="268" w:lineRule="exact"/>
              <w:ind w:left="138" w:right="139"/>
              <w:rPr>
                <w:rFonts w:ascii="Calibri" w:hAnsi="Calibri"/>
                <w:sz w:val="22"/>
              </w:rPr>
            </w:pPr>
            <w:r>
              <w:rPr>
                <w:rFonts w:ascii="Calibri" w:hAnsi="Calibri"/>
                <w:sz w:val="22"/>
              </w:rPr>
              <w:t>mayores de 18 años</w:t>
            </w:r>
          </w:p>
        </w:tc>
        <w:tc>
          <w:tcPr>
            <w:tcW w:w="1296" w:type="dxa"/>
          </w:tcPr>
          <w:p>
            <w:pPr>
              <w:pStyle w:val="TableParagraph"/>
              <w:spacing w:line="268" w:lineRule="exact"/>
              <w:ind w:left="305" w:right="309"/>
              <w:rPr>
                <w:rFonts w:ascii="Calibri"/>
                <w:sz w:val="22"/>
              </w:rPr>
            </w:pPr>
            <w:r>
              <w:rPr>
                <w:rFonts w:ascii="Calibri"/>
                <w:sz w:val="22"/>
              </w:rPr>
              <w:t>1.41</w:t>
            </w:r>
          </w:p>
        </w:tc>
        <w:tc>
          <w:tcPr>
            <w:tcW w:w="1416" w:type="dxa"/>
          </w:tcPr>
          <w:p>
            <w:pPr>
              <w:pStyle w:val="TableParagraph"/>
              <w:spacing w:line="268" w:lineRule="exact"/>
              <w:ind w:left="481" w:right="485"/>
              <w:rPr>
                <w:rFonts w:ascii="Calibri"/>
                <w:sz w:val="22"/>
              </w:rPr>
            </w:pPr>
            <w:r>
              <w:rPr>
                <w:rFonts w:ascii="Calibri"/>
                <w:sz w:val="22"/>
              </w:rPr>
              <w:t>2.92</w:t>
            </w:r>
          </w:p>
        </w:tc>
        <w:tc>
          <w:tcPr>
            <w:tcW w:w="1376" w:type="dxa"/>
            <w:vMerge/>
            <w:shd w:val="clear" w:color="auto" w:fill="D2EAF0"/>
          </w:tcPr>
          <w:p>
            <w:pPr/>
          </w:p>
        </w:tc>
      </w:tr>
      <w:tr>
        <w:trPr>
          <w:trHeight w:val="329" w:hRule="exact"/>
        </w:trPr>
        <w:tc>
          <w:tcPr>
            <w:tcW w:w="1308" w:type="dxa"/>
            <w:vMerge w:val="restart"/>
            <w:shd w:val="clear" w:color="auto" w:fill="D2EAF0"/>
          </w:tcPr>
          <w:p>
            <w:pPr>
              <w:pStyle w:val="TableParagraph"/>
              <w:spacing w:line="268" w:lineRule="exact"/>
              <w:ind w:left="381"/>
              <w:jc w:val="left"/>
              <w:rPr>
                <w:rFonts w:ascii="Calibri"/>
                <w:b/>
                <w:i/>
                <w:sz w:val="22"/>
              </w:rPr>
            </w:pPr>
            <w:r>
              <w:rPr>
                <w:rFonts w:ascii="Calibri"/>
                <w:b/>
                <w:i/>
                <w:sz w:val="22"/>
              </w:rPr>
              <w:t>FH-FP</w:t>
            </w:r>
          </w:p>
        </w:tc>
        <w:tc>
          <w:tcPr>
            <w:tcW w:w="2127" w:type="dxa"/>
            <w:shd w:val="clear" w:color="auto" w:fill="D2EAF0"/>
          </w:tcPr>
          <w:p>
            <w:pPr>
              <w:pStyle w:val="TableParagraph"/>
              <w:spacing w:line="268" w:lineRule="exact"/>
              <w:ind w:left="138" w:right="138"/>
              <w:rPr>
                <w:rFonts w:ascii="Calibri" w:hAnsi="Calibri"/>
                <w:sz w:val="22"/>
              </w:rPr>
            </w:pPr>
            <w:r>
              <w:rPr>
                <w:rFonts w:ascii="Calibri" w:hAnsi="Calibri"/>
                <w:sz w:val="22"/>
              </w:rPr>
              <w:t>15 a 17 años</w:t>
            </w:r>
          </w:p>
        </w:tc>
        <w:tc>
          <w:tcPr>
            <w:tcW w:w="1296" w:type="dxa"/>
            <w:shd w:val="clear" w:color="auto" w:fill="D2EAF0"/>
          </w:tcPr>
          <w:p>
            <w:pPr>
              <w:pStyle w:val="TableParagraph"/>
              <w:spacing w:line="268" w:lineRule="exact"/>
              <w:ind w:left="305" w:right="309"/>
              <w:rPr>
                <w:rFonts w:ascii="Calibri"/>
                <w:sz w:val="22"/>
              </w:rPr>
            </w:pPr>
            <w:r>
              <w:rPr>
                <w:rFonts w:ascii="Calibri"/>
                <w:sz w:val="22"/>
              </w:rPr>
              <w:t>88.96</w:t>
            </w:r>
          </w:p>
        </w:tc>
        <w:tc>
          <w:tcPr>
            <w:tcW w:w="1416" w:type="dxa"/>
            <w:shd w:val="clear" w:color="auto" w:fill="D2EAF0"/>
          </w:tcPr>
          <w:p>
            <w:pPr>
              <w:pStyle w:val="TableParagraph"/>
              <w:spacing w:line="268" w:lineRule="exact"/>
              <w:ind w:left="481" w:right="485"/>
              <w:rPr>
                <w:rFonts w:ascii="Calibri"/>
                <w:sz w:val="22"/>
              </w:rPr>
            </w:pPr>
            <w:r>
              <w:rPr>
                <w:rFonts w:ascii="Calibri"/>
                <w:sz w:val="22"/>
              </w:rPr>
              <w:t>2.64</w:t>
            </w:r>
          </w:p>
        </w:tc>
        <w:tc>
          <w:tcPr>
            <w:tcW w:w="1376" w:type="dxa"/>
            <w:vMerge w:val="restart"/>
            <w:shd w:val="clear" w:color="auto" w:fill="D2EAF0"/>
          </w:tcPr>
          <w:p>
            <w:pPr>
              <w:pStyle w:val="TableParagraph"/>
              <w:spacing w:line="268" w:lineRule="exact"/>
              <w:ind w:left="463" w:right="462"/>
              <w:rPr>
                <w:rFonts w:ascii="Calibri"/>
                <w:sz w:val="22"/>
              </w:rPr>
            </w:pPr>
            <w:r>
              <w:rPr>
                <w:rFonts w:ascii="Calibri"/>
                <w:sz w:val="22"/>
              </w:rPr>
              <w:t>.104</w:t>
            </w:r>
          </w:p>
        </w:tc>
      </w:tr>
      <w:tr>
        <w:trPr>
          <w:trHeight w:val="329" w:hRule="exact"/>
        </w:trPr>
        <w:tc>
          <w:tcPr>
            <w:tcW w:w="1308" w:type="dxa"/>
            <w:vMerge/>
            <w:shd w:val="clear" w:color="auto" w:fill="D2EAF0"/>
          </w:tcPr>
          <w:p>
            <w:pPr/>
          </w:p>
        </w:tc>
        <w:tc>
          <w:tcPr>
            <w:tcW w:w="2127" w:type="dxa"/>
          </w:tcPr>
          <w:p>
            <w:pPr>
              <w:pStyle w:val="TableParagraph"/>
              <w:spacing w:line="268" w:lineRule="exact"/>
              <w:ind w:left="138" w:right="139"/>
              <w:rPr>
                <w:rFonts w:ascii="Calibri" w:hAnsi="Calibri"/>
                <w:sz w:val="22"/>
              </w:rPr>
            </w:pPr>
            <w:r>
              <w:rPr>
                <w:rFonts w:ascii="Calibri" w:hAnsi="Calibri"/>
                <w:sz w:val="22"/>
              </w:rPr>
              <w:t>mayores de 18 años</w:t>
            </w:r>
          </w:p>
        </w:tc>
        <w:tc>
          <w:tcPr>
            <w:tcW w:w="1296" w:type="dxa"/>
          </w:tcPr>
          <w:p>
            <w:pPr>
              <w:pStyle w:val="TableParagraph"/>
              <w:spacing w:line="268" w:lineRule="exact"/>
              <w:ind w:left="305" w:right="309"/>
              <w:rPr>
                <w:rFonts w:ascii="Calibri"/>
                <w:sz w:val="22"/>
              </w:rPr>
            </w:pPr>
            <w:r>
              <w:rPr>
                <w:rFonts w:ascii="Calibri"/>
                <w:sz w:val="22"/>
              </w:rPr>
              <w:t>88.08</w:t>
            </w:r>
          </w:p>
        </w:tc>
        <w:tc>
          <w:tcPr>
            <w:tcW w:w="1416" w:type="dxa"/>
          </w:tcPr>
          <w:p>
            <w:pPr>
              <w:pStyle w:val="TableParagraph"/>
              <w:spacing w:line="268" w:lineRule="exact"/>
              <w:ind w:left="481" w:right="485"/>
              <w:rPr>
                <w:rFonts w:ascii="Calibri"/>
                <w:sz w:val="22"/>
              </w:rPr>
            </w:pPr>
            <w:r>
              <w:rPr>
                <w:rFonts w:ascii="Calibri"/>
                <w:sz w:val="22"/>
              </w:rPr>
              <w:t>2.66</w:t>
            </w:r>
          </w:p>
        </w:tc>
        <w:tc>
          <w:tcPr>
            <w:tcW w:w="1376" w:type="dxa"/>
            <w:vMerge/>
            <w:shd w:val="clear" w:color="auto" w:fill="D2EAF0"/>
          </w:tcPr>
          <w:p>
            <w:pPr/>
          </w:p>
        </w:tc>
      </w:tr>
      <w:tr>
        <w:trPr>
          <w:trHeight w:val="329" w:hRule="exact"/>
        </w:trPr>
        <w:tc>
          <w:tcPr>
            <w:tcW w:w="1308" w:type="dxa"/>
            <w:vMerge w:val="restart"/>
            <w:shd w:val="clear" w:color="auto" w:fill="D2EAF0"/>
          </w:tcPr>
          <w:p>
            <w:pPr>
              <w:pStyle w:val="TableParagraph"/>
              <w:spacing w:line="268" w:lineRule="exact"/>
              <w:ind w:left="371"/>
              <w:jc w:val="left"/>
              <w:rPr>
                <w:rFonts w:ascii="Calibri"/>
                <w:b/>
                <w:i/>
                <w:sz w:val="22"/>
              </w:rPr>
            </w:pPr>
            <w:r>
              <w:rPr>
                <w:rFonts w:ascii="Calibri"/>
                <w:b/>
                <w:i/>
                <w:sz w:val="22"/>
              </w:rPr>
              <w:t>FP-AB</w:t>
            </w:r>
          </w:p>
        </w:tc>
        <w:tc>
          <w:tcPr>
            <w:tcW w:w="2127" w:type="dxa"/>
            <w:shd w:val="clear" w:color="auto" w:fill="D2EAF0"/>
          </w:tcPr>
          <w:p>
            <w:pPr>
              <w:pStyle w:val="TableParagraph"/>
              <w:spacing w:line="268" w:lineRule="exact"/>
              <w:ind w:left="138" w:right="138"/>
              <w:rPr>
                <w:rFonts w:ascii="Calibri" w:hAnsi="Calibri"/>
                <w:sz w:val="22"/>
              </w:rPr>
            </w:pPr>
            <w:r>
              <w:rPr>
                <w:rFonts w:ascii="Calibri" w:hAnsi="Calibri"/>
                <w:sz w:val="22"/>
              </w:rPr>
              <w:t>15 a 17 años</w:t>
            </w:r>
          </w:p>
        </w:tc>
        <w:tc>
          <w:tcPr>
            <w:tcW w:w="1296" w:type="dxa"/>
            <w:shd w:val="clear" w:color="auto" w:fill="D2EAF0"/>
          </w:tcPr>
          <w:p>
            <w:pPr>
              <w:pStyle w:val="TableParagraph"/>
              <w:spacing w:line="268" w:lineRule="exact"/>
              <w:ind w:left="305" w:right="309"/>
              <w:rPr>
                <w:rFonts w:ascii="Calibri"/>
                <w:sz w:val="22"/>
              </w:rPr>
            </w:pPr>
            <w:r>
              <w:rPr>
                <w:rFonts w:ascii="Calibri"/>
                <w:sz w:val="22"/>
              </w:rPr>
              <w:t>-4.38</w:t>
            </w:r>
          </w:p>
        </w:tc>
        <w:tc>
          <w:tcPr>
            <w:tcW w:w="1416" w:type="dxa"/>
            <w:shd w:val="clear" w:color="auto" w:fill="D2EAF0"/>
          </w:tcPr>
          <w:p>
            <w:pPr>
              <w:pStyle w:val="TableParagraph"/>
              <w:spacing w:line="268" w:lineRule="exact"/>
              <w:ind w:left="481" w:right="485"/>
              <w:rPr>
                <w:rFonts w:ascii="Calibri"/>
                <w:sz w:val="22"/>
              </w:rPr>
            </w:pPr>
            <w:r>
              <w:rPr>
                <w:rFonts w:ascii="Calibri"/>
                <w:sz w:val="22"/>
              </w:rPr>
              <w:t>2.73</w:t>
            </w:r>
          </w:p>
        </w:tc>
        <w:tc>
          <w:tcPr>
            <w:tcW w:w="1376" w:type="dxa"/>
            <w:vMerge w:val="restart"/>
            <w:shd w:val="clear" w:color="auto" w:fill="D2EAF0"/>
          </w:tcPr>
          <w:p>
            <w:pPr>
              <w:pStyle w:val="TableParagraph"/>
              <w:spacing w:line="268" w:lineRule="exact"/>
              <w:ind w:left="463" w:right="462"/>
              <w:rPr>
                <w:rFonts w:ascii="Calibri"/>
                <w:sz w:val="22"/>
              </w:rPr>
            </w:pPr>
            <w:r>
              <w:rPr>
                <w:rFonts w:ascii="Calibri"/>
                <w:sz w:val="22"/>
              </w:rPr>
              <w:t>.112</w:t>
            </w:r>
          </w:p>
        </w:tc>
      </w:tr>
      <w:tr>
        <w:trPr>
          <w:trHeight w:val="329" w:hRule="exact"/>
        </w:trPr>
        <w:tc>
          <w:tcPr>
            <w:tcW w:w="1308" w:type="dxa"/>
            <w:vMerge/>
            <w:shd w:val="clear" w:color="auto" w:fill="D2EAF0"/>
          </w:tcPr>
          <w:p>
            <w:pPr/>
          </w:p>
        </w:tc>
        <w:tc>
          <w:tcPr>
            <w:tcW w:w="2127" w:type="dxa"/>
          </w:tcPr>
          <w:p>
            <w:pPr>
              <w:pStyle w:val="TableParagraph"/>
              <w:spacing w:line="268" w:lineRule="exact"/>
              <w:ind w:left="138" w:right="139"/>
              <w:rPr>
                <w:rFonts w:ascii="Calibri" w:hAnsi="Calibri"/>
                <w:sz w:val="22"/>
              </w:rPr>
            </w:pPr>
            <w:r>
              <w:rPr>
                <w:rFonts w:ascii="Calibri" w:hAnsi="Calibri"/>
                <w:sz w:val="22"/>
              </w:rPr>
              <w:t>mayores de 18 años</w:t>
            </w:r>
          </w:p>
        </w:tc>
        <w:tc>
          <w:tcPr>
            <w:tcW w:w="1296" w:type="dxa"/>
          </w:tcPr>
          <w:p>
            <w:pPr>
              <w:pStyle w:val="TableParagraph"/>
              <w:spacing w:line="268" w:lineRule="exact"/>
              <w:ind w:left="305" w:right="309"/>
              <w:rPr>
                <w:rFonts w:ascii="Calibri"/>
                <w:sz w:val="22"/>
              </w:rPr>
            </w:pPr>
            <w:r>
              <w:rPr>
                <w:rFonts w:ascii="Calibri"/>
                <w:sz w:val="22"/>
              </w:rPr>
              <w:t>-5.33</w:t>
            </w:r>
          </w:p>
        </w:tc>
        <w:tc>
          <w:tcPr>
            <w:tcW w:w="1416" w:type="dxa"/>
          </w:tcPr>
          <w:p>
            <w:pPr>
              <w:pStyle w:val="TableParagraph"/>
              <w:spacing w:line="268" w:lineRule="exact"/>
              <w:ind w:left="481" w:right="485"/>
              <w:rPr>
                <w:rFonts w:ascii="Calibri"/>
                <w:sz w:val="22"/>
              </w:rPr>
            </w:pPr>
            <w:r>
              <w:rPr>
                <w:rFonts w:ascii="Calibri"/>
                <w:sz w:val="22"/>
              </w:rPr>
              <w:t>3.06</w:t>
            </w:r>
          </w:p>
        </w:tc>
        <w:tc>
          <w:tcPr>
            <w:tcW w:w="1376" w:type="dxa"/>
            <w:vMerge/>
            <w:shd w:val="clear" w:color="auto" w:fill="D2EAF0"/>
          </w:tcPr>
          <w:p>
            <w:pPr/>
          </w:p>
        </w:tc>
      </w:tr>
      <w:tr>
        <w:trPr>
          <w:trHeight w:val="329" w:hRule="exact"/>
        </w:trPr>
        <w:tc>
          <w:tcPr>
            <w:tcW w:w="1308" w:type="dxa"/>
            <w:vMerge w:val="restart"/>
            <w:shd w:val="clear" w:color="auto" w:fill="D2EAF0"/>
          </w:tcPr>
          <w:p>
            <w:pPr>
              <w:pStyle w:val="TableParagraph"/>
              <w:spacing w:line="268" w:lineRule="exact"/>
              <w:ind w:left="451" w:right="452"/>
              <w:rPr>
                <w:rFonts w:ascii="Calibri"/>
                <w:b/>
                <w:i/>
                <w:sz w:val="22"/>
              </w:rPr>
            </w:pPr>
            <w:r>
              <w:rPr>
                <w:rFonts w:ascii="Calibri"/>
                <w:b/>
                <w:i/>
                <w:sz w:val="22"/>
              </w:rPr>
              <w:t>ODI</w:t>
            </w:r>
          </w:p>
        </w:tc>
        <w:tc>
          <w:tcPr>
            <w:tcW w:w="2127" w:type="dxa"/>
            <w:shd w:val="clear" w:color="auto" w:fill="D2EAF0"/>
          </w:tcPr>
          <w:p>
            <w:pPr>
              <w:pStyle w:val="TableParagraph"/>
              <w:spacing w:line="268" w:lineRule="exact"/>
              <w:ind w:left="138" w:right="138"/>
              <w:rPr>
                <w:rFonts w:ascii="Calibri" w:hAnsi="Calibri"/>
                <w:sz w:val="22"/>
              </w:rPr>
            </w:pPr>
            <w:r>
              <w:rPr>
                <w:rFonts w:ascii="Calibri" w:hAnsi="Calibri"/>
                <w:sz w:val="22"/>
              </w:rPr>
              <w:t>15 a 17 años</w:t>
            </w:r>
          </w:p>
        </w:tc>
        <w:tc>
          <w:tcPr>
            <w:tcW w:w="1296" w:type="dxa"/>
            <w:shd w:val="clear" w:color="auto" w:fill="D2EAF0"/>
          </w:tcPr>
          <w:p>
            <w:pPr>
              <w:pStyle w:val="TableParagraph"/>
              <w:spacing w:line="268" w:lineRule="exact"/>
              <w:ind w:left="305" w:right="309"/>
              <w:rPr>
                <w:rFonts w:ascii="Calibri"/>
                <w:sz w:val="22"/>
              </w:rPr>
            </w:pPr>
            <w:r>
              <w:rPr>
                <w:rFonts w:ascii="Calibri"/>
                <w:sz w:val="22"/>
              </w:rPr>
              <w:t>71.43</w:t>
            </w:r>
          </w:p>
        </w:tc>
        <w:tc>
          <w:tcPr>
            <w:tcW w:w="1416" w:type="dxa"/>
            <w:shd w:val="clear" w:color="auto" w:fill="D2EAF0"/>
          </w:tcPr>
          <w:p>
            <w:pPr>
              <w:pStyle w:val="TableParagraph"/>
              <w:spacing w:line="268" w:lineRule="exact"/>
              <w:ind w:left="481" w:right="485"/>
              <w:rPr>
                <w:rFonts w:ascii="Calibri"/>
                <w:sz w:val="22"/>
              </w:rPr>
            </w:pPr>
            <w:r>
              <w:rPr>
                <w:rFonts w:ascii="Calibri"/>
                <w:sz w:val="22"/>
              </w:rPr>
              <w:t>4.89</w:t>
            </w:r>
          </w:p>
        </w:tc>
        <w:tc>
          <w:tcPr>
            <w:tcW w:w="1376" w:type="dxa"/>
            <w:vMerge w:val="restart"/>
            <w:shd w:val="clear" w:color="auto" w:fill="D2EAF0"/>
          </w:tcPr>
          <w:p>
            <w:pPr>
              <w:pStyle w:val="TableParagraph"/>
              <w:spacing w:line="268" w:lineRule="exact"/>
              <w:ind w:left="463" w:right="462"/>
              <w:rPr>
                <w:rFonts w:ascii="Calibri"/>
                <w:sz w:val="22"/>
              </w:rPr>
            </w:pPr>
            <w:r>
              <w:rPr>
                <w:rFonts w:ascii="Calibri"/>
                <w:sz w:val="22"/>
              </w:rPr>
              <w:t>.860</w:t>
            </w:r>
          </w:p>
        </w:tc>
      </w:tr>
      <w:tr>
        <w:trPr>
          <w:trHeight w:val="329" w:hRule="exact"/>
        </w:trPr>
        <w:tc>
          <w:tcPr>
            <w:tcW w:w="1308" w:type="dxa"/>
            <w:vMerge/>
            <w:shd w:val="clear" w:color="auto" w:fill="D2EAF0"/>
          </w:tcPr>
          <w:p>
            <w:pPr/>
          </w:p>
        </w:tc>
        <w:tc>
          <w:tcPr>
            <w:tcW w:w="2127" w:type="dxa"/>
          </w:tcPr>
          <w:p>
            <w:pPr>
              <w:pStyle w:val="TableParagraph"/>
              <w:spacing w:line="268" w:lineRule="exact"/>
              <w:ind w:left="138" w:right="139"/>
              <w:rPr>
                <w:rFonts w:ascii="Calibri" w:hAnsi="Calibri"/>
                <w:sz w:val="22"/>
              </w:rPr>
            </w:pPr>
            <w:r>
              <w:rPr>
                <w:rFonts w:ascii="Calibri" w:hAnsi="Calibri"/>
                <w:sz w:val="22"/>
              </w:rPr>
              <w:t>mayores de 18 años</w:t>
            </w:r>
          </w:p>
        </w:tc>
        <w:tc>
          <w:tcPr>
            <w:tcW w:w="1296" w:type="dxa"/>
          </w:tcPr>
          <w:p>
            <w:pPr>
              <w:pStyle w:val="TableParagraph"/>
              <w:spacing w:line="268" w:lineRule="exact"/>
              <w:ind w:left="305" w:right="309"/>
              <w:rPr>
                <w:rFonts w:ascii="Calibri"/>
                <w:sz w:val="22"/>
              </w:rPr>
            </w:pPr>
            <w:r>
              <w:rPr>
                <w:rFonts w:ascii="Calibri"/>
                <w:sz w:val="22"/>
              </w:rPr>
              <w:t>71.61</w:t>
            </w:r>
          </w:p>
        </w:tc>
        <w:tc>
          <w:tcPr>
            <w:tcW w:w="1416" w:type="dxa"/>
          </w:tcPr>
          <w:p>
            <w:pPr>
              <w:pStyle w:val="TableParagraph"/>
              <w:spacing w:line="268" w:lineRule="exact"/>
              <w:ind w:left="481" w:right="485"/>
              <w:rPr>
                <w:rFonts w:ascii="Calibri"/>
                <w:sz w:val="22"/>
              </w:rPr>
            </w:pPr>
            <w:r>
              <w:rPr>
                <w:rFonts w:ascii="Calibri"/>
                <w:sz w:val="22"/>
              </w:rPr>
              <w:t>4.91</w:t>
            </w:r>
          </w:p>
        </w:tc>
        <w:tc>
          <w:tcPr>
            <w:tcW w:w="1376" w:type="dxa"/>
            <w:vMerge/>
            <w:shd w:val="clear" w:color="auto" w:fill="D2EAF0"/>
          </w:tcPr>
          <w:p>
            <w:pPr/>
          </w:p>
        </w:tc>
      </w:tr>
      <w:tr>
        <w:trPr>
          <w:trHeight w:val="329" w:hRule="exact"/>
        </w:trPr>
        <w:tc>
          <w:tcPr>
            <w:tcW w:w="1308" w:type="dxa"/>
            <w:vMerge w:val="restart"/>
            <w:shd w:val="clear" w:color="auto" w:fill="D2EAF0"/>
          </w:tcPr>
          <w:p>
            <w:pPr>
              <w:pStyle w:val="TableParagraph"/>
              <w:spacing w:before="2"/>
              <w:ind w:left="388"/>
              <w:jc w:val="left"/>
              <w:rPr>
                <w:rFonts w:ascii="Cambria"/>
                <w:b/>
                <w:sz w:val="22"/>
              </w:rPr>
            </w:pPr>
            <w:r>
              <w:rPr>
                <w:rFonts w:ascii="Cambria"/>
                <w:b/>
                <w:sz w:val="22"/>
              </w:rPr>
              <w:t>APDI</w:t>
            </w:r>
          </w:p>
        </w:tc>
        <w:tc>
          <w:tcPr>
            <w:tcW w:w="2127" w:type="dxa"/>
            <w:shd w:val="clear" w:color="auto" w:fill="D2EAF0"/>
          </w:tcPr>
          <w:p>
            <w:pPr>
              <w:pStyle w:val="TableParagraph"/>
              <w:spacing w:line="268" w:lineRule="exact"/>
              <w:ind w:left="138" w:right="138"/>
              <w:rPr>
                <w:rFonts w:ascii="Calibri" w:hAnsi="Calibri"/>
                <w:sz w:val="22"/>
              </w:rPr>
            </w:pPr>
            <w:r>
              <w:rPr>
                <w:rFonts w:ascii="Calibri" w:hAnsi="Calibri"/>
                <w:sz w:val="22"/>
              </w:rPr>
              <w:t>15 a 17 años</w:t>
            </w:r>
          </w:p>
        </w:tc>
        <w:tc>
          <w:tcPr>
            <w:tcW w:w="1296" w:type="dxa"/>
            <w:shd w:val="clear" w:color="auto" w:fill="D2EAF0"/>
          </w:tcPr>
          <w:p>
            <w:pPr>
              <w:pStyle w:val="TableParagraph"/>
              <w:spacing w:line="268" w:lineRule="exact"/>
              <w:ind w:left="305" w:right="309"/>
              <w:rPr>
                <w:rFonts w:ascii="Calibri"/>
                <w:sz w:val="22"/>
              </w:rPr>
            </w:pPr>
            <w:r>
              <w:rPr>
                <w:rFonts w:ascii="Calibri"/>
                <w:sz w:val="22"/>
              </w:rPr>
              <w:t>85.92</w:t>
            </w:r>
          </w:p>
        </w:tc>
        <w:tc>
          <w:tcPr>
            <w:tcW w:w="1416" w:type="dxa"/>
            <w:shd w:val="clear" w:color="auto" w:fill="D2EAF0"/>
          </w:tcPr>
          <w:p>
            <w:pPr>
              <w:pStyle w:val="TableParagraph"/>
              <w:spacing w:line="268" w:lineRule="exact"/>
              <w:ind w:left="481" w:right="485"/>
              <w:rPr>
                <w:rFonts w:ascii="Calibri"/>
                <w:sz w:val="22"/>
              </w:rPr>
            </w:pPr>
            <w:r>
              <w:rPr>
                <w:rFonts w:ascii="Calibri"/>
                <w:sz w:val="22"/>
              </w:rPr>
              <w:t>4.02</w:t>
            </w:r>
          </w:p>
        </w:tc>
        <w:tc>
          <w:tcPr>
            <w:tcW w:w="1376" w:type="dxa"/>
            <w:vMerge w:val="restart"/>
            <w:shd w:val="clear" w:color="auto" w:fill="D2EAF0"/>
          </w:tcPr>
          <w:p>
            <w:pPr>
              <w:pStyle w:val="TableParagraph"/>
              <w:spacing w:line="268" w:lineRule="exact"/>
              <w:ind w:left="427"/>
              <w:jc w:val="left"/>
              <w:rPr>
                <w:rFonts w:ascii="Calibri"/>
                <w:sz w:val="22"/>
              </w:rPr>
            </w:pPr>
            <w:r>
              <w:rPr>
                <w:rFonts w:ascii="Calibri"/>
                <w:color w:val="FF0000"/>
                <w:sz w:val="22"/>
              </w:rPr>
              <w:t>.057*</w:t>
            </w:r>
          </w:p>
        </w:tc>
      </w:tr>
      <w:tr>
        <w:trPr>
          <w:trHeight w:val="331" w:hRule="exact"/>
        </w:trPr>
        <w:tc>
          <w:tcPr>
            <w:tcW w:w="1308" w:type="dxa"/>
            <w:vMerge/>
            <w:shd w:val="clear" w:color="auto" w:fill="D2EAF0"/>
          </w:tcPr>
          <w:p>
            <w:pPr/>
          </w:p>
        </w:tc>
        <w:tc>
          <w:tcPr>
            <w:tcW w:w="2127" w:type="dxa"/>
          </w:tcPr>
          <w:p>
            <w:pPr>
              <w:pStyle w:val="TableParagraph"/>
              <w:spacing w:line="268" w:lineRule="exact"/>
              <w:ind w:left="138" w:right="139"/>
              <w:rPr>
                <w:rFonts w:ascii="Calibri" w:hAnsi="Calibri"/>
                <w:sz w:val="22"/>
              </w:rPr>
            </w:pPr>
            <w:r>
              <w:rPr>
                <w:rFonts w:ascii="Calibri" w:hAnsi="Calibri"/>
                <w:sz w:val="22"/>
              </w:rPr>
              <w:t>mayores de 18 años</w:t>
            </w:r>
          </w:p>
        </w:tc>
        <w:tc>
          <w:tcPr>
            <w:tcW w:w="1296" w:type="dxa"/>
          </w:tcPr>
          <w:p>
            <w:pPr>
              <w:pStyle w:val="TableParagraph"/>
              <w:spacing w:line="268" w:lineRule="exact"/>
              <w:ind w:left="305" w:right="309"/>
              <w:rPr>
                <w:rFonts w:ascii="Calibri"/>
                <w:sz w:val="22"/>
              </w:rPr>
            </w:pPr>
            <w:r>
              <w:rPr>
                <w:rFonts w:ascii="Calibri"/>
                <w:sz w:val="22"/>
              </w:rPr>
              <w:t>84.16</w:t>
            </w:r>
          </w:p>
        </w:tc>
        <w:tc>
          <w:tcPr>
            <w:tcW w:w="1416" w:type="dxa"/>
          </w:tcPr>
          <w:p>
            <w:pPr>
              <w:pStyle w:val="TableParagraph"/>
              <w:spacing w:line="268" w:lineRule="exact"/>
              <w:ind w:left="481" w:right="485"/>
              <w:rPr>
                <w:rFonts w:ascii="Calibri"/>
                <w:sz w:val="22"/>
              </w:rPr>
            </w:pPr>
            <w:r>
              <w:rPr>
                <w:rFonts w:ascii="Calibri"/>
                <w:sz w:val="22"/>
              </w:rPr>
              <w:t>4.93</w:t>
            </w:r>
          </w:p>
        </w:tc>
        <w:tc>
          <w:tcPr>
            <w:tcW w:w="1376" w:type="dxa"/>
            <w:vMerge/>
            <w:shd w:val="clear" w:color="auto" w:fill="D2EAF0"/>
          </w:tcPr>
          <w:p>
            <w:pPr/>
          </w:p>
        </w:tc>
      </w:tr>
    </w:tbl>
    <w:p>
      <w:pPr>
        <w:spacing w:line="206" w:lineRule="exact" w:before="0"/>
        <w:ind w:left="754" w:right="139" w:firstLine="0"/>
        <w:jc w:val="left"/>
        <w:rPr>
          <w:sz w:val="18"/>
        </w:rPr>
      </w:pPr>
      <w:r>
        <w:rPr>
          <w:sz w:val="18"/>
        </w:rPr>
        <w:t>*Significancia &lt;0.05 en la prueba T de Student para muestras independientes</w:t>
      </w:r>
    </w:p>
    <w:p>
      <w:pPr>
        <w:spacing w:before="31"/>
        <w:ind w:left="0" w:right="1021" w:firstLine="0"/>
        <w:jc w:val="right"/>
        <w:rPr>
          <w:sz w:val="20"/>
        </w:rPr>
      </w:pPr>
      <w:r>
        <w:rPr>
          <w:sz w:val="20"/>
        </w:rPr>
        <w:t>Fuente: Directa.</w:t>
      </w:r>
    </w:p>
    <w:p>
      <w:pPr>
        <w:pStyle w:val="BodyText"/>
        <w:rPr>
          <w:sz w:val="20"/>
        </w:rPr>
      </w:pPr>
    </w:p>
    <w:p>
      <w:pPr>
        <w:pStyle w:val="Heading3"/>
        <w:tabs>
          <w:tab w:pos="821" w:val="left" w:leader="none"/>
        </w:tabs>
        <w:spacing w:before="119"/>
        <w:ind w:right="139"/>
      </w:pPr>
      <w:r>
        <w:rPr>
          <w:b w:val="0"/>
        </w:rPr>
        <w:t>-</w:t>
        <w:tab/>
      </w:r>
      <w:r>
        <w:rPr/>
        <w:t>Diferencias entre sexos del total de la</w:t>
      </w:r>
      <w:r>
        <w:rPr>
          <w:spacing w:val="-13"/>
        </w:rPr>
        <w:t> </w:t>
      </w:r>
      <w:r>
        <w:rPr/>
        <w:t>muestra</w:t>
      </w:r>
    </w:p>
    <w:p>
      <w:pPr>
        <w:pStyle w:val="BodyText"/>
        <w:spacing w:before="8"/>
        <w:rPr>
          <w:b/>
          <w:sz w:val="26"/>
        </w:rPr>
      </w:pPr>
    </w:p>
    <w:p>
      <w:pPr>
        <w:pStyle w:val="BodyText"/>
        <w:spacing w:line="360" w:lineRule="auto"/>
        <w:ind w:left="102" w:right="118"/>
        <w:jc w:val="both"/>
      </w:pPr>
      <w:r>
        <w:rPr/>
        <w:t>En la tabla 3 se observa el resultado de la media obtenida por cada sexo donde tenemos para el ángulo MP-AB en el sexo masculino un valor de 71.22 para los hombres y 69.38 en las mujeres, en el ángulo FH-PP para los hombres una media de 1.28 y para las mujeres de 1.44, en ángulo FH-FP una media de 88.21 y 88.75 respectivamente y para el ángulo FP-AB de -5.23 y -4.58 respectivamente para cada sexo.</w:t>
      </w:r>
    </w:p>
    <w:p>
      <w:pPr>
        <w:spacing w:after="0" w:line="360" w:lineRule="auto"/>
        <w:jc w:val="both"/>
        <w:sectPr>
          <w:footerReference w:type="default" r:id="rId92"/>
          <w:pgSz w:w="12240" w:h="15840"/>
          <w:pgMar w:footer="1003" w:header="0" w:top="1360" w:bottom="1200" w:left="1600" w:right="1580"/>
        </w:sectPr>
      </w:pPr>
    </w:p>
    <w:p>
      <w:pPr>
        <w:pStyle w:val="BodyText"/>
        <w:spacing w:before="54"/>
        <w:ind w:left="102"/>
        <w:jc w:val="both"/>
      </w:pPr>
      <w:r>
        <w:rPr/>
        <w:t>El ODI en el grupo de los hombres obtuvo una media de 72.51</w:t>
      </w:r>
      <w:r>
        <w:rPr>
          <w:u w:val="single"/>
        </w:rPr>
        <w:t>+ </w:t>
      </w:r>
      <w:r>
        <w:rPr/>
        <w:t>4.77 y 70.83 </w:t>
      </w:r>
      <w:r>
        <w:rPr>
          <w:u w:val="single"/>
        </w:rPr>
        <w:t>+</w:t>
      </w:r>
    </w:p>
    <w:p>
      <w:pPr>
        <w:pStyle w:val="BodyText"/>
        <w:spacing w:before="139"/>
        <w:ind w:left="102"/>
        <w:jc w:val="both"/>
      </w:pPr>
      <w:r>
        <w:rPr/>
        <w:t>4.87 para las mujeres, mientras que el APDI una media de 84.26 </w:t>
      </w:r>
      <w:r>
        <w:rPr>
          <w:u w:val="single"/>
        </w:rPr>
        <w:t>+ </w:t>
      </w:r>
      <w:r>
        <w:rPr/>
        <w:t>4.61 y 85.61 </w:t>
      </w:r>
      <w:r>
        <w:rPr>
          <w:spacing w:val="53"/>
        </w:rPr>
        <w:t> </w:t>
      </w:r>
      <w:r>
        <w:rPr>
          <w:u w:val="single"/>
        </w:rPr>
        <w:t>+</w:t>
      </w:r>
    </w:p>
    <w:p>
      <w:pPr>
        <w:pStyle w:val="BodyText"/>
        <w:spacing w:before="137"/>
        <w:ind w:left="102"/>
        <w:jc w:val="both"/>
      </w:pPr>
      <w:r>
        <w:rPr/>
        <w:t>4.47 respectivamente para cada sexo.</w:t>
      </w:r>
    </w:p>
    <w:p>
      <w:pPr>
        <w:pStyle w:val="BodyText"/>
      </w:pPr>
    </w:p>
    <w:p>
      <w:pPr>
        <w:pStyle w:val="BodyText"/>
        <w:spacing w:line="360" w:lineRule="auto" w:before="180"/>
        <w:ind w:left="102" w:right="115"/>
        <w:jc w:val="both"/>
      </w:pPr>
      <w:r>
        <w:rPr/>
        <w:t>En la Prueba T de Student por sexo del total de la muestra, se observó una diferencia significativa en el ángulo MP-AB, y en los demás parámetros cefalométricos no se observaron diferencias significativas.</w:t>
      </w:r>
    </w:p>
    <w:p>
      <w:pPr>
        <w:pStyle w:val="BodyText"/>
        <w:spacing w:before="6"/>
        <w:rPr>
          <w:sz w:val="23"/>
        </w:rPr>
      </w:pPr>
    </w:p>
    <w:p>
      <w:pPr>
        <w:spacing w:before="0"/>
        <w:ind w:left="804" w:right="821" w:firstLine="0"/>
        <w:jc w:val="center"/>
        <w:rPr>
          <w:sz w:val="20"/>
        </w:rPr>
      </w:pPr>
      <w:r>
        <w:rPr>
          <w:sz w:val="20"/>
        </w:rPr>
        <w:t>Tabla 3. Media por sexo del total de la muestra</w:t>
      </w:r>
    </w:p>
    <w:p>
      <w:pPr>
        <w:pStyle w:val="BodyText"/>
        <w:spacing w:before="3"/>
        <w:rPr>
          <w:sz w:val="20"/>
        </w:rPr>
      </w:pPr>
    </w:p>
    <w:tbl>
      <w:tblPr>
        <w:tblW w:w="0" w:type="auto"/>
        <w:jc w:val="left"/>
        <w:tblInd w:w="769" w:type="dxa"/>
        <w:tblBorders>
          <w:top w:val="single" w:sz="8" w:space="0" w:color="4AACC5"/>
          <w:left w:val="single" w:sz="8" w:space="0" w:color="4AACC5"/>
          <w:bottom w:val="single" w:sz="8" w:space="0" w:color="4AACC5"/>
          <w:right w:val="single" w:sz="8" w:space="0" w:color="4AACC5"/>
          <w:insideH w:val="single" w:sz="8" w:space="0" w:color="4AACC5"/>
          <w:insideV w:val="single" w:sz="8" w:space="0" w:color="4AACC5"/>
        </w:tblBorders>
        <w:tblLayout w:type="fixed"/>
        <w:tblCellMar>
          <w:top w:w="0" w:type="dxa"/>
          <w:left w:w="0" w:type="dxa"/>
          <w:bottom w:w="0" w:type="dxa"/>
          <w:right w:w="0" w:type="dxa"/>
        </w:tblCellMar>
        <w:tblLook w:val="01E0"/>
      </w:tblPr>
      <w:tblGrid>
        <w:gridCol w:w="1270"/>
        <w:gridCol w:w="2127"/>
        <w:gridCol w:w="1316"/>
        <w:gridCol w:w="1416"/>
        <w:gridCol w:w="1357"/>
      </w:tblGrid>
      <w:tr>
        <w:trPr>
          <w:trHeight w:val="627" w:hRule="exact"/>
        </w:trPr>
        <w:tc>
          <w:tcPr>
            <w:tcW w:w="1270" w:type="dxa"/>
            <w:tcBorders>
              <w:bottom w:val="single" w:sz="17" w:space="0" w:color="4AACC5"/>
            </w:tcBorders>
          </w:tcPr>
          <w:p>
            <w:pPr>
              <w:pStyle w:val="TableParagraph"/>
              <w:spacing w:before="2"/>
              <w:ind w:left="266"/>
              <w:jc w:val="left"/>
              <w:rPr>
                <w:rFonts w:ascii="Cambria" w:hAnsi="Cambria"/>
                <w:b/>
                <w:sz w:val="22"/>
              </w:rPr>
            </w:pPr>
            <w:r>
              <w:rPr>
                <w:rFonts w:ascii="Cambria" w:hAnsi="Cambria"/>
                <w:b/>
                <w:sz w:val="22"/>
              </w:rPr>
              <w:t>Ángulo</w:t>
            </w:r>
          </w:p>
        </w:tc>
        <w:tc>
          <w:tcPr>
            <w:tcW w:w="2127" w:type="dxa"/>
            <w:tcBorders>
              <w:bottom w:val="single" w:sz="17" w:space="0" w:color="4AACC5"/>
            </w:tcBorders>
          </w:tcPr>
          <w:p>
            <w:pPr>
              <w:pStyle w:val="TableParagraph"/>
              <w:spacing w:before="2"/>
              <w:ind w:left="138" w:right="137"/>
              <w:rPr>
                <w:rFonts w:ascii="Cambria"/>
                <w:b/>
                <w:sz w:val="22"/>
              </w:rPr>
            </w:pPr>
            <w:r>
              <w:rPr>
                <w:rFonts w:ascii="Cambria"/>
                <w:b/>
                <w:sz w:val="22"/>
              </w:rPr>
              <w:t>Sexo</w:t>
            </w:r>
          </w:p>
        </w:tc>
        <w:tc>
          <w:tcPr>
            <w:tcW w:w="1316" w:type="dxa"/>
            <w:tcBorders>
              <w:bottom w:val="single" w:sz="17" w:space="0" w:color="4AACC5"/>
            </w:tcBorders>
          </w:tcPr>
          <w:p>
            <w:pPr>
              <w:pStyle w:val="TableParagraph"/>
              <w:spacing w:before="2"/>
              <w:ind w:left="316" w:right="319"/>
              <w:rPr>
                <w:rFonts w:ascii="Cambria"/>
                <w:b/>
                <w:sz w:val="22"/>
              </w:rPr>
            </w:pPr>
            <w:r>
              <w:rPr>
                <w:rFonts w:ascii="Cambria"/>
                <w:b/>
                <w:sz w:val="22"/>
              </w:rPr>
              <w:t>Media</w:t>
            </w:r>
          </w:p>
        </w:tc>
        <w:tc>
          <w:tcPr>
            <w:tcW w:w="1416" w:type="dxa"/>
            <w:tcBorders>
              <w:bottom w:val="single" w:sz="17" w:space="0" w:color="4AACC5"/>
            </w:tcBorders>
          </w:tcPr>
          <w:p>
            <w:pPr>
              <w:pStyle w:val="TableParagraph"/>
              <w:spacing w:line="273" w:lineRule="auto" w:before="2"/>
              <w:ind w:left="530" w:right="129" w:hanging="389"/>
              <w:jc w:val="left"/>
              <w:rPr>
                <w:rFonts w:ascii="Cambria" w:hAnsi="Cambria"/>
                <w:b/>
                <w:sz w:val="22"/>
              </w:rPr>
            </w:pPr>
            <w:r>
              <w:rPr>
                <w:rFonts w:ascii="Cambria" w:hAnsi="Cambria"/>
                <w:b/>
                <w:sz w:val="22"/>
              </w:rPr>
              <w:t>Desviación típ.</w:t>
            </w:r>
          </w:p>
        </w:tc>
        <w:tc>
          <w:tcPr>
            <w:tcW w:w="1357" w:type="dxa"/>
            <w:tcBorders>
              <w:bottom w:val="single" w:sz="17" w:space="0" w:color="4AACC5"/>
            </w:tcBorders>
          </w:tcPr>
          <w:p>
            <w:pPr>
              <w:pStyle w:val="TableParagraph"/>
              <w:spacing w:before="2"/>
              <w:rPr>
                <w:rFonts w:ascii="Cambria"/>
                <w:b/>
                <w:sz w:val="22"/>
              </w:rPr>
            </w:pPr>
            <w:r>
              <w:rPr>
                <w:rFonts w:ascii="Cambria"/>
                <w:b/>
                <w:w w:val="100"/>
                <w:sz w:val="22"/>
              </w:rPr>
              <w:t>P</w:t>
            </w:r>
          </w:p>
        </w:tc>
      </w:tr>
      <w:tr>
        <w:trPr>
          <w:trHeight w:val="341" w:hRule="exact"/>
        </w:trPr>
        <w:tc>
          <w:tcPr>
            <w:tcW w:w="1270" w:type="dxa"/>
            <w:vMerge w:val="restart"/>
            <w:tcBorders>
              <w:top w:val="single" w:sz="17" w:space="0" w:color="4AACC5"/>
            </w:tcBorders>
            <w:shd w:val="clear" w:color="auto" w:fill="D2EAF0"/>
          </w:tcPr>
          <w:p>
            <w:pPr>
              <w:pStyle w:val="TableParagraph"/>
              <w:spacing w:line="268" w:lineRule="exact"/>
              <w:ind w:left="307"/>
              <w:jc w:val="left"/>
              <w:rPr>
                <w:rFonts w:ascii="Calibri"/>
                <w:b/>
                <w:i/>
                <w:sz w:val="22"/>
              </w:rPr>
            </w:pPr>
            <w:r>
              <w:rPr>
                <w:rFonts w:ascii="Calibri"/>
                <w:b/>
                <w:i/>
                <w:sz w:val="22"/>
              </w:rPr>
              <w:t>MP-AB</w:t>
            </w:r>
          </w:p>
        </w:tc>
        <w:tc>
          <w:tcPr>
            <w:tcW w:w="2127" w:type="dxa"/>
            <w:tcBorders>
              <w:top w:val="single" w:sz="17" w:space="0" w:color="4AACC5"/>
            </w:tcBorders>
            <w:shd w:val="clear" w:color="auto" w:fill="D2EAF0"/>
          </w:tcPr>
          <w:p>
            <w:pPr>
              <w:pStyle w:val="TableParagraph"/>
              <w:spacing w:line="268" w:lineRule="exact"/>
              <w:ind w:left="138" w:right="136"/>
              <w:rPr>
                <w:rFonts w:ascii="Calibri"/>
                <w:sz w:val="22"/>
              </w:rPr>
            </w:pPr>
            <w:r>
              <w:rPr>
                <w:rFonts w:ascii="Calibri"/>
                <w:sz w:val="22"/>
              </w:rPr>
              <w:t>Hombres</w:t>
            </w:r>
          </w:p>
        </w:tc>
        <w:tc>
          <w:tcPr>
            <w:tcW w:w="1316" w:type="dxa"/>
            <w:tcBorders>
              <w:top w:val="single" w:sz="17" w:space="0" w:color="4AACC5"/>
            </w:tcBorders>
            <w:shd w:val="clear" w:color="auto" w:fill="D2EAF0"/>
          </w:tcPr>
          <w:p>
            <w:pPr>
              <w:pStyle w:val="TableParagraph"/>
              <w:spacing w:line="268" w:lineRule="exact"/>
              <w:ind w:left="315" w:right="319"/>
              <w:rPr>
                <w:rFonts w:ascii="Calibri"/>
                <w:sz w:val="22"/>
              </w:rPr>
            </w:pPr>
            <w:r>
              <w:rPr>
                <w:rFonts w:ascii="Calibri"/>
                <w:sz w:val="22"/>
              </w:rPr>
              <w:t>71.22</w:t>
            </w:r>
          </w:p>
        </w:tc>
        <w:tc>
          <w:tcPr>
            <w:tcW w:w="1416" w:type="dxa"/>
            <w:tcBorders>
              <w:top w:val="single" w:sz="17" w:space="0" w:color="4AACC5"/>
            </w:tcBorders>
            <w:shd w:val="clear" w:color="auto" w:fill="D2EAF0"/>
          </w:tcPr>
          <w:p>
            <w:pPr>
              <w:pStyle w:val="TableParagraph"/>
              <w:spacing w:line="268" w:lineRule="exact"/>
              <w:ind w:left="481" w:right="485"/>
              <w:rPr>
                <w:rFonts w:ascii="Calibri"/>
                <w:sz w:val="22"/>
              </w:rPr>
            </w:pPr>
            <w:r>
              <w:rPr>
                <w:rFonts w:ascii="Calibri"/>
                <w:sz w:val="22"/>
              </w:rPr>
              <w:t>3.44</w:t>
            </w:r>
          </w:p>
        </w:tc>
        <w:tc>
          <w:tcPr>
            <w:tcW w:w="1357" w:type="dxa"/>
            <w:vMerge w:val="restart"/>
            <w:tcBorders>
              <w:top w:val="single" w:sz="17" w:space="0" w:color="4AACC5"/>
            </w:tcBorders>
            <w:shd w:val="clear" w:color="auto" w:fill="D2EAF0"/>
          </w:tcPr>
          <w:p>
            <w:pPr>
              <w:pStyle w:val="TableParagraph"/>
              <w:spacing w:line="268" w:lineRule="exact"/>
              <w:ind w:left="417"/>
              <w:jc w:val="left"/>
              <w:rPr>
                <w:rFonts w:ascii="Calibri"/>
                <w:sz w:val="22"/>
              </w:rPr>
            </w:pPr>
            <w:r>
              <w:rPr>
                <w:rFonts w:ascii="Calibri"/>
                <w:color w:val="FF0000"/>
                <w:sz w:val="22"/>
              </w:rPr>
              <w:t>.013*</w:t>
            </w:r>
          </w:p>
        </w:tc>
      </w:tr>
      <w:tr>
        <w:trPr>
          <w:trHeight w:val="329" w:hRule="exact"/>
        </w:trPr>
        <w:tc>
          <w:tcPr>
            <w:tcW w:w="1270" w:type="dxa"/>
            <w:vMerge/>
            <w:shd w:val="clear" w:color="auto" w:fill="D2EAF0"/>
          </w:tcPr>
          <w:p>
            <w:pPr/>
          </w:p>
        </w:tc>
        <w:tc>
          <w:tcPr>
            <w:tcW w:w="2127" w:type="dxa"/>
          </w:tcPr>
          <w:p>
            <w:pPr>
              <w:pStyle w:val="TableParagraph"/>
              <w:spacing w:line="268" w:lineRule="exact"/>
              <w:ind w:left="138" w:right="137"/>
              <w:rPr>
                <w:rFonts w:ascii="Calibri"/>
                <w:sz w:val="22"/>
              </w:rPr>
            </w:pPr>
            <w:r>
              <w:rPr>
                <w:rFonts w:ascii="Calibri"/>
                <w:sz w:val="22"/>
              </w:rPr>
              <w:t>Mujeres</w:t>
            </w:r>
          </w:p>
        </w:tc>
        <w:tc>
          <w:tcPr>
            <w:tcW w:w="1316" w:type="dxa"/>
          </w:tcPr>
          <w:p>
            <w:pPr>
              <w:pStyle w:val="TableParagraph"/>
              <w:spacing w:line="268" w:lineRule="exact"/>
              <w:ind w:left="315" w:right="319"/>
              <w:rPr>
                <w:rFonts w:ascii="Calibri"/>
                <w:sz w:val="22"/>
              </w:rPr>
            </w:pPr>
            <w:r>
              <w:rPr>
                <w:rFonts w:ascii="Calibri"/>
                <w:sz w:val="22"/>
              </w:rPr>
              <w:t>69.38</w:t>
            </w:r>
          </w:p>
        </w:tc>
        <w:tc>
          <w:tcPr>
            <w:tcW w:w="1416" w:type="dxa"/>
          </w:tcPr>
          <w:p>
            <w:pPr>
              <w:pStyle w:val="TableParagraph"/>
              <w:spacing w:line="268" w:lineRule="exact"/>
              <w:ind w:left="481" w:right="485"/>
              <w:rPr>
                <w:rFonts w:ascii="Calibri"/>
                <w:sz w:val="22"/>
              </w:rPr>
            </w:pPr>
            <w:r>
              <w:rPr>
                <w:rFonts w:ascii="Calibri"/>
                <w:sz w:val="22"/>
              </w:rPr>
              <w:t>3.59</w:t>
            </w:r>
          </w:p>
        </w:tc>
        <w:tc>
          <w:tcPr>
            <w:tcW w:w="1357" w:type="dxa"/>
            <w:vMerge/>
            <w:shd w:val="clear" w:color="auto" w:fill="D2EAF0"/>
          </w:tcPr>
          <w:p>
            <w:pPr/>
          </w:p>
        </w:tc>
      </w:tr>
      <w:tr>
        <w:trPr>
          <w:trHeight w:val="329" w:hRule="exact"/>
        </w:trPr>
        <w:tc>
          <w:tcPr>
            <w:tcW w:w="1270" w:type="dxa"/>
            <w:vMerge w:val="restart"/>
            <w:shd w:val="clear" w:color="auto" w:fill="D2EAF0"/>
          </w:tcPr>
          <w:p>
            <w:pPr>
              <w:pStyle w:val="TableParagraph"/>
              <w:spacing w:line="268" w:lineRule="exact"/>
              <w:ind w:left="352"/>
              <w:jc w:val="left"/>
              <w:rPr>
                <w:rFonts w:ascii="Calibri"/>
                <w:b/>
                <w:i/>
                <w:sz w:val="22"/>
              </w:rPr>
            </w:pPr>
            <w:r>
              <w:rPr>
                <w:rFonts w:ascii="Calibri"/>
                <w:b/>
                <w:i/>
                <w:sz w:val="22"/>
              </w:rPr>
              <w:t>FH-PP</w:t>
            </w:r>
          </w:p>
        </w:tc>
        <w:tc>
          <w:tcPr>
            <w:tcW w:w="2127" w:type="dxa"/>
            <w:shd w:val="clear" w:color="auto" w:fill="D2EAF0"/>
          </w:tcPr>
          <w:p>
            <w:pPr>
              <w:pStyle w:val="TableParagraph"/>
              <w:spacing w:line="268" w:lineRule="exact"/>
              <w:ind w:left="138" w:right="136"/>
              <w:rPr>
                <w:rFonts w:ascii="Calibri"/>
                <w:sz w:val="22"/>
              </w:rPr>
            </w:pPr>
            <w:r>
              <w:rPr>
                <w:rFonts w:ascii="Calibri"/>
                <w:sz w:val="22"/>
              </w:rPr>
              <w:t>Hombres</w:t>
            </w:r>
          </w:p>
        </w:tc>
        <w:tc>
          <w:tcPr>
            <w:tcW w:w="1316" w:type="dxa"/>
            <w:shd w:val="clear" w:color="auto" w:fill="D2EAF0"/>
          </w:tcPr>
          <w:p>
            <w:pPr>
              <w:pStyle w:val="TableParagraph"/>
              <w:spacing w:line="268" w:lineRule="exact"/>
              <w:ind w:left="315" w:right="319"/>
              <w:rPr>
                <w:rFonts w:ascii="Calibri"/>
                <w:sz w:val="22"/>
              </w:rPr>
            </w:pPr>
            <w:r>
              <w:rPr>
                <w:rFonts w:ascii="Calibri"/>
                <w:sz w:val="22"/>
              </w:rPr>
              <w:t>1.28</w:t>
            </w:r>
          </w:p>
        </w:tc>
        <w:tc>
          <w:tcPr>
            <w:tcW w:w="1416" w:type="dxa"/>
            <w:shd w:val="clear" w:color="auto" w:fill="D2EAF0"/>
          </w:tcPr>
          <w:p>
            <w:pPr>
              <w:pStyle w:val="TableParagraph"/>
              <w:spacing w:line="268" w:lineRule="exact"/>
              <w:ind w:left="481" w:right="485"/>
              <w:rPr>
                <w:rFonts w:ascii="Calibri"/>
                <w:sz w:val="22"/>
              </w:rPr>
            </w:pPr>
            <w:r>
              <w:rPr>
                <w:rFonts w:ascii="Calibri"/>
                <w:sz w:val="22"/>
              </w:rPr>
              <w:t>2.98</w:t>
            </w:r>
          </w:p>
        </w:tc>
        <w:tc>
          <w:tcPr>
            <w:tcW w:w="1357" w:type="dxa"/>
            <w:vMerge w:val="restart"/>
            <w:shd w:val="clear" w:color="auto" w:fill="D2EAF0"/>
          </w:tcPr>
          <w:p>
            <w:pPr>
              <w:pStyle w:val="TableParagraph"/>
              <w:spacing w:line="268" w:lineRule="exact"/>
              <w:ind w:left="454" w:right="453"/>
              <w:rPr>
                <w:rFonts w:ascii="Calibri"/>
                <w:sz w:val="22"/>
              </w:rPr>
            </w:pPr>
            <w:r>
              <w:rPr>
                <w:rFonts w:ascii="Calibri"/>
                <w:sz w:val="22"/>
              </w:rPr>
              <w:t>.794</w:t>
            </w:r>
          </w:p>
        </w:tc>
      </w:tr>
      <w:tr>
        <w:trPr>
          <w:trHeight w:val="329" w:hRule="exact"/>
        </w:trPr>
        <w:tc>
          <w:tcPr>
            <w:tcW w:w="1270" w:type="dxa"/>
            <w:vMerge/>
            <w:shd w:val="clear" w:color="auto" w:fill="D2EAF0"/>
          </w:tcPr>
          <w:p>
            <w:pPr/>
          </w:p>
        </w:tc>
        <w:tc>
          <w:tcPr>
            <w:tcW w:w="2127" w:type="dxa"/>
          </w:tcPr>
          <w:p>
            <w:pPr>
              <w:pStyle w:val="TableParagraph"/>
              <w:spacing w:line="268" w:lineRule="exact"/>
              <w:ind w:left="138" w:right="137"/>
              <w:rPr>
                <w:rFonts w:ascii="Calibri"/>
                <w:sz w:val="22"/>
              </w:rPr>
            </w:pPr>
            <w:r>
              <w:rPr>
                <w:rFonts w:ascii="Calibri"/>
                <w:sz w:val="22"/>
              </w:rPr>
              <w:t>Mujeres</w:t>
            </w:r>
          </w:p>
        </w:tc>
        <w:tc>
          <w:tcPr>
            <w:tcW w:w="1316" w:type="dxa"/>
          </w:tcPr>
          <w:p>
            <w:pPr>
              <w:pStyle w:val="TableParagraph"/>
              <w:spacing w:line="268" w:lineRule="exact"/>
              <w:ind w:left="315" w:right="319"/>
              <w:rPr>
                <w:rFonts w:ascii="Calibri"/>
                <w:sz w:val="22"/>
              </w:rPr>
            </w:pPr>
            <w:r>
              <w:rPr>
                <w:rFonts w:ascii="Calibri"/>
                <w:sz w:val="22"/>
              </w:rPr>
              <w:t>1.44</w:t>
            </w:r>
          </w:p>
        </w:tc>
        <w:tc>
          <w:tcPr>
            <w:tcW w:w="1416" w:type="dxa"/>
          </w:tcPr>
          <w:p>
            <w:pPr>
              <w:pStyle w:val="TableParagraph"/>
              <w:spacing w:line="268" w:lineRule="exact"/>
              <w:ind w:left="481" w:right="485"/>
              <w:rPr>
                <w:rFonts w:ascii="Calibri"/>
                <w:sz w:val="22"/>
              </w:rPr>
            </w:pPr>
            <w:r>
              <w:rPr>
                <w:rFonts w:ascii="Calibri"/>
                <w:sz w:val="22"/>
              </w:rPr>
              <w:t>2.94</w:t>
            </w:r>
          </w:p>
        </w:tc>
        <w:tc>
          <w:tcPr>
            <w:tcW w:w="1357" w:type="dxa"/>
            <w:vMerge/>
            <w:shd w:val="clear" w:color="auto" w:fill="D2EAF0"/>
          </w:tcPr>
          <w:p>
            <w:pPr/>
          </w:p>
        </w:tc>
      </w:tr>
      <w:tr>
        <w:trPr>
          <w:trHeight w:val="329" w:hRule="exact"/>
        </w:trPr>
        <w:tc>
          <w:tcPr>
            <w:tcW w:w="1270" w:type="dxa"/>
            <w:vMerge w:val="restart"/>
            <w:shd w:val="clear" w:color="auto" w:fill="D2EAF0"/>
          </w:tcPr>
          <w:p>
            <w:pPr>
              <w:pStyle w:val="TableParagraph"/>
              <w:spacing w:line="268" w:lineRule="exact"/>
              <w:ind w:left="362"/>
              <w:jc w:val="left"/>
              <w:rPr>
                <w:rFonts w:ascii="Calibri"/>
                <w:b/>
                <w:i/>
                <w:sz w:val="22"/>
              </w:rPr>
            </w:pPr>
            <w:r>
              <w:rPr>
                <w:rFonts w:ascii="Calibri"/>
                <w:b/>
                <w:i/>
                <w:sz w:val="22"/>
              </w:rPr>
              <w:t>FH-FP</w:t>
            </w:r>
          </w:p>
        </w:tc>
        <w:tc>
          <w:tcPr>
            <w:tcW w:w="2127" w:type="dxa"/>
            <w:shd w:val="clear" w:color="auto" w:fill="D2EAF0"/>
          </w:tcPr>
          <w:p>
            <w:pPr>
              <w:pStyle w:val="TableParagraph"/>
              <w:spacing w:line="268" w:lineRule="exact"/>
              <w:ind w:left="138" w:right="136"/>
              <w:rPr>
                <w:rFonts w:ascii="Calibri"/>
                <w:sz w:val="22"/>
              </w:rPr>
            </w:pPr>
            <w:r>
              <w:rPr>
                <w:rFonts w:ascii="Calibri"/>
                <w:sz w:val="22"/>
              </w:rPr>
              <w:t>Hombres</w:t>
            </w:r>
          </w:p>
        </w:tc>
        <w:tc>
          <w:tcPr>
            <w:tcW w:w="1316" w:type="dxa"/>
            <w:shd w:val="clear" w:color="auto" w:fill="D2EAF0"/>
          </w:tcPr>
          <w:p>
            <w:pPr>
              <w:pStyle w:val="TableParagraph"/>
              <w:spacing w:line="268" w:lineRule="exact"/>
              <w:ind w:left="315" w:right="319"/>
              <w:rPr>
                <w:rFonts w:ascii="Calibri"/>
                <w:sz w:val="22"/>
              </w:rPr>
            </w:pPr>
            <w:r>
              <w:rPr>
                <w:rFonts w:ascii="Calibri"/>
                <w:sz w:val="22"/>
              </w:rPr>
              <w:t>88.21</w:t>
            </w:r>
          </w:p>
        </w:tc>
        <w:tc>
          <w:tcPr>
            <w:tcW w:w="1416" w:type="dxa"/>
            <w:shd w:val="clear" w:color="auto" w:fill="D2EAF0"/>
          </w:tcPr>
          <w:p>
            <w:pPr>
              <w:pStyle w:val="TableParagraph"/>
              <w:spacing w:line="268" w:lineRule="exact"/>
              <w:ind w:left="481" w:right="485"/>
              <w:rPr>
                <w:rFonts w:ascii="Calibri"/>
                <w:sz w:val="22"/>
              </w:rPr>
            </w:pPr>
            <w:r>
              <w:rPr>
                <w:rFonts w:ascii="Calibri"/>
                <w:sz w:val="22"/>
              </w:rPr>
              <w:t>2.34</w:t>
            </w:r>
          </w:p>
        </w:tc>
        <w:tc>
          <w:tcPr>
            <w:tcW w:w="1357" w:type="dxa"/>
            <w:vMerge w:val="restart"/>
            <w:shd w:val="clear" w:color="auto" w:fill="D2EAF0"/>
          </w:tcPr>
          <w:p>
            <w:pPr>
              <w:pStyle w:val="TableParagraph"/>
              <w:spacing w:line="268" w:lineRule="exact"/>
              <w:ind w:left="454" w:right="453"/>
              <w:rPr>
                <w:rFonts w:ascii="Calibri"/>
                <w:sz w:val="22"/>
              </w:rPr>
            </w:pPr>
            <w:r>
              <w:rPr>
                <w:rFonts w:ascii="Calibri"/>
                <w:sz w:val="22"/>
              </w:rPr>
              <w:t>.329</w:t>
            </w:r>
          </w:p>
        </w:tc>
      </w:tr>
      <w:tr>
        <w:trPr>
          <w:trHeight w:val="329" w:hRule="exact"/>
        </w:trPr>
        <w:tc>
          <w:tcPr>
            <w:tcW w:w="1270" w:type="dxa"/>
            <w:vMerge/>
            <w:shd w:val="clear" w:color="auto" w:fill="D2EAF0"/>
          </w:tcPr>
          <w:p>
            <w:pPr/>
          </w:p>
        </w:tc>
        <w:tc>
          <w:tcPr>
            <w:tcW w:w="2127" w:type="dxa"/>
          </w:tcPr>
          <w:p>
            <w:pPr>
              <w:pStyle w:val="TableParagraph"/>
              <w:spacing w:line="268" w:lineRule="exact"/>
              <w:ind w:left="138" w:right="137"/>
              <w:rPr>
                <w:rFonts w:ascii="Calibri"/>
                <w:sz w:val="22"/>
              </w:rPr>
            </w:pPr>
            <w:r>
              <w:rPr>
                <w:rFonts w:ascii="Calibri"/>
                <w:sz w:val="22"/>
              </w:rPr>
              <w:t>Mujeres</w:t>
            </w:r>
          </w:p>
        </w:tc>
        <w:tc>
          <w:tcPr>
            <w:tcW w:w="1316" w:type="dxa"/>
          </w:tcPr>
          <w:p>
            <w:pPr>
              <w:pStyle w:val="TableParagraph"/>
              <w:spacing w:line="268" w:lineRule="exact"/>
              <w:ind w:left="315" w:right="319"/>
              <w:rPr>
                <w:rFonts w:ascii="Calibri"/>
                <w:sz w:val="22"/>
              </w:rPr>
            </w:pPr>
            <w:r>
              <w:rPr>
                <w:rFonts w:ascii="Calibri"/>
                <w:sz w:val="22"/>
              </w:rPr>
              <w:t>88.75</w:t>
            </w:r>
          </w:p>
        </w:tc>
        <w:tc>
          <w:tcPr>
            <w:tcW w:w="1416" w:type="dxa"/>
          </w:tcPr>
          <w:p>
            <w:pPr>
              <w:pStyle w:val="TableParagraph"/>
              <w:spacing w:line="268" w:lineRule="exact"/>
              <w:ind w:left="481" w:right="485"/>
              <w:rPr>
                <w:rFonts w:ascii="Calibri"/>
                <w:sz w:val="22"/>
              </w:rPr>
            </w:pPr>
            <w:r>
              <w:rPr>
                <w:rFonts w:ascii="Calibri"/>
                <w:sz w:val="22"/>
              </w:rPr>
              <w:t>2.88</w:t>
            </w:r>
          </w:p>
        </w:tc>
        <w:tc>
          <w:tcPr>
            <w:tcW w:w="1357" w:type="dxa"/>
            <w:vMerge/>
            <w:shd w:val="clear" w:color="auto" w:fill="D2EAF0"/>
          </w:tcPr>
          <w:p>
            <w:pPr/>
          </w:p>
        </w:tc>
      </w:tr>
      <w:tr>
        <w:trPr>
          <w:trHeight w:val="329" w:hRule="exact"/>
        </w:trPr>
        <w:tc>
          <w:tcPr>
            <w:tcW w:w="1270" w:type="dxa"/>
            <w:vMerge w:val="restart"/>
            <w:shd w:val="clear" w:color="auto" w:fill="D2EAF0"/>
          </w:tcPr>
          <w:p>
            <w:pPr>
              <w:pStyle w:val="TableParagraph"/>
              <w:spacing w:line="268" w:lineRule="exact"/>
              <w:ind w:left="352"/>
              <w:jc w:val="left"/>
              <w:rPr>
                <w:rFonts w:ascii="Calibri"/>
                <w:b/>
                <w:i/>
                <w:sz w:val="22"/>
              </w:rPr>
            </w:pPr>
            <w:r>
              <w:rPr>
                <w:rFonts w:ascii="Calibri"/>
                <w:b/>
                <w:i/>
                <w:sz w:val="22"/>
              </w:rPr>
              <w:t>FP-AB</w:t>
            </w:r>
          </w:p>
        </w:tc>
        <w:tc>
          <w:tcPr>
            <w:tcW w:w="2127" w:type="dxa"/>
            <w:shd w:val="clear" w:color="auto" w:fill="D2EAF0"/>
          </w:tcPr>
          <w:p>
            <w:pPr>
              <w:pStyle w:val="TableParagraph"/>
              <w:spacing w:line="268" w:lineRule="exact"/>
              <w:ind w:left="138" w:right="136"/>
              <w:rPr>
                <w:rFonts w:ascii="Calibri"/>
                <w:sz w:val="22"/>
              </w:rPr>
            </w:pPr>
            <w:r>
              <w:rPr>
                <w:rFonts w:ascii="Calibri"/>
                <w:sz w:val="22"/>
              </w:rPr>
              <w:t>Hombres</w:t>
            </w:r>
          </w:p>
        </w:tc>
        <w:tc>
          <w:tcPr>
            <w:tcW w:w="1316" w:type="dxa"/>
            <w:shd w:val="clear" w:color="auto" w:fill="D2EAF0"/>
          </w:tcPr>
          <w:p>
            <w:pPr>
              <w:pStyle w:val="TableParagraph"/>
              <w:spacing w:line="268" w:lineRule="exact"/>
              <w:ind w:left="315" w:right="319"/>
              <w:rPr>
                <w:rFonts w:ascii="Calibri"/>
                <w:sz w:val="22"/>
              </w:rPr>
            </w:pPr>
            <w:r>
              <w:rPr>
                <w:rFonts w:ascii="Calibri"/>
                <w:sz w:val="22"/>
              </w:rPr>
              <w:t>-5.23</w:t>
            </w:r>
          </w:p>
        </w:tc>
        <w:tc>
          <w:tcPr>
            <w:tcW w:w="1416" w:type="dxa"/>
            <w:shd w:val="clear" w:color="auto" w:fill="D2EAF0"/>
          </w:tcPr>
          <w:p>
            <w:pPr>
              <w:pStyle w:val="TableParagraph"/>
              <w:spacing w:line="268" w:lineRule="exact"/>
              <w:ind w:left="481" w:right="485"/>
              <w:rPr>
                <w:rFonts w:ascii="Calibri"/>
                <w:sz w:val="22"/>
              </w:rPr>
            </w:pPr>
            <w:r>
              <w:rPr>
                <w:rFonts w:ascii="Calibri"/>
                <w:sz w:val="22"/>
              </w:rPr>
              <w:t>2.84</w:t>
            </w:r>
          </w:p>
        </w:tc>
        <w:tc>
          <w:tcPr>
            <w:tcW w:w="1357" w:type="dxa"/>
            <w:vMerge w:val="restart"/>
            <w:shd w:val="clear" w:color="auto" w:fill="D2EAF0"/>
          </w:tcPr>
          <w:p>
            <w:pPr>
              <w:pStyle w:val="TableParagraph"/>
              <w:spacing w:line="268" w:lineRule="exact"/>
              <w:ind w:left="454" w:right="453"/>
              <w:rPr>
                <w:rFonts w:ascii="Calibri"/>
                <w:sz w:val="22"/>
              </w:rPr>
            </w:pPr>
            <w:r>
              <w:rPr>
                <w:rFonts w:ascii="Calibri"/>
                <w:sz w:val="22"/>
              </w:rPr>
              <w:t>.284</w:t>
            </w:r>
          </w:p>
        </w:tc>
      </w:tr>
      <w:tr>
        <w:trPr>
          <w:trHeight w:val="329" w:hRule="exact"/>
        </w:trPr>
        <w:tc>
          <w:tcPr>
            <w:tcW w:w="1270" w:type="dxa"/>
            <w:vMerge/>
            <w:shd w:val="clear" w:color="auto" w:fill="D2EAF0"/>
          </w:tcPr>
          <w:p>
            <w:pPr/>
          </w:p>
        </w:tc>
        <w:tc>
          <w:tcPr>
            <w:tcW w:w="2127" w:type="dxa"/>
          </w:tcPr>
          <w:p>
            <w:pPr>
              <w:pStyle w:val="TableParagraph"/>
              <w:spacing w:line="268" w:lineRule="exact"/>
              <w:ind w:left="138" w:right="137"/>
              <w:rPr>
                <w:rFonts w:ascii="Calibri"/>
                <w:sz w:val="22"/>
              </w:rPr>
            </w:pPr>
            <w:r>
              <w:rPr>
                <w:rFonts w:ascii="Calibri"/>
                <w:sz w:val="22"/>
              </w:rPr>
              <w:t>Mujeres</w:t>
            </w:r>
          </w:p>
        </w:tc>
        <w:tc>
          <w:tcPr>
            <w:tcW w:w="1316" w:type="dxa"/>
          </w:tcPr>
          <w:p>
            <w:pPr>
              <w:pStyle w:val="TableParagraph"/>
              <w:spacing w:line="268" w:lineRule="exact"/>
              <w:ind w:left="315" w:right="319"/>
              <w:rPr>
                <w:rFonts w:ascii="Calibri"/>
                <w:sz w:val="22"/>
              </w:rPr>
            </w:pPr>
            <w:r>
              <w:rPr>
                <w:rFonts w:ascii="Calibri"/>
                <w:sz w:val="22"/>
              </w:rPr>
              <w:t>-4.58</w:t>
            </w:r>
          </w:p>
        </w:tc>
        <w:tc>
          <w:tcPr>
            <w:tcW w:w="1416" w:type="dxa"/>
          </w:tcPr>
          <w:p>
            <w:pPr>
              <w:pStyle w:val="TableParagraph"/>
              <w:spacing w:line="268" w:lineRule="exact"/>
              <w:ind w:left="481" w:right="485"/>
              <w:rPr>
                <w:rFonts w:ascii="Calibri"/>
                <w:sz w:val="22"/>
              </w:rPr>
            </w:pPr>
            <w:r>
              <w:rPr>
                <w:rFonts w:ascii="Calibri"/>
                <w:sz w:val="22"/>
              </w:rPr>
              <w:t>2.98</w:t>
            </w:r>
          </w:p>
        </w:tc>
        <w:tc>
          <w:tcPr>
            <w:tcW w:w="1357" w:type="dxa"/>
            <w:vMerge/>
            <w:shd w:val="clear" w:color="auto" w:fill="D2EAF0"/>
          </w:tcPr>
          <w:p>
            <w:pPr/>
          </w:p>
        </w:tc>
      </w:tr>
      <w:tr>
        <w:trPr>
          <w:trHeight w:val="329" w:hRule="exact"/>
        </w:trPr>
        <w:tc>
          <w:tcPr>
            <w:tcW w:w="1270" w:type="dxa"/>
            <w:vMerge w:val="restart"/>
            <w:shd w:val="clear" w:color="auto" w:fill="D2EAF0"/>
          </w:tcPr>
          <w:p>
            <w:pPr>
              <w:pStyle w:val="TableParagraph"/>
              <w:spacing w:line="268" w:lineRule="exact"/>
              <w:ind w:left="432" w:right="433"/>
              <w:rPr>
                <w:rFonts w:ascii="Calibri"/>
                <w:b/>
                <w:i/>
                <w:sz w:val="22"/>
              </w:rPr>
            </w:pPr>
            <w:r>
              <w:rPr>
                <w:rFonts w:ascii="Calibri"/>
                <w:b/>
                <w:i/>
                <w:sz w:val="22"/>
              </w:rPr>
              <w:t>ODI</w:t>
            </w:r>
          </w:p>
        </w:tc>
        <w:tc>
          <w:tcPr>
            <w:tcW w:w="2127" w:type="dxa"/>
            <w:shd w:val="clear" w:color="auto" w:fill="D2EAF0"/>
          </w:tcPr>
          <w:p>
            <w:pPr>
              <w:pStyle w:val="TableParagraph"/>
              <w:spacing w:line="268" w:lineRule="exact"/>
              <w:ind w:left="138" w:right="136"/>
              <w:rPr>
                <w:rFonts w:ascii="Calibri"/>
                <w:sz w:val="22"/>
              </w:rPr>
            </w:pPr>
            <w:r>
              <w:rPr>
                <w:rFonts w:ascii="Calibri"/>
                <w:sz w:val="22"/>
              </w:rPr>
              <w:t>Hombres</w:t>
            </w:r>
          </w:p>
        </w:tc>
        <w:tc>
          <w:tcPr>
            <w:tcW w:w="1316" w:type="dxa"/>
            <w:shd w:val="clear" w:color="auto" w:fill="D2EAF0"/>
          </w:tcPr>
          <w:p>
            <w:pPr>
              <w:pStyle w:val="TableParagraph"/>
              <w:spacing w:line="268" w:lineRule="exact"/>
              <w:ind w:left="315" w:right="319"/>
              <w:rPr>
                <w:rFonts w:ascii="Calibri"/>
                <w:sz w:val="22"/>
              </w:rPr>
            </w:pPr>
            <w:r>
              <w:rPr>
                <w:rFonts w:ascii="Calibri"/>
                <w:sz w:val="22"/>
              </w:rPr>
              <w:t>72.51</w:t>
            </w:r>
          </w:p>
        </w:tc>
        <w:tc>
          <w:tcPr>
            <w:tcW w:w="1416" w:type="dxa"/>
            <w:shd w:val="clear" w:color="auto" w:fill="D2EAF0"/>
          </w:tcPr>
          <w:p>
            <w:pPr>
              <w:pStyle w:val="TableParagraph"/>
              <w:spacing w:line="268" w:lineRule="exact"/>
              <w:ind w:left="481" w:right="485"/>
              <w:rPr>
                <w:rFonts w:ascii="Calibri"/>
                <w:sz w:val="22"/>
              </w:rPr>
            </w:pPr>
            <w:r>
              <w:rPr>
                <w:rFonts w:ascii="Calibri"/>
                <w:sz w:val="22"/>
              </w:rPr>
              <w:t>4.77</w:t>
            </w:r>
          </w:p>
        </w:tc>
        <w:tc>
          <w:tcPr>
            <w:tcW w:w="1357" w:type="dxa"/>
            <w:vMerge w:val="restart"/>
            <w:shd w:val="clear" w:color="auto" w:fill="D2EAF0"/>
          </w:tcPr>
          <w:p>
            <w:pPr>
              <w:pStyle w:val="TableParagraph"/>
              <w:spacing w:line="268" w:lineRule="exact"/>
              <w:ind w:left="454" w:right="453"/>
              <w:rPr>
                <w:rFonts w:ascii="Calibri"/>
                <w:sz w:val="22"/>
              </w:rPr>
            </w:pPr>
            <w:r>
              <w:rPr>
                <w:rFonts w:ascii="Calibri"/>
                <w:sz w:val="22"/>
              </w:rPr>
              <w:t>.095</w:t>
            </w:r>
          </w:p>
        </w:tc>
      </w:tr>
      <w:tr>
        <w:trPr>
          <w:trHeight w:val="329" w:hRule="exact"/>
        </w:trPr>
        <w:tc>
          <w:tcPr>
            <w:tcW w:w="1270" w:type="dxa"/>
            <w:vMerge/>
            <w:shd w:val="clear" w:color="auto" w:fill="D2EAF0"/>
          </w:tcPr>
          <w:p>
            <w:pPr/>
          </w:p>
        </w:tc>
        <w:tc>
          <w:tcPr>
            <w:tcW w:w="2127" w:type="dxa"/>
          </w:tcPr>
          <w:p>
            <w:pPr>
              <w:pStyle w:val="TableParagraph"/>
              <w:spacing w:line="268" w:lineRule="exact"/>
              <w:ind w:left="138" w:right="137"/>
              <w:rPr>
                <w:rFonts w:ascii="Calibri"/>
                <w:sz w:val="22"/>
              </w:rPr>
            </w:pPr>
            <w:r>
              <w:rPr>
                <w:rFonts w:ascii="Calibri"/>
                <w:sz w:val="22"/>
              </w:rPr>
              <w:t>Mujeres</w:t>
            </w:r>
          </w:p>
        </w:tc>
        <w:tc>
          <w:tcPr>
            <w:tcW w:w="1316" w:type="dxa"/>
          </w:tcPr>
          <w:p>
            <w:pPr>
              <w:pStyle w:val="TableParagraph"/>
              <w:spacing w:line="268" w:lineRule="exact"/>
              <w:ind w:left="315" w:right="319"/>
              <w:rPr>
                <w:rFonts w:ascii="Calibri"/>
                <w:sz w:val="22"/>
              </w:rPr>
            </w:pPr>
            <w:r>
              <w:rPr>
                <w:rFonts w:ascii="Calibri"/>
                <w:sz w:val="22"/>
              </w:rPr>
              <w:t>70.83</w:t>
            </w:r>
          </w:p>
        </w:tc>
        <w:tc>
          <w:tcPr>
            <w:tcW w:w="1416" w:type="dxa"/>
          </w:tcPr>
          <w:p>
            <w:pPr>
              <w:pStyle w:val="TableParagraph"/>
              <w:spacing w:line="268" w:lineRule="exact"/>
              <w:ind w:left="481" w:right="485"/>
              <w:rPr>
                <w:rFonts w:ascii="Calibri"/>
                <w:sz w:val="22"/>
              </w:rPr>
            </w:pPr>
            <w:r>
              <w:rPr>
                <w:rFonts w:ascii="Calibri"/>
                <w:sz w:val="22"/>
              </w:rPr>
              <w:t>4.87</w:t>
            </w:r>
          </w:p>
        </w:tc>
        <w:tc>
          <w:tcPr>
            <w:tcW w:w="1357" w:type="dxa"/>
            <w:vMerge/>
            <w:shd w:val="clear" w:color="auto" w:fill="D2EAF0"/>
          </w:tcPr>
          <w:p>
            <w:pPr/>
          </w:p>
        </w:tc>
      </w:tr>
      <w:tr>
        <w:trPr>
          <w:trHeight w:val="329" w:hRule="exact"/>
        </w:trPr>
        <w:tc>
          <w:tcPr>
            <w:tcW w:w="1270" w:type="dxa"/>
            <w:vMerge w:val="restart"/>
            <w:shd w:val="clear" w:color="auto" w:fill="D2EAF0"/>
          </w:tcPr>
          <w:p>
            <w:pPr>
              <w:pStyle w:val="TableParagraph"/>
              <w:spacing w:before="2"/>
              <w:ind w:left="369"/>
              <w:jc w:val="left"/>
              <w:rPr>
                <w:rFonts w:ascii="Cambria"/>
                <w:b/>
                <w:sz w:val="22"/>
              </w:rPr>
            </w:pPr>
            <w:r>
              <w:rPr>
                <w:rFonts w:ascii="Cambria"/>
                <w:b/>
                <w:sz w:val="22"/>
              </w:rPr>
              <w:t>APDI</w:t>
            </w:r>
          </w:p>
        </w:tc>
        <w:tc>
          <w:tcPr>
            <w:tcW w:w="2127" w:type="dxa"/>
            <w:shd w:val="clear" w:color="auto" w:fill="D2EAF0"/>
          </w:tcPr>
          <w:p>
            <w:pPr>
              <w:pStyle w:val="TableParagraph"/>
              <w:spacing w:line="268" w:lineRule="exact"/>
              <w:ind w:left="138" w:right="136"/>
              <w:rPr>
                <w:rFonts w:ascii="Calibri"/>
                <w:sz w:val="22"/>
              </w:rPr>
            </w:pPr>
            <w:r>
              <w:rPr>
                <w:rFonts w:ascii="Calibri"/>
                <w:sz w:val="22"/>
              </w:rPr>
              <w:t>Hombres</w:t>
            </w:r>
          </w:p>
        </w:tc>
        <w:tc>
          <w:tcPr>
            <w:tcW w:w="1316" w:type="dxa"/>
            <w:shd w:val="clear" w:color="auto" w:fill="D2EAF0"/>
          </w:tcPr>
          <w:p>
            <w:pPr>
              <w:pStyle w:val="TableParagraph"/>
              <w:spacing w:line="268" w:lineRule="exact"/>
              <w:ind w:left="315" w:right="319"/>
              <w:rPr>
                <w:rFonts w:ascii="Calibri"/>
                <w:sz w:val="22"/>
              </w:rPr>
            </w:pPr>
            <w:r>
              <w:rPr>
                <w:rFonts w:ascii="Calibri"/>
                <w:sz w:val="22"/>
              </w:rPr>
              <w:t>84.26</w:t>
            </w:r>
          </w:p>
        </w:tc>
        <w:tc>
          <w:tcPr>
            <w:tcW w:w="1416" w:type="dxa"/>
            <w:shd w:val="clear" w:color="auto" w:fill="D2EAF0"/>
          </w:tcPr>
          <w:p>
            <w:pPr>
              <w:pStyle w:val="TableParagraph"/>
              <w:spacing w:line="268" w:lineRule="exact"/>
              <w:ind w:left="481" w:right="485"/>
              <w:rPr>
                <w:rFonts w:ascii="Calibri"/>
                <w:sz w:val="22"/>
              </w:rPr>
            </w:pPr>
            <w:r>
              <w:rPr>
                <w:rFonts w:ascii="Calibri"/>
                <w:sz w:val="22"/>
              </w:rPr>
              <w:t>4.61</w:t>
            </w:r>
          </w:p>
        </w:tc>
        <w:tc>
          <w:tcPr>
            <w:tcW w:w="1357" w:type="dxa"/>
            <w:vMerge w:val="restart"/>
            <w:shd w:val="clear" w:color="auto" w:fill="D2EAF0"/>
          </w:tcPr>
          <w:p>
            <w:pPr>
              <w:pStyle w:val="TableParagraph"/>
              <w:spacing w:line="268" w:lineRule="exact"/>
              <w:ind w:left="454" w:right="453"/>
              <w:rPr>
                <w:rFonts w:ascii="Calibri"/>
                <w:sz w:val="22"/>
              </w:rPr>
            </w:pPr>
            <w:r>
              <w:rPr>
                <w:rFonts w:ascii="Calibri"/>
                <w:sz w:val="22"/>
              </w:rPr>
              <w:t>.152</w:t>
            </w:r>
          </w:p>
        </w:tc>
      </w:tr>
      <w:tr>
        <w:trPr>
          <w:trHeight w:val="331" w:hRule="exact"/>
        </w:trPr>
        <w:tc>
          <w:tcPr>
            <w:tcW w:w="1270" w:type="dxa"/>
            <w:vMerge/>
            <w:shd w:val="clear" w:color="auto" w:fill="D2EAF0"/>
          </w:tcPr>
          <w:p>
            <w:pPr/>
          </w:p>
        </w:tc>
        <w:tc>
          <w:tcPr>
            <w:tcW w:w="2127" w:type="dxa"/>
          </w:tcPr>
          <w:p>
            <w:pPr>
              <w:pStyle w:val="TableParagraph"/>
              <w:spacing w:line="268" w:lineRule="exact"/>
              <w:ind w:left="138" w:right="137"/>
              <w:rPr>
                <w:rFonts w:ascii="Calibri"/>
                <w:sz w:val="22"/>
              </w:rPr>
            </w:pPr>
            <w:r>
              <w:rPr>
                <w:rFonts w:ascii="Calibri"/>
                <w:sz w:val="22"/>
              </w:rPr>
              <w:t>Mujeres</w:t>
            </w:r>
          </w:p>
        </w:tc>
        <w:tc>
          <w:tcPr>
            <w:tcW w:w="1316" w:type="dxa"/>
          </w:tcPr>
          <w:p>
            <w:pPr>
              <w:pStyle w:val="TableParagraph"/>
              <w:spacing w:line="268" w:lineRule="exact"/>
              <w:ind w:left="315" w:right="319"/>
              <w:rPr>
                <w:rFonts w:ascii="Calibri"/>
                <w:sz w:val="22"/>
              </w:rPr>
            </w:pPr>
            <w:r>
              <w:rPr>
                <w:rFonts w:ascii="Calibri"/>
                <w:sz w:val="22"/>
              </w:rPr>
              <w:t>85.61</w:t>
            </w:r>
          </w:p>
        </w:tc>
        <w:tc>
          <w:tcPr>
            <w:tcW w:w="1416" w:type="dxa"/>
          </w:tcPr>
          <w:p>
            <w:pPr>
              <w:pStyle w:val="TableParagraph"/>
              <w:spacing w:line="268" w:lineRule="exact"/>
              <w:ind w:left="481" w:right="485"/>
              <w:rPr>
                <w:rFonts w:ascii="Calibri"/>
                <w:sz w:val="22"/>
              </w:rPr>
            </w:pPr>
            <w:r>
              <w:rPr>
                <w:rFonts w:ascii="Calibri"/>
                <w:sz w:val="22"/>
              </w:rPr>
              <w:t>4.47</w:t>
            </w:r>
          </w:p>
        </w:tc>
        <w:tc>
          <w:tcPr>
            <w:tcW w:w="1357" w:type="dxa"/>
            <w:vMerge/>
            <w:shd w:val="clear" w:color="auto" w:fill="D2EAF0"/>
          </w:tcPr>
          <w:p>
            <w:pPr/>
          </w:p>
        </w:tc>
      </w:tr>
    </w:tbl>
    <w:p>
      <w:pPr>
        <w:spacing w:after="0"/>
        <w:sectPr>
          <w:footerReference w:type="default" r:id="rId93"/>
          <w:pgSz w:w="12240" w:h="15840"/>
          <w:pgMar w:footer="1003" w:header="0" w:top="1360" w:bottom="1200" w:left="1600" w:right="1580"/>
          <w:pgNumType w:start="61"/>
        </w:sectPr>
      </w:pPr>
    </w:p>
    <w:p>
      <w:pPr>
        <w:spacing w:line="206" w:lineRule="exact" w:before="0"/>
        <w:ind w:left="754" w:right="0" w:firstLine="0"/>
        <w:jc w:val="left"/>
        <w:rPr>
          <w:sz w:val="18"/>
        </w:rPr>
      </w:pPr>
      <w:r>
        <w:rPr>
          <w:sz w:val="18"/>
        </w:rPr>
        <w:t>*Significancia &lt;0.05 en la prueba T de Student para muestras</w:t>
      </w:r>
      <w:r>
        <w:rPr>
          <w:spacing w:val="-32"/>
          <w:sz w:val="18"/>
        </w:rPr>
        <w:t> </w:t>
      </w:r>
      <w:r>
        <w:rPr>
          <w:sz w:val="18"/>
        </w:rPr>
        <w:t>independientes</w:t>
      </w:r>
    </w:p>
    <w:p>
      <w:pPr>
        <w:pStyle w:val="BodyText"/>
        <w:spacing w:before="7"/>
        <w:rPr>
          <w:sz w:val="20"/>
        </w:rPr>
      </w:pPr>
      <w:r>
        <w:rPr/>
        <w:br w:type="column"/>
      </w:r>
      <w:r>
        <w:rPr>
          <w:sz w:val="20"/>
        </w:rPr>
      </w:r>
    </w:p>
    <w:p>
      <w:pPr>
        <w:spacing w:before="0"/>
        <w:ind w:left="125" w:right="0" w:firstLine="0"/>
        <w:jc w:val="left"/>
        <w:rPr>
          <w:sz w:val="20"/>
        </w:rPr>
      </w:pPr>
      <w:r>
        <w:rPr>
          <w:sz w:val="20"/>
        </w:rPr>
        <w:t>Fuente: Directa.</w:t>
      </w:r>
    </w:p>
    <w:p>
      <w:pPr>
        <w:spacing w:after="0"/>
        <w:jc w:val="left"/>
        <w:rPr>
          <w:sz w:val="20"/>
        </w:rPr>
        <w:sectPr>
          <w:type w:val="continuous"/>
          <w:pgSz w:w="12240" w:h="15840"/>
          <w:pgMar w:top="1100" w:bottom="280" w:left="1600" w:right="1580"/>
          <w:cols w:num="2" w:equalWidth="0">
            <w:col w:w="6939" w:space="40"/>
            <w:col w:w="2081"/>
          </w:cols>
        </w:sectPr>
      </w:pPr>
    </w:p>
    <w:p>
      <w:pPr>
        <w:pStyle w:val="BodyText"/>
        <w:spacing w:before="9"/>
        <w:rPr>
          <w:sz w:val="16"/>
        </w:rPr>
      </w:pPr>
    </w:p>
    <w:p>
      <w:pPr>
        <w:pStyle w:val="Heading3"/>
        <w:tabs>
          <w:tab w:pos="821" w:val="left" w:leader="none"/>
        </w:tabs>
        <w:spacing w:before="70"/>
        <w:ind w:right="139"/>
      </w:pPr>
      <w:r>
        <w:rPr>
          <w:b w:val="0"/>
        </w:rPr>
        <w:t>-</w:t>
        <w:tab/>
      </w:r>
      <w:r>
        <w:rPr/>
        <w:t>Diferencias entre grupos de edad y</w:t>
      </w:r>
      <w:r>
        <w:rPr>
          <w:spacing w:val="-12"/>
        </w:rPr>
        <w:t> </w:t>
      </w:r>
      <w:r>
        <w:rPr/>
        <w:t>sexo</w:t>
      </w:r>
    </w:p>
    <w:p>
      <w:pPr>
        <w:pStyle w:val="BodyText"/>
        <w:spacing w:before="1"/>
        <w:rPr>
          <w:b/>
          <w:sz w:val="31"/>
        </w:rPr>
      </w:pPr>
    </w:p>
    <w:p>
      <w:pPr>
        <w:pStyle w:val="BodyText"/>
        <w:spacing w:line="360" w:lineRule="auto"/>
        <w:ind w:left="102" w:right="114"/>
        <w:jc w:val="both"/>
      </w:pPr>
      <w:r>
        <w:rPr/>
        <w:t>En la Tabla 4 para el grupo 1 de 15 a 17 años de edad, la medida del ángulo formado por el plano mandibular (MP) y el plano AB (AB), </w:t>
      </w:r>
      <w:r>
        <w:rPr>
          <w:spacing w:val="2"/>
        </w:rPr>
        <w:t>que </w:t>
      </w:r>
      <w:r>
        <w:rPr/>
        <w:t>relaciona ambos maxilares con el plano mandibular y forma parte de las mediciones requeridas  para la obtención del Indicador de Sobremordida Vertical, la media aritmética obtenida para el sexo masculino fue 70.97° </w:t>
      </w:r>
      <w:r>
        <w:rPr>
          <w:u w:val="single"/>
        </w:rPr>
        <w:t>+ </w:t>
      </w:r>
      <w:r>
        <w:rPr/>
        <w:t>de 3.10 y para el femenino 69.62° </w:t>
      </w:r>
      <w:r>
        <w:rPr>
          <w:spacing w:val="56"/>
        </w:rPr>
        <w:t> </w:t>
      </w:r>
      <w:r>
        <w:rPr>
          <w:u w:val="single"/>
        </w:rPr>
        <w:t>+</w:t>
      </w:r>
    </w:p>
    <w:p>
      <w:pPr>
        <w:pStyle w:val="BodyText"/>
        <w:spacing w:line="360" w:lineRule="auto" w:before="5"/>
        <w:ind w:left="102" w:right="117"/>
        <w:jc w:val="both"/>
      </w:pPr>
      <w:r>
        <w:rPr/>
        <w:t>3.52 y en el grupo 2 los valores obtenidos son 71.41° + de 3.73 y 69.08° + 3.74 respectivamente para cada sexo.</w:t>
      </w:r>
    </w:p>
    <w:p>
      <w:pPr>
        <w:spacing w:after="0" w:line="360" w:lineRule="auto"/>
        <w:jc w:val="both"/>
        <w:sectPr>
          <w:type w:val="continuous"/>
          <w:pgSz w:w="12240" w:h="15840"/>
          <w:pgMar w:top="1100" w:bottom="280" w:left="1600" w:right="1580"/>
        </w:sectPr>
      </w:pPr>
    </w:p>
    <w:p>
      <w:pPr>
        <w:pStyle w:val="BodyText"/>
        <w:spacing w:line="360" w:lineRule="auto" w:before="54"/>
        <w:ind w:left="102" w:right="115"/>
        <w:jc w:val="both"/>
      </w:pPr>
      <w:r>
        <w:rPr/>
        <w:t>El ángulo formado por el plano de Frankfort (FH) y el plano palatino (PP), con la que se puede valorar la inclinación del plano palatino y también es una de las medidas requeridas para la obtención del ODI, en el grupo 1 la media aritmética que obtuvo el sexo masculino fue de 0.88° </w:t>
      </w:r>
      <w:r>
        <w:rPr>
          <w:u w:val="single"/>
        </w:rPr>
        <w:t>+ </w:t>
      </w:r>
      <w:r>
        <w:rPr/>
        <w:t>2.70 y para el femenino 1.59° </w:t>
      </w:r>
      <w:r>
        <w:rPr>
          <w:u w:val="single"/>
        </w:rPr>
        <w:t>+ </w:t>
      </w:r>
      <w:r>
        <w:rPr/>
        <w:t>3.15, mientras que para el grupo 2 para el sexo masculino fue de 1.58° </w:t>
      </w:r>
      <w:r>
        <w:rPr>
          <w:u w:val="single"/>
        </w:rPr>
        <w:t>+ </w:t>
      </w:r>
      <w:r>
        <w:rPr/>
        <w:t>3.20 y para el femenino 1.26° </w:t>
      </w:r>
      <w:r>
        <w:rPr>
          <w:u w:val="single"/>
        </w:rPr>
        <w:t>+ </w:t>
      </w:r>
      <w:r>
        <w:rPr/>
        <w:t>2.69.</w:t>
      </w:r>
    </w:p>
    <w:p>
      <w:pPr>
        <w:pStyle w:val="BodyText"/>
        <w:rPr>
          <w:sz w:val="20"/>
        </w:rPr>
      </w:pPr>
    </w:p>
    <w:p>
      <w:pPr>
        <w:pStyle w:val="BodyText"/>
        <w:spacing w:line="360" w:lineRule="auto" w:before="188"/>
        <w:ind w:left="102" w:right="116"/>
        <w:jc w:val="both"/>
      </w:pPr>
      <w:r>
        <w:rPr/>
        <w:t>En el ángulo formado por el plano de Frankfort (FH) y el plano facial (FP), que establece la posición de la mandíbula en relación al plano de Frankfort y que es una de las medidas requeridas para la obtención del Índice de  Discrepancia Antero Posterior (APDI), para el grupo 1 la media aritmética para el sexo  masculino fue de 88.64° </w:t>
      </w:r>
      <w:r>
        <w:rPr>
          <w:u w:val="single"/>
        </w:rPr>
        <w:t>+ </w:t>
      </w:r>
      <w:r>
        <w:rPr/>
        <w:t>1.96 y para el femenino 89.14 </w:t>
      </w:r>
      <w:r>
        <w:rPr>
          <w:u w:val="single"/>
        </w:rPr>
        <w:t>+ </w:t>
      </w:r>
      <w:r>
        <w:rPr/>
        <w:t>2.96; en el grupo 2</w:t>
      </w:r>
      <w:r>
        <w:rPr>
          <w:spacing w:val="-37"/>
        </w:rPr>
        <w:t> </w:t>
      </w:r>
      <w:r>
        <w:rPr/>
        <w:t>para el sexo masculino fue de 87.89° + 2.58 y para el femenino 88.26 +</w:t>
      </w:r>
      <w:r>
        <w:rPr>
          <w:spacing w:val="-32"/>
        </w:rPr>
        <w:t> </w:t>
      </w:r>
      <w:r>
        <w:rPr/>
        <w:t>2.77.</w:t>
      </w:r>
    </w:p>
    <w:p>
      <w:pPr>
        <w:pStyle w:val="BodyText"/>
      </w:pPr>
    </w:p>
    <w:p>
      <w:pPr>
        <w:pStyle w:val="BodyText"/>
        <w:spacing w:line="360" w:lineRule="auto" w:before="142"/>
        <w:ind w:left="102" w:right="112"/>
        <w:jc w:val="both"/>
      </w:pPr>
      <w:r>
        <w:rPr/>
        <w:t>La segunda medida requerida por el análisis de Kim para obtener el APDI es el ángulo formado por el plano facial (FP) y el plano AB (AB), que relaciona ambos maxilares con el plano facial, obtuvo para el grupo 1, una media aritmética de - 5.32° </w:t>
      </w:r>
      <w:r>
        <w:rPr>
          <w:u w:val="single"/>
        </w:rPr>
        <w:t>+ </w:t>
      </w:r>
      <w:r>
        <w:rPr/>
        <w:t>1.65 para el sexo masculino y para el femenino de -3.89° </w:t>
      </w:r>
      <w:r>
        <w:rPr>
          <w:u w:val="single"/>
        </w:rPr>
        <w:t>+ </w:t>
      </w:r>
      <w:r>
        <w:rPr/>
        <w:t>3.07, mientras que en el grupo 2 de-5.17° + 3.50 para el sexo masculino y para el femenino de - 5.48° + 2.65.</w:t>
      </w:r>
    </w:p>
    <w:p>
      <w:pPr>
        <w:pStyle w:val="BodyText"/>
      </w:pPr>
    </w:p>
    <w:p>
      <w:pPr>
        <w:pStyle w:val="BodyText"/>
        <w:spacing w:line="360" w:lineRule="auto" w:before="142"/>
        <w:ind w:left="102" w:right="116"/>
        <w:jc w:val="both"/>
      </w:pPr>
      <w:r>
        <w:rPr/>
        <w:t>Para el Indicador de Sobremordida Vertical (ODI), que es capaz de mostrar las relaciones craneofaciales en sentido vertical, los resultados de la media en el  grupo 1 fueron 71.85° </w:t>
      </w:r>
      <w:r>
        <w:rPr>
          <w:u w:val="single"/>
        </w:rPr>
        <w:t>+ </w:t>
      </w:r>
      <w:r>
        <w:rPr/>
        <w:t>4.57 para el sexo masculino y 71.21° </w:t>
      </w:r>
      <w:r>
        <w:rPr>
          <w:u w:val="single"/>
        </w:rPr>
        <w:t>+ </w:t>
      </w:r>
      <w:r>
        <w:rPr/>
        <w:t>5.10 para el femenino y en el grupo 2 se obtuvo una media de 73° </w:t>
      </w:r>
      <w:r>
        <w:rPr>
          <w:u w:val="single"/>
        </w:rPr>
        <w:t>+ </w:t>
      </w:r>
      <w:r>
        <w:rPr/>
        <w:t>4.97 para el sexo masculino y 70.34° </w:t>
      </w:r>
      <w:r>
        <w:rPr>
          <w:u w:val="single"/>
        </w:rPr>
        <w:t>+ </w:t>
      </w:r>
      <w:r>
        <w:rPr/>
        <w:t>4.60 para el</w:t>
      </w:r>
      <w:r>
        <w:rPr>
          <w:spacing w:val="-13"/>
        </w:rPr>
        <w:t> </w:t>
      </w:r>
      <w:r>
        <w:rPr/>
        <w:t>femenino</w:t>
      </w:r>
    </w:p>
    <w:p>
      <w:pPr>
        <w:pStyle w:val="BodyText"/>
        <w:rPr>
          <w:sz w:val="20"/>
        </w:rPr>
      </w:pPr>
    </w:p>
    <w:p>
      <w:pPr>
        <w:pStyle w:val="BodyText"/>
        <w:spacing w:line="360" w:lineRule="auto" w:before="188"/>
        <w:ind w:left="102" w:right="114"/>
      </w:pPr>
      <w:r>
        <w:rPr/>
        <w:t>El Indicador de Discrepancia Antero Posterior (APDI) con la que es posible  obtener</w:t>
      </w:r>
      <w:r>
        <w:rPr>
          <w:spacing w:val="44"/>
        </w:rPr>
        <w:t> </w:t>
      </w:r>
      <w:r>
        <w:rPr/>
        <w:t>las</w:t>
      </w:r>
      <w:r>
        <w:rPr>
          <w:spacing w:val="46"/>
        </w:rPr>
        <w:t> </w:t>
      </w:r>
      <w:r>
        <w:rPr/>
        <w:t>relaciones</w:t>
      </w:r>
      <w:r>
        <w:rPr>
          <w:spacing w:val="43"/>
        </w:rPr>
        <w:t> </w:t>
      </w:r>
      <w:r>
        <w:rPr/>
        <w:t>craneofaciales</w:t>
      </w:r>
      <w:r>
        <w:rPr>
          <w:spacing w:val="45"/>
        </w:rPr>
        <w:t> </w:t>
      </w:r>
      <w:r>
        <w:rPr/>
        <w:t>generales</w:t>
      </w:r>
      <w:r>
        <w:rPr>
          <w:spacing w:val="46"/>
        </w:rPr>
        <w:t> </w:t>
      </w:r>
      <w:r>
        <w:rPr/>
        <w:t>en</w:t>
      </w:r>
      <w:r>
        <w:rPr>
          <w:spacing w:val="46"/>
        </w:rPr>
        <w:t> </w:t>
      </w:r>
      <w:r>
        <w:rPr/>
        <w:t>sentido</w:t>
      </w:r>
      <w:r>
        <w:rPr>
          <w:spacing w:val="46"/>
        </w:rPr>
        <w:t> </w:t>
      </w:r>
      <w:r>
        <w:rPr/>
        <w:t>horizontal,</w:t>
      </w:r>
      <w:r>
        <w:rPr>
          <w:spacing w:val="43"/>
        </w:rPr>
        <w:t> </w:t>
      </w:r>
      <w:r>
        <w:rPr/>
        <w:t>84.20°</w:t>
      </w:r>
      <w:r>
        <w:rPr>
          <w:spacing w:val="53"/>
        </w:rPr>
        <w:t> </w:t>
      </w:r>
      <w:r>
        <w:rPr>
          <w:u w:val="single"/>
        </w:rPr>
        <w:t>+</w:t>
      </w:r>
    </w:p>
    <w:p>
      <w:pPr>
        <w:pStyle w:val="ListParagraph"/>
        <w:numPr>
          <w:ilvl w:val="1"/>
          <w:numId w:val="28"/>
        </w:numPr>
        <w:tabs>
          <w:tab w:pos="637" w:val="left" w:leader="none"/>
        </w:tabs>
        <w:spacing w:line="240" w:lineRule="auto" w:before="2" w:after="0"/>
        <w:ind w:left="636" w:right="0" w:hanging="534"/>
        <w:jc w:val="left"/>
        <w:rPr>
          <w:sz w:val="24"/>
        </w:rPr>
      </w:pPr>
      <w:r>
        <w:rPr>
          <w:sz w:val="24"/>
        </w:rPr>
        <w:t>fue la media para el sexo masculino, mientras que para el femenino de</w:t>
      </w:r>
      <w:r>
        <w:rPr>
          <w:spacing w:val="-27"/>
          <w:sz w:val="24"/>
        </w:rPr>
        <w:t> </w:t>
      </w:r>
      <w:r>
        <w:rPr>
          <w:sz w:val="24"/>
        </w:rPr>
        <w:t>86.84°</w:t>
      </w:r>
    </w:p>
    <w:p>
      <w:pPr>
        <w:spacing w:after="0" w:line="240" w:lineRule="auto"/>
        <w:jc w:val="left"/>
        <w:rPr>
          <w:sz w:val="24"/>
        </w:rPr>
        <w:sectPr>
          <w:pgSz w:w="12240" w:h="15840"/>
          <w:pgMar w:header="0" w:footer="1003" w:top="1360" w:bottom="1200" w:left="1600" w:right="1580"/>
        </w:sectPr>
      </w:pPr>
    </w:p>
    <w:p>
      <w:pPr>
        <w:pStyle w:val="BodyText"/>
        <w:spacing w:line="362" w:lineRule="auto" w:before="54"/>
        <w:ind w:left="222" w:right="237"/>
        <w:jc w:val="both"/>
      </w:pPr>
      <w:r>
        <w:rPr>
          <w:u w:val="single"/>
        </w:rPr>
        <w:t>+ </w:t>
      </w:r>
      <w:r>
        <w:rPr/>
        <w:t>3.96 en el grupo 1 y en el grupo 2 se obtuvo 84.30° + 5.29 para el sexo masculino y 84.04° + 4.67 para el femenino.</w:t>
      </w:r>
    </w:p>
    <w:p>
      <w:pPr>
        <w:pStyle w:val="BodyText"/>
        <w:spacing w:line="360" w:lineRule="auto" w:before="201"/>
        <w:ind w:left="222" w:right="237"/>
        <w:jc w:val="both"/>
      </w:pPr>
      <w:r>
        <w:rPr/>
        <w:t>Se encontraron diferencias significativas según la prueba T de Student por sexo  en el grupo de 15 a 17 años de edad, en el Índice de Discrepancia Antero  Posterior (APDI), y en el grupo de mayores de 18 años de edad, se encontró </w:t>
      </w:r>
      <w:r>
        <w:rPr>
          <w:spacing w:val="-2"/>
        </w:rPr>
        <w:t>una </w:t>
      </w:r>
      <w:r>
        <w:rPr/>
        <w:t>diferencia significativa en el ángulo</w:t>
      </w:r>
      <w:r>
        <w:rPr>
          <w:spacing w:val="-12"/>
        </w:rPr>
        <w:t> </w:t>
      </w:r>
      <w:r>
        <w:rPr/>
        <w:t>MP-AB.</w:t>
      </w:r>
    </w:p>
    <w:p>
      <w:pPr>
        <w:pStyle w:val="BodyText"/>
        <w:spacing w:line="360" w:lineRule="auto" w:before="204"/>
        <w:ind w:left="222" w:right="241"/>
        <w:jc w:val="both"/>
      </w:pPr>
      <w:r>
        <w:rPr/>
        <w:t>No se observaron diferencias significativas en los demás parámetros cefalométricos.</w:t>
      </w:r>
    </w:p>
    <w:p>
      <w:pPr>
        <w:spacing w:before="206"/>
        <w:ind w:left="1844" w:right="0" w:firstLine="0"/>
        <w:jc w:val="left"/>
        <w:rPr>
          <w:sz w:val="20"/>
        </w:rPr>
      </w:pPr>
      <w:r>
        <w:rPr>
          <w:sz w:val="20"/>
        </w:rPr>
        <w:t>Tabla 4. Media y prueba T por sexo en ambos grupos de edad.</w:t>
      </w:r>
    </w:p>
    <w:p>
      <w:pPr>
        <w:pStyle w:val="BodyText"/>
        <w:spacing w:before="6"/>
        <w:rPr>
          <w:sz w:val="20"/>
        </w:rPr>
      </w:pPr>
    </w:p>
    <w:tbl>
      <w:tblPr>
        <w:tblW w:w="0" w:type="auto"/>
        <w:jc w:val="left"/>
        <w:tblInd w:w="104" w:type="dxa"/>
        <w:tblBorders>
          <w:top w:val="single" w:sz="8" w:space="0" w:color="4AACC5"/>
          <w:left w:val="single" w:sz="8" w:space="0" w:color="4AACC5"/>
          <w:bottom w:val="single" w:sz="8" w:space="0" w:color="4AACC5"/>
          <w:right w:val="single" w:sz="8" w:space="0" w:color="4AACC5"/>
          <w:insideH w:val="single" w:sz="8" w:space="0" w:color="4AACC5"/>
          <w:insideV w:val="single" w:sz="8" w:space="0" w:color="4AACC5"/>
        </w:tblBorders>
        <w:tblLayout w:type="fixed"/>
        <w:tblCellMar>
          <w:top w:w="0" w:type="dxa"/>
          <w:left w:w="0" w:type="dxa"/>
          <w:bottom w:w="0" w:type="dxa"/>
          <w:right w:w="0" w:type="dxa"/>
        </w:tblCellMar>
        <w:tblLook w:val="01E0"/>
      </w:tblPr>
      <w:tblGrid>
        <w:gridCol w:w="1411"/>
        <w:gridCol w:w="718"/>
        <w:gridCol w:w="697"/>
        <w:gridCol w:w="703"/>
        <w:gridCol w:w="658"/>
        <w:gridCol w:w="1088"/>
        <w:gridCol w:w="674"/>
        <w:gridCol w:w="696"/>
        <w:gridCol w:w="674"/>
        <w:gridCol w:w="687"/>
        <w:gridCol w:w="1051"/>
      </w:tblGrid>
      <w:tr>
        <w:trPr>
          <w:trHeight w:val="330" w:hRule="exact"/>
        </w:trPr>
        <w:tc>
          <w:tcPr>
            <w:tcW w:w="1411" w:type="dxa"/>
            <w:tcBorders>
              <w:bottom w:val="single" w:sz="17" w:space="0" w:color="4AACC5"/>
            </w:tcBorders>
          </w:tcPr>
          <w:p>
            <w:pPr/>
          </w:p>
        </w:tc>
        <w:tc>
          <w:tcPr>
            <w:tcW w:w="3863" w:type="dxa"/>
            <w:gridSpan w:val="5"/>
            <w:tcBorders>
              <w:bottom w:val="single" w:sz="17" w:space="0" w:color="4AACC5"/>
            </w:tcBorders>
          </w:tcPr>
          <w:p>
            <w:pPr>
              <w:pStyle w:val="TableParagraph"/>
              <w:spacing w:line="258" w:lineRule="exact"/>
              <w:ind w:left="938"/>
              <w:jc w:val="left"/>
              <w:rPr>
                <w:rFonts w:ascii="Cambria" w:hAnsi="Cambria"/>
                <w:b/>
                <w:sz w:val="22"/>
              </w:rPr>
            </w:pPr>
            <w:r>
              <w:rPr>
                <w:rFonts w:ascii="Cambria" w:hAnsi="Cambria"/>
                <w:b/>
                <w:sz w:val="22"/>
              </w:rPr>
              <w:t>15-17 años de edad</w:t>
            </w:r>
          </w:p>
        </w:tc>
        <w:tc>
          <w:tcPr>
            <w:tcW w:w="3783" w:type="dxa"/>
            <w:gridSpan w:val="5"/>
            <w:tcBorders>
              <w:bottom w:val="single" w:sz="17" w:space="0" w:color="4AACC5"/>
            </w:tcBorders>
          </w:tcPr>
          <w:p>
            <w:pPr>
              <w:pStyle w:val="TableParagraph"/>
              <w:spacing w:line="258" w:lineRule="exact"/>
              <w:ind w:left="458"/>
              <w:jc w:val="left"/>
              <w:rPr>
                <w:rFonts w:ascii="Cambria" w:hAnsi="Cambria"/>
                <w:b/>
                <w:sz w:val="22"/>
              </w:rPr>
            </w:pPr>
            <w:r>
              <w:rPr>
                <w:rFonts w:ascii="Cambria" w:hAnsi="Cambria"/>
                <w:b/>
                <w:sz w:val="22"/>
              </w:rPr>
              <w:t>Mayores de 18 años de edad</w:t>
            </w:r>
          </w:p>
        </w:tc>
      </w:tr>
      <w:tr>
        <w:trPr>
          <w:trHeight w:val="340" w:hRule="exact"/>
        </w:trPr>
        <w:tc>
          <w:tcPr>
            <w:tcW w:w="1411" w:type="dxa"/>
            <w:tcBorders>
              <w:top w:val="single" w:sz="17" w:space="0" w:color="4AACC5"/>
            </w:tcBorders>
            <w:shd w:val="clear" w:color="auto" w:fill="D2EAF0"/>
          </w:tcPr>
          <w:p>
            <w:pPr>
              <w:pStyle w:val="TableParagraph"/>
              <w:spacing w:before="1"/>
              <w:ind w:left="79" w:right="80"/>
              <w:rPr>
                <w:rFonts w:ascii="Cambria" w:hAnsi="Cambria"/>
                <w:b/>
                <w:sz w:val="22"/>
              </w:rPr>
            </w:pPr>
            <w:r>
              <w:rPr>
                <w:rFonts w:ascii="Cambria" w:hAnsi="Cambria"/>
                <w:b/>
                <w:sz w:val="22"/>
              </w:rPr>
              <w:t>Parámetros</w:t>
            </w:r>
          </w:p>
        </w:tc>
        <w:tc>
          <w:tcPr>
            <w:tcW w:w="1414" w:type="dxa"/>
            <w:gridSpan w:val="2"/>
            <w:tcBorders>
              <w:top w:val="single" w:sz="17" w:space="0" w:color="4AACC5"/>
            </w:tcBorders>
            <w:shd w:val="clear" w:color="auto" w:fill="D2EAF0"/>
          </w:tcPr>
          <w:p>
            <w:pPr>
              <w:pStyle w:val="TableParagraph"/>
              <w:spacing w:line="267" w:lineRule="exact"/>
              <w:ind w:left="235"/>
              <w:jc w:val="left"/>
              <w:rPr>
                <w:rFonts w:ascii="Calibri"/>
                <w:sz w:val="22"/>
              </w:rPr>
            </w:pPr>
            <w:r>
              <w:rPr>
                <w:rFonts w:ascii="Calibri"/>
                <w:sz w:val="22"/>
              </w:rPr>
              <w:t>Masculino</w:t>
            </w:r>
          </w:p>
        </w:tc>
        <w:tc>
          <w:tcPr>
            <w:tcW w:w="1361" w:type="dxa"/>
            <w:gridSpan w:val="2"/>
            <w:tcBorders>
              <w:top w:val="single" w:sz="17" w:space="0" w:color="4AACC5"/>
            </w:tcBorders>
            <w:shd w:val="clear" w:color="auto" w:fill="D2EAF0"/>
          </w:tcPr>
          <w:p>
            <w:pPr>
              <w:pStyle w:val="TableParagraph"/>
              <w:spacing w:line="267" w:lineRule="exact"/>
              <w:ind w:left="220"/>
              <w:jc w:val="left"/>
              <w:rPr>
                <w:rFonts w:ascii="Calibri"/>
                <w:sz w:val="22"/>
              </w:rPr>
            </w:pPr>
            <w:r>
              <w:rPr>
                <w:rFonts w:ascii="Calibri"/>
                <w:sz w:val="22"/>
              </w:rPr>
              <w:t>Femenino</w:t>
            </w:r>
          </w:p>
        </w:tc>
        <w:tc>
          <w:tcPr>
            <w:tcW w:w="1088" w:type="dxa"/>
            <w:tcBorders>
              <w:top w:val="single" w:sz="17" w:space="0" w:color="4AACC5"/>
            </w:tcBorders>
            <w:shd w:val="clear" w:color="auto" w:fill="D2EAF0"/>
          </w:tcPr>
          <w:p>
            <w:pPr>
              <w:pStyle w:val="TableParagraph"/>
              <w:spacing w:line="267" w:lineRule="exact"/>
              <w:rPr>
                <w:rFonts w:ascii="Calibri"/>
                <w:sz w:val="22"/>
              </w:rPr>
            </w:pPr>
            <w:r>
              <w:rPr>
                <w:rFonts w:ascii="Calibri"/>
                <w:w w:val="100"/>
                <w:sz w:val="22"/>
              </w:rPr>
              <w:t>P</w:t>
            </w:r>
          </w:p>
        </w:tc>
        <w:tc>
          <w:tcPr>
            <w:tcW w:w="1370" w:type="dxa"/>
            <w:gridSpan w:val="2"/>
            <w:tcBorders>
              <w:top w:val="single" w:sz="17" w:space="0" w:color="4AACC5"/>
            </w:tcBorders>
            <w:shd w:val="clear" w:color="auto" w:fill="D2EAF0"/>
          </w:tcPr>
          <w:p>
            <w:pPr>
              <w:pStyle w:val="TableParagraph"/>
              <w:spacing w:line="267" w:lineRule="exact"/>
              <w:ind w:left="211"/>
              <w:jc w:val="left"/>
              <w:rPr>
                <w:rFonts w:ascii="Calibri"/>
                <w:sz w:val="22"/>
              </w:rPr>
            </w:pPr>
            <w:r>
              <w:rPr>
                <w:rFonts w:ascii="Calibri"/>
                <w:sz w:val="22"/>
              </w:rPr>
              <w:t>Masculino</w:t>
            </w:r>
          </w:p>
        </w:tc>
        <w:tc>
          <w:tcPr>
            <w:tcW w:w="1361" w:type="dxa"/>
            <w:gridSpan w:val="2"/>
            <w:tcBorders>
              <w:top w:val="single" w:sz="17" w:space="0" w:color="4AACC5"/>
            </w:tcBorders>
            <w:shd w:val="clear" w:color="auto" w:fill="D2EAF0"/>
          </w:tcPr>
          <w:p>
            <w:pPr>
              <w:pStyle w:val="TableParagraph"/>
              <w:spacing w:line="267" w:lineRule="exact"/>
              <w:ind w:left="220"/>
              <w:jc w:val="left"/>
              <w:rPr>
                <w:rFonts w:ascii="Calibri"/>
                <w:sz w:val="22"/>
              </w:rPr>
            </w:pPr>
            <w:r>
              <w:rPr>
                <w:rFonts w:ascii="Calibri"/>
                <w:sz w:val="22"/>
              </w:rPr>
              <w:t>Femenino</w:t>
            </w:r>
          </w:p>
        </w:tc>
        <w:tc>
          <w:tcPr>
            <w:tcW w:w="1051" w:type="dxa"/>
            <w:tcBorders>
              <w:top w:val="single" w:sz="17" w:space="0" w:color="4AACC5"/>
            </w:tcBorders>
            <w:shd w:val="clear" w:color="auto" w:fill="D2EAF0"/>
          </w:tcPr>
          <w:p>
            <w:pPr>
              <w:pStyle w:val="TableParagraph"/>
              <w:spacing w:line="267" w:lineRule="exact"/>
              <w:ind w:right="3"/>
              <w:rPr>
                <w:rFonts w:ascii="Calibri"/>
                <w:sz w:val="22"/>
              </w:rPr>
            </w:pPr>
            <w:r>
              <w:rPr>
                <w:rFonts w:ascii="Calibri"/>
                <w:w w:val="100"/>
                <w:sz w:val="22"/>
              </w:rPr>
              <w:t>P</w:t>
            </w:r>
          </w:p>
        </w:tc>
      </w:tr>
      <w:tr>
        <w:trPr>
          <w:trHeight w:val="330" w:hRule="exact"/>
        </w:trPr>
        <w:tc>
          <w:tcPr>
            <w:tcW w:w="1411" w:type="dxa"/>
          </w:tcPr>
          <w:p>
            <w:pPr/>
          </w:p>
        </w:tc>
        <w:tc>
          <w:tcPr>
            <w:tcW w:w="718" w:type="dxa"/>
          </w:tcPr>
          <w:p>
            <w:pPr>
              <w:pStyle w:val="TableParagraph"/>
              <w:spacing w:before="1"/>
              <w:ind w:left="141"/>
              <w:jc w:val="left"/>
              <w:rPr>
                <w:rFonts w:ascii="Calibri"/>
                <w:i/>
                <w:sz w:val="16"/>
              </w:rPr>
            </w:pPr>
            <w:r>
              <w:rPr>
                <w:rFonts w:ascii="Calibri"/>
                <w:i/>
                <w:sz w:val="16"/>
              </w:rPr>
              <w:t>Media</w:t>
            </w:r>
          </w:p>
        </w:tc>
        <w:tc>
          <w:tcPr>
            <w:tcW w:w="697" w:type="dxa"/>
          </w:tcPr>
          <w:p>
            <w:pPr>
              <w:pStyle w:val="TableParagraph"/>
              <w:spacing w:before="1"/>
              <w:ind w:left="140" w:right="139"/>
              <w:rPr>
                <w:rFonts w:ascii="Calibri"/>
                <w:sz w:val="16"/>
              </w:rPr>
            </w:pPr>
            <w:r>
              <w:rPr>
                <w:rFonts w:ascii="Calibri"/>
                <w:sz w:val="16"/>
              </w:rPr>
              <w:t>D.E</w:t>
            </w:r>
          </w:p>
        </w:tc>
        <w:tc>
          <w:tcPr>
            <w:tcW w:w="703" w:type="dxa"/>
          </w:tcPr>
          <w:p>
            <w:pPr>
              <w:pStyle w:val="TableParagraph"/>
              <w:spacing w:before="1"/>
              <w:ind w:left="93" w:right="93"/>
              <w:rPr>
                <w:rFonts w:ascii="Calibri"/>
                <w:sz w:val="16"/>
              </w:rPr>
            </w:pPr>
            <w:r>
              <w:rPr>
                <w:rFonts w:ascii="Calibri"/>
                <w:sz w:val="16"/>
              </w:rPr>
              <w:t>Media</w:t>
            </w:r>
          </w:p>
        </w:tc>
        <w:tc>
          <w:tcPr>
            <w:tcW w:w="658" w:type="dxa"/>
          </w:tcPr>
          <w:p>
            <w:pPr>
              <w:pStyle w:val="TableParagraph"/>
              <w:spacing w:before="1"/>
              <w:ind w:left="119" w:right="120"/>
              <w:rPr>
                <w:rFonts w:ascii="Calibri"/>
                <w:sz w:val="16"/>
              </w:rPr>
            </w:pPr>
            <w:r>
              <w:rPr>
                <w:rFonts w:ascii="Calibri"/>
                <w:sz w:val="16"/>
              </w:rPr>
              <w:t>D.E</w:t>
            </w:r>
          </w:p>
        </w:tc>
        <w:tc>
          <w:tcPr>
            <w:tcW w:w="1088" w:type="dxa"/>
          </w:tcPr>
          <w:p>
            <w:pPr/>
          </w:p>
        </w:tc>
        <w:tc>
          <w:tcPr>
            <w:tcW w:w="674" w:type="dxa"/>
          </w:tcPr>
          <w:p>
            <w:pPr>
              <w:pStyle w:val="TableParagraph"/>
              <w:spacing w:before="1"/>
              <w:ind w:left="76" w:right="80"/>
              <w:rPr>
                <w:rFonts w:ascii="Calibri"/>
                <w:i/>
                <w:sz w:val="16"/>
              </w:rPr>
            </w:pPr>
            <w:r>
              <w:rPr>
                <w:rFonts w:ascii="Calibri"/>
                <w:i/>
                <w:sz w:val="16"/>
              </w:rPr>
              <w:t>Media</w:t>
            </w:r>
          </w:p>
        </w:tc>
        <w:tc>
          <w:tcPr>
            <w:tcW w:w="696" w:type="dxa"/>
          </w:tcPr>
          <w:p>
            <w:pPr>
              <w:pStyle w:val="TableParagraph"/>
              <w:spacing w:before="1"/>
              <w:ind w:left="140" w:right="139"/>
              <w:rPr>
                <w:rFonts w:ascii="Calibri"/>
                <w:sz w:val="16"/>
              </w:rPr>
            </w:pPr>
            <w:r>
              <w:rPr>
                <w:rFonts w:ascii="Calibri"/>
                <w:sz w:val="16"/>
              </w:rPr>
              <w:t>D.E</w:t>
            </w:r>
          </w:p>
        </w:tc>
        <w:tc>
          <w:tcPr>
            <w:tcW w:w="674" w:type="dxa"/>
          </w:tcPr>
          <w:p>
            <w:pPr>
              <w:pStyle w:val="TableParagraph"/>
              <w:spacing w:before="1"/>
              <w:ind w:left="117"/>
              <w:jc w:val="left"/>
              <w:rPr>
                <w:rFonts w:ascii="Calibri"/>
                <w:sz w:val="16"/>
              </w:rPr>
            </w:pPr>
            <w:r>
              <w:rPr>
                <w:rFonts w:ascii="Calibri"/>
                <w:sz w:val="16"/>
              </w:rPr>
              <w:t>Media</w:t>
            </w:r>
          </w:p>
        </w:tc>
        <w:tc>
          <w:tcPr>
            <w:tcW w:w="687" w:type="dxa"/>
          </w:tcPr>
          <w:p>
            <w:pPr>
              <w:pStyle w:val="TableParagraph"/>
              <w:spacing w:before="1"/>
              <w:ind w:right="224"/>
              <w:jc w:val="right"/>
              <w:rPr>
                <w:rFonts w:ascii="Calibri"/>
                <w:sz w:val="16"/>
              </w:rPr>
            </w:pPr>
            <w:r>
              <w:rPr>
                <w:rFonts w:ascii="Calibri"/>
                <w:sz w:val="16"/>
              </w:rPr>
              <w:t>D.E</w:t>
            </w:r>
          </w:p>
        </w:tc>
        <w:tc>
          <w:tcPr>
            <w:tcW w:w="1051" w:type="dxa"/>
          </w:tcPr>
          <w:p>
            <w:pPr/>
          </w:p>
        </w:tc>
      </w:tr>
      <w:tr>
        <w:trPr>
          <w:trHeight w:val="328" w:hRule="exact"/>
        </w:trPr>
        <w:tc>
          <w:tcPr>
            <w:tcW w:w="1411" w:type="dxa"/>
            <w:shd w:val="clear" w:color="auto" w:fill="D2EAF0"/>
          </w:tcPr>
          <w:p>
            <w:pPr>
              <w:pStyle w:val="TableParagraph"/>
              <w:spacing w:line="267" w:lineRule="exact"/>
              <w:ind w:left="79" w:right="78"/>
              <w:rPr>
                <w:rFonts w:ascii="Calibri"/>
                <w:b/>
                <w:i/>
                <w:sz w:val="22"/>
              </w:rPr>
            </w:pPr>
            <w:r>
              <w:rPr>
                <w:rFonts w:ascii="Calibri"/>
                <w:b/>
                <w:i/>
                <w:sz w:val="22"/>
              </w:rPr>
              <w:t>MP-AB</w:t>
            </w:r>
          </w:p>
        </w:tc>
        <w:tc>
          <w:tcPr>
            <w:tcW w:w="718" w:type="dxa"/>
            <w:shd w:val="clear" w:color="auto" w:fill="D2EAF0"/>
          </w:tcPr>
          <w:p>
            <w:pPr>
              <w:pStyle w:val="TableParagraph"/>
              <w:spacing w:line="267" w:lineRule="exact"/>
              <w:ind w:left="98"/>
              <w:jc w:val="left"/>
              <w:rPr>
                <w:rFonts w:ascii="Calibri"/>
                <w:sz w:val="22"/>
              </w:rPr>
            </w:pPr>
            <w:r>
              <w:rPr>
                <w:rFonts w:ascii="Calibri"/>
                <w:sz w:val="22"/>
              </w:rPr>
              <w:t>70.97</w:t>
            </w:r>
          </w:p>
        </w:tc>
        <w:tc>
          <w:tcPr>
            <w:tcW w:w="697" w:type="dxa"/>
            <w:shd w:val="clear" w:color="auto" w:fill="D2EAF0"/>
          </w:tcPr>
          <w:p>
            <w:pPr>
              <w:pStyle w:val="TableParagraph"/>
              <w:ind w:left="140" w:right="141"/>
              <w:rPr>
                <w:rFonts w:ascii="Calibri"/>
                <w:sz w:val="20"/>
              </w:rPr>
            </w:pPr>
            <w:r>
              <w:rPr>
                <w:rFonts w:ascii="Calibri"/>
                <w:sz w:val="20"/>
              </w:rPr>
              <w:t>3.10</w:t>
            </w:r>
          </w:p>
        </w:tc>
        <w:tc>
          <w:tcPr>
            <w:tcW w:w="703" w:type="dxa"/>
            <w:shd w:val="clear" w:color="auto" w:fill="D2EAF0"/>
          </w:tcPr>
          <w:p>
            <w:pPr>
              <w:pStyle w:val="TableParagraph"/>
              <w:ind w:left="93" w:right="95"/>
              <w:rPr>
                <w:rFonts w:ascii="Calibri"/>
                <w:i/>
                <w:sz w:val="20"/>
              </w:rPr>
            </w:pPr>
            <w:r>
              <w:rPr>
                <w:rFonts w:ascii="Calibri"/>
                <w:i/>
                <w:sz w:val="20"/>
              </w:rPr>
              <w:t>69.62</w:t>
            </w:r>
          </w:p>
        </w:tc>
        <w:tc>
          <w:tcPr>
            <w:tcW w:w="658" w:type="dxa"/>
            <w:shd w:val="clear" w:color="auto" w:fill="D2EAF0"/>
          </w:tcPr>
          <w:p>
            <w:pPr>
              <w:pStyle w:val="TableParagraph"/>
              <w:ind w:left="119" w:right="123"/>
              <w:rPr>
                <w:rFonts w:ascii="Calibri"/>
                <w:sz w:val="20"/>
              </w:rPr>
            </w:pPr>
            <w:r>
              <w:rPr>
                <w:rFonts w:ascii="Calibri"/>
                <w:sz w:val="20"/>
              </w:rPr>
              <w:t>3.52</w:t>
            </w:r>
          </w:p>
        </w:tc>
        <w:tc>
          <w:tcPr>
            <w:tcW w:w="1088" w:type="dxa"/>
            <w:shd w:val="clear" w:color="auto" w:fill="D2EAF0"/>
          </w:tcPr>
          <w:p>
            <w:pPr>
              <w:pStyle w:val="TableParagraph"/>
              <w:spacing w:line="267" w:lineRule="exact"/>
              <w:ind w:left="264" w:right="264"/>
              <w:rPr>
                <w:rFonts w:ascii="Calibri"/>
                <w:sz w:val="22"/>
              </w:rPr>
            </w:pPr>
            <w:r>
              <w:rPr>
                <w:rFonts w:ascii="Calibri"/>
                <w:sz w:val="22"/>
              </w:rPr>
              <w:t>.192</w:t>
            </w:r>
          </w:p>
        </w:tc>
        <w:tc>
          <w:tcPr>
            <w:tcW w:w="674" w:type="dxa"/>
            <w:shd w:val="clear" w:color="auto" w:fill="D2EAF0"/>
          </w:tcPr>
          <w:p>
            <w:pPr>
              <w:pStyle w:val="TableParagraph"/>
              <w:ind w:left="76" w:right="82"/>
              <w:rPr>
                <w:rFonts w:ascii="Calibri"/>
                <w:sz w:val="20"/>
              </w:rPr>
            </w:pPr>
            <w:r>
              <w:rPr>
                <w:rFonts w:ascii="Calibri"/>
                <w:sz w:val="20"/>
              </w:rPr>
              <w:t>71.41</w:t>
            </w:r>
          </w:p>
        </w:tc>
        <w:tc>
          <w:tcPr>
            <w:tcW w:w="696" w:type="dxa"/>
            <w:shd w:val="clear" w:color="auto" w:fill="D2EAF0"/>
          </w:tcPr>
          <w:p>
            <w:pPr>
              <w:pStyle w:val="TableParagraph"/>
              <w:ind w:left="140" w:right="141"/>
              <w:rPr>
                <w:rFonts w:ascii="Calibri"/>
                <w:sz w:val="20"/>
              </w:rPr>
            </w:pPr>
            <w:r>
              <w:rPr>
                <w:rFonts w:ascii="Calibri"/>
                <w:sz w:val="20"/>
              </w:rPr>
              <w:t>3.73</w:t>
            </w:r>
          </w:p>
        </w:tc>
        <w:tc>
          <w:tcPr>
            <w:tcW w:w="674" w:type="dxa"/>
            <w:shd w:val="clear" w:color="auto" w:fill="D2EAF0"/>
          </w:tcPr>
          <w:p>
            <w:pPr>
              <w:pStyle w:val="TableParagraph"/>
              <w:ind w:left="96"/>
              <w:jc w:val="left"/>
              <w:rPr>
                <w:rFonts w:ascii="Calibri"/>
                <w:sz w:val="20"/>
              </w:rPr>
            </w:pPr>
            <w:r>
              <w:rPr>
                <w:rFonts w:ascii="Calibri"/>
                <w:sz w:val="20"/>
              </w:rPr>
              <w:t>69.08</w:t>
            </w:r>
          </w:p>
        </w:tc>
        <w:tc>
          <w:tcPr>
            <w:tcW w:w="687" w:type="dxa"/>
            <w:shd w:val="clear" w:color="auto" w:fill="D2EAF0"/>
          </w:tcPr>
          <w:p>
            <w:pPr>
              <w:pStyle w:val="TableParagraph"/>
              <w:ind w:right="158"/>
              <w:jc w:val="right"/>
              <w:rPr>
                <w:rFonts w:ascii="Calibri"/>
                <w:sz w:val="20"/>
              </w:rPr>
            </w:pPr>
            <w:r>
              <w:rPr>
                <w:rFonts w:ascii="Calibri"/>
                <w:w w:val="95"/>
                <w:sz w:val="20"/>
              </w:rPr>
              <w:t>3.74</w:t>
            </w:r>
          </w:p>
        </w:tc>
        <w:tc>
          <w:tcPr>
            <w:tcW w:w="1051" w:type="dxa"/>
            <w:shd w:val="clear" w:color="auto" w:fill="D2EAF0"/>
          </w:tcPr>
          <w:p>
            <w:pPr>
              <w:pStyle w:val="TableParagraph"/>
              <w:spacing w:line="267" w:lineRule="exact"/>
              <w:ind w:left="246" w:right="246"/>
              <w:rPr>
                <w:rFonts w:ascii="Calibri"/>
                <w:sz w:val="22"/>
              </w:rPr>
            </w:pPr>
            <w:r>
              <w:rPr>
                <w:rFonts w:ascii="Calibri"/>
                <w:color w:val="FF0000"/>
                <w:sz w:val="22"/>
              </w:rPr>
              <w:t>.036*</w:t>
            </w:r>
          </w:p>
        </w:tc>
      </w:tr>
      <w:tr>
        <w:trPr>
          <w:trHeight w:val="330" w:hRule="exact"/>
        </w:trPr>
        <w:tc>
          <w:tcPr>
            <w:tcW w:w="1411" w:type="dxa"/>
          </w:tcPr>
          <w:p>
            <w:pPr>
              <w:pStyle w:val="TableParagraph"/>
              <w:spacing w:line="268" w:lineRule="exact"/>
              <w:ind w:left="79" w:right="79"/>
              <w:rPr>
                <w:rFonts w:ascii="Calibri"/>
                <w:b/>
                <w:i/>
                <w:sz w:val="22"/>
              </w:rPr>
            </w:pPr>
            <w:r>
              <w:rPr>
                <w:rFonts w:ascii="Calibri"/>
                <w:b/>
                <w:i/>
                <w:sz w:val="22"/>
              </w:rPr>
              <w:t>FH-PP</w:t>
            </w:r>
          </w:p>
        </w:tc>
        <w:tc>
          <w:tcPr>
            <w:tcW w:w="718" w:type="dxa"/>
          </w:tcPr>
          <w:p>
            <w:pPr>
              <w:pStyle w:val="TableParagraph"/>
              <w:spacing w:before="1"/>
              <w:ind w:left="170"/>
              <w:jc w:val="left"/>
              <w:rPr>
                <w:rFonts w:ascii="Calibri"/>
                <w:sz w:val="20"/>
              </w:rPr>
            </w:pPr>
            <w:r>
              <w:rPr>
                <w:rFonts w:ascii="Calibri"/>
                <w:sz w:val="20"/>
              </w:rPr>
              <w:t>0.88</w:t>
            </w:r>
          </w:p>
        </w:tc>
        <w:tc>
          <w:tcPr>
            <w:tcW w:w="697" w:type="dxa"/>
          </w:tcPr>
          <w:p>
            <w:pPr>
              <w:pStyle w:val="TableParagraph"/>
              <w:spacing w:before="1"/>
              <w:ind w:left="140" w:right="141"/>
              <w:rPr>
                <w:rFonts w:ascii="Calibri"/>
                <w:sz w:val="20"/>
              </w:rPr>
            </w:pPr>
            <w:r>
              <w:rPr>
                <w:rFonts w:ascii="Calibri"/>
                <w:sz w:val="20"/>
              </w:rPr>
              <w:t>2.70</w:t>
            </w:r>
          </w:p>
        </w:tc>
        <w:tc>
          <w:tcPr>
            <w:tcW w:w="703" w:type="dxa"/>
          </w:tcPr>
          <w:p>
            <w:pPr>
              <w:pStyle w:val="TableParagraph"/>
              <w:spacing w:before="1"/>
              <w:ind w:left="93" w:right="95"/>
              <w:rPr>
                <w:rFonts w:ascii="Calibri"/>
                <w:sz w:val="20"/>
              </w:rPr>
            </w:pPr>
            <w:r>
              <w:rPr>
                <w:rFonts w:ascii="Calibri"/>
                <w:sz w:val="20"/>
              </w:rPr>
              <w:t>1.59</w:t>
            </w:r>
          </w:p>
        </w:tc>
        <w:tc>
          <w:tcPr>
            <w:tcW w:w="658" w:type="dxa"/>
          </w:tcPr>
          <w:p>
            <w:pPr>
              <w:pStyle w:val="TableParagraph"/>
              <w:spacing w:before="1"/>
              <w:ind w:left="119" w:right="123"/>
              <w:rPr>
                <w:rFonts w:ascii="Calibri"/>
                <w:sz w:val="20"/>
              </w:rPr>
            </w:pPr>
            <w:r>
              <w:rPr>
                <w:rFonts w:ascii="Calibri"/>
                <w:sz w:val="20"/>
              </w:rPr>
              <w:t>3.15</w:t>
            </w:r>
          </w:p>
        </w:tc>
        <w:tc>
          <w:tcPr>
            <w:tcW w:w="1088" w:type="dxa"/>
          </w:tcPr>
          <w:p>
            <w:pPr>
              <w:pStyle w:val="TableParagraph"/>
              <w:spacing w:line="268" w:lineRule="exact"/>
              <w:ind w:left="264" w:right="264"/>
              <w:rPr>
                <w:rFonts w:ascii="Calibri"/>
                <w:sz w:val="22"/>
              </w:rPr>
            </w:pPr>
            <w:r>
              <w:rPr>
                <w:rFonts w:ascii="Calibri"/>
                <w:sz w:val="22"/>
              </w:rPr>
              <w:t>.435</w:t>
            </w:r>
          </w:p>
        </w:tc>
        <w:tc>
          <w:tcPr>
            <w:tcW w:w="674" w:type="dxa"/>
          </w:tcPr>
          <w:p>
            <w:pPr>
              <w:pStyle w:val="TableParagraph"/>
              <w:spacing w:before="1"/>
              <w:ind w:left="75" w:right="82"/>
              <w:rPr>
                <w:rFonts w:ascii="Calibri"/>
                <w:sz w:val="20"/>
              </w:rPr>
            </w:pPr>
            <w:r>
              <w:rPr>
                <w:rFonts w:ascii="Calibri"/>
                <w:sz w:val="20"/>
              </w:rPr>
              <w:t>1.58</w:t>
            </w:r>
          </w:p>
        </w:tc>
        <w:tc>
          <w:tcPr>
            <w:tcW w:w="696" w:type="dxa"/>
          </w:tcPr>
          <w:p>
            <w:pPr>
              <w:pStyle w:val="TableParagraph"/>
              <w:spacing w:before="1"/>
              <w:ind w:left="140" w:right="141"/>
              <w:rPr>
                <w:rFonts w:ascii="Calibri"/>
                <w:sz w:val="20"/>
              </w:rPr>
            </w:pPr>
            <w:r>
              <w:rPr>
                <w:rFonts w:ascii="Calibri"/>
                <w:sz w:val="20"/>
              </w:rPr>
              <w:t>3.20</w:t>
            </w:r>
          </w:p>
        </w:tc>
        <w:tc>
          <w:tcPr>
            <w:tcW w:w="674" w:type="dxa"/>
          </w:tcPr>
          <w:p>
            <w:pPr>
              <w:pStyle w:val="TableParagraph"/>
              <w:spacing w:before="1"/>
              <w:ind w:left="146"/>
              <w:jc w:val="left"/>
              <w:rPr>
                <w:rFonts w:ascii="Calibri"/>
                <w:sz w:val="20"/>
              </w:rPr>
            </w:pPr>
            <w:r>
              <w:rPr>
                <w:rFonts w:ascii="Calibri"/>
                <w:sz w:val="20"/>
              </w:rPr>
              <w:t>1.26</w:t>
            </w:r>
          </w:p>
        </w:tc>
        <w:tc>
          <w:tcPr>
            <w:tcW w:w="687" w:type="dxa"/>
          </w:tcPr>
          <w:p>
            <w:pPr>
              <w:pStyle w:val="TableParagraph"/>
              <w:spacing w:before="1"/>
              <w:ind w:right="158"/>
              <w:jc w:val="right"/>
              <w:rPr>
                <w:rFonts w:ascii="Calibri"/>
                <w:sz w:val="20"/>
              </w:rPr>
            </w:pPr>
            <w:r>
              <w:rPr>
                <w:rFonts w:ascii="Calibri"/>
                <w:w w:val="95"/>
                <w:sz w:val="20"/>
              </w:rPr>
              <w:t>2.69</w:t>
            </w:r>
          </w:p>
        </w:tc>
        <w:tc>
          <w:tcPr>
            <w:tcW w:w="1051" w:type="dxa"/>
          </w:tcPr>
          <w:p>
            <w:pPr>
              <w:pStyle w:val="TableParagraph"/>
              <w:spacing w:line="268" w:lineRule="exact"/>
              <w:ind w:left="243" w:right="246"/>
              <w:rPr>
                <w:rFonts w:ascii="Calibri"/>
                <w:sz w:val="22"/>
              </w:rPr>
            </w:pPr>
            <w:r>
              <w:rPr>
                <w:rFonts w:ascii="Calibri"/>
                <w:sz w:val="22"/>
              </w:rPr>
              <w:t>.703</w:t>
            </w:r>
          </w:p>
        </w:tc>
      </w:tr>
      <w:tr>
        <w:trPr>
          <w:trHeight w:val="328" w:hRule="exact"/>
        </w:trPr>
        <w:tc>
          <w:tcPr>
            <w:tcW w:w="1411" w:type="dxa"/>
            <w:shd w:val="clear" w:color="auto" w:fill="D2EAF0"/>
          </w:tcPr>
          <w:p>
            <w:pPr>
              <w:pStyle w:val="TableParagraph"/>
              <w:spacing w:line="267" w:lineRule="exact"/>
              <w:ind w:left="79" w:right="80"/>
              <w:rPr>
                <w:rFonts w:ascii="Calibri"/>
                <w:b/>
                <w:i/>
                <w:sz w:val="22"/>
              </w:rPr>
            </w:pPr>
            <w:r>
              <w:rPr>
                <w:rFonts w:ascii="Calibri"/>
                <w:b/>
                <w:i/>
                <w:sz w:val="22"/>
              </w:rPr>
              <w:t>FH-FP</w:t>
            </w:r>
          </w:p>
        </w:tc>
        <w:tc>
          <w:tcPr>
            <w:tcW w:w="718" w:type="dxa"/>
            <w:shd w:val="clear" w:color="auto" w:fill="D2EAF0"/>
          </w:tcPr>
          <w:p>
            <w:pPr>
              <w:pStyle w:val="TableParagraph"/>
              <w:ind w:left="119"/>
              <w:jc w:val="left"/>
              <w:rPr>
                <w:rFonts w:ascii="Calibri"/>
                <w:sz w:val="20"/>
              </w:rPr>
            </w:pPr>
            <w:r>
              <w:rPr>
                <w:rFonts w:ascii="Calibri"/>
                <w:sz w:val="20"/>
              </w:rPr>
              <w:t>88.64</w:t>
            </w:r>
          </w:p>
        </w:tc>
        <w:tc>
          <w:tcPr>
            <w:tcW w:w="697" w:type="dxa"/>
            <w:shd w:val="clear" w:color="auto" w:fill="D2EAF0"/>
          </w:tcPr>
          <w:p>
            <w:pPr>
              <w:pStyle w:val="TableParagraph"/>
              <w:ind w:left="140" w:right="141"/>
              <w:rPr>
                <w:rFonts w:ascii="Calibri"/>
                <w:sz w:val="20"/>
              </w:rPr>
            </w:pPr>
            <w:r>
              <w:rPr>
                <w:rFonts w:ascii="Calibri"/>
                <w:sz w:val="20"/>
              </w:rPr>
              <w:t>1.96</w:t>
            </w:r>
          </w:p>
        </w:tc>
        <w:tc>
          <w:tcPr>
            <w:tcW w:w="703" w:type="dxa"/>
            <w:shd w:val="clear" w:color="auto" w:fill="D2EAF0"/>
          </w:tcPr>
          <w:p>
            <w:pPr>
              <w:pStyle w:val="TableParagraph"/>
              <w:ind w:left="93" w:right="95"/>
              <w:rPr>
                <w:rFonts w:ascii="Calibri"/>
                <w:sz w:val="20"/>
              </w:rPr>
            </w:pPr>
            <w:r>
              <w:rPr>
                <w:rFonts w:ascii="Calibri"/>
                <w:sz w:val="20"/>
              </w:rPr>
              <w:t>89.14</w:t>
            </w:r>
          </w:p>
        </w:tc>
        <w:tc>
          <w:tcPr>
            <w:tcW w:w="658" w:type="dxa"/>
            <w:shd w:val="clear" w:color="auto" w:fill="D2EAF0"/>
          </w:tcPr>
          <w:p>
            <w:pPr>
              <w:pStyle w:val="TableParagraph"/>
              <w:ind w:left="119" w:right="123"/>
              <w:rPr>
                <w:rFonts w:ascii="Calibri"/>
                <w:sz w:val="20"/>
              </w:rPr>
            </w:pPr>
            <w:r>
              <w:rPr>
                <w:rFonts w:ascii="Calibri"/>
                <w:sz w:val="20"/>
              </w:rPr>
              <w:t>2.96</w:t>
            </w:r>
          </w:p>
        </w:tc>
        <w:tc>
          <w:tcPr>
            <w:tcW w:w="1088" w:type="dxa"/>
            <w:shd w:val="clear" w:color="auto" w:fill="D2EAF0"/>
          </w:tcPr>
          <w:p>
            <w:pPr>
              <w:pStyle w:val="TableParagraph"/>
              <w:spacing w:line="267" w:lineRule="exact"/>
              <w:ind w:left="264" w:right="264"/>
              <w:rPr>
                <w:rFonts w:ascii="Calibri"/>
                <w:sz w:val="22"/>
              </w:rPr>
            </w:pPr>
            <w:r>
              <w:rPr>
                <w:rFonts w:ascii="Calibri"/>
                <w:sz w:val="22"/>
              </w:rPr>
              <w:t>.540</w:t>
            </w:r>
          </w:p>
        </w:tc>
        <w:tc>
          <w:tcPr>
            <w:tcW w:w="674" w:type="dxa"/>
            <w:shd w:val="clear" w:color="auto" w:fill="D2EAF0"/>
          </w:tcPr>
          <w:p>
            <w:pPr>
              <w:pStyle w:val="TableParagraph"/>
              <w:ind w:left="76" w:right="82"/>
              <w:rPr>
                <w:rFonts w:ascii="Calibri"/>
                <w:sz w:val="20"/>
              </w:rPr>
            </w:pPr>
            <w:r>
              <w:rPr>
                <w:rFonts w:ascii="Calibri"/>
                <w:sz w:val="20"/>
              </w:rPr>
              <w:t>87.89</w:t>
            </w:r>
          </w:p>
        </w:tc>
        <w:tc>
          <w:tcPr>
            <w:tcW w:w="696" w:type="dxa"/>
            <w:shd w:val="clear" w:color="auto" w:fill="D2EAF0"/>
          </w:tcPr>
          <w:p>
            <w:pPr>
              <w:pStyle w:val="TableParagraph"/>
              <w:ind w:left="140" w:right="141"/>
              <w:rPr>
                <w:rFonts w:ascii="Calibri"/>
                <w:sz w:val="20"/>
              </w:rPr>
            </w:pPr>
            <w:r>
              <w:rPr>
                <w:rFonts w:ascii="Calibri"/>
                <w:sz w:val="20"/>
              </w:rPr>
              <w:t>2.58</w:t>
            </w:r>
          </w:p>
        </w:tc>
        <w:tc>
          <w:tcPr>
            <w:tcW w:w="674" w:type="dxa"/>
            <w:shd w:val="clear" w:color="auto" w:fill="D2EAF0"/>
          </w:tcPr>
          <w:p>
            <w:pPr>
              <w:pStyle w:val="TableParagraph"/>
              <w:ind w:left="96"/>
              <w:jc w:val="left"/>
              <w:rPr>
                <w:rFonts w:ascii="Calibri"/>
                <w:sz w:val="20"/>
              </w:rPr>
            </w:pPr>
            <w:r>
              <w:rPr>
                <w:rFonts w:ascii="Calibri"/>
                <w:sz w:val="20"/>
              </w:rPr>
              <w:t>88.26</w:t>
            </w:r>
          </w:p>
        </w:tc>
        <w:tc>
          <w:tcPr>
            <w:tcW w:w="687" w:type="dxa"/>
            <w:shd w:val="clear" w:color="auto" w:fill="D2EAF0"/>
          </w:tcPr>
          <w:p>
            <w:pPr>
              <w:pStyle w:val="TableParagraph"/>
              <w:ind w:right="158"/>
              <w:jc w:val="right"/>
              <w:rPr>
                <w:rFonts w:ascii="Calibri"/>
                <w:sz w:val="20"/>
              </w:rPr>
            </w:pPr>
            <w:r>
              <w:rPr>
                <w:rFonts w:ascii="Calibri"/>
                <w:w w:val="95"/>
                <w:sz w:val="20"/>
              </w:rPr>
              <w:t>2.77</w:t>
            </w:r>
          </w:p>
        </w:tc>
        <w:tc>
          <w:tcPr>
            <w:tcW w:w="1051" w:type="dxa"/>
            <w:shd w:val="clear" w:color="auto" w:fill="D2EAF0"/>
          </w:tcPr>
          <w:p>
            <w:pPr>
              <w:pStyle w:val="TableParagraph"/>
              <w:spacing w:line="267" w:lineRule="exact"/>
              <w:ind w:left="243" w:right="246"/>
              <w:rPr>
                <w:rFonts w:ascii="Calibri"/>
                <w:sz w:val="22"/>
              </w:rPr>
            </w:pPr>
            <w:r>
              <w:rPr>
                <w:rFonts w:ascii="Calibri"/>
                <w:sz w:val="22"/>
              </w:rPr>
              <w:t>.637</w:t>
            </w:r>
          </w:p>
        </w:tc>
      </w:tr>
      <w:tr>
        <w:trPr>
          <w:trHeight w:val="330" w:hRule="exact"/>
        </w:trPr>
        <w:tc>
          <w:tcPr>
            <w:tcW w:w="1411" w:type="dxa"/>
          </w:tcPr>
          <w:p>
            <w:pPr>
              <w:pStyle w:val="TableParagraph"/>
              <w:spacing w:line="268" w:lineRule="exact"/>
              <w:ind w:left="79" w:right="78"/>
              <w:rPr>
                <w:rFonts w:ascii="Calibri"/>
                <w:b/>
                <w:i/>
                <w:sz w:val="22"/>
              </w:rPr>
            </w:pPr>
            <w:r>
              <w:rPr>
                <w:rFonts w:ascii="Calibri"/>
                <w:b/>
                <w:i/>
                <w:sz w:val="22"/>
              </w:rPr>
              <w:t>FP-AB</w:t>
            </w:r>
          </w:p>
        </w:tc>
        <w:tc>
          <w:tcPr>
            <w:tcW w:w="718" w:type="dxa"/>
          </w:tcPr>
          <w:p>
            <w:pPr>
              <w:pStyle w:val="TableParagraph"/>
              <w:spacing w:before="1"/>
              <w:ind w:left="141"/>
              <w:jc w:val="left"/>
              <w:rPr>
                <w:rFonts w:ascii="Calibri"/>
                <w:sz w:val="20"/>
              </w:rPr>
            </w:pPr>
            <w:r>
              <w:rPr>
                <w:rFonts w:ascii="Calibri"/>
                <w:sz w:val="20"/>
              </w:rPr>
              <w:t>-5.32</w:t>
            </w:r>
          </w:p>
        </w:tc>
        <w:tc>
          <w:tcPr>
            <w:tcW w:w="697" w:type="dxa"/>
          </w:tcPr>
          <w:p>
            <w:pPr>
              <w:pStyle w:val="TableParagraph"/>
              <w:spacing w:before="1"/>
              <w:ind w:left="140" w:right="141"/>
              <w:rPr>
                <w:rFonts w:ascii="Calibri"/>
                <w:sz w:val="20"/>
              </w:rPr>
            </w:pPr>
            <w:r>
              <w:rPr>
                <w:rFonts w:ascii="Calibri"/>
                <w:sz w:val="20"/>
              </w:rPr>
              <w:t>1.65</w:t>
            </w:r>
          </w:p>
        </w:tc>
        <w:tc>
          <w:tcPr>
            <w:tcW w:w="703" w:type="dxa"/>
          </w:tcPr>
          <w:p>
            <w:pPr>
              <w:pStyle w:val="TableParagraph"/>
              <w:spacing w:before="1"/>
              <w:ind w:left="91" w:right="95"/>
              <w:rPr>
                <w:rFonts w:ascii="Calibri"/>
                <w:sz w:val="20"/>
              </w:rPr>
            </w:pPr>
            <w:r>
              <w:rPr>
                <w:rFonts w:ascii="Calibri"/>
                <w:sz w:val="20"/>
              </w:rPr>
              <w:t>-3.89</w:t>
            </w:r>
          </w:p>
        </w:tc>
        <w:tc>
          <w:tcPr>
            <w:tcW w:w="658" w:type="dxa"/>
          </w:tcPr>
          <w:p>
            <w:pPr>
              <w:pStyle w:val="TableParagraph"/>
              <w:spacing w:before="1"/>
              <w:ind w:left="119" w:right="123"/>
              <w:rPr>
                <w:rFonts w:ascii="Calibri"/>
                <w:sz w:val="20"/>
              </w:rPr>
            </w:pPr>
            <w:r>
              <w:rPr>
                <w:rFonts w:ascii="Calibri"/>
                <w:sz w:val="20"/>
              </w:rPr>
              <w:t>3.07</w:t>
            </w:r>
          </w:p>
        </w:tc>
        <w:tc>
          <w:tcPr>
            <w:tcW w:w="1088" w:type="dxa"/>
          </w:tcPr>
          <w:p>
            <w:pPr>
              <w:pStyle w:val="TableParagraph"/>
              <w:spacing w:line="268" w:lineRule="exact"/>
              <w:ind w:left="264" w:right="264"/>
              <w:rPr>
                <w:rFonts w:ascii="Calibri"/>
                <w:sz w:val="22"/>
              </w:rPr>
            </w:pPr>
            <w:r>
              <w:rPr>
                <w:rFonts w:ascii="Calibri"/>
                <w:sz w:val="22"/>
              </w:rPr>
              <w:t>.081</w:t>
            </w:r>
          </w:p>
        </w:tc>
        <w:tc>
          <w:tcPr>
            <w:tcW w:w="674" w:type="dxa"/>
          </w:tcPr>
          <w:p>
            <w:pPr>
              <w:pStyle w:val="TableParagraph"/>
              <w:spacing w:before="1"/>
              <w:ind w:left="76" w:right="80"/>
              <w:rPr>
                <w:rFonts w:ascii="Calibri"/>
                <w:sz w:val="20"/>
              </w:rPr>
            </w:pPr>
            <w:r>
              <w:rPr>
                <w:rFonts w:ascii="Calibri"/>
                <w:sz w:val="20"/>
              </w:rPr>
              <w:t>-5.17</w:t>
            </w:r>
          </w:p>
        </w:tc>
        <w:tc>
          <w:tcPr>
            <w:tcW w:w="696" w:type="dxa"/>
          </w:tcPr>
          <w:p>
            <w:pPr>
              <w:pStyle w:val="TableParagraph"/>
              <w:spacing w:before="1"/>
              <w:ind w:left="140" w:right="141"/>
              <w:rPr>
                <w:rFonts w:ascii="Calibri"/>
                <w:sz w:val="20"/>
              </w:rPr>
            </w:pPr>
            <w:r>
              <w:rPr>
                <w:rFonts w:ascii="Calibri"/>
                <w:sz w:val="20"/>
              </w:rPr>
              <w:t>3.50</w:t>
            </w:r>
          </w:p>
        </w:tc>
        <w:tc>
          <w:tcPr>
            <w:tcW w:w="674" w:type="dxa"/>
          </w:tcPr>
          <w:p>
            <w:pPr>
              <w:pStyle w:val="TableParagraph"/>
              <w:spacing w:before="1"/>
              <w:ind w:left="117"/>
              <w:jc w:val="left"/>
              <w:rPr>
                <w:rFonts w:ascii="Calibri"/>
                <w:sz w:val="20"/>
              </w:rPr>
            </w:pPr>
            <w:r>
              <w:rPr>
                <w:rFonts w:ascii="Calibri"/>
                <w:sz w:val="20"/>
              </w:rPr>
              <w:t>-5.48</w:t>
            </w:r>
          </w:p>
        </w:tc>
        <w:tc>
          <w:tcPr>
            <w:tcW w:w="687" w:type="dxa"/>
          </w:tcPr>
          <w:p>
            <w:pPr>
              <w:pStyle w:val="TableParagraph"/>
              <w:spacing w:before="1"/>
              <w:ind w:right="158"/>
              <w:jc w:val="right"/>
              <w:rPr>
                <w:rFonts w:ascii="Calibri"/>
                <w:sz w:val="20"/>
              </w:rPr>
            </w:pPr>
            <w:r>
              <w:rPr>
                <w:rFonts w:ascii="Calibri"/>
                <w:w w:val="95"/>
                <w:sz w:val="20"/>
              </w:rPr>
              <w:t>2.65</w:t>
            </w:r>
          </w:p>
        </w:tc>
        <w:tc>
          <w:tcPr>
            <w:tcW w:w="1051" w:type="dxa"/>
          </w:tcPr>
          <w:p>
            <w:pPr>
              <w:pStyle w:val="TableParagraph"/>
              <w:spacing w:line="268" w:lineRule="exact"/>
              <w:ind w:left="243" w:right="246"/>
              <w:rPr>
                <w:rFonts w:ascii="Calibri"/>
                <w:sz w:val="22"/>
              </w:rPr>
            </w:pPr>
            <w:r>
              <w:rPr>
                <w:rFonts w:ascii="Calibri"/>
                <w:sz w:val="22"/>
              </w:rPr>
              <w:t>.734</w:t>
            </w:r>
          </w:p>
        </w:tc>
      </w:tr>
      <w:tr>
        <w:trPr>
          <w:trHeight w:val="328" w:hRule="exact"/>
        </w:trPr>
        <w:tc>
          <w:tcPr>
            <w:tcW w:w="1411" w:type="dxa"/>
            <w:shd w:val="clear" w:color="auto" w:fill="D2EAF0"/>
          </w:tcPr>
          <w:p>
            <w:pPr>
              <w:pStyle w:val="TableParagraph"/>
              <w:spacing w:line="267" w:lineRule="exact"/>
              <w:ind w:left="79" w:right="79"/>
              <w:rPr>
                <w:rFonts w:ascii="Calibri"/>
                <w:b/>
                <w:i/>
                <w:sz w:val="22"/>
              </w:rPr>
            </w:pPr>
            <w:r>
              <w:rPr>
                <w:rFonts w:ascii="Calibri"/>
                <w:b/>
                <w:i/>
                <w:sz w:val="22"/>
              </w:rPr>
              <w:t>ODI</w:t>
            </w:r>
          </w:p>
        </w:tc>
        <w:tc>
          <w:tcPr>
            <w:tcW w:w="718" w:type="dxa"/>
            <w:shd w:val="clear" w:color="auto" w:fill="D2EAF0"/>
          </w:tcPr>
          <w:p>
            <w:pPr>
              <w:pStyle w:val="TableParagraph"/>
              <w:ind w:left="119"/>
              <w:jc w:val="left"/>
              <w:rPr>
                <w:rFonts w:ascii="Calibri"/>
                <w:sz w:val="20"/>
              </w:rPr>
            </w:pPr>
            <w:r>
              <w:rPr>
                <w:rFonts w:ascii="Calibri"/>
                <w:sz w:val="20"/>
              </w:rPr>
              <w:t>71.85</w:t>
            </w:r>
          </w:p>
        </w:tc>
        <w:tc>
          <w:tcPr>
            <w:tcW w:w="697" w:type="dxa"/>
            <w:shd w:val="clear" w:color="auto" w:fill="D2EAF0"/>
          </w:tcPr>
          <w:p>
            <w:pPr>
              <w:pStyle w:val="TableParagraph"/>
              <w:ind w:left="140" w:right="141"/>
              <w:rPr>
                <w:rFonts w:ascii="Calibri"/>
                <w:sz w:val="20"/>
              </w:rPr>
            </w:pPr>
            <w:r>
              <w:rPr>
                <w:rFonts w:ascii="Calibri"/>
                <w:sz w:val="20"/>
              </w:rPr>
              <w:t>4.57</w:t>
            </w:r>
          </w:p>
        </w:tc>
        <w:tc>
          <w:tcPr>
            <w:tcW w:w="703" w:type="dxa"/>
            <w:shd w:val="clear" w:color="auto" w:fill="D2EAF0"/>
          </w:tcPr>
          <w:p>
            <w:pPr>
              <w:pStyle w:val="TableParagraph"/>
              <w:ind w:left="93" w:right="95"/>
              <w:rPr>
                <w:rFonts w:ascii="Calibri"/>
                <w:sz w:val="20"/>
              </w:rPr>
            </w:pPr>
            <w:r>
              <w:rPr>
                <w:rFonts w:ascii="Calibri"/>
                <w:sz w:val="20"/>
              </w:rPr>
              <w:t>71.21</w:t>
            </w:r>
          </w:p>
        </w:tc>
        <w:tc>
          <w:tcPr>
            <w:tcW w:w="658" w:type="dxa"/>
            <w:shd w:val="clear" w:color="auto" w:fill="D2EAF0"/>
          </w:tcPr>
          <w:p>
            <w:pPr>
              <w:pStyle w:val="TableParagraph"/>
              <w:ind w:left="119" w:right="123"/>
              <w:rPr>
                <w:rFonts w:ascii="Calibri"/>
                <w:sz w:val="20"/>
              </w:rPr>
            </w:pPr>
            <w:r>
              <w:rPr>
                <w:rFonts w:ascii="Calibri"/>
                <w:sz w:val="20"/>
              </w:rPr>
              <w:t>5.10</w:t>
            </w:r>
          </w:p>
        </w:tc>
        <w:tc>
          <w:tcPr>
            <w:tcW w:w="1088" w:type="dxa"/>
            <w:shd w:val="clear" w:color="auto" w:fill="D2EAF0"/>
          </w:tcPr>
          <w:p>
            <w:pPr>
              <w:pStyle w:val="TableParagraph"/>
              <w:spacing w:line="267" w:lineRule="exact"/>
              <w:ind w:left="264" w:right="264"/>
              <w:rPr>
                <w:rFonts w:ascii="Calibri"/>
                <w:sz w:val="22"/>
              </w:rPr>
            </w:pPr>
            <w:r>
              <w:rPr>
                <w:rFonts w:ascii="Calibri"/>
                <w:sz w:val="22"/>
              </w:rPr>
              <w:t>.670</w:t>
            </w:r>
          </w:p>
        </w:tc>
        <w:tc>
          <w:tcPr>
            <w:tcW w:w="674" w:type="dxa"/>
            <w:shd w:val="clear" w:color="auto" w:fill="D2EAF0"/>
          </w:tcPr>
          <w:p>
            <w:pPr>
              <w:pStyle w:val="TableParagraph"/>
              <w:ind w:left="76" w:right="81"/>
              <w:rPr>
                <w:rFonts w:ascii="Calibri"/>
                <w:sz w:val="20"/>
              </w:rPr>
            </w:pPr>
            <w:r>
              <w:rPr>
                <w:rFonts w:ascii="Calibri"/>
                <w:sz w:val="20"/>
              </w:rPr>
              <w:t>73</w:t>
            </w:r>
          </w:p>
        </w:tc>
        <w:tc>
          <w:tcPr>
            <w:tcW w:w="696" w:type="dxa"/>
            <w:shd w:val="clear" w:color="auto" w:fill="D2EAF0"/>
          </w:tcPr>
          <w:p>
            <w:pPr>
              <w:pStyle w:val="TableParagraph"/>
              <w:ind w:left="140" w:right="141"/>
              <w:rPr>
                <w:rFonts w:ascii="Calibri"/>
                <w:sz w:val="20"/>
              </w:rPr>
            </w:pPr>
            <w:r>
              <w:rPr>
                <w:rFonts w:ascii="Calibri"/>
                <w:sz w:val="20"/>
              </w:rPr>
              <w:t>4.97</w:t>
            </w:r>
          </w:p>
        </w:tc>
        <w:tc>
          <w:tcPr>
            <w:tcW w:w="674" w:type="dxa"/>
            <w:shd w:val="clear" w:color="auto" w:fill="D2EAF0"/>
          </w:tcPr>
          <w:p>
            <w:pPr>
              <w:pStyle w:val="TableParagraph"/>
              <w:ind w:left="96"/>
              <w:jc w:val="left"/>
              <w:rPr>
                <w:rFonts w:ascii="Calibri"/>
                <w:sz w:val="20"/>
              </w:rPr>
            </w:pPr>
            <w:r>
              <w:rPr>
                <w:rFonts w:ascii="Calibri"/>
                <w:sz w:val="20"/>
              </w:rPr>
              <w:t>70.34</w:t>
            </w:r>
          </w:p>
        </w:tc>
        <w:tc>
          <w:tcPr>
            <w:tcW w:w="687" w:type="dxa"/>
            <w:shd w:val="clear" w:color="auto" w:fill="D2EAF0"/>
          </w:tcPr>
          <w:p>
            <w:pPr>
              <w:pStyle w:val="TableParagraph"/>
              <w:ind w:right="158"/>
              <w:jc w:val="right"/>
              <w:rPr>
                <w:rFonts w:ascii="Calibri"/>
                <w:sz w:val="20"/>
              </w:rPr>
            </w:pPr>
            <w:r>
              <w:rPr>
                <w:rFonts w:ascii="Calibri"/>
                <w:w w:val="95"/>
                <w:sz w:val="20"/>
              </w:rPr>
              <w:t>4.60</w:t>
            </w:r>
          </w:p>
        </w:tc>
        <w:tc>
          <w:tcPr>
            <w:tcW w:w="1051" w:type="dxa"/>
            <w:shd w:val="clear" w:color="auto" w:fill="D2EAF0"/>
          </w:tcPr>
          <w:p>
            <w:pPr>
              <w:pStyle w:val="TableParagraph"/>
              <w:spacing w:line="267" w:lineRule="exact"/>
              <w:ind w:left="243" w:right="246"/>
              <w:rPr>
                <w:rFonts w:ascii="Calibri"/>
                <w:sz w:val="22"/>
              </w:rPr>
            </w:pPr>
            <w:r>
              <w:rPr>
                <w:rFonts w:ascii="Calibri"/>
                <w:sz w:val="22"/>
              </w:rPr>
              <w:t>.060</w:t>
            </w:r>
          </w:p>
        </w:tc>
      </w:tr>
      <w:tr>
        <w:trPr>
          <w:trHeight w:val="437" w:hRule="exact"/>
        </w:trPr>
        <w:tc>
          <w:tcPr>
            <w:tcW w:w="1411" w:type="dxa"/>
          </w:tcPr>
          <w:p>
            <w:pPr>
              <w:pStyle w:val="TableParagraph"/>
              <w:spacing w:line="268" w:lineRule="exact"/>
              <w:ind w:left="79" w:right="80"/>
              <w:rPr>
                <w:rFonts w:ascii="Calibri"/>
                <w:b/>
                <w:i/>
                <w:sz w:val="22"/>
              </w:rPr>
            </w:pPr>
            <w:r>
              <w:rPr>
                <w:rFonts w:ascii="Calibri"/>
                <w:b/>
                <w:i/>
                <w:sz w:val="22"/>
              </w:rPr>
              <w:t>APDI</w:t>
            </w:r>
          </w:p>
        </w:tc>
        <w:tc>
          <w:tcPr>
            <w:tcW w:w="718" w:type="dxa"/>
          </w:tcPr>
          <w:p>
            <w:pPr>
              <w:pStyle w:val="TableParagraph"/>
              <w:spacing w:before="1"/>
              <w:ind w:left="119"/>
              <w:jc w:val="left"/>
              <w:rPr>
                <w:rFonts w:ascii="Calibri"/>
                <w:sz w:val="20"/>
              </w:rPr>
            </w:pPr>
            <w:r>
              <w:rPr>
                <w:rFonts w:ascii="Calibri"/>
                <w:sz w:val="20"/>
              </w:rPr>
              <w:t>84.20</w:t>
            </w:r>
          </w:p>
        </w:tc>
        <w:tc>
          <w:tcPr>
            <w:tcW w:w="697" w:type="dxa"/>
          </w:tcPr>
          <w:p>
            <w:pPr>
              <w:pStyle w:val="TableParagraph"/>
              <w:spacing w:before="1"/>
              <w:ind w:left="140" w:right="141"/>
              <w:rPr>
                <w:rFonts w:ascii="Calibri"/>
                <w:sz w:val="20"/>
              </w:rPr>
            </w:pPr>
            <w:r>
              <w:rPr>
                <w:rFonts w:ascii="Calibri"/>
                <w:sz w:val="20"/>
              </w:rPr>
              <w:t>3.65</w:t>
            </w:r>
          </w:p>
        </w:tc>
        <w:tc>
          <w:tcPr>
            <w:tcW w:w="703" w:type="dxa"/>
          </w:tcPr>
          <w:p>
            <w:pPr>
              <w:pStyle w:val="TableParagraph"/>
              <w:spacing w:before="1"/>
              <w:ind w:left="93" w:right="95"/>
              <w:rPr>
                <w:rFonts w:ascii="Calibri"/>
                <w:sz w:val="20"/>
              </w:rPr>
            </w:pPr>
            <w:r>
              <w:rPr>
                <w:rFonts w:ascii="Calibri"/>
                <w:sz w:val="20"/>
              </w:rPr>
              <w:t>86.84</w:t>
            </w:r>
          </w:p>
        </w:tc>
        <w:tc>
          <w:tcPr>
            <w:tcW w:w="658" w:type="dxa"/>
          </w:tcPr>
          <w:p>
            <w:pPr>
              <w:pStyle w:val="TableParagraph"/>
              <w:spacing w:before="1"/>
              <w:ind w:left="119" w:right="123"/>
              <w:rPr>
                <w:rFonts w:ascii="Calibri"/>
                <w:sz w:val="20"/>
              </w:rPr>
            </w:pPr>
            <w:r>
              <w:rPr>
                <w:rFonts w:ascii="Calibri"/>
                <w:sz w:val="20"/>
              </w:rPr>
              <w:t>3.96</w:t>
            </w:r>
          </w:p>
        </w:tc>
        <w:tc>
          <w:tcPr>
            <w:tcW w:w="1088" w:type="dxa"/>
          </w:tcPr>
          <w:p>
            <w:pPr>
              <w:pStyle w:val="TableParagraph"/>
              <w:spacing w:line="268" w:lineRule="exact"/>
              <w:ind w:left="264" w:right="264"/>
              <w:rPr>
                <w:rFonts w:ascii="Calibri"/>
                <w:sz w:val="22"/>
              </w:rPr>
            </w:pPr>
            <w:r>
              <w:rPr>
                <w:rFonts w:ascii="Calibri"/>
                <w:color w:val="FF0000"/>
                <w:sz w:val="22"/>
              </w:rPr>
              <w:t>.027*</w:t>
            </w:r>
          </w:p>
        </w:tc>
        <w:tc>
          <w:tcPr>
            <w:tcW w:w="674" w:type="dxa"/>
          </w:tcPr>
          <w:p>
            <w:pPr>
              <w:pStyle w:val="TableParagraph"/>
              <w:spacing w:before="1"/>
              <w:ind w:left="76" w:right="82"/>
              <w:rPr>
                <w:rFonts w:ascii="Calibri"/>
                <w:sz w:val="20"/>
              </w:rPr>
            </w:pPr>
            <w:r>
              <w:rPr>
                <w:rFonts w:ascii="Calibri"/>
                <w:sz w:val="20"/>
              </w:rPr>
              <w:t>84.30</w:t>
            </w:r>
          </w:p>
        </w:tc>
        <w:tc>
          <w:tcPr>
            <w:tcW w:w="696" w:type="dxa"/>
          </w:tcPr>
          <w:p>
            <w:pPr>
              <w:pStyle w:val="TableParagraph"/>
              <w:spacing w:before="1"/>
              <w:ind w:left="140" w:right="141"/>
              <w:rPr>
                <w:rFonts w:ascii="Calibri"/>
                <w:sz w:val="20"/>
              </w:rPr>
            </w:pPr>
            <w:r>
              <w:rPr>
                <w:rFonts w:ascii="Calibri"/>
                <w:sz w:val="20"/>
              </w:rPr>
              <w:t>5.29</w:t>
            </w:r>
          </w:p>
        </w:tc>
        <w:tc>
          <w:tcPr>
            <w:tcW w:w="674" w:type="dxa"/>
          </w:tcPr>
          <w:p>
            <w:pPr>
              <w:pStyle w:val="TableParagraph"/>
              <w:spacing w:before="1"/>
              <w:ind w:left="96"/>
              <w:jc w:val="left"/>
              <w:rPr>
                <w:rFonts w:ascii="Calibri"/>
                <w:sz w:val="20"/>
              </w:rPr>
            </w:pPr>
            <w:r>
              <w:rPr>
                <w:rFonts w:ascii="Calibri"/>
                <w:sz w:val="20"/>
              </w:rPr>
              <w:t>84.04</w:t>
            </w:r>
          </w:p>
        </w:tc>
        <w:tc>
          <w:tcPr>
            <w:tcW w:w="687" w:type="dxa"/>
          </w:tcPr>
          <w:p>
            <w:pPr>
              <w:pStyle w:val="TableParagraph"/>
              <w:spacing w:before="1"/>
              <w:ind w:right="158"/>
              <w:jc w:val="right"/>
              <w:rPr>
                <w:rFonts w:ascii="Calibri"/>
                <w:sz w:val="20"/>
              </w:rPr>
            </w:pPr>
            <w:r>
              <w:rPr>
                <w:rFonts w:ascii="Calibri"/>
                <w:w w:val="95"/>
                <w:sz w:val="20"/>
              </w:rPr>
              <w:t>4.67</w:t>
            </w:r>
          </w:p>
        </w:tc>
        <w:tc>
          <w:tcPr>
            <w:tcW w:w="1051" w:type="dxa"/>
          </w:tcPr>
          <w:p>
            <w:pPr>
              <w:pStyle w:val="TableParagraph"/>
              <w:spacing w:line="268" w:lineRule="exact"/>
              <w:ind w:left="243" w:right="246"/>
              <w:rPr>
                <w:rFonts w:ascii="Calibri"/>
                <w:sz w:val="22"/>
              </w:rPr>
            </w:pPr>
            <w:r>
              <w:rPr>
                <w:rFonts w:ascii="Calibri"/>
                <w:sz w:val="22"/>
              </w:rPr>
              <w:t>.855</w:t>
            </w:r>
          </w:p>
        </w:tc>
      </w:tr>
    </w:tbl>
    <w:p>
      <w:pPr>
        <w:spacing w:after="0" w:line="268" w:lineRule="exact"/>
        <w:rPr>
          <w:rFonts w:ascii="Calibri"/>
          <w:sz w:val="22"/>
        </w:rPr>
        <w:sectPr>
          <w:pgSz w:w="12240" w:h="15840"/>
          <w:pgMar w:header="0" w:footer="1003" w:top="1360" w:bottom="1200" w:left="1480" w:right="1460"/>
        </w:sectPr>
      </w:pPr>
    </w:p>
    <w:p>
      <w:pPr>
        <w:spacing w:line="206" w:lineRule="exact" w:before="0"/>
        <w:ind w:left="222" w:right="0" w:firstLine="0"/>
        <w:jc w:val="left"/>
        <w:rPr>
          <w:sz w:val="18"/>
        </w:rPr>
      </w:pPr>
      <w:r>
        <w:rPr>
          <w:sz w:val="18"/>
        </w:rPr>
        <w:t>*Significancia &lt;0.05 en la prueba T de Student para muestras</w:t>
      </w:r>
      <w:r>
        <w:rPr>
          <w:spacing w:val="-28"/>
          <w:sz w:val="18"/>
        </w:rPr>
        <w:t> </w:t>
      </w:r>
      <w:r>
        <w:rPr>
          <w:sz w:val="18"/>
        </w:rPr>
        <w:t>independientes</w:t>
      </w:r>
    </w:p>
    <w:p>
      <w:pPr>
        <w:pStyle w:val="BodyText"/>
        <w:spacing w:before="1"/>
        <w:rPr>
          <w:sz w:val="18"/>
        </w:rPr>
      </w:pPr>
      <w:r>
        <w:rPr/>
        <w:br w:type="column"/>
      </w:r>
      <w:r>
        <w:rPr>
          <w:sz w:val="18"/>
        </w:rPr>
      </w:r>
    </w:p>
    <w:p>
      <w:pPr>
        <w:spacing w:before="0"/>
        <w:ind w:left="222" w:right="0" w:firstLine="0"/>
        <w:jc w:val="left"/>
        <w:rPr>
          <w:sz w:val="20"/>
        </w:rPr>
      </w:pPr>
      <w:r>
        <w:rPr>
          <w:sz w:val="20"/>
        </w:rPr>
        <w:t>Fuente: Directa.</w:t>
      </w:r>
    </w:p>
    <w:p>
      <w:pPr>
        <w:spacing w:after="0"/>
        <w:jc w:val="left"/>
        <w:rPr>
          <w:sz w:val="20"/>
        </w:rPr>
        <w:sectPr>
          <w:type w:val="continuous"/>
          <w:pgSz w:w="12240" w:h="15840"/>
          <w:pgMar w:top="1100" w:bottom="280" w:left="1480" w:right="1460"/>
          <w:cols w:num="2" w:equalWidth="0">
            <w:col w:w="6411" w:space="1004"/>
            <w:col w:w="1885"/>
          </w:cols>
        </w:sectPr>
      </w:pPr>
    </w:p>
    <w:p>
      <w:pPr>
        <w:pStyle w:val="BodyText"/>
        <w:rPr>
          <w:sz w:val="20"/>
        </w:rPr>
      </w:pPr>
    </w:p>
    <w:p>
      <w:pPr>
        <w:pStyle w:val="BodyText"/>
        <w:rPr>
          <w:sz w:val="20"/>
        </w:rPr>
      </w:pPr>
    </w:p>
    <w:p>
      <w:pPr>
        <w:pStyle w:val="BodyText"/>
        <w:spacing w:before="4"/>
      </w:pPr>
    </w:p>
    <w:p>
      <w:pPr>
        <w:pStyle w:val="BodyText"/>
        <w:spacing w:line="360" w:lineRule="auto" w:before="70"/>
        <w:ind w:left="222" w:right="237"/>
        <w:jc w:val="both"/>
      </w:pPr>
      <w:r>
        <w:rPr/>
        <w:t>Con base en los resultados obtenidos, fue posible el diseño de un software, en el que se ingresan primeramente datos de identificación: Nombre del doctor tratante, nombre del paciente, sexo, edad en años y meses; donde automáticamente se mostrará el polígono correspondiente para cada grupo de edad y </w:t>
      </w:r>
      <w:r>
        <w:rPr>
          <w:spacing w:val="2"/>
        </w:rPr>
        <w:t>sexo; </w:t>
      </w:r>
      <w:r>
        <w:rPr/>
        <w:t>posteriormente se colocan los valores de las mediciones obtenidas para cada ángulo según corresponda, y el programa ubicará un punto, identificando si este  se encuentra dentro o fuera de los parámetros de normalidad. Se debe destacar que además realiza automáticamente las sumas aritméticas mencionadas, dando el resultado de cada uno de los Indicadores.  (Fig. 62 a</w:t>
      </w:r>
      <w:r>
        <w:rPr>
          <w:spacing w:val="-18"/>
        </w:rPr>
        <w:t> </w:t>
      </w:r>
      <w:r>
        <w:rPr/>
        <w:t>65.)</w:t>
      </w:r>
    </w:p>
    <w:p>
      <w:pPr>
        <w:spacing w:after="0" w:line="360" w:lineRule="auto"/>
        <w:jc w:val="both"/>
        <w:sectPr>
          <w:type w:val="continuous"/>
          <w:pgSz w:w="12240" w:h="15840"/>
          <w:pgMar w:top="1100" w:bottom="280" w:left="1480" w:right="1460"/>
        </w:sectPr>
      </w:pPr>
    </w:p>
    <w:p>
      <w:pPr>
        <w:pStyle w:val="BodyText"/>
        <w:ind w:left="957"/>
        <w:rPr>
          <w:sz w:val="20"/>
        </w:rPr>
      </w:pPr>
      <w:r>
        <w:rPr>
          <w:sz w:val="20"/>
        </w:rPr>
        <w:drawing>
          <wp:inline distT="0" distB="0" distL="0" distR="0">
            <wp:extent cx="4547480" cy="3448716"/>
            <wp:effectExtent l="0" t="0" r="0" b="0"/>
            <wp:docPr id="119" name="image67.jpeg" descr=""/>
            <wp:cNvGraphicFramePr>
              <a:graphicFrameLocks noChangeAspect="1"/>
            </wp:cNvGraphicFramePr>
            <a:graphic>
              <a:graphicData uri="http://schemas.openxmlformats.org/drawingml/2006/picture">
                <pic:pic>
                  <pic:nvPicPr>
                    <pic:cNvPr id="120" name="image67.jpeg"/>
                    <pic:cNvPicPr/>
                  </pic:nvPicPr>
                  <pic:blipFill>
                    <a:blip r:embed="rId94" cstate="print"/>
                    <a:stretch>
                      <a:fillRect/>
                    </a:stretch>
                  </pic:blipFill>
                  <pic:spPr>
                    <a:xfrm>
                      <a:off x="0" y="0"/>
                      <a:ext cx="4547480" cy="3448716"/>
                    </a:xfrm>
                    <a:prstGeom prst="rect">
                      <a:avLst/>
                    </a:prstGeom>
                  </pic:spPr>
                </pic:pic>
              </a:graphicData>
            </a:graphic>
          </wp:inline>
        </w:drawing>
      </w:r>
      <w:r>
        <w:rPr>
          <w:sz w:val="20"/>
        </w:rPr>
      </w:r>
    </w:p>
    <w:p>
      <w:pPr>
        <w:pStyle w:val="BodyText"/>
        <w:spacing w:before="9"/>
        <w:rPr>
          <w:sz w:val="11"/>
        </w:rPr>
      </w:pPr>
    </w:p>
    <w:p>
      <w:pPr>
        <w:tabs>
          <w:tab w:pos="7038" w:val="left" w:leader="none"/>
        </w:tabs>
        <w:spacing w:line="276" w:lineRule="auto" w:before="74"/>
        <w:ind w:left="102" w:right="139" w:firstLine="0"/>
        <w:jc w:val="left"/>
        <w:rPr>
          <w:sz w:val="20"/>
        </w:rPr>
      </w:pPr>
      <w:r>
        <w:rPr>
          <w:sz w:val="20"/>
        </w:rPr>
        <w:t>Fig. 62. Ejemplo de pantalla de software de polígono cefalométrico. Grupo masculino de 15 a 17 años</w:t>
      </w:r>
      <w:r>
        <w:rPr>
          <w:spacing w:val="-2"/>
          <w:sz w:val="20"/>
        </w:rPr>
        <w:t> </w:t>
      </w:r>
      <w:r>
        <w:rPr>
          <w:sz w:val="20"/>
        </w:rPr>
        <w:t>de</w:t>
      </w:r>
      <w:r>
        <w:rPr>
          <w:spacing w:val="-3"/>
          <w:sz w:val="20"/>
        </w:rPr>
        <w:t> </w:t>
      </w:r>
      <w:r>
        <w:rPr>
          <w:sz w:val="20"/>
        </w:rPr>
        <w:t>edad.</w:t>
        <w:tab/>
        <w:t>Fuente:</w:t>
      </w:r>
      <w:r>
        <w:rPr>
          <w:spacing w:val="-6"/>
          <w:sz w:val="20"/>
        </w:rPr>
        <w:t> </w:t>
      </w:r>
      <w:r>
        <w:rPr>
          <w:sz w:val="20"/>
        </w:rPr>
        <w:t>Directa</w:t>
      </w:r>
    </w:p>
    <w:p>
      <w:pPr>
        <w:pStyle w:val="BodyText"/>
        <w:rPr>
          <w:sz w:val="20"/>
        </w:rPr>
      </w:pPr>
    </w:p>
    <w:p>
      <w:pPr>
        <w:pStyle w:val="BodyText"/>
        <w:spacing w:before="3"/>
        <w:rPr>
          <w:sz w:val="13"/>
        </w:rPr>
      </w:pPr>
      <w:r>
        <w:rPr/>
        <w:drawing>
          <wp:anchor distT="0" distB="0" distL="0" distR="0" allowOverlap="1" layoutInCell="1" locked="0" behindDoc="0" simplePos="0" relativeHeight="2152">
            <wp:simplePos x="0" y="0"/>
            <wp:positionH relativeFrom="page">
              <wp:posOffset>1614550</wp:posOffset>
            </wp:positionH>
            <wp:positionV relativeFrom="paragraph">
              <wp:posOffset>122123</wp:posOffset>
            </wp:positionV>
            <wp:extent cx="4542829" cy="3363563"/>
            <wp:effectExtent l="0" t="0" r="0" b="0"/>
            <wp:wrapTopAndBottom/>
            <wp:docPr id="121" name="image68.jpeg" descr=""/>
            <wp:cNvGraphicFramePr>
              <a:graphicFrameLocks noChangeAspect="1"/>
            </wp:cNvGraphicFramePr>
            <a:graphic>
              <a:graphicData uri="http://schemas.openxmlformats.org/drawingml/2006/picture">
                <pic:pic>
                  <pic:nvPicPr>
                    <pic:cNvPr id="122" name="image68.jpeg"/>
                    <pic:cNvPicPr/>
                  </pic:nvPicPr>
                  <pic:blipFill>
                    <a:blip r:embed="rId95" cstate="print"/>
                    <a:stretch>
                      <a:fillRect/>
                    </a:stretch>
                  </pic:blipFill>
                  <pic:spPr>
                    <a:xfrm>
                      <a:off x="0" y="0"/>
                      <a:ext cx="4542829" cy="3363563"/>
                    </a:xfrm>
                    <a:prstGeom prst="rect">
                      <a:avLst/>
                    </a:prstGeom>
                  </pic:spPr>
                </pic:pic>
              </a:graphicData>
            </a:graphic>
          </wp:anchor>
        </w:drawing>
      </w:r>
    </w:p>
    <w:p>
      <w:pPr>
        <w:pStyle w:val="BodyText"/>
        <w:spacing w:before="8"/>
        <w:rPr>
          <w:sz w:val="15"/>
        </w:rPr>
      </w:pPr>
    </w:p>
    <w:p>
      <w:pPr>
        <w:tabs>
          <w:tab w:pos="7204" w:val="left" w:leader="none"/>
        </w:tabs>
        <w:spacing w:line="242" w:lineRule="auto" w:before="0"/>
        <w:ind w:left="102" w:right="139" w:firstLine="0"/>
        <w:jc w:val="left"/>
        <w:rPr>
          <w:sz w:val="20"/>
        </w:rPr>
      </w:pPr>
      <w:r>
        <w:rPr>
          <w:sz w:val="20"/>
        </w:rPr>
        <w:t>Fig. 63. Ejemplo de pantalla de software de polígono cefalométrico. Grupo femenino de 15 a 17 años</w:t>
      </w:r>
      <w:r>
        <w:rPr>
          <w:spacing w:val="-2"/>
          <w:sz w:val="20"/>
        </w:rPr>
        <w:t> </w:t>
      </w:r>
      <w:r>
        <w:rPr>
          <w:sz w:val="20"/>
        </w:rPr>
        <w:t>de</w:t>
      </w:r>
      <w:r>
        <w:rPr>
          <w:spacing w:val="-3"/>
          <w:sz w:val="20"/>
        </w:rPr>
        <w:t> </w:t>
      </w:r>
      <w:r>
        <w:rPr>
          <w:sz w:val="20"/>
        </w:rPr>
        <w:t>edad.</w:t>
        <w:tab/>
        <w:t>Fuente:</w:t>
      </w:r>
      <w:r>
        <w:rPr>
          <w:spacing w:val="-6"/>
          <w:sz w:val="20"/>
        </w:rPr>
        <w:t> </w:t>
      </w:r>
      <w:r>
        <w:rPr>
          <w:sz w:val="20"/>
        </w:rPr>
        <w:t>Directa</w:t>
      </w:r>
    </w:p>
    <w:p>
      <w:pPr>
        <w:spacing w:after="0" w:line="242" w:lineRule="auto"/>
        <w:jc w:val="left"/>
        <w:rPr>
          <w:sz w:val="20"/>
        </w:rPr>
        <w:sectPr>
          <w:pgSz w:w="12240" w:h="15840"/>
          <w:pgMar w:header="0" w:footer="1003" w:top="1420" w:bottom="1200" w:left="1600" w:right="1580"/>
        </w:sectPr>
      </w:pPr>
    </w:p>
    <w:p>
      <w:pPr>
        <w:pStyle w:val="BodyText"/>
        <w:ind w:left="935"/>
        <w:rPr>
          <w:sz w:val="20"/>
        </w:rPr>
      </w:pPr>
      <w:r>
        <w:rPr>
          <w:sz w:val="20"/>
        </w:rPr>
        <w:drawing>
          <wp:inline distT="0" distB="0" distL="0" distR="0">
            <wp:extent cx="4566064" cy="3363563"/>
            <wp:effectExtent l="0" t="0" r="0" b="0"/>
            <wp:docPr id="123" name="image69.jpeg" descr=""/>
            <wp:cNvGraphicFramePr>
              <a:graphicFrameLocks noChangeAspect="1"/>
            </wp:cNvGraphicFramePr>
            <a:graphic>
              <a:graphicData uri="http://schemas.openxmlformats.org/drawingml/2006/picture">
                <pic:pic>
                  <pic:nvPicPr>
                    <pic:cNvPr id="124" name="image69.jpeg"/>
                    <pic:cNvPicPr/>
                  </pic:nvPicPr>
                  <pic:blipFill>
                    <a:blip r:embed="rId96" cstate="print"/>
                    <a:stretch>
                      <a:fillRect/>
                    </a:stretch>
                  </pic:blipFill>
                  <pic:spPr>
                    <a:xfrm>
                      <a:off x="0" y="0"/>
                      <a:ext cx="4566064" cy="3363563"/>
                    </a:xfrm>
                    <a:prstGeom prst="rect">
                      <a:avLst/>
                    </a:prstGeom>
                  </pic:spPr>
                </pic:pic>
              </a:graphicData>
            </a:graphic>
          </wp:inline>
        </w:drawing>
      </w:r>
      <w:r>
        <w:rPr>
          <w:sz w:val="20"/>
        </w:rPr>
      </w:r>
    </w:p>
    <w:p>
      <w:pPr>
        <w:pStyle w:val="BodyText"/>
        <w:spacing w:before="4"/>
        <w:rPr>
          <w:sz w:val="9"/>
        </w:rPr>
      </w:pPr>
    </w:p>
    <w:p>
      <w:pPr>
        <w:tabs>
          <w:tab w:pos="7430" w:val="left" w:leader="none"/>
        </w:tabs>
        <w:spacing w:line="242" w:lineRule="auto" w:before="69"/>
        <w:ind w:left="102" w:right="104" w:firstLine="0"/>
        <w:jc w:val="left"/>
        <w:rPr>
          <w:sz w:val="20"/>
        </w:rPr>
      </w:pPr>
      <w:r>
        <w:rPr>
          <w:sz w:val="20"/>
        </w:rPr>
        <w:t>Fig. 64</w:t>
      </w:r>
      <w:r>
        <w:rPr>
          <w:sz w:val="24"/>
        </w:rPr>
        <w:t>. </w:t>
      </w:r>
      <w:r>
        <w:rPr>
          <w:sz w:val="20"/>
        </w:rPr>
        <w:t>Ejemplo de pantalla de software de polígono cefalométrico. Grupo masculino mayor de 18 años</w:t>
      </w:r>
      <w:r>
        <w:rPr>
          <w:spacing w:val="-2"/>
          <w:sz w:val="20"/>
        </w:rPr>
        <w:t> </w:t>
      </w:r>
      <w:r>
        <w:rPr>
          <w:sz w:val="20"/>
        </w:rPr>
        <w:t>de</w:t>
      </w:r>
      <w:r>
        <w:rPr>
          <w:spacing w:val="-3"/>
          <w:sz w:val="20"/>
        </w:rPr>
        <w:t> </w:t>
      </w:r>
      <w:r>
        <w:rPr>
          <w:sz w:val="20"/>
        </w:rPr>
        <w:t>edad.</w:t>
        <w:tab/>
        <w:t>Fuente:</w:t>
      </w:r>
      <w:r>
        <w:rPr>
          <w:spacing w:val="-5"/>
          <w:sz w:val="20"/>
        </w:rPr>
        <w:t> </w:t>
      </w:r>
      <w:r>
        <w:rPr>
          <w:sz w:val="20"/>
        </w:rPr>
        <w:t>Directa</w:t>
      </w:r>
    </w:p>
    <w:p>
      <w:pPr>
        <w:pStyle w:val="BodyText"/>
        <w:rPr>
          <w:sz w:val="19"/>
        </w:rPr>
      </w:pPr>
      <w:r>
        <w:rPr/>
        <w:drawing>
          <wp:anchor distT="0" distB="0" distL="0" distR="0" allowOverlap="1" layoutInCell="1" locked="0" behindDoc="0" simplePos="0" relativeHeight="2176">
            <wp:simplePos x="0" y="0"/>
            <wp:positionH relativeFrom="page">
              <wp:posOffset>1590675</wp:posOffset>
            </wp:positionH>
            <wp:positionV relativeFrom="paragraph">
              <wp:posOffset>163565</wp:posOffset>
            </wp:positionV>
            <wp:extent cx="4603693" cy="3491293"/>
            <wp:effectExtent l="0" t="0" r="0" b="0"/>
            <wp:wrapTopAndBottom/>
            <wp:docPr id="125" name="image70.jpeg" descr=""/>
            <wp:cNvGraphicFramePr>
              <a:graphicFrameLocks noChangeAspect="1"/>
            </wp:cNvGraphicFramePr>
            <a:graphic>
              <a:graphicData uri="http://schemas.openxmlformats.org/drawingml/2006/picture">
                <pic:pic>
                  <pic:nvPicPr>
                    <pic:cNvPr id="126" name="image70.jpeg"/>
                    <pic:cNvPicPr/>
                  </pic:nvPicPr>
                  <pic:blipFill>
                    <a:blip r:embed="rId97" cstate="print"/>
                    <a:stretch>
                      <a:fillRect/>
                    </a:stretch>
                  </pic:blipFill>
                  <pic:spPr>
                    <a:xfrm>
                      <a:off x="0" y="0"/>
                      <a:ext cx="4603693" cy="3491293"/>
                    </a:xfrm>
                    <a:prstGeom prst="rect">
                      <a:avLst/>
                    </a:prstGeom>
                  </pic:spPr>
                </pic:pic>
              </a:graphicData>
            </a:graphic>
          </wp:anchor>
        </w:drawing>
      </w:r>
    </w:p>
    <w:p>
      <w:pPr>
        <w:pStyle w:val="BodyText"/>
        <w:spacing w:before="4"/>
        <w:rPr>
          <w:sz w:val="26"/>
        </w:rPr>
      </w:pPr>
    </w:p>
    <w:p>
      <w:pPr>
        <w:tabs>
          <w:tab w:pos="7331" w:val="left" w:leader="none"/>
        </w:tabs>
        <w:spacing w:line="276" w:lineRule="auto" w:before="0"/>
        <w:ind w:left="339" w:right="204" w:hanging="132"/>
        <w:jc w:val="left"/>
        <w:rPr>
          <w:sz w:val="20"/>
        </w:rPr>
      </w:pPr>
      <w:r>
        <w:rPr>
          <w:sz w:val="20"/>
        </w:rPr>
        <w:t>Fig. 65. Ejemplo de pantalla de software de polígono cefalométrico. Grupo femenino mayor de</w:t>
      </w:r>
      <w:r>
        <w:rPr>
          <w:spacing w:val="-22"/>
          <w:sz w:val="20"/>
        </w:rPr>
        <w:t> </w:t>
      </w:r>
      <w:r>
        <w:rPr>
          <w:sz w:val="20"/>
        </w:rPr>
        <w:t>18 años</w:t>
      </w:r>
      <w:r>
        <w:rPr>
          <w:spacing w:val="-2"/>
          <w:sz w:val="20"/>
        </w:rPr>
        <w:t> </w:t>
      </w:r>
      <w:r>
        <w:rPr>
          <w:sz w:val="20"/>
        </w:rPr>
        <w:t>de</w:t>
      </w:r>
      <w:r>
        <w:rPr>
          <w:spacing w:val="-3"/>
          <w:sz w:val="20"/>
        </w:rPr>
        <w:t> </w:t>
      </w:r>
      <w:r>
        <w:rPr>
          <w:sz w:val="20"/>
        </w:rPr>
        <w:t>edad.</w:t>
        <w:tab/>
        <w:t>Fuente:</w:t>
      </w:r>
      <w:r>
        <w:rPr>
          <w:spacing w:val="-6"/>
          <w:sz w:val="20"/>
        </w:rPr>
        <w:t> </w:t>
      </w:r>
      <w:r>
        <w:rPr>
          <w:sz w:val="20"/>
        </w:rPr>
        <w:t>Directa</w:t>
      </w:r>
    </w:p>
    <w:p>
      <w:pPr>
        <w:spacing w:after="0" w:line="276" w:lineRule="auto"/>
        <w:jc w:val="left"/>
        <w:rPr>
          <w:sz w:val="20"/>
        </w:rPr>
        <w:sectPr>
          <w:pgSz w:w="12240" w:h="15840"/>
          <w:pgMar w:header="0" w:footer="1003" w:top="1420" w:bottom="1200" w:left="1600" w:right="1600"/>
        </w:sectPr>
      </w:pPr>
    </w:p>
    <w:p>
      <w:pPr>
        <w:pStyle w:val="Heading1"/>
        <w:numPr>
          <w:ilvl w:val="1"/>
          <w:numId w:val="26"/>
        </w:numPr>
        <w:tabs>
          <w:tab w:pos="4049" w:val="left" w:leader="none"/>
        </w:tabs>
        <w:spacing w:line="240" w:lineRule="auto" w:before="52" w:after="0"/>
        <w:ind w:left="4048" w:right="0" w:hanging="391"/>
        <w:jc w:val="left"/>
      </w:pPr>
      <w:r>
        <w:rPr/>
        <w:t>Discusión</w:t>
      </w:r>
    </w:p>
    <w:p>
      <w:pPr>
        <w:pStyle w:val="BodyText"/>
        <w:rPr>
          <w:b/>
          <w:sz w:val="28"/>
        </w:rPr>
      </w:pPr>
    </w:p>
    <w:p>
      <w:pPr>
        <w:pStyle w:val="BodyText"/>
        <w:spacing w:before="3"/>
        <w:rPr>
          <w:b/>
          <w:sz w:val="28"/>
        </w:rPr>
      </w:pPr>
    </w:p>
    <w:p>
      <w:pPr>
        <w:pStyle w:val="BodyText"/>
        <w:spacing w:line="360" w:lineRule="auto"/>
        <w:ind w:left="102" w:right="116"/>
        <w:jc w:val="both"/>
      </w:pPr>
      <w:r>
        <w:rPr/>
        <w:t>Los análisis cefalométricos están generalmente dirigidos a una población específica, aunque la mayoría de las veces son para población caucásica, por lo que resulta erróneo utilizarlo arbitrariamente por las diferencias morfológicas conocidas de cada región; se debe primeramente alcanzar una estandarización para la población a la que se pretende aplicar, y esto nos permitirá conocer con certeza todas las variaciones morfológicas en las etapas de crecimiento, en cada sexo.</w:t>
      </w:r>
    </w:p>
    <w:p>
      <w:pPr>
        <w:pStyle w:val="BodyText"/>
        <w:spacing w:line="360" w:lineRule="auto" w:before="204"/>
        <w:ind w:left="102" w:right="118"/>
        <w:jc w:val="both"/>
      </w:pPr>
      <w:r>
        <w:rPr/>
        <w:t>Cuando se establece en un paciente un ODI menor a la norma, significa que tiene mayor posibilidad de presentar una mordida abierta, y de manera contraria, si presenta un valor mayor significará mayor tendencia a la mordida profunda. De igual forma para el APDI, cuando se establece una medición mayor a la norma estará indicando una relación esquelética Clase III, y de ser menor una relación Clase II.</w:t>
      </w:r>
    </w:p>
    <w:p>
      <w:pPr>
        <w:pStyle w:val="BodyText"/>
        <w:spacing w:line="360" w:lineRule="auto" w:before="204"/>
        <w:ind w:left="102" w:right="115"/>
        <w:jc w:val="both"/>
      </w:pPr>
      <w:r>
        <w:rPr/>
        <w:t>Todas las discrepancias esqueléticas así como dentales, deben ser consideradas, ya que una maloclusión CI se puede presentar con otras variables </w:t>
      </w:r>
      <w:r>
        <w:rPr>
          <w:spacing w:val="2"/>
        </w:rPr>
        <w:t>como </w:t>
      </w:r>
      <w:r>
        <w:rPr/>
        <w:t>puede  ser la mordida abierta o profunda, mordida cruzada, etc., sin dejar de ser una relación CI.</w:t>
      </w:r>
    </w:p>
    <w:p>
      <w:pPr>
        <w:pStyle w:val="BodyText"/>
        <w:spacing w:line="360" w:lineRule="auto" w:before="204"/>
        <w:ind w:left="102" w:right="116"/>
        <w:jc w:val="both"/>
      </w:pPr>
      <w:r>
        <w:rPr/>
        <w:t>El valor de normalidad obtenido en este estudio para el Índice de Sobremordida Vertical para los mexiquenses es menor al reportado por el Dr. Kim en la población caucásica americana, mientas que el valor del Índice de Discrepancia Antero Posterior resultó ser mayor, diferencia también encontrada por Freudenthaler en europeos, mientras que en japoneses el ODI igualmente es menor y el APDI similar; Navarrete por su parte al estudiar el APDI de la misma manera encuentra resultados superiores a los descritos por Kim. Estos datos nos sugieren que la población mexiquense por sus características raciales en general presenta un menor tamaño craneofacial en sentido vertical y un mayor tamaño en sentido horizontal.</w:t>
      </w:r>
    </w:p>
    <w:p>
      <w:pPr>
        <w:spacing w:after="0" w:line="360" w:lineRule="auto"/>
        <w:jc w:val="both"/>
        <w:sectPr>
          <w:pgSz w:w="12240" w:h="15840"/>
          <w:pgMar w:header="0" w:footer="1003" w:top="1360" w:bottom="1200" w:left="1600" w:right="1580"/>
        </w:sectPr>
      </w:pPr>
    </w:p>
    <w:p>
      <w:pPr>
        <w:pStyle w:val="BodyText"/>
        <w:spacing w:line="355" w:lineRule="auto" w:before="54"/>
        <w:ind w:left="102" w:right="117"/>
        <w:jc w:val="both"/>
      </w:pPr>
      <w:r>
        <w:rPr/>
        <w:t>Conforme a los resultados obtenidos, podemos observar que el grupo de 15 a 17 años de edad presenta un mayor crecimiento horizontal, siendo más evidente en las mujeres; lo que concuerda con los resultados obtenidos por Kubodera y Lara en población mexiquense, y Rivas en población nayarita; mientras que Navarrete</w:t>
      </w:r>
      <w:r>
        <w:rPr>
          <w:position w:val="11"/>
          <w:sz w:val="16"/>
        </w:rPr>
        <w:t>24 </w:t>
      </w:r>
      <w:r>
        <w:rPr/>
        <w:t>no encontró diferencias estadísticamente significativas entre sexos en cuanto al APDI en población</w:t>
      </w:r>
      <w:r>
        <w:rPr>
          <w:spacing w:val="-8"/>
        </w:rPr>
        <w:t> </w:t>
      </w:r>
      <w:r>
        <w:rPr/>
        <w:t>chilena.</w:t>
      </w:r>
    </w:p>
    <w:p>
      <w:pPr>
        <w:pStyle w:val="BodyText"/>
      </w:pPr>
    </w:p>
    <w:p>
      <w:pPr>
        <w:pStyle w:val="BodyText"/>
        <w:spacing w:line="360" w:lineRule="auto" w:before="147"/>
        <w:ind w:left="102" w:right="117"/>
        <w:jc w:val="both"/>
      </w:pPr>
      <w:r>
        <w:rPr/>
        <w:t>En este estudio, los hombres en general muestran mayor crecimiento vertical, siendo significativamente superior en mayores de 18 años de edad; resultados similares se obtuvieron en el estudio del Dr. Darío en población mestiza colombiana, describiendo que a partir de los 16 años comienza un aumento de la dimensión  vertical  significativamente mayor  en  los hombres;  al  igual  que  en el</w:t>
      </w:r>
    </w:p>
    <w:p>
      <w:pPr>
        <w:pStyle w:val="BodyText"/>
        <w:spacing w:line="279" w:lineRule="exact"/>
        <w:ind w:left="102"/>
        <w:jc w:val="both"/>
      </w:pPr>
      <w:r>
        <w:rPr/>
        <w:t>estudio del Dr. Ji-Hwam Kim </w:t>
      </w:r>
      <w:r>
        <w:rPr>
          <w:position w:val="11"/>
          <w:sz w:val="16"/>
        </w:rPr>
        <w:t>33  </w:t>
      </w:r>
      <w:r>
        <w:rPr/>
        <w:t>en la población Mongol y Koreana, en los hombres</w:t>
      </w:r>
    </w:p>
    <w:p>
      <w:pPr>
        <w:pStyle w:val="BodyText"/>
        <w:spacing w:before="139"/>
        <w:ind w:left="102"/>
        <w:jc w:val="both"/>
      </w:pPr>
      <w:r>
        <w:rPr/>
        <w:t>de 18 a 28 años se encontró un mayor crecimiento vertical .</w:t>
      </w:r>
    </w:p>
    <w:p>
      <w:pPr>
        <w:pStyle w:val="BodyText"/>
      </w:pPr>
    </w:p>
    <w:p>
      <w:pPr>
        <w:pStyle w:val="BodyText"/>
        <w:spacing w:before="11"/>
        <w:rPr>
          <w:sz w:val="20"/>
        </w:rPr>
      </w:pPr>
    </w:p>
    <w:p>
      <w:pPr>
        <w:pStyle w:val="BodyText"/>
        <w:spacing w:line="360" w:lineRule="auto"/>
        <w:ind w:left="102" w:right="119"/>
        <w:jc w:val="both"/>
      </w:pPr>
      <w:r>
        <w:rPr/>
        <w:t>En relación a lo establecido por el Dr. Saloom </w:t>
      </w:r>
      <w:r>
        <w:rPr>
          <w:position w:val="11"/>
          <w:sz w:val="16"/>
        </w:rPr>
        <w:t>19</w:t>
      </w:r>
      <w:r>
        <w:rPr/>
        <w:t>, en sujetos iraquíes con un rango de edad entre 18 y 25 años, también obtuvo resultados satisfactorios en cuanto a la utilización del ODI y APDI, reportando un mayor crecimiento vertical en los hombres al igual que en nuestro estudio. Y en cuanto al crecimiento horizontal no se encontraron diferencias estadísticamente significativas entre sexos.</w:t>
      </w:r>
    </w:p>
    <w:p>
      <w:pPr>
        <w:pStyle w:val="BodyText"/>
      </w:pPr>
    </w:p>
    <w:p>
      <w:pPr>
        <w:pStyle w:val="BodyText"/>
        <w:spacing w:line="352" w:lineRule="auto" w:before="142"/>
        <w:ind w:left="102" w:right="118"/>
        <w:jc w:val="both"/>
        <w:rPr>
          <w:sz w:val="16"/>
        </w:rPr>
      </w:pPr>
      <w:r>
        <w:rPr/>
        <w:t>Se puede observar que los parámetros estudiados destacan las características étnicas propias de los mexiquenses, sobre las que poco se ha descrito. Han sido contados los estudios en población mexicana que ayuden a establecer la relación horizontal y vertical del complejo craneofacial, así como las comparaciones entre sexos de dicha población. </w:t>
      </w:r>
      <w:r>
        <w:rPr>
          <w:position w:val="11"/>
          <w:sz w:val="16"/>
        </w:rPr>
        <w:t>25,31</w:t>
      </w:r>
    </w:p>
    <w:p>
      <w:pPr>
        <w:pStyle w:val="BodyText"/>
        <w:spacing w:line="360" w:lineRule="auto" w:before="192"/>
        <w:ind w:left="102" w:right="116"/>
        <w:jc w:val="both"/>
      </w:pPr>
      <w:r>
        <w:rPr/>
        <w:t>La importancia de conocer estas diferencias raciales radica en la utilidad diagnóstica y con ello poder predecir cambios favorables o desfavorables del complejo craneofacial. Por ejemplo, poder predecir cuales pacientes responderán con  erupción  molar posterior  excesiva  ante  la  mecánica  ortodóncica,  o cuales</w:t>
      </w:r>
    </w:p>
    <w:p>
      <w:pPr>
        <w:spacing w:after="0" w:line="360" w:lineRule="auto"/>
        <w:jc w:val="both"/>
        <w:sectPr>
          <w:pgSz w:w="12240" w:h="15840"/>
          <w:pgMar w:header="0" w:footer="1003" w:top="1360" w:bottom="1200" w:left="1600" w:right="1580"/>
        </w:sectPr>
      </w:pPr>
    </w:p>
    <w:p>
      <w:pPr>
        <w:pStyle w:val="BodyText"/>
        <w:spacing w:line="331" w:lineRule="auto" w:before="54"/>
        <w:ind w:left="102" w:right="117"/>
        <w:jc w:val="both"/>
        <w:rPr>
          <w:sz w:val="16"/>
        </w:rPr>
      </w:pPr>
      <w:r>
        <w:rPr/>
        <w:t>pacientes pueden tener crecimiento facial tardío que afecte la estabilidad de los tratamientos o genere maloclusiones.</w:t>
      </w:r>
      <w:r>
        <w:rPr>
          <w:position w:val="11"/>
          <w:sz w:val="16"/>
        </w:rPr>
        <w:t>41, 42</w:t>
      </w:r>
    </w:p>
    <w:p>
      <w:pPr>
        <w:pStyle w:val="BodyText"/>
        <w:spacing w:before="10"/>
        <w:rPr>
          <w:sz w:val="37"/>
        </w:rPr>
      </w:pPr>
    </w:p>
    <w:p>
      <w:pPr>
        <w:pStyle w:val="BodyText"/>
        <w:spacing w:line="360" w:lineRule="auto"/>
        <w:ind w:left="102" w:right="120"/>
        <w:jc w:val="both"/>
      </w:pPr>
      <w:r>
        <w:rPr/>
        <w:t>Esto demuestra que la utilización de un estándar cefalómetrico de otra población, que además no haga diferencias entre grupos de edad y sexo, no puede reflejar las características craneofaciales de la población mexiquense, y por consecuencia no debe ser utilizado de esta manera, ya que provocaría errores en el diagnóstico y por consiguiente, en el resultado del tratamiento de cada</w:t>
      </w:r>
      <w:r>
        <w:rPr>
          <w:spacing w:val="-16"/>
        </w:rPr>
        <w:t> </w:t>
      </w:r>
      <w:r>
        <w:rPr/>
        <w:t>paciente.</w:t>
      </w:r>
    </w:p>
    <w:p>
      <w:pPr>
        <w:spacing w:after="0" w:line="360" w:lineRule="auto"/>
        <w:jc w:val="both"/>
        <w:sectPr>
          <w:pgSz w:w="12240" w:h="15840"/>
          <w:pgMar w:header="0" w:footer="1003" w:top="1360" w:bottom="1200" w:left="1600" w:right="1580"/>
        </w:sectPr>
      </w:pPr>
    </w:p>
    <w:p>
      <w:pPr>
        <w:pStyle w:val="Heading1"/>
        <w:numPr>
          <w:ilvl w:val="1"/>
          <w:numId w:val="26"/>
        </w:numPr>
        <w:tabs>
          <w:tab w:pos="3799" w:val="left" w:leader="none"/>
        </w:tabs>
        <w:spacing w:line="240" w:lineRule="auto" w:before="52" w:after="0"/>
        <w:ind w:left="3798" w:right="0" w:hanging="391"/>
        <w:jc w:val="left"/>
      </w:pPr>
      <w:r>
        <w:rPr/>
        <w:t>Conclusiones</w:t>
      </w:r>
    </w:p>
    <w:p>
      <w:pPr>
        <w:pStyle w:val="BodyText"/>
        <w:spacing w:before="7"/>
        <w:rPr>
          <w:b/>
          <w:sz w:val="31"/>
        </w:rPr>
      </w:pPr>
    </w:p>
    <w:p>
      <w:pPr>
        <w:pStyle w:val="BodyText"/>
        <w:spacing w:line="360" w:lineRule="auto"/>
        <w:ind w:left="102" w:right="118"/>
        <w:jc w:val="both"/>
      </w:pPr>
      <w:r>
        <w:rPr/>
        <w:t>En Ortodoncia es de suma importancia la utilización de la Cefalometría como método diagnóstico, y la implementación del análisis de Kim, por su sencillez, resulta de gran utilidad para conocer de manera general las características craneofaciales de cada paciente, siendo eficaz como auxiliar diagnóstico. En base a los resultados obtenidos en este estudio podemos concluir lo siguiente:</w:t>
      </w:r>
    </w:p>
    <w:p>
      <w:pPr>
        <w:pStyle w:val="ListParagraph"/>
        <w:numPr>
          <w:ilvl w:val="2"/>
          <w:numId w:val="28"/>
        </w:numPr>
        <w:tabs>
          <w:tab w:pos="822" w:val="left" w:leader="none"/>
        </w:tabs>
        <w:spacing w:line="357" w:lineRule="auto" w:before="205" w:after="0"/>
        <w:ind w:left="822" w:right="116" w:hanging="360"/>
        <w:jc w:val="both"/>
        <w:rPr>
          <w:sz w:val="24"/>
        </w:rPr>
      </w:pPr>
      <w:r>
        <w:rPr>
          <w:sz w:val="24"/>
        </w:rPr>
        <w:t>Los mexiquenses tienen menor tamaño vertical craneofacial y mayor tamaño horizontal en comparación con la población caucásica, lo que nos señala la importancia de la utilización de un análisis cefalómétrico estandarizado para cada</w:t>
      </w:r>
      <w:r>
        <w:rPr>
          <w:spacing w:val="-12"/>
          <w:sz w:val="24"/>
        </w:rPr>
        <w:t> </w:t>
      </w:r>
      <w:r>
        <w:rPr>
          <w:sz w:val="24"/>
        </w:rPr>
        <w:t>población.</w:t>
      </w:r>
    </w:p>
    <w:p>
      <w:pPr>
        <w:pStyle w:val="BodyText"/>
      </w:pPr>
    </w:p>
    <w:p>
      <w:pPr>
        <w:pStyle w:val="ListParagraph"/>
        <w:numPr>
          <w:ilvl w:val="2"/>
          <w:numId w:val="28"/>
        </w:numPr>
        <w:tabs>
          <w:tab w:pos="822" w:val="left" w:leader="none"/>
        </w:tabs>
        <w:spacing w:line="357" w:lineRule="auto" w:before="145" w:after="0"/>
        <w:ind w:left="822" w:right="117" w:hanging="360"/>
        <w:jc w:val="both"/>
        <w:rPr>
          <w:sz w:val="24"/>
        </w:rPr>
      </w:pPr>
      <w:r>
        <w:rPr>
          <w:sz w:val="24"/>
        </w:rPr>
        <w:t>Las mujeres adolescentes de entre 15 a 17 años presentan un mayor crecimiento en sentido horizontal, mientras que los hombres adultos muestran un mayor crecimiento en sentido vertical; diferencias morfológicas que deben ser consideradas en el proceso diagnóstico, con la utilización de estándares de normalidad específicos para cada grupo de edad y</w:t>
      </w:r>
      <w:r>
        <w:rPr>
          <w:spacing w:val="-25"/>
          <w:sz w:val="24"/>
        </w:rPr>
        <w:t> </w:t>
      </w:r>
      <w:r>
        <w:rPr>
          <w:sz w:val="24"/>
        </w:rPr>
        <w:t>sexo.</w:t>
      </w:r>
    </w:p>
    <w:p>
      <w:pPr>
        <w:pStyle w:val="BodyText"/>
        <w:spacing w:before="1"/>
        <w:rPr>
          <w:sz w:val="28"/>
        </w:rPr>
      </w:pPr>
    </w:p>
    <w:p>
      <w:pPr>
        <w:pStyle w:val="ListParagraph"/>
        <w:numPr>
          <w:ilvl w:val="2"/>
          <w:numId w:val="28"/>
        </w:numPr>
        <w:tabs>
          <w:tab w:pos="822" w:val="left" w:leader="none"/>
        </w:tabs>
        <w:spacing w:line="357" w:lineRule="auto" w:before="0" w:after="0"/>
        <w:ind w:left="822" w:right="121" w:hanging="360"/>
        <w:jc w:val="both"/>
        <w:rPr>
          <w:sz w:val="24"/>
        </w:rPr>
      </w:pPr>
      <w:r>
        <w:rPr>
          <w:sz w:val="24"/>
        </w:rPr>
        <w:t>El software diseñado con los resultados de este estudio en base al análisis de Kim, es de gran utilidad para el diagnóstico de las relaciones craneofaciales en sentido vertical como horizontal, utilizado como diagnóstico inicial o a manera de corroboración, específicamente para ratificar la relación esquelética o en caso de sobremordida vertical o mordida abierta; en su empleo específico para población</w:t>
      </w:r>
      <w:r>
        <w:rPr>
          <w:spacing w:val="-23"/>
          <w:sz w:val="24"/>
        </w:rPr>
        <w:t> </w:t>
      </w:r>
      <w:r>
        <w:rPr>
          <w:sz w:val="24"/>
        </w:rPr>
        <w:t>mexiquense.</w:t>
      </w:r>
    </w:p>
    <w:p>
      <w:pPr>
        <w:spacing w:after="0" w:line="357" w:lineRule="auto"/>
        <w:jc w:val="both"/>
        <w:rPr>
          <w:sz w:val="24"/>
        </w:rPr>
        <w:sectPr>
          <w:pgSz w:w="12240" w:h="15840"/>
          <w:pgMar w:header="0" w:footer="1003" w:top="1360" w:bottom="1200" w:left="1600" w:right="1580"/>
        </w:sectPr>
      </w:pPr>
    </w:p>
    <w:p>
      <w:pPr>
        <w:pStyle w:val="Heading1"/>
        <w:numPr>
          <w:ilvl w:val="1"/>
          <w:numId w:val="26"/>
        </w:numPr>
        <w:tabs>
          <w:tab w:pos="3804" w:val="left" w:leader="none"/>
        </w:tabs>
        <w:spacing w:line="240" w:lineRule="auto" w:before="52" w:after="0"/>
        <w:ind w:left="3803" w:right="0" w:hanging="391"/>
        <w:jc w:val="left"/>
      </w:pPr>
      <w:r>
        <w:rPr/>
        <w:t>Referencias</w:t>
      </w:r>
    </w:p>
    <w:p>
      <w:pPr>
        <w:pStyle w:val="BodyText"/>
        <w:spacing w:before="7"/>
        <w:rPr>
          <w:b/>
          <w:sz w:val="31"/>
        </w:rPr>
      </w:pPr>
    </w:p>
    <w:p>
      <w:pPr>
        <w:pStyle w:val="ListParagraph"/>
        <w:numPr>
          <w:ilvl w:val="0"/>
          <w:numId w:val="29"/>
        </w:numPr>
        <w:tabs>
          <w:tab w:pos="702" w:val="left" w:leader="none"/>
        </w:tabs>
        <w:spacing w:line="360" w:lineRule="auto" w:before="0" w:after="0"/>
        <w:ind w:left="702" w:right="117" w:hanging="360"/>
        <w:jc w:val="both"/>
        <w:rPr>
          <w:sz w:val="24"/>
        </w:rPr>
      </w:pPr>
      <w:r>
        <w:rPr>
          <w:sz w:val="24"/>
        </w:rPr>
        <w:t>Jiménez SE. Diagnóstico clínico en ortodoncia. Revista Mexicana de Odontología Clínica.</w:t>
      </w:r>
      <w:r>
        <w:rPr>
          <w:spacing w:val="-6"/>
          <w:sz w:val="24"/>
        </w:rPr>
        <w:t> </w:t>
      </w:r>
      <w:r>
        <w:rPr>
          <w:sz w:val="24"/>
        </w:rPr>
        <w:t>2008;9:14-17.</w:t>
      </w:r>
    </w:p>
    <w:p>
      <w:pPr>
        <w:pStyle w:val="ListParagraph"/>
        <w:numPr>
          <w:ilvl w:val="0"/>
          <w:numId w:val="29"/>
        </w:numPr>
        <w:tabs>
          <w:tab w:pos="702" w:val="left" w:leader="none"/>
        </w:tabs>
        <w:spacing w:line="360" w:lineRule="auto" w:before="5" w:after="0"/>
        <w:ind w:left="702" w:right="127" w:hanging="360"/>
        <w:jc w:val="both"/>
        <w:rPr>
          <w:sz w:val="24"/>
        </w:rPr>
      </w:pPr>
      <w:r>
        <w:rPr>
          <w:sz w:val="24"/>
        </w:rPr>
        <w:t>Rodríguez LAJ, Valdés de la RC, Salellas BJ. La adquisición de habilidades de razonamiento clínico en estudiantes de la carrera de Medicina. Revista Medicina Humana.</w:t>
      </w:r>
      <w:r>
        <w:rPr>
          <w:spacing w:val="-9"/>
          <w:sz w:val="24"/>
        </w:rPr>
        <w:t> </w:t>
      </w:r>
      <w:r>
        <w:rPr>
          <w:sz w:val="24"/>
        </w:rPr>
        <w:t>2013;13:72-87.</w:t>
      </w:r>
    </w:p>
    <w:p>
      <w:pPr>
        <w:pStyle w:val="ListParagraph"/>
        <w:numPr>
          <w:ilvl w:val="0"/>
          <w:numId w:val="29"/>
        </w:numPr>
        <w:tabs>
          <w:tab w:pos="702" w:val="left" w:leader="none"/>
        </w:tabs>
        <w:spacing w:line="360" w:lineRule="auto" w:before="2" w:after="0"/>
        <w:ind w:left="702" w:right="122" w:hanging="360"/>
        <w:jc w:val="both"/>
        <w:rPr>
          <w:sz w:val="24"/>
        </w:rPr>
      </w:pPr>
      <w:r>
        <w:rPr>
          <w:sz w:val="24"/>
        </w:rPr>
        <w:t>Proffit WR, Field HW, Sarver DM. Ortodoncia Contemporánea. 4° edición. Barcelona, España: Ed. Elsevier –Mosby;</w:t>
      </w:r>
      <w:r>
        <w:rPr>
          <w:spacing w:val="-17"/>
          <w:sz w:val="24"/>
        </w:rPr>
        <w:t> </w:t>
      </w:r>
      <w:r>
        <w:rPr>
          <w:sz w:val="24"/>
        </w:rPr>
        <w:t>2008.</w:t>
      </w:r>
    </w:p>
    <w:p>
      <w:pPr>
        <w:pStyle w:val="ListParagraph"/>
        <w:numPr>
          <w:ilvl w:val="0"/>
          <w:numId w:val="29"/>
        </w:numPr>
        <w:tabs>
          <w:tab w:pos="702" w:val="left" w:leader="none"/>
        </w:tabs>
        <w:spacing w:line="360" w:lineRule="auto" w:before="3" w:after="0"/>
        <w:ind w:left="702" w:right="125" w:hanging="360"/>
        <w:jc w:val="both"/>
        <w:rPr>
          <w:sz w:val="24"/>
        </w:rPr>
      </w:pPr>
      <w:r>
        <w:rPr>
          <w:sz w:val="24"/>
        </w:rPr>
        <w:t>Rakosi T, Jonas I. Atlas de Ortopedia maxilar: Diagnóstico. Barcelona. Ed. Masson- Salvat Odontología;</w:t>
      </w:r>
      <w:r>
        <w:rPr>
          <w:spacing w:val="-16"/>
          <w:sz w:val="24"/>
        </w:rPr>
        <w:t> </w:t>
      </w:r>
      <w:r>
        <w:rPr>
          <w:sz w:val="24"/>
        </w:rPr>
        <w:t>1992.</w:t>
      </w:r>
    </w:p>
    <w:p>
      <w:pPr>
        <w:pStyle w:val="ListParagraph"/>
        <w:numPr>
          <w:ilvl w:val="0"/>
          <w:numId w:val="29"/>
        </w:numPr>
        <w:tabs>
          <w:tab w:pos="702" w:val="left" w:leader="none"/>
        </w:tabs>
        <w:spacing w:line="360" w:lineRule="auto" w:before="2" w:after="0"/>
        <w:ind w:left="702" w:right="115" w:hanging="360"/>
        <w:jc w:val="both"/>
        <w:rPr>
          <w:sz w:val="24"/>
        </w:rPr>
      </w:pPr>
      <w:r>
        <w:rPr>
          <w:sz w:val="24"/>
        </w:rPr>
        <w:t>Paredes V, Gandia LJ, Cibrián R. Digital diagnosis records in orthodontist  an overview. Revista Medicina oral, Patología oral y Cirugía bucal. 2006;11:88-93.</w:t>
      </w:r>
    </w:p>
    <w:p>
      <w:pPr>
        <w:pStyle w:val="ListParagraph"/>
        <w:numPr>
          <w:ilvl w:val="0"/>
          <w:numId w:val="29"/>
        </w:numPr>
        <w:tabs>
          <w:tab w:pos="702" w:val="left" w:leader="none"/>
        </w:tabs>
        <w:spacing w:line="360" w:lineRule="auto" w:before="5" w:after="0"/>
        <w:ind w:left="702" w:right="124" w:hanging="360"/>
        <w:jc w:val="both"/>
        <w:rPr>
          <w:sz w:val="24"/>
        </w:rPr>
      </w:pPr>
      <w:r>
        <w:rPr>
          <w:sz w:val="24"/>
        </w:rPr>
        <w:t>D´Escrivan de SL. Ortodoncia en dentición mixta. Colombia. Actualidades Médico Odontológicas Latinoamérica, C.A. Ed. Amolca;</w:t>
      </w:r>
      <w:r>
        <w:rPr>
          <w:spacing w:val="-20"/>
          <w:sz w:val="24"/>
        </w:rPr>
        <w:t> </w:t>
      </w:r>
      <w:r>
        <w:rPr>
          <w:sz w:val="24"/>
        </w:rPr>
        <w:t>2007.</w:t>
      </w:r>
    </w:p>
    <w:p>
      <w:pPr>
        <w:pStyle w:val="ListParagraph"/>
        <w:numPr>
          <w:ilvl w:val="0"/>
          <w:numId w:val="29"/>
        </w:numPr>
        <w:tabs>
          <w:tab w:pos="702" w:val="left" w:leader="none"/>
        </w:tabs>
        <w:spacing w:line="360" w:lineRule="auto" w:before="5" w:after="0"/>
        <w:ind w:left="702" w:right="117" w:hanging="360"/>
        <w:jc w:val="both"/>
        <w:rPr>
          <w:sz w:val="24"/>
        </w:rPr>
      </w:pPr>
      <w:r>
        <w:rPr>
          <w:sz w:val="24"/>
        </w:rPr>
        <w:t>Fernández BJ. Fotografía intraoral y extraoral. Revista Española de ortodoncia.</w:t>
      </w:r>
      <w:r>
        <w:rPr>
          <w:spacing w:val="-9"/>
          <w:sz w:val="24"/>
        </w:rPr>
        <w:t> </w:t>
      </w:r>
      <w:r>
        <w:rPr>
          <w:sz w:val="24"/>
        </w:rPr>
        <w:t>2006;36:49-58.</w:t>
      </w:r>
    </w:p>
    <w:p>
      <w:pPr>
        <w:pStyle w:val="ListParagraph"/>
        <w:numPr>
          <w:ilvl w:val="0"/>
          <w:numId w:val="29"/>
        </w:numPr>
        <w:tabs>
          <w:tab w:pos="702" w:val="left" w:leader="none"/>
        </w:tabs>
        <w:spacing w:line="360" w:lineRule="auto" w:before="5" w:after="0"/>
        <w:ind w:left="702" w:right="117" w:hanging="360"/>
        <w:jc w:val="both"/>
        <w:rPr>
          <w:sz w:val="24"/>
        </w:rPr>
      </w:pPr>
      <w:r>
        <w:rPr>
          <w:sz w:val="24"/>
        </w:rPr>
        <w:t>Leyva AJL, Vargas PML. Hallazgos incidentales en radiografías panorámicas previas al tratamiento de ortodoncia. Acta Odontológica Venezolana (Revista en internet). 2010 (28/06/2015): Disponible: </w:t>
      </w:r>
      <w:hyperlink r:id="rId99">
        <w:r>
          <w:rPr>
            <w:sz w:val="24"/>
          </w:rPr>
          <w:t>http://www.actaodontologica.com/ediciones/2011/3/ort7.asp.</w:t>
        </w:r>
      </w:hyperlink>
    </w:p>
    <w:p>
      <w:pPr>
        <w:pStyle w:val="ListParagraph"/>
        <w:numPr>
          <w:ilvl w:val="0"/>
          <w:numId w:val="29"/>
        </w:numPr>
        <w:tabs>
          <w:tab w:pos="702" w:val="left" w:leader="none"/>
        </w:tabs>
        <w:spacing w:line="360" w:lineRule="auto" w:before="5" w:after="0"/>
        <w:ind w:left="702" w:right="125" w:hanging="360"/>
        <w:jc w:val="both"/>
        <w:rPr>
          <w:sz w:val="24"/>
        </w:rPr>
      </w:pPr>
      <w:r>
        <w:rPr>
          <w:sz w:val="24"/>
        </w:rPr>
        <w:t>Solórzano RZ, Montiel BNM, Jasso RI, Kubodera IT. Estándar cefalométrico para población mexiquense de 6 a 8 años de edad. Odontología Actual. 2014;135:50-56.</w:t>
      </w:r>
    </w:p>
    <w:p>
      <w:pPr>
        <w:pStyle w:val="ListParagraph"/>
        <w:numPr>
          <w:ilvl w:val="0"/>
          <w:numId w:val="29"/>
        </w:numPr>
        <w:tabs>
          <w:tab w:pos="702" w:val="left" w:leader="none"/>
        </w:tabs>
        <w:spacing w:line="360" w:lineRule="auto" w:before="3" w:after="0"/>
        <w:ind w:left="702" w:right="115" w:hanging="360"/>
        <w:jc w:val="both"/>
        <w:rPr>
          <w:sz w:val="24"/>
        </w:rPr>
      </w:pPr>
      <w:r>
        <w:rPr>
          <w:sz w:val="24"/>
        </w:rPr>
        <w:t>Celar AG, Freudenthaler JW, Schnerder B. Cephalometric differentiation between vertical and horizontal malocclusions in 122 europeans using the denture frame analysis and standard measurements. Journal of Orofacial Orthopedics.</w:t>
      </w:r>
      <w:r>
        <w:rPr>
          <w:spacing w:val="-11"/>
          <w:sz w:val="24"/>
        </w:rPr>
        <w:t> </w:t>
      </w:r>
      <w:r>
        <w:rPr>
          <w:sz w:val="24"/>
        </w:rPr>
        <w:t>1999;60:195-204.</w:t>
      </w:r>
    </w:p>
    <w:p>
      <w:pPr>
        <w:pStyle w:val="ListParagraph"/>
        <w:numPr>
          <w:ilvl w:val="0"/>
          <w:numId w:val="29"/>
        </w:numPr>
        <w:tabs>
          <w:tab w:pos="702" w:val="left" w:leader="none"/>
        </w:tabs>
        <w:spacing w:line="360" w:lineRule="auto" w:before="2" w:after="0"/>
        <w:ind w:left="702" w:right="118" w:hanging="360"/>
        <w:jc w:val="both"/>
        <w:rPr>
          <w:sz w:val="24"/>
        </w:rPr>
      </w:pPr>
      <w:r>
        <w:rPr>
          <w:sz w:val="24"/>
        </w:rPr>
        <w:t>Porras B, et. al. Diagnóstico Ortodóncico: Análisis Cefalométrico. IDental (Revista     en     internet).     2009     (15/06/2015);     Disponible     en:</w:t>
      </w:r>
      <w:r>
        <w:rPr>
          <w:spacing w:val="44"/>
          <w:sz w:val="24"/>
        </w:rPr>
        <w:t> </w:t>
      </w:r>
      <w:r>
        <w:rPr>
          <w:sz w:val="24"/>
        </w:rPr>
        <w:t>http:</w:t>
      </w:r>
    </w:p>
    <w:p>
      <w:pPr>
        <w:pStyle w:val="BodyText"/>
        <w:spacing w:before="2"/>
        <w:ind w:left="701"/>
      </w:pPr>
      <w:r>
        <w:rPr/>
        <w:t>//</w:t>
      </w:r>
      <w:hyperlink r:id="rId100">
        <w:r>
          <w:rPr/>
          <w:t>www.ulacit.ac.cr/.../suplemento%20Ortodoncia/ID02.pdf.</w:t>
        </w:r>
      </w:hyperlink>
    </w:p>
    <w:p>
      <w:pPr>
        <w:spacing w:after="0"/>
        <w:sectPr>
          <w:footerReference w:type="default" r:id="rId98"/>
          <w:pgSz w:w="12240" w:h="15840"/>
          <w:pgMar w:footer="1003" w:header="0" w:top="1360" w:bottom="1200" w:left="1720" w:right="1580"/>
        </w:sectPr>
      </w:pPr>
    </w:p>
    <w:p>
      <w:pPr>
        <w:pStyle w:val="ListParagraph"/>
        <w:numPr>
          <w:ilvl w:val="0"/>
          <w:numId w:val="29"/>
        </w:numPr>
        <w:tabs>
          <w:tab w:pos="702" w:val="left" w:leader="none"/>
        </w:tabs>
        <w:spacing w:line="360" w:lineRule="auto" w:before="54" w:after="0"/>
        <w:ind w:left="702" w:right="121" w:hanging="360"/>
        <w:jc w:val="both"/>
        <w:rPr>
          <w:sz w:val="24"/>
        </w:rPr>
      </w:pPr>
      <w:r>
        <w:rPr>
          <w:sz w:val="24"/>
        </w:rPr>
        <w:t>Tenorio EJK. Evaluación de la discrepancia cefalométrica según Steiner, Tweed e Interlandi en pacientes con relación esquelética Clase I (tesis de licenciatura). Lima- Perú: Universidad Nacional Mayor de San Marcos;  2011.</w:t>
      </w:r>
    </w:p>
    <w:p>
      <w:pPr>
        <w:pStyle w:val="ListParagraph"/>
        <w:numPr>
          <w:ilvl w:val="0"/>
          <w:numId w:val="29"/>
        </w:numPr>
        <w:tabs>
          <w:tab w:pos="702" w:val="left" w:leader="none"/>
        </w:tabs>
        <w:spacing w:line="360" w:lineRule="auto" w:before="2" w:after="0"/>
        <w:ind w:left="702" w:right="115" w:hanging="360"/>
        <w:jc w:val="both"/>
        <w:rPr>
          <w:sz w:val="24"/>
        </w:rPr>
      </w:pPr>
      <w:r>
        <w:rPr>
          <w:sz w:val="24"/>
        </w:rPr>
        <w:t>Acuña DEC. Estudio comparativo del cefalograma de Kim, Steiner y proyección USP, en la determinación de la relación esquelética  sagital (tesis de licenciatura en Odontología). Lima Perú: Universidad Nacional Mayor de San Marcos;</w:t>
      </w:r>
      <w:r>
        <w:rPr>
          <w:spacing w:val="-9"/>
          <w:sz w:val="24"/>
        </w:rPr>
        <w:t> </w:t>
      </w:r>
      <w:r>
        <w:rPr>
          <w:sz w:val="24"/>
        </w:rPr>
        <w:t>2011.</w:t>
      </w:r>
    </w:p>
    <w:p>
      <w:pPr>
        <w:pStyle w:val="ListParagraph"/>
        <w:numPr>
          <w:ilvl w:val="0"/>
          <w:numId w:val="29"/>
        </w:numPr>
        <w:tabs>
          <w:tab w:pos="702" w:val="left" w:leader="none"/>
        </w:tabs>
        <w:spacing w:line="362" w:lineRule="auto" w:before="2" w:after="0"/>
        <w:ind w:left="702" w:right="125" w:hanging="360"/>
        <w:jc w:val="both"/>
        <w:rPr>
          <w:sz w:val="24"/>
        </w:rPr>
      </w:pPr>
      <w:r>
        <w:rPr>
          <w:sz w:val="24"/>
        </w:rPr>
        <w:t>Barahona CJB, Benavides SJ. Principales análisis cefalométricos utilizados para el diagnóstico ortodóntico. Revista Científica.</w:t>
      </w:r>
      <w:r>
        <w:rPr>
          <w:spacing w:val="-15"/>
          <w:sz w:val="24"/>
        </w:rPr>
        <w:t> </w:t>
      </w:r>
      <w:r>
        <w:rPr>
          <w:sz w:val="24"/>
        </w:rPr>
        <w:t>2006;2:11-28.</w:t>
      </w:r>
    </w:p>
    <w:p>
      <w:pPr>
        <w:pStyle w:val="ListParagraph"/>
        <w:numPr>
          <w:ilvl w:val="0"/>
          <w:numId w:val="29"/>
        </w:numPr>
        <w:tabs>
          <w:tab w:pos="702" w:val="left" w:leader="none"/>
        </w:tabs>
        <w:spacing w:line="360" w:lineRule="auto" w:before="0" w:after="0"/>
        <w:ind w:left="702" w:right="119" w:hanging="360"/>
        <w:jc w:val="both"/>
        <w:rPr>
          <w:sz w:val="24"/>
        </w:rPr>
      </w:pPr>
      <w:r>
        <w:rPr>
          <w:sz w:val="24"/>
        </w:rPr>
        <w:t>Companion BA, Rodríguez QM, Días VRV. Bosquejo histórico de la Cefalometría Radiográfica. Revista Cubana de Estomatología.</w:t>
      </w:r>
      <w:r>
        <w:rPr>
          <w:spacing w:val="-20"/>
          <w:sz w:val="24"/>
        </w:rPr>
        <w:t> </w:t>
      </w:r>
      <w:r>
        <w:rPr>
          <w:sz w:val="24"/>
        </w:rPr>
        <w:t>2008;45:1-7.</w:t>
      </w:r>
    </w:p>
    <w:p>
      <w:pPr>
        <w:pStyle w:val="ListParagraph"/>
        <w:numPr>
          <w:ilvl w:val="0"/>
          <w:numId w:val="29"/>
        </w:numPr>
        <w:tabs>
          <w:tab w:pos="702" w:val="left" w:leader="none"/>
        </w:tabs>
        <w:spacing w:line="360" w:lineRule="auto" w:before="2" w:after="0"/>
        <w:ind w:left="702" w:right="115" w:hanging="360"/>
        <w:jc w:val="both"/>
        <w:rPr>
          <w:sz w:val="24"/>
        </w:rPr>
      </w:pPr>
      <w:r>
        <w:rPr>
          <w:sz w:val="24"/>
        </w:rPr>
        <w:t>Martinez RD, Canseco JJ, González RE, Jaramillo PH, Cuairán RE. Discrepancias en medidas cefalométricas en relación a la posición natural de la cabeza. Revista Mexicana de Ortodoncia.</w:t>
      </w:r>
      <w:r>
        <w:rPr>
          <w:spacing w:val="-18"/>
          <w:sz w:val="24"/>
        </w:rPr>
        <w:t> </w:t>
      </w:r>
      <w:r>
        <w:rPr>
          <w:sz w:val="24"/>
        </w:rPr>
        <w:t>2013;1:27-32.</w:t>
      </w:r>
    </w:p>
    <w:p>
      <w:pPr>
        <w:pStyle w:val="ListParagraph"/>
        <w:numPr>
          <w:ilvl w:val="0"/>
          <w:numId w:val="29"/>
        </w:numPr>
        <w:tabs>
          <w:tab w:pos="702" w:val="left" w:leader="none"/>
        </w:tabs>
        <w:spacing w:line="360" w:lineRule="auto" w:before="5" w:after="0"/>
        <w:ind w:left="702" w:right="114" w:hanging="360"/>
        <w:jc w:val="both"/>
        <w:rPr>
          <w:sz w:val="24"/>
        </w:rPr>
      </w:pPr>
      <w:r>
        <w:rPr>
          <w:sz w:val="24"/>
        </w:rPr>
        <w:t>Olmos BJ. Historia de la Cefalometría. Gaceta Dental (Revista en Internet). 2011(3/10/2014):Disponible: </w:t>
      </w:r>
      <w:hyperlink r:id="rId102">
        <w:r>
          <w:rPr>
            <w:sz w:val="24"/>
          </w:rPr>
          <w:t>http://www.gacetadental.com/2011/09/historia-</w:t>
        </w:r>
      </w:hyperlink>
      <w:r>
        <w:rPr>
          <w:sz w:val="24"/>
        </w:rPr>
        <w:t> </w:t>
      </w:r>
      <w:hyperlink r:id="rId102">
        <w:r>
          <w:rPr>
            <w:sz w:val="24"/>
          </w:rPr>
          <w:t>de-la-cefalometra-25810/</w:t>
        </w:r>
      </w:hyperlink>
    </w:p>
    <w:p>
      <w:pPr>
        <w:pStyle w:val="ListParagraph"/>
        <w:numPr>
          <w:ilvl w:val="0"/>
          <w:numId w:val="29"/>
        </w:numPr>
        <w:tabs>
          <w:tab w:pos="702" w:val="left" w:leader="none"/>
        </w:tabs>
        <w:spacing w:line="360" w:lineRule="auto" w:before="2" w:after="0"/>
        <w:ind w:left="702" w:right="117" w:hanging="360"/>
        <w:jc w:val="both"/>
        <w:rPr>
          <w:sz w:val="24"/>
        </w:rPr>
      </w:pPr>
      <w:r>
        <w:rPr>
          <w:sz w:val="24"/>
        </w:rPr>
        <w:t>Canut BJA. Ortodoncia Clínica. Barcelona, España: Ed.Salvat Ediciones S.A;</w:t>
      </w:r>
      <w:r>
        <w:rPr>
          <w:spacing w:val="-4"/>
          <w:sz w:val="24"/>
        </w:rPr>
        <w:t> </w:t>
      </w:r>
      <w:r>
        <w:rPr>
          <w:sz w:val="24"/>
        </w:rPr>
        <w:t>1988.</w:t>
      </w:r>
    </w:p>
    <w:p>
      <w:pPr>
        <w:pStyle w:val="ListParagraph"/>
        <w:numPr>
          <w:ilvl w:val="0"/>
          <w:numId w:val="29"/>
        </w:numPr>
        <w:tabs>
          <w:tab w:pos="702" w:val="left" w:leader="none"/>
        </w:tabs>
        <w:spacing w:line="360" w:lineRule="auto" w:before="2" w:after="0"/>
        <w:ind w:left="702" w:right="121" w:hanging="360"/>
        <w:jc w:val="both"/>
        <w:rPr>
          <w:sz w:val="24"/>
        </w:rPr>
      </w:pPr>
      <w:r>
        <w:rPr>
          <w:sz w:val="24"/>
        </w:rPr>
        <w:t>Ceccon A. Determinación de clase II esquelética antero posterior según estudio de Wits versus Steiner en pacientes de la especialidad de ortodoncia de la facultad de odontología (tesis de especialidad en ortodoncia). Bolivia: Universidad Mayor Real y Pontificia de San Francisco Xavier de Chuquisaca, Vicerrectorado, Centro de Estudios de Posgrado e Investigación, Facultad de Odontología;</w:t>
      </w:r>
      <w:r>
        <w:rPr>
          <w:spacing w:val="-15"/>
          <w:sz w:val="24"/>
        </w:rPr>
        <w:t> </w:t>
      </w:r>
      <w:r>
        <w:rPr>
          <w:sz w:val="24"/>
        </w:rPr>
        <w:t>2010.</w:t>
      </w:r>
    </w:p>
    <w:p>
      <w:pPr>
        <w:pStyle w:val="ListParagraph"/>
        <w:numPr>
          <w:ilvl w:val="0"/>
          <w:numId w:val="29"/>
        </w:numPr>
        <w:tabs>
          <w:tab w:pos="702" w:val="left" w:leader="none"/>
        </w:tabs>
        <w:spacing w:line="360" w:lineRule="auto" w:before="2" w:after="0"/>
        <w:ind w:left="702" w:right="123" w:hanging="360"/>
        <w:jc w:val="both"/>
        <w:rPr>
          <w:sz w:val="24"/>
        </w:rPr>
      </w:pPr>
      <w:r>
        <w:rPr>
          <w:sz w:val="24"/>
        </w:rPr>
        <w:t>McGonagle R. N. In Memoriam: B. Holly Broadbent. The Angle Orthodontist. 1978;48:172-173.</w:t>
      </w:r>
    </w:p>
    <w:p>
      <w:pPr>
        <w:pStyle w:val="ListParagraph"/>
        <w:numPr>
          <w:ilvl w:val="0"/>
          <w:numId w:val="29"/>
        </w:numPr>
        <w:tabs>
          <w:tab w:pos="702" w:val="left" w:leader="none"/>
        </w:tabs>
        <w:spacing w:line="360" w:lineRule="auto" w:before="2" w:after="0"/>
        <w:ind w:left="702" w:right="116" w:hanging="360"/>
        <w:jc w:val="both"/>
        <w:rPr>
          <w:sz w:val="24"/>
        </w:rPr>
      </w:pPr>
      <w:r>
        <w:rPr>
          <w:sz w:val="24"/>
        </w:rPr>
        <w:t>Kuramae M, Borges de AMB, Flavio ND, Bovo AGM, Cristiano IR. Analysis of Tweed’s facial triangle in black Brazilian youngsters with normal occlusion.</w:t>
      </w:r>
      <w:r>
        <w:rPr>
          <w:spacing w:val="-8"/>
          <w:sz w:val="24"/>
        </w:rPr>
        <w:t> </w:t>
      </w:r>
      <w:r>
        <w:rPr>
          <w:sz w:val="24"/>
        </w:rPr>
        <w:t>2004;3:401-403.</w:t>
      </w:r>
    </w:p>
    <w:p>
      <w:pPr>
        <w:spacing w:after="0" w:line="360" w:lineRule="auto"/>
        <w:jc w:val="both"/>
        <w:rPr>
          <w:sz w:val="24"/>
        </w:rPr>
        <w:sectPr>
          <w:footerReference w:type="default" r:id="rId101"/>
          <w:pgSz w:w="12240" w:h="15840"/>
          <w:pgMar w:footer="943" w:header="0" w:top="1360" w:bottom="1140" w:left="1720" w:right="1580"/>
          <w:pgNumType w:start="71"/>
        </w:sectPr>
      </w:pPr>
    </w:p>
    <w:p>
      <w:pPr>
        <w:pStyle w:val="ListParagraph"/>
        <w:numPr>
          <w:ilvl w:val="0"/>
          <w:numId w:val="29"/>
        </w:numPr>
        <w:tabs>
          <w:tab w:pos="702" w:val="left" w:leader="none"/>
        </w:tabs>
        <w:spacing w:line="360" w:lineRule="auto" w:before="54" w:after="0"/>
        <w:ind w:left="702" w:right="124" w:hanging="360"/>
        <w:jc w:val="both"/>
        <w:rPr>
          <w:sz w:val="24"/>
        </w:rPr>
      </w:pPr>
      <w:r>
        <w:rPr>
          <w:sz w:val="24"/>
        </w:rPr>
        <w:t>De la Rosa CA, Montiel BNM, Kubodera IT, Jasso RI. Elaboración de un estándar cefalométrico para población del centro de la República Méxicana mayor de 15 años de edad, basado en el análisis cefalométrico de Rickets. Revista ADM.</w:t>
      </w:r>
      <w:r>
        <w:rPr>
          <w:spacing w:val="-7"/>
          <w:sz w:val="24"/>
        </w:rPr>
        <w:t> </w:t>
      </w:r>
      <w:r>
        <w:rPr>
          <w:sz w:val="24"/>
        </w:rPr>
        <w:t>2013;70:251-257.</w:t>
      </w:r>
    </w:p>
    <w:p>
      <w:pPr>
        <w:pStyle w:val="ListParagraph"/>
        <w:numPr>
          <w:ilvl w:val="0"/>
          <w:numId w:val="29"/>
        </w:numPr>
        <w:tabs>
          <w:tab w:pos="702" w:val="left" w:leader="none"/>
        </w:tabs>
        <w:spacing w:line="360" w:lineRule="auto" w:before="2" w:after="0"/>
        <w:ind w:left="702" w:right="124" w:hanging="360"/>
        <w:jc w:val="both"/>
        <w:rPr>
          <w:sz w:val="24"/>
        </w:rPr>
      </w:pPr>
      <w:r>
        <w:rPr>
          <w:sz w:val="24"/>
        </w:rPr>
        <w:t>Lara CE. Establecimiento de un estándar cefalométrico según Harvold por grupos de edad y sexo en la población de Toluca, México (Tesis de maestría). Facultad de Odontología. Universidad Autónoma del Estado de México,</w:t>
      </w:r>
      <w:r>
        <w:rPr>
          <w:spacing w:val="-4"/>
          <w:sz w:val="24"/>
        </w:rPr>
        <w:t> </w:t>
      </w:r>
      <w:r>
        <w:rPr>
          <w:sz w:val="24"/>
        </w:rPr>
        <w:t>2005.</w:t>
      </w:r>
    </w:p>
    <w:p>
      <w:pPr>
        <w:pStyle w:val="ListParagraph"/>
        <w:numPr>
          <w:ilvl w:val="0"/>
          <w:numId w:val="29"/>
        </w:numPr>
        <w:tabs>
          <w:tab w:pos="702" w:val="left" w:leader="none"/>
        </w:tabs>
        <w:spacing w:line="360" w:lineRule="auto" w:before="2" w:after="0"/>
        <w:ind w:left="702" w:right="125" w:hanging="360"/>
        <w:jc w:val="both"/>
        <w:rPr>
          <w:sz w:val="24"/>
        </w:rPr>
      </w:pPr>
      <w:r>
        <w:rPr>
          <w:sz w:val="24"/>
        </w:rPr>
        <w:t>Saloom JE. Anteroposterior displasia indicator (APDI) and Overbite depth indicator (ODI) in a simple of Iraqui adults with different skeletal clases. Orthodontics, Pediatrics and Preventive Dentistry.</w:t>
      </w:r>
      <w:r>
        <w:rPr>
          <w:spacing w:val="-19"/>
          <w:sz w:val="24"/>
        </w:rPr>
        <w:t> </w:t>
      </w:r>
      <w:r>
        <w:rPr>
          <w:sz w:val="24"/>
        </w:rPr>
        <w:t>2011;23:128-133.</w:t>
      </w:r>
    </w:p>
    <w:p>
      <w:pPr>
        <w:pStyle w:val="ListParagraph"/>
        <w:numPr>
          <w:ilvl w:val="0"/>
          <w:numId w:val="29"/>
        </w:numPr>
        <w:tabs>
          <w:tab w:pos="702" w:val="left" w:leader="none"/>
        </w:tabs>
        <w:spacing w:line="360" w:lineRule="auto" w:before="5" w:after="0"/>
        <w:ind w:left="702" w:right="121" w:hanging="360"/>
        <w:jc w:val="both"/>
        <w:rPr>
          <w:sz w:val="24"/>
        </w:rPr>
      </w:pPr>
      <w:r>
        <w:rPr>
          <w:sz w:val="24"/>
        </w:rPr>
        <w:t>Kim HY. Anterior openbite and its treatment with multiloop edgewise archwire. The Angle Orthodontist.</w:t>
      </w:r>
      <w:r>
        <w:rPr>
          <w:spacing w:val="-17"/>
          <w:sz w:val="24"/>
        </w:rPr>
        <w:t> </w:t>
      </w:r>
      <w:r>
        <w:rPr>
          <w:sz w:val="24"/>
        </w:rPr>
        <w:t>1987;57:290-321.</w:t>
      </w:r>
    </w:p>
    <w:p>
      <w:pPr>
        <w:pStyle w:val="ListParagraph"/>
        <w:numPr>
          <w:ilvl w:val="0"/>
          <w:numId w:val="29"/>
        </w:numPr>
        <w:tabs>
          <w:tab w:pos="702" w:val="left" w:leader="none"/>
        </w:tabs>
        <w:spacing w:line="360" w:lineRule="auto" w:before="5" w:after="0"/>
        <w:ind w:left="702" w:right="112" w:hanging="360"/>
        <w:jc w:val="both"/>
        <w:rPr>
          <w:sz w:val="24"/>
        </w:rPr>
      </w:pPr>
      <w:r>
        <w:rPr>
          <w:sz w:val="24"/>
        </w:rPr>
        <w:t>Silva MR. Aplicación práctica de los indicadores de profundidad de sobremordida vertical, displasia antero posterior e índice de extracción. Orthodontic Cyber Journal (Revista en Internet) 2004 (20-09-2014). Disponible en: </w:t>
      </w:r>
      <w:hyperlink r:id="rId103">
        <w:r>
          <w:rPr>
            <w:sz w:val="24"/>
          </w:rPr>
          <w:t>http://orthocj.com/2004/02/indicadores-de-profundidad-de-</w:t>
        </w:r>
      </w:hyperlink>
      <w:r>
        <w:rPr>
          <w:sz w:val="24"/>
        </w:rPr>
        <w:t> sobre-mordida-vertical-displasia/</w:t>
      </w:r>
    </w:p>
    <w:p>
      <w:pPr>
        <w:pStyle w:val="ListParagraph"/>
        <w:numPr>
          <w:ilvl w:val="0"/>
          <w:numId w:val="29"/>
        </w:numPr>
        <w:tabs>
          <w:tab w:pos="702" w:val="left" w:leader="none"/>
        </w:tabs>
        <w:spacing w:line="360" w:lineRule="auto" w:before="2" w:after="0"/>
        <w:ind w:left="702" w:right="116" w:hanging="360"/>
        <w:jc w:val="both"/>
        <w:rPr>
          <w:sz w:val="24"/>
        </w:rPr>
      </w:pPr>
      <w:r>
        <w:rPr>
          <w:sz w:val="24"/>
        </w:rPr>
        <w:t>Young HK, Lim D.D, Serraon M.L.P. Stability of anterior open bite correction with multiloop edgewise archwire therapy: A cephalometric follow-up study. American Journal of Orthodontics and Dentofacial Orthopedics. 2000;118:43-54.</w:t>
      </w:r>
    </w:p>
    <w:p>
      <w:pPr>
        <w:pStyle w:val="ListParagraph"/>
        <w:numPr>
          <w:ilvl w:val="0"/>
          <w:numId w:val="29"/>
        </w:numPr>
        <w:tabs>
          <w:tab w:pos="702" w:val="left" w:leader="none"/>
        </w:tabs>
        <w:spacing w:line="360" w:lineRule="auto" w:before="2" w:after="0"/>
        <w:ind w:left="702" w:right="120" w:hanging="360"/>
        <w:jc w:val="both"/>
        <w:rPr>
          <w:sz w:val="24"/>
        </w:rPr>
      </w:pPr>
      <w:r>
        <w:rPr>
          <w:sz w:val="24"/>
        </w:rPr>
        <w:t>Jacobson A. The Wits appraisal of jaw disharmony. American Journal of Orthodontics.</w:t>
      </w:r>
      <w:r>
        <w:rPr>
          <w:spacing w:val="-10"/>
          <w:sz w:val="24"/>
        </w:rPr>
        <w:t> </w:t>
      </w:r>
      <w:r>
        <w:rPr>
          <w:sz w:val="24"/>
        </w:rPr>
        <w:t>1976;70:179-189.</w:t>
      </w:r>
    </w:p>
    <w:p>
      <w:pPr>
        <w:pStyle w:val="ListParagraph"/>
        <w:numPr>
          <w:ilvl w:val="0"/>
          <w:numId w:val="29"/>
        </w:numPr>
        <w:tabs>
          <w:tab w:pos="702" w:val="left" w:leader="none"/>
        </w:tabs>
        <w:spacing w:line="362" w:lineRule="auto" w:before="2" w:after="0"/>
        <w:ind w:left="702" w:right="112" w:hanging="360"/>
        <w:jc w:val="both"/>
        <w:rPr>
          <w:sz w:val="24"/>
        </w:rPr>
      </w:pPr>
      <w:r>
        <w:rPr>
          <w:sz w:val="24"/>
        </w:rPr>
        <w:t>Kim YH. Overbite depth indicator with particular reference to anterior open- bite. American Journal of Orthodontics.</w:t>
      </w:r>
      <w:r>
        <w:rPr>
          <w:spacing w:val="-18"/>
          <w:sz w:val="24"/>
        </w:rPr>
        <w:t> </w:t>
      </w:r>
      <w:r>
        <w:rPr>
          <w:sz w:val="24"/>
        </w:rPr>
        <w:t>1974;65:586-611.</w:t>
      </w:r>
    </w:p>
    <w:p>
      <w:pPr>
        <w:pStyle w:val="ListParagraph"/>
        <w:numPr>
          <w:ilvl w:val="0"/>
          <w:numId w:val="29"/>
        </w:numPr>
        <w:tabs>
          <w:tab w:pos="702" w:val="left" w:leader="none"/>
        </w:tabs>
        <w:spacing w:line="276" w:lineRule="auto" w:before="0" w:after="0"/>
        <w:ind w:left="702" w:right="118" w:hanging="360"/>
        <w:jc w:val="both"/>
        <w:rPr>
          <w:sz w:val="24"/>
        </w:rPr>
      </w:pPr>
      <w:r>
        <w:rPr>
          <w:sz w:val="24"/>
        </w:rPr>
        <w:t>Han UK. Kim YH. Determination of Class II skeletal patterns: receiver operating characteristic (ROC) analysis on various cephalometric measurements. American Journal of Orthodontics and Dentofacial Orthopedics.</w:t>
      </w:r>
      <w:r>
        <w:rPr>
          <w:spacing w:val="-9"/>
          <w:sz w:val="24"/>
        </w:rPr>
        <w:t> </w:t>
      </w:r>
      <w:r>
        <w:rPr>
          <w:sz w:val="24"/>
        </w:rPr>
        <w:t>1998;113:538-545.</w:t>
      </w:r>
    </w:p>
    <w:p>
      <w:pPr>
        <w:pStyle w:val="ListParagraph"/>
        <w:numPr>
          <w:ilvl w:val="0"/>
          <w:numId w:val="29"/>
        </w:numPr>
        <w:tabs>
          <w:tab w:pos="702" w:val="left" w:leader="none"/>
        </w:tabs>
        <w:spacing w:line="360" w:lineRule="auto" w:before="0" w:after="0"/>
        <w:ind w:left="702" w:right="123" w:hanging="360"/>
        <w:jc w:val="both"/>
        <w:rPr>
          <w:sz w:val="24"/>
        </w:rPr>
      </w:pPr>
      <w:r>
        <w:rPr>
          <w:sz w:val="24"/>
        </w:rPr>
        <w:t>Kim HU y Young HK. Determination of Class II and Class III skeletal patterns:  Receiver  operating  characteristic  (ROC)  analysis  on    </w:t>
      </w:r>
      <w:r>
        <w:rPr>
          <w:spacing w:val="61"/>
          <w:sz w:val="24"/>
        </w:rPr>
        <w:t> </w:t>
      </w:r>
      <w:r>
        <w:rPr>
          <w:sz w:val="24"/>
        </w:rPr>
        <w:t>various</w:t>
      </w:r>
    </w:p>
    <w:p>
      <w:pPr>
        <w:spacing w:after="0" w:line="360" w:lineRule="auto"/>
        <w:jc w:val="both"/>
        <w:rPr>
          <w:sz w:val="24"/>
        </w:rPr>
        <w:sectPr>
          <w:pgSz w:w="12240" w:h="15840"/>
          <w:pgMar w:header="0" w:footer="943" w:top="1360" w:bottom="1200" w:left="1720" w:right="1580"/>
        </w:sectPr>
      </w:pPr>
    </w:p>
    <w:p>
      <w:pPr>
        <w:pStyle w:val="BodyText"/>
        <w:tabs>
          <w:tab w:pos="2397" w:val="left" w:leader="none"/>
          <w:tab w:pos="4253" w:val="left" w:leader="none"/>
          <w:tab w:pos="6454" w:val="left" w:leader="none"/>
          <w:tab w:pos="6855" w:val="left" w:leader="none"/>
          <w:tab w:pos="8421" w:val="left" w:leader="none"/>
        </w:tabs>
        <w:spacing w:line="362" w:lineRule="auto" w:before="54"/>
        <w:ind w:left="701" w:right="116"/>
      </w:pPr>
      <w:r>
        <w:rPr/>
        <w:t>cephalometric</w:t>
        <w:tab/>
        <w:t>measurements.</w:t>
        <w:tab/>
        <w:t>American </w:t>
      </w:r>
      <w:r>
        <w:rPr>
          <w:spacing w:val="62"/>
        </w:rPr>
        <w:t> </w:t>
      </w:r>
      <w:r>
        <w:rPr/>
        <w:t>Journal</w:t>
        <w:tab/>
        <w:t>of</w:t>
        <w:tab/>
        <w:t>Orthodontics</w:t>
        <w:tab/>
        <w:t>and Dentofacial Orthopedics.</w:t>
      </w:r>
      <w:r>
        <w:rPr>
          <w:spacing w:val="-11"/>
        </w:rPr>
        <w:t> </w:t>
      </w:r>
      <w:r>
        <w:rPr/>
        <w:t>1998;113:538–545.</w:t>
      </w:r>
    </w:p>
    <w:p>
      <w:pPr>
        <w:pStyle w:val="ListParagraph"/>
        <w:numPr>
          <w:ilvl w:val="0"/>
          <w:numId w:val="29"/>
        </w:numPr>
        <w:tabs>
          <w:tab w:pos="702" w:val="left" w:leader="none"/>
        </w:tabs>
        <w:spacing w:line="360" w:lineRule="auto" w:before="0" w:after="0"/>
        <w:ind w:left="702" w:right="116" w:hanging="360"/>
        <w:jc w:val="both"/>
        <w:rPr>
          <w:sz w:val="24"/>
        </w:rPr>
      </w:pPr>
      <w:r>
        <w:rPr>
          <w:sz w:val="24"/>
        </w:rPr>
        <w:t>Navarrete C, Couve F, Torres J. Validación del indicador de displasia Anteroposterior (APDI) para el diagnóstico cefalométrico de la clase esqueletal y su relación con el ángulo plano palatino – plano AB. Revista Chilena de Ortodoncia.</w:t>
      </w:r>
      <w:r>
        <w:rPr>
          <w:spacing w:val="-8"/>
          <w:sz w:val="24"/>
        </w:rPr>
        <w:t> </w:t>
      </w:r>
      <w:r>
        <w:rPr>
          <w:sz w:val="24"/>
        </w:rPr>
        <w:t>2009;26:63-69.</w:t>
      </w:r>
    </w:p>
    <w:p>
      <w:pPr>
        <w:pStyle w:val="ListParagraph"/>
        <w:numPr>
          <w:ilvl w:val="0"/>
          <w:numId w:val="29"/>
        </w:numPr>
        <w:tabs>
          <w:tab w:pos="702" w:val="left" w:leader="none"/>
        </w:tabs>
        <w:spacing w:line="360" w:lineRule="auto" w:before="2" w:after="0"/>
        <w:ind w:left="702" w:right="122" w:hanging="360"/>
        <w:jc w:val="both"/>
        <w:rPr>
          <w:sz w:val="24"/>
        </w:rPr>
      </w:pPr>
      <w:r>
        <w:rPr>
          <w:sz w:val="24"/>
        </w:rPr>
        <w:t>Kim YH. Anteroposterior dysplasia indicator: an adjunct to cephalometric differential diagnosis. American Journal of Orthodontics.</w:t>
      </w:r>
      <w:r>
        <w:rPr>
          <w:spacing w:val="-37"/>
          <w:sz w:val="24"/>
        </w:rPr>
        <w:t> </w:t>
      </w:r>
      <w:r>
        <w:rPr>
          <w:sz w:val="24"/>
        </w:rPr>
        <w:t>1978;73:619-633.</w:t>
      </w:r>
    </w:p>
    <w:p>
      <w:pPr>
        <w:pStyle w:val="ListParagraph"/>
        <w:numPr>
          <w:ilvl w:val="0"/>
          <w:numId w:val="29"/>
        </w:numPr>
        <w:tabs>
          <w:tab w:pos="702" w:val="left" w:leader="none"/>
        </w:tabs>
        <w:spacing w:line="360" w:lineRule="auto" w:before="2" w:after="0"/>
        <w:ind w:left="702" w:right="116" w:hanging="360"/>
        <w:jc w:val="both"/>
        <w:rPr>
          <w:sz w:val="24"/>
        </w:rPr>
      </w:pPr>
      <w:r>
        <w:rPr>
          <w:sz w:val="24"/>
        </w:rPr>
        <w:t>Rivas GR, Rojas GAR. Estudio cefalométrico de una población mexicana y su comparación con poblaciones de otras regiones. Revista Oral. 2009;10:488-493.</w:t>
      </w:r>
    </w:p>
    <w:p>
      <w:pPr>
        <w:pStyle w:val="ListParagraph"/>
        <w:numPr>
          <w:ilvl w:val="0"/>
          <w:numId w:val="29"/>
        </w:numPr>
        <w:tabs>
          <w:tab w:pos="702" w:val="left" w:leader="none"/>
        </w:tabs>
        <w:spacing w:line="360" w:lineRule="auto" w:before="5" w:after="0"/>
        <w:ind w:left="702" w:right="117" w:hanging="360"/>
        <w:jc w:val="both"/>
        <w:rPr>
          <w:sz w:val="24"/>
        </w:rPr>
      </w:pPr>
      <w:r>
        <w:rPr>
          <w:sz w:val="24"/>
        </w:rPr>
        <w:t>Thilander B, Person M, Adolfsson U. Roentgen-cephalometric standards for a swedish population. A longitudinal study between the ages of 5 and 31 years. European Journal Orthodontics.</w:t>
      </w:r>
      <w:r>
        <w:rPr>
          <w:spacing w:val="-19"/>
          <w:sz w:val="24"/>
        </w:rPr>
        <w:t> </w:t>
      </w:r>
      <w:r>
        <w:rPr>
          <w:sz w:val="24"/>
        </w:rPr>
        <w:t>2005;27:370-389.</w:t>
      </w:r>
    </w:p>
    <w:p>
      <w:pPr>
        <w:pStyle w:val="ListParagraph"/>
        <w:numPr>
          <w:ilvl w:val="0"/>
          <w:numId w:val="29"/>
        </w:numPr>
        <w:tabs>
          <w:tab w:pos="702" w:val="left" w:leader="none"/>
        </w:tabs>
        <w:spacing w:line="360" w:lineRule="auto" w:before="2" w:after="0"/>
        <w:ind w:left="702" w:right="122" w:hanging="360"/>
        <w:jc w:val="both"/>
        <w:rPr>
          <w:sz w:val="24"/>
        </w:rPr>
      </w:pPr>
      <w:r>
        <w:rPr>
          <w:sz w:val="24"/>
        </w:rPr>
        <w:t>Bishara SE, Garcia FA. Cephalometric comparison of the dentofacial relationships of two adolescent populations from lowa and northern Mexico. American Journal Orthodontics.</w:t>
      </w:r>
      <w:r>
        <w:rPr>
          <w:spacing w:val="-18"/>
          <w:sz w:val="24"/>
        </w:rPr>
        <w:t> </w:t>
      </w:r>
      <w:r>
        <w:rPr>
          <w:sz w:val="24"/>
        </w:rPr>
        <w:t>1985;88:314–322.</w:t>
      </w:r>
    </w:p>
    <w:p>
      <w:pPr>
        <w:pStyle w:val="ListParagraph"/>
        <w:numPr>
          <w:ilvl w:val="0"/>
          <w:numId w:val="29"/>
        </w:numPr>
        <w:tabs>
          <w:tab w:pos="702" w:val="left" w:leader="none"/>
        </w:tabs>
        <w:spacing w:line="360" w:lineRule="auto" w:before="5" w:after="0"/>
        <w:ind w:left="702" w:right="121" w:hanging="360"/>
        <w:jc w:val="both"/>
        <w:rPr>
          <w:sz w:val="24"/>
        </w:rPr>
      </w:pPr>
      <w:r>
        <w:rPr>
          <w:sz w:val="24"/>
        </w:rPr>
        <w:t>Cotton WN, Takano WS, Wong WM. The Downs analysis applied to three other ethnic groups. The Angle Orthodontist.</w:t>
      </w:r>
      <w:r>
        <w:rPr>
          <w:spacing w:val="-21"/>
          <w:sz w:val="24"/>
        </w:rPr>
        <w:t> </w:t>
      </w:r>
      <w:r>
        <w:rPr>
          <w:sz w:val="24"/>
        </w:rPr>
        <w:t>1951;21:213–220.</w:t>
      </w:r>
    </w:p>
    <w:p>
      <w:pPr>
        <w:pStyle w:val="ListParagraph"/>
        <w:numPr>
          <w:ilvl w:val="0"/>
          <w:numId w:val="29"/>
        </w:numPr>
        <w:tabs>
          <w:tab w:pos="702" w:val="left" w:leader="none"/>
        </w:tabs>
        <w:spacing w:line="360" w:lineRule="auto" w:before="5" w:after="0"/>
        <w:ind w:left="702" w:right="117" w:hanging="360"/>
        <w:jc w:val="both"/>
        <w:rPr>
          <w:sz w:val="24"/>
        </w:rPr>
      </w:pPr>
      <w:r>
        <w:rPr>
          <w:sz w:val="24"/>
        </w:rPr>
        <w:t>Kubodera IT. Morphometric study on craniofacial structures of Center Mexican adolescentes by using cephalometric analysis. Journal of Meikai University School of Dentistry.</w:t>
      </w:r>
      <w:r>
        <w:rPr>
          <w:spacing w:val="-15"/>
          <w:sz w:val="24"/>
        </w:rPr>
        <w:t> </w:t>
      </w:r>
      <w:r>
        <w:rPr>
          <w:sz w:val="24"/>
        </w:rPr>
        <w:t>1992;21;125-44.</w:t>
      </w:r>
    </w:p>
    <w:p>
      <w:pPr>
        <w:pStyle w:val="ListParagraph"/>
        <w:numPr>
          <w:ilvl w:val="0"/>
          <w:numId w:val="29"/>
        </w:numPr>
        <w:tabs>
          <w:tab w:pos="702" w:val="left" w:leader="none"/>
        </w:tabs>
        <w:spacing w:line="360" w:lineRule="auto" w:before="2" w:after="0"/>
        <w:ind w:left="702" w:right="117" w:hanging="360"/>
        <w:jc w:val="both"/>
        <w:rPr>
          <w:sz w:val="24"/>
        </w:rPr>
      </w:pPr>
      <w:r>
        <w:rPr>
          <w:sz w:val="24"/>
        </w:rPr>
        <w:t>Bañuelos-Chao IP, Alvarado-Torres A, Ito-Asai J.  Diferencias Cefalométricas obtenidas en un caso tratado con la Técnica de Tipo Edge. Revista Tamé.</w:t>
      </w:r>
      <w:r>
        <w:rPr>
          <w:spacing w:val="-7"/>
          <w:sz w:val="24"/>
        </w:rPr>
        <w:t> </w:t>
      </w:r>
      <w:r>
        <w:rPr>
          <w:sz w:val="24"/>
        </w:rPr>
        <w:t>2013;1:83-89.</w:t>
      </w:r>
    </w:p>
    <w:p>
      <w:pPr>
        <w:pStyle w:val="ListParagraph"/>
        <w:numPr>
          <w:ilvl w:val="0"/>
          <w:numId w:val="29"/>
        </w:numPr>
        <w:tabs>
          <w:tab w:pos="702" w:val="left" w:leader="none"/>
        </w:tabs>
        <w:spacing w:line="360" w:lineRule="auto" w:before="5" w:after="0"/>
        <w:ind w:left="702" w:right="116" w:hanging="360"/>
        <w:jc w:val="both"/>
        <w:rPr>
          <w:sz w:val="24"/>
        </w:rPr>
      </w:pPr>
      <w:r>
        <w:rPr>
          <w:sz w:val="24"/>
        </w:rPr>
        <w:t>Garcia CJ. Cephalometric evaluation of Mexican Americans using the Downs and Steiner analyses. American Journal of Orthodontics. 1975;68:67-74.</w:t>
      </w:r>
    </w:p>
    <w:p>
      <w:pPr>
        <w:pStyle w:val="ListParagraph"/>
        <w:numPr>
          <w:ilvl w:val="0"/>
          <w:numId w:val="29"/>
        </w:numPr>
        <w:tabs>
          <w:tab w:pos="702" w:val="left" w:leader="none"/>
        </w:tabs>
        <w:spacing w:line="360" w:lineRule="auto" w:before="2" w:after="0"/>
        <w:ind w:left="702" w:right="124" w:hanging="360"/>
        <w:jc w:val="both"/>
        <w:rPr>
          <w:sz w:val="24"/>
        </w:rPr>
      </w:pPr>
      <w:r>
        <w:rPr>
          <w:sz w:val="24"/>
        </w:rPr>
        <w:t>Zamora MOEC y Mazatán CO. Compendio de cefalometría. 2° edición. Colombia; Ed. Amolca;</w:t>
      </w:r>
      <w:r>
        <w:rPr>
          <w:spacing w:val="-12"/>
          <w:sz w:val="24"/>
        </w:rPr>
        <w:t> </w:t>
      </w:r>
      <w:r>
        <w:rPr>
          <w:sz w:val="24"/>
        </w:rPr>
        <w:t>2010.</w:t>
      </w:r>
    </w:p>
    <w:p>
      <w:pPr>
        <w:spacing w:after="0" w:line="360" w:lineRule="auto"/>
        <w:jc w:val="both"/>
        <w:rPr>
          <w:sz w:val="24"/>
        </w:rPr>
        <w:sectPr>
          <w:pgSz w:w="12240" w:h="15840"/>
          <w:pgMar w:header="0" w:footer="943" w:top="1360" w:bottom="1200" w:left="1720" w:right="1580"/>
        </w:sectPr>
      </w:pPr>
    </w:p>
    <w:p>
      <w:pPr>
        <w:pStyle w:val="ListParagraph"/>
        <w:numPr>
          <w:ilvl w:val="0"/>
          <w:numId w:val="29"/>
        </w:numPr>
        <w:tabs>
          <w:tab w:pos="702" w:val="left" w:leader="none"/>
        </w:tabs>
        <w:spacing w:line="360" w:lineRule="auto" w:before="54" w:after="0"/>
        <w:ind w:left="702" w:right="116" w:hanging="360"/>
        <w:jc w:val="both"/>
        <w:rPr>
          <w:sz w:val="24"/>
        </w:rPr>
      </w:pPr>
      <w:r>
        <w:rPr>
          <w:sz w:val="24"/>
        </w:rPr>
        <w:t>Kim JH, Gansukh O, Amarsaikhan B, Lee S, Kim T.Comparison of cephalometric norms between Mongolian and Korean adults with normal occlusion and well-balanced profiles. Korean Journal of Orthodontics. 2011;41:42-50.</w:t>
      </w:r>
    </w:p>
    <w:p>
      <w:pPr>
        <w:spacing w:after="0" w:line="360" w:lineRule="auto"/>
        <w:jc w:val="both"/>
        <w:rPr>
          <w:sz w:val="24"/>
        </w:rPr>
        <w:sectPr>
          <w:pgSz w:w="12240" w:h="15840"/>
          <w:pgMar w:header="0" w:footer="943" w:top="1360" w:bottom="1200" w:left="1720" w:right="1580"/>
        </w:sectPr>
      </w:pPr>
    </w:p>
    <w:p>
      <w:pPr>
        <w:pStyle w:val="Heading1"/>
        <w:ind w:left="3995" w:right="4473" w:firstLine="0"/>
        <w:jc w:val="center"/>
      </w:pPr>
      <w:r>
        <w:rPr/>
        <w:drawing>
          <wp:anchor distT="0" distB="0" distL="0" distR="0" allowOverlap="1" layoutInCell="1" locked="0" behindDoc="0" simplePos="0" relativeHeight="2200">
            <wp:simplePos x="0" y="0"/>
            <wp:positionH relativeFrom="page">
              <wp:posOffset>1080135</wp:posOffset>
            </wp:positionH>
            <wp:positionV relativeFrom="paragraph">
              <wp:posOffset>270914</wp:posOffset>
            </wp:positionV>
            <wp:extent cx="5831608" cy="7814691"/>
            <wp:effectExtent l="0" t="0" r="0" b="0"/>
            <wp:wrapTopAndBottom/>
            <wp:docPr id="127" name="image71.jpeg" descr=""/>
            <wp:cNvGraphicFramePr>
              <a:graphicFrameLocks noChangeAspect="1"/>
            </wp:cNvGraphicFramePr>
            <a:graphic>
              <a:graphicData uri="http://schemas.openxmlformats.org/drawingml/2006/picture">
                <pic:pic>
                  <pic:nvPicPr>
                    <pic:cNvPr id="128" name="image71.jpeg"/>
                    <pic:cNvPicPr/>
                  </pic:nvPicPr>
                  <pic:blipFill>
                    <a:blip r:embed="rId104" cstate="print"/>
                    <a:stretch>
                      <a:fillRect/>
                    </a:stretch>
                  </pic:blipFill>
                  <pic:spPr>
                    <a:xfrm>
                      <a:off x="0" y="0"/>
                      <a:ext cx="5831608" cy="7814691"/>
                    </a:xfrm>
                    <a:prstGeom prst="rect">
                      <a:avLst/>
                    </a:prstGeom>
                  </pic:spPr>
                </pic:pic>
              </a:graphicData>
            </a:graphic>
          </wp:anchor>
        </w:drawing>
      </w:r>
      <w:r>
        <w:rPr/>
        <w:t>Anexos</w:t>
      </w:r>
    </w:p>
    <w:p>
      <w:pPr>
        <w:spacing w:after="0"/>
        <w:jc w:val="center"/>
        <w:sectPr>
          <w:pgSz w:w="12240" w:h="15840"/>
          <w:pgMar w:header="0" w:footer="943" w:top="1360" w:bottom="1200" w:left="1600" w:right="1120"/>
        </w:sectPr>
      </w:pPr>
    </w:p>
    <w:p>
      <w:pPr>
        <w:pStyle w:val="BodyText"/>
        <w:ind w:left="101"/>
        <w:rPr>
          <w:sz w:val="20"/>
        </w:rPr>
      </w:pPr>
      <w:r>
        <w:rPr>
          <w:sz w:val="20"/>
        </w:rPr>
        <w:drawing>
          <wp:inline distT="0" distB="0" distL="0" distR="0">
            <wp:extent cx="5919969" cy="7847457"/>
            <wp:effectExtent l="0" t="0" r="0" b="0"/>
            <wp:docPr id="129" name="image72.jpeg" descr=""/>
            <wp:cNvGraphicFramePr>
              <a:graphicFrameLocks noChangeAspect="1"/>
            </wp:cNvGraphicFramePr>
            <a:graphic>
              <a:graphicData uri="http://schemas.openxmlformats.org/drawingml/2006/picture">
                <pic:pic>
                  <pic:nvPicPr>
                    <pic:cNvPr id="130" name="image72.jpeg"/>
                    <pic:cNvPicPr/>
                  </pic:nvPicPr>
                  <pic:blipFill>
                    <a:blip r:embed="rId105" cstate="print"/>
                    <a:stretch>
                      <a:fillRect/>
                    </a:stretch>
                  </pic:blipFill>
                  <pic:spPr>
                    <a:xfrm>
                      <a:off x="0" y="0"/>
                      <a:ext cx="5919969" cy="7847457"/>
                    </a:xfrm>
                    <a:prstGeom prst="rect">
                      <a:avLst/>
                    </a:prstGeom>
                  </pic:spPr>
                </pic:pic>
              </a:graphicData>
            </a:graphic>
          </wp:inline>
        </w:drawing>
      </w:r>
      <w:r>
        <w:rPr>
          <w:sz w:val="20"/>
        </w:rPr>
      </w:r>
    </w:p>
    <w:p>
      <w:pPr>
        <w:spacing w:after="0"/>
        <w:rPr>
          <w:sz w:val="20"/>
        </w:rPr>
        <w:sectPr>
          <w:pgSz w:w="12240" w:h="15840"/>
          <w:pgMar w:header="0" w:footer="943" w:top="1420" w:bottom="1140" w:left="1600" w:right="1000"/>
        </w:sectPr>
      </w:pPr>
    </w:p>
    <w:p>
      <w:pPr>
        <w:pStyle w:val="BodyText"/>
        <w:ind w:left="101"/>
        <w:rPr>
          <w:sz w:val="20"/>
        </w:rPr>
      </w:pPr>
      <w:r>
        <w:rPr>
          <w:sz w:val="20"/>
        </w:rPr>
        <w:drawing>
          <wp:inline distT="0" distB="0" distL="0" distR="0">
            <wp:extent cx="5817945" cy="7867935"/>
            <wp:effectExtent l="0" t="0" r="0" b="0"/>
            <wp:docPr id="131" name="image73.jpeg" descr=""/>
            <wp:cNvGraphicFramePr>
              <a:graphicFrameLocks noChangeAspect="1"/>
            </wp:cNvGraphicFramePr>
            <a:graphic>
              <a:graphicData uri="http://schemas.openxmlformats.org/drawingml/2006/picture">
                <pic:pic>
                  <pic:nvPicPr>
                    <pic:cNvPr id="132" name="image73.jpeg"/>
                    <pic:cNvPicPr/>
                  </pic:nvPicPr>
                  <pic:blipFill>
                    <a:blip r:embed="rId106" cstate="print"/>
                    <a:stretch>
                      <a:fillRect/>
                    </a:stretch>
                  </pic:blipFill>
                  <pic:spPr>
                    <a:xfrm>
                      <a:off x="0" y="0"/>
                      <a:ext cx="5817945" cy="7867935"/>
                    </a:xfrm>
                    <a:prstGeom prst="rect">
                      <a:avLst/>
                    </a:prstGeom>
                  </pic:spPr>
                </pic:pic>
              </a:graphicData>
            </a:graphic>
          </wp:inline>
        </w:drawing>
      </w:r>
      <w:r>
        <w:rPr>
          <w:sz w:val="20"/>
        </w:rPr>
      </w:r>
    </w:p>
    <w:p>
      <w:pPr>
        <w:spacing w:after="0"/>
        <w:rPr>
          <w:sz w:val="20"/>
        </w:rPr>
        <w:sectPr>
          <w:pgSz w:w="12240" w:h="15840"/>
          <w:pgMar w:header="0" w:footer="943" w:top="1420" w:bottom="1140" w:left="1600" w:right="1140"/>
        </w:sectPr>
      </w:pPr>
    </w:p>
    <w:p>
      <w:pPr>
        <w:pStyle w:val="BodyText"/>
        <w:ind w:left="101"/>
        <w:rPr>
          <w:sz w:val="20"/>
        </w:rPr>
      </w:pPr>
      <w:r>
        <w:rPr>
          <w:sz w:val="20"/>
        </w:rPr>
        <w:drawing>
          <wp:inline distT="0" distB="0" distL="0" distR="0">
            <wp:extent cx="6153124" cy="7948422"/>
            <wp:effectExtent l="0" t="0" r="0" b="0"/>
            <wp:docPr id="133" name="image74.jpeg" descr=""/>
            <wp:cNvGraphicFramePr>
              <a:graphicFrameLocks noChangeAspect="1"/>
            </wp:cNvGraphicFramePr>
            <a:graphic>
              <a:graphicData uri="http://schemas.openxmlformats.org/drawingml/2006/picture">
                <pic:pic>
                  <pic:nvPicPr>
                    <pic:cNvPr id="134" name="image74.jpeg"/>
                    <pic:cNvPicPr/>
                  </pic:nvPicPr>
                  <pic:blipFill>
                    <a:blip r:embed="rId107" cstate="print"/>
                    <a:stretch>
                      <a:fillRect/>
                    </a:stretch>
                  </pic:blipFill>
                  <pic:spPr>
                    <a:xfrm>
                      <a:off x="0" y="0"/>
                      <a:ext cx="6153124" cy="7948422"/>
                    </a:xfrm>
                    <a:prstGeom prst="rect">
                      <a:avLst/>
                    </a:prstGeom>
                  </pic:spPr>
                </pic:pic>
              </a:graphicData>
            </a:graphic>
          </wp:inline>
        </w:drawing>
      </w:r>
      <w:r>
        <w:rPr>
          <w:sz w:val="20"/>
        </w:rPr>
      </w:r>
    </w:p>
    <w:p>
      <w:pPr>
        <w:spacing w:after="0"/>
        <w:rPr>
          <w:sz w:val="20"/>
        </w:rPr>
        <w:sectPr>
          <w:pgSz w:w="12240" w:h="15840"/>
          <w:pgMar w:header="0" w:footer="943" w:top="1420" w:bottom="1140" w:left="1600" w:right="620"/>
        </w:sectPr>
      </w:pPr>
    </w:p>
    <w:p>
      <w:pPr>
        <w:pStyle w:val="BodyText"/>
        <w:ind w:left="101"/>
        <w:rPr>
          <w:sz w:val="20"/>
        </w:rPr>
      </w:pPr>
      <w:r>
        <w:rPr>
          <w:sz w:val="20"/>
        </w:rPr>
        <w:drawing>
          <wp:inline distT="0" distB="0" distL="0" distR="0">
            <wp:extent cx="5991122" cy="7739253"/>
            <wp:effectExtent l="0" t="0" r="0" b="0"/>
            <wp:docPr id="135" name="image75.jpeg" descr=""/>
            <wp:cNvGraphicFramePr>
              <a:graphicFrameLocks noChangeAspect="1"/>
            </wp:cNvGraphicFramePr>
            <a:graphic>
              <a:graphicData uri="http://schemas.openxmlformats.org/drawingml/2006/picture">
                <pic:pic>
                  <pic:nvPicPr>
                    <pic:cNvPr id="136" name="image75.jpeg"/>
                    <pic:cNvPicPr/>
                  </pic:nvPicPr>
                  <pic:blipFill>
                    <a:blip r:embed="rId108" cstate="print"/>
                    <a:stretch>
                      <a:fillRect/>
                    </a:stretch>
                  </pic:blipFill>
                  <pic:spPr>
                    <a:xfrm>
                      <a:off x="0" y="0"/>
                      <a:ext cx="5991122" cy="7739253"/>
                    </a:xfrm>
                    <a:prstGeom prst="rect">
                      <a:avLst/>
                    </a:prstGeom>
                  </pic:spPr>
                </pic:pic>
              </a:graphicData>
            </a:graphic>
          </wp:inline>
        </w:drawing>
      </w:r>
      <w:r>
        <w:rPr>
          <w:sz w:val="20"/>
        </w:rPr>
      </w:r>
    </w:p>
    <w:p>
      <w:pPr>
        <w:spacing w:after="0"/>
        <w:rPr>
          <w:sz w:val="20"/>
        </w:rPr>
        <w:sectPr>
          <w:pgSz w:w="12240" w:h="15840"/>
          <w:pgMar w:header="0" w:footer="943" w:top="1420" w:bottom="1140" w:left="1600" w:right="940"/>
        </w:sectPr>
      </w:pPr>
    </w:p>
    <w:p>
      <w:pPr>
        <w:pStyle w:val="BodyText"/>
        <w:rPr>
          <w:rFonts w:ascii="Times New Roman"/>
          <w:sz w:val="20"/>
        </w:rPr>
      </w:pPr>
    </w:p>
    <w:p>
      <w:pPr>
        <w:pStyle w:val="BodyText"/>
        <w:spacing w:before="6"/>
        <w:rPr>
          <w:rFonts w:ascii="Times New Roman"/>
          <w:sz w:val="26"/>
        </w:rPr>
      </w:pPr>
    </w:p>
    <w:p>
      <w:pPr>
        <w:pStyle w:val="BodyText"/>
        <w:ind w:left="101"/>
        <w:rPr>
          <w:rFonts w:ascii="Times New Roman"/>
          <w:sz w:val="20"/>
        </w:rPr>
      </w:pPr>
      <w:r>
        <w:rPr>
          <w:rFonts w:ascii="Times New Roman"/>
          <w:sz w:val="20"/>
        </w:rPr>
        <w:drawing>
          <wp:inline distT="0" distB="0" distL="0" distR="0">
            <wp:extent cx="5982993" cy="7764018"/>
            <wp:effectExtent l="0" t="0" r="0" b="0"/>
            <wp:docPr id="137" name="image76.jpeg" descr=""/>
            <wp:cNvGraphicFramePr>
              <a:graphicFrameLocks noChangeAspect="1"/>
            </wp:cNvGraphicFramePr>
            <a:graphic>
              <a:graphicData uri="http://schemas.openxmlformats.org/drawingml/2006/picture">
                <pic:pic>
                  <pic:nvPicPr>
                    <pic:cNvPr id="138" name="image76.jpeg"/>
                    <pic:cNvPicPr/>
                  </pic:nvPicPr>
                  <pic:blipFill>
                    <a:blip r:embed="rId110" cstate="print"/>
                    <a:stretch>
                      <a:fillRect/>
                    </a:stretch>
                  </pic:blipFill>
                  <pic:spPr>
                    <a:xfrm>
                      <a:off x="0" y="0"/>
                      <a:ext cx="5982993" cy="7764018"/>
                    </a:xfrm>
                    <a:prstGeom prst="rect">
                      <a:avLst/>
                    </a:prstGeom>
                  </pic:spPr>
                </pic:pic>
              </a:graphicData>
            </a:graphic>
          </wp:inline>
        </w:drawing>
      </w:r>
      <w:r>
        <w:rPr>
          <w:rFonts w:ascii="Times New Roman"/>
          <w:sz w:val="20"/>
        </w:rPr>
      </w:r>
    </w:p>
    <w:p>
      <w:pPr>
        <w:spacing w:after="0"/>
        <w:rPr>
          <w:rFonts w:ascii="Times New Roman"/>
          <w:sz w:val="20"/>
        </w:rPr>
        <w:sectPr>
          <w:footerReference w:type="default" r:id="rId109"/>
          <w:pgSz w:w="12240" w:h="15840"/>
          <w:pgMar w:footer="943" w:header="0" w:top="1500" w:bottom="1140" w:left="1600" w:right="1000"/>
        </w:sectPr>
      </w:pPr>
    </w:p>
    <w:p>
      <w:pPr>
        <w:pStyle w:val="BodyText"/>
        <w:ind w:left="101"/>
        <w:rPr>
          <w:rFonts w:ascii="Times New Roman"/>
          <w:sz w:val="20"/>
        </w:rPr>
      </w:pPr>
      <w:r>
        <w:rPr>
          <w:rFonts w:ascii="Times New Roman"/>
          <w:sz w:val="20"/>
        </w:rPr>
        <w:drawing>
          <wp:inline distT="0" distB="0" distL="0" distR="0">
            <wp:extent cx="5955155" cy="8161972"/>
            <wp:effectExtent l="0" t="0" r="0" b="0"/>
            <wp:docPr id="139" name="image77.jpeg" descr=""/>
            <wp:cNvGraphicFramePr>
              <a:graphicFrameLocks noChangeAspect="1"/>
            </wp:cNvGraphicFramePr>
            <a:graphic>
              <a:graphicData uri="http://schemas.openxmlformats.org/drawingml/2006/picture">
                <pic:pic>
                  <pic:nvPicPr>
                    <pic:cNvPr id="140" name="image77.jpeg"/>
                    <pic:cNvPicPr/>
                  </pic:nvPicPr>
                  <pic:blipFill>
                    <a:blip r:embed="rId112" cstate="print"/>
                    <a:stretch>
                      <a:fillRect/>
                    </a:stretch>
                  </pic:blipFill>
                  <pic:spPr>
                    <a:xfrm>
                      <a:off x="0" y="0"/>
                      <a:ext cx="5955155" cy="8161972"/>
                    </a:xfrm>
                    <a:prstGeom prst="rect">
                      <a:avLst/>
                    </a:prstGeom>
                  </pic:spPr>
                </pic:pic>
              </a:graphicData>
            </a:graphic>
          </wp:inline>
        </w:drawing>
      </w:r>
      <w:r>
        <w:rPr>
          <w:rFonts w:ascii="Times New Roman"/>
          <w:sz w:val="20"/>
        </w:rPr>
      </w:r>
    </w:p>
    <w:p>
      <w:pPr>
        <w:spacing w:after="0"/>
        <w:rPr>
          <w:rFonts w:ascii="Times New Roman"/>
          <w:sz w:val="20"/>
        </w:rPr>
        <w:sectPr>
          <w:footerReference w:type="default" r:id="rId111"/>
          <w:pgSz w:w="12240" w:h="15840"/>
          <w:pgMar w:footer="943" w:header="0" w:top="1420" w:bottom="1140" w:left="1600" w:right="940"/>
          <w:pgNumType w:start="81"/>
        </w:sectPr>
      </w:pPr>
    </w:p>
    <w:p>
      <w:pPr>
        <w:pStyle w:val="BodyText"/>
        <w:ind w:left="101"/>
        <w:rPr>
          <w:rFonts w:ascii="Times New Roman"/>
          <w:sz w:val="20"/>
        </w:rPr>
      </w:pPr>
      <w:r>
        <w:rPr>
          <w:rFonts w:ascii="Times New Roman"/>
          <w:sz w:val="20"/>
        </w:rPr>
        <w:drawing>
          <wp:inline distT="0" distB="0" distL="0" distR="0">
            <wp:extent cx="6146355" cy="7943278"/>
            <wp:effectExtent l="0" t="0" r="0" b="0"/>
            <wp:docPr id="141" name="image78.jpeg" descr=""/>
            <wp:cNvGraphicFramePr>
              <a:graphicFrameLocks noChangeAspect="1"/>
            </wp:cNvGraphicFramePr>
            <a:graphic>
              <a:graphicData uri="http://schemas.openxmlformats.org/drawingml/2006/picture">
                <pic:pic>
                  <pic:nvPicPr>
                    <pic:cNvPr id="142" name="image78.jpeg"/>
                    <pic:cNvPicPr/>
                  </pic:nvPicPr>
                  <pic:blipFill>
                    <a:blip r:embed="rId113" cstate="print"/>
                    <a:stretch>
                      <a:fillRect/>
                    </a:stretch>
                  </pic:blipFill>
                  <pic:spPr>
                    <a:xfrm>
                      <a:off x="0" y="0"/>
                      <a:ext cx="6146355" cy="7943278"/>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0" w:footer="943" w:top="1420" w:bottom="1140" w:left="1600" w:right="680"/>
        </w:sectPr>
      </w:pPr>
    </w:p>
    <w:p>
      <w:pPr>
        <w:pStyle w:val="BodyText"/>
        <w:ind w:left="101"/>
        <w:rPr>
          <w:rFonts w:ascii="Times New Roman"/>
          <w:sz w:val="20"/>
        </w:rPr>
      </w:pPr>
      <w:r>
        <w:rPr>
          <w:rFonts w:ascii="Times New Roman"/>
          <w:sz w:val="20"/>
        </w:rPr>
        <w:drawing>
          <wp:inline distT="0" distB="0" distL="0" distR="0">
            <wp:extent cx="5925823" cy="8031480"/>
            <wp:effectExtent l="0" t="0" r="0" b="0"/>
            <wp:docPr id="143" name="image79.jpeg" descr=""/>
            <wp:cNvGraphicFramePr>
              <a:graphicFrameLocks noChangeAspect="1"/>
            </wp:cNvGraphicFramePr>
            <a:graphic>
              <a:graphicData uri="http://schemas.openxmlformats.org/drawingml/2006/picture">
                <pic:pic>
                  <pic:nvPicPr>
                    <pic:cNvPr id="144" name="image79.jpeg"/>
                    <pic:cNvPicPr/>
                  </pic:nvPicPr>
                  <pic:blipFill>
                    <a:blip r:embed="rId114" cstate="print"/>
                    <a:stretch>
                      <a:fillRect/>
                    </a:stretch>
                  </pic:blipFill>
                  <pic:spPr>
                    <a:xfrm>
                      <a:off x="0" y="0"/>
                      <a:ext cx="5925823" cy="8031480"/>
                    </a:xfrm>
                    <a:prstGeom prst="rect">
                      <a:avLst/>
                    </a:prstGeom>
                  </pic:spPr>
                </pic:pic>
              </a:graphicData>
            </a:graphic>
          </wp:inline>
        </w:drawing>
      </w:r>
      <w:r>
        <w:rPr>
          <w:rFonts w:ascii="Times New Roman"/>
          <w:sz w:val="20"/>
        </w:rPr>
      </w:r>
    </w:p>
    <w:sectPr>
      <w:pgSz w:w="12240" w:h="15840"/>
      <w:pgMar w:header="0" w:footer="943" w:top="1420" w:bottom="1140" w:left="1600" w:right="8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Sylfaen">
    <w:altName w:val="Sylfaen"/>
    <w:charset w:val="0"/>
    <w:family w:val="roman"/>
    <w:pitch w:val="variable"/>
  </w:font>
  <w:font w:name="Symbol">
    <w:altName w:val="Symbol"/>
    <w:charset w:val="2"/>
    <w:family w:val="roman"/>
    <w:pitch w:val="variable"/>
  </w:font>
  <w:font w:name="Cambria">
    <w:altName w:val="Cambria"/>
    <w:charset w:val="0"/>
    <w:family w:val="roman"/>
    <w:pitch w:val="variable"/>
  </w:font>
  <w:font w:name="Courier New">
    <w:altName w:val="Courier New"/>
    <w:charset w:val="0"/>
    <w:family w:val="modern"/>
    <w:pitch w:val="fixed"/>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301.290009pt;margin-top:730.856018pt;width:9.6pt;height:13.05pt;mso-position-horizontal-relative:page;mso-position-vertical-relative:page;z-index:-6342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1</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30.856018pt;width:13.3pt;height:13.05pt;mso-position-horizontal-relative:page;mso-position-vertical-relative:page;z-index:-63208" type="#_x0000_t202" filled="false" stroked="false">
          <v:textbox inset="0,0,0,0">
            <w:txbxContent>
              <w:p>
                <w:pPr>
                  <w:spacing w:line="245" w:lineRule="exact" w:before="0"/>
                  <w:ind w:left="20" w:right="0" w:firstLine="0"/>
                  <w:jc w:val="left"/>
                  <w:rPr>
                    <w:rFonts w:ascii="Calibri"/>
                    <w:sz w:val="22"/>
                  </w:rPr>
                </w:pPr>
                <w:r>
                  <w:rPr>
                    <w:rFonts w:ascii="Calibri"/>
                    <w:sz w:val="22"/>
                  </w:rPr>
                  <w:t>50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30.856018pt;width:15.3pt;height:13.05pt;mso-position-horizontal-relative:page;mso-position-vertical-relative:page;z-index:-6318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51</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30.856018pt;width:13.3pt;height:13.05pt;mso-position-horizontal-relative:page;mso-position-vertical-relative:page;z-index:-63160" type="#_x0000_t202" filled="false" stroked="false">
          <v:textbox inset="0,0,0,0">
            <w:txbxContent>
              <w:p>
                <w:pPr>
                  <w:spacing w:line="245" w:lineRule="exact" w:before="0"/>
                  <w:ind w:left="20" w:right="0" w:firstLine="0"/>
                  <w:jc w:val="left"/>
                  <w:rPr>
                    <w:rFonts w:ascii="Calibri"/>
                    <w:sz w:val="22"/>
                  </w:rPr>
                </w:pPr>
                <w:r>
                  <w:rPr>
                    <w:rFonts w:ascii="Calibri"/>
                    <w:sz w:val="22"/>
                  </w:rPr>
                  <w:t>60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30.856018pt;width:15.3pt;height:13.05pt;mso-position-horizontal-relative:page;mso-position-vertical-relative:page;z-index:-6313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61</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30.856018pt;width:13.3pt;height:13.05pt;mso-position-horizontal-relative:page;mso-position-vertical-relative:page;z-index:-63112" type="#_x0000_t202" filled="false" stroked="false">
          <v:textbox inset="0,0,0,0">
            <w:txbxContent>
              <w:p>
                <w:pPr>
                  <w:spacing w:line="245" w:lineRule="exact" w:before="0"/>
                  <w:ind w:left="20" w:right="0" w:firstLine="0"/>
                  <w:jc w:val="left"/>
                  <w:rPr>
                    <w:rFonts w:ascii="Calibri"/>
                    <w:sz w:val="22"/>
                  </w:rPr>
                </w:pPr>
                <w:r>
                  <w:rPr>
                    <w:rFonts w:ascii="Calibri"/>
                    <w:sz w:val="22"/>
                  </w:rPr>
                  <w:t>70</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298.410004pt;margin-top:730.856018pt;width:15.3pt;height:13.05pt;mso-position-horizontal-relative:page;mso-position-vertical-relative:page;z-index:-6308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76</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30.856018pt;width:13.3pt;height:13.05pt;mso-position-horizontal-relative:page;mso-position-vertical-relative:page;z-index:-63064" type="#_x0000_t202" filled="false" stroked="false">
          <v:textbox inset="0,0,0,0">
            <w:txbxContent>
              <w:p>
                <w:pPr>
                  <w:spacing w:line="245" w:lineRule="exact" w:before="0"/>
                  <w:ind w:left="20" w:right="0" w:firstLine="0"/>
                  <w:jc w:val="left"/>
                  <w:rPr>
                    <w:rFonts w:ascii="Calibri"/>
                    <w:sz w:val="22"/>
                  </w:rPr>
                </w:pPr>
                <w:r>
                  <w:rPr>
                    <w:rFonts w:ascii="Calibri"/>
                    <w:sz w:val="22"/>
                  </w:rPr>
                  <w:t>80</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30.856018pt;width:15.3pt;height:13.05pt;mso-position-horizontal-relative:page;mso-position-vertical-relative:page;z-index:-6304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30.856018pt;width:13.3pt;height:13.05pt;mso-position-horizontal-relative:page;mso-position-vertical-relative:page;z-index:-63400" type="#_x0000_t202" filled="false" stroked="false">
          <v:textbox inset="0,0,0,0">
            <w:txbxContent>
              <w:p>
                <w:pPr>
                  <w:spacing w:line="245" w:lineRule="exact" w:before="0"/>
                  <w:ind w:left="20" w:right="0" w:firstLine="0"/>
                  <w:jc w:val="left"/>
                  <w:rPr>
                    <w:rFonts w:ascii="Calibri"/>
                    <w:sz w:val="22"/>
                  </w:rPr>
                </w:pPr>
                <w:r>
                  <w:rPr>
                    <w:rFonts w:ascii="Calibri"/>
                    <w:sz w:val="22"/>
                  </w:rPr>
                  <w:t>10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30.856018pt;width:15.3pt;height:13.05pt;mso-position-horizontal-relative:page;mso-position-vertical-relative:page;z-index:-6337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30.856018pt;width:13.3pt;height:13.05pt;mso-position-horizontal-relative:page;mso-position-vertical-relative:page;z-index:-63352" type="#_x0000_t202" filled="false" stroked="false">
          <v:textbox inset="0,0,0,0">
            <w:txbxContent>
              <w:p>
                <w:pPr>
                  <w:spacing w:line="245" w:lineRule="exact" w:before="0"/>
                  <w:ind w:left="20" w:right="0" w:firstLine="0"/>
                  <w:jc w:val="left"/>
                  <w:rPr>
                    <w:rFonts w:ascii="Calibri"/>
                    <w:sz w:val="22"/>
                  </w:rPr>
                </w:pPr>
                <w:r>
                  <w:rPr>
                    <w:rFonts w:ascii="Calibri"/>
                    <w:sz w:val="22"/>
                  </w:rPr>
                  <w:t>20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30.856018pt;width:15.3pt;height:13.05pt;mso-position-horizontal-relative:page;mso-position-vertical-relative:page;z-index:-6332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30.856018pt;width:13.3pt;height:13.05pt;mso-position-horizontal-relative:page;mso-position-vertical-relative:page;z-index:-63304" type="#_x0000_t202" filled="false" stroked="false">
          <v:textbox inset="0,0,0,0">
            <w:txbxContent>
              <w:p>
                <w:pPr>
                  <w:spacing w:line="245" w:lineRule="exact" w:before="0"/>
                  <w:ind w:left="20" w:right="0" w:firstLine="0"/>
                  <w:jc w:val="left"/>
                  <w:rPr>
                    <w:rFonts w:ascii="Calibri"/>
                    <w:sz w:val="22"/>
                  </w:rPr>
                </w:pPr>
                <w:r>
                  <w:rPr>
                    <w:rFonts w:ascii="Calibri"/>
                    <w:sz w:val="22"/>
                  </w:rPr>
                  <w:t>30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30.856018pt;width:15.3pt;height:13.05pt;mso-position-horizontal-relative:page;mso-position-vertical-relative:page;z-index:-6328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30.856018pt;width:13.3pt;height:13.05pt;mso-position-horizontal-relative:page;mso-position-vertical-relative:page;z-index:-63256" type="#_x0000_t202" filled="false" stroked="false">
          <v:textbox inset="0,0,0,0">
            <w:txbxContent>
              <w:p>
                <w:pPr>
                  <w:spacing w:line="245" w:lineRule="exact" w:before="0"/>
                  <w:ind w:left="20" w:right="0" w:firstLine="0"/>
                  <w:jc w:val="left"/>
                  <w:rPr>
                    <w:rFonts w:ascii="Calibri"/>
                    <w:sz w:val="22"/>
                  </w:rPr>
                </w:pPr>
                <w:r>
                  <w:rPr>
                    <w:rFonts w:ascii="Calibri"/>
                    <w:sz w:val="22"/>
                  </w:rPr>
                  <w:t>40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30.856018pt;width:15.3pt;height:13.05pt;mso-position-horizontal-relative:page;mso-position-vertical-relative:page;z-index:-6323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8">
    <w:multiLevelType w:val="hybridMultilevel"/>
    <w:lvl w:ilvl="0">
      <w:start w:val="1"/>
      <w:numFmt w:val="decimal"/>
      <w:lvlText w:val="%1."/>
      <w:lvlJc w:val="left"/>
      <w:pPr>
        <w:ind w:left="702" w:hanging="360"/>
        <w:jc w:val="left"/>
      </w:pPr>
      <w:rPr>
        <w:rFonts w:hint="default" w:ascii="Arial" w:hAnsi="Arial" w:eastAsia="Arial" w:cs="Arial"/>
        <w:spacing w:val="-33"/>
        <w:w w:val="99"/>
        <w:sz w:val="24"/>
        <w:szCs w:val="24"/>
      </w:rPr>
    </w:lvl>
    <w:lvl w:ilvl="1">
      <w:start w:val="1"/>
      <w:numFmt w:val="bullet"/>
      <w:lvlText w:val="•"/>
      <w:lvlJc w:val="left"/>
      <w:pPr>
        <w:ind w:left="1524" w:hanging="360"/>
      </w:pPr>
      <w:rPr>
        <w:rFonts w:hint="default"/>
      </w:rPr>
    </w:lvl>
    <w:lvl w:ilvl="2">
      <w:start w:val="1"/>
      <w:numFmt w:val="bullet"/>
      <w:lvlText w:val="•"/>
      <w:lvlJc w:val="left"/>
      <w:pPr>
        <w:ind w:left="2348" w:hanging="360"/>
      </w:pPr>
      <w:rPr>
        <w:rFonts w:hint="default"/>
      </w:rPr>
    </w:lvl>
    <w:lvl w:ilvl="3">
      <w:start w:val="1"/>
      <w:numFmt w:val="bullet"/>
      <w:lvlText w:val="•"/>
      <w:lvlJc w:val="left"/>
      <w:pPr>
        <w:ind w:left="3172" w:hanging="360"/>
      </w:pPr>
      <w:rPr>
        <w:rFonts w:hint="default"/>
      </w:rPr>
    </w:lvl>
    <w:lvl w:ilvl="4">
      <w:start w:val="1"/>
      <w:numFmt w:val="bullet"/>
      <w:lvlText w:val="•"/>
      <w:lvlJc w:val="left"/>
      <w:pPr>
        <w:ind w:left="3996" w:hanging="360"/>
      </w:pPr>
      <w:rPr>
        <w:rFonts w:hint="default"/>
      </w:rPr>
    </w:lvl>
    <w:lvl w:ilvl="5">
      <w:start w:val="1"/>
      <w:numFmt w:val="bullet"/>
      <w:lvlText w:val="•"/>
      <w:lvlJc w:val="left"/>
      <w:pPr>
        <w:ind w:left="4820" w:hanging="360"/>
      </w:pPr>
      <w:rPr>
        <w:rFonts w:hint="default"/>
      </w:rPr>
    </w:lvl>
    <w:lvl w:ilvl="6">
      <w:start w:val="1"/>
      <w:numFmt w:val="bullet"/>
      <w:lvlText w:val="•"/>
      <w:lvlJc w:val="left"/>
      <w:pPr>
        <w:ind w:left="5644" w:hanging="360"/>
      </w:pPr>
      <w:rPr>
        <w:rFonts w:hint="default"/>
      </w:rPr>
    </w:lvl>
    <w:lvl w:ilvl="7">
      <w:start w:val="1"/>
      <w:numFmt w:val="bullet"/>
      <w:lvlText w:val="•"/>
      <w:lvlJc w:val="left"/>
      <w:pPr>
        <w:ind w:left="6468" w:hanging="360"/>
      </w:pPr>
      <w:rPr>
        <w:rFonts w:hint="default"/>
      </w:rPr>
    </w:lvl>
    <w:lvl w:ilvl="8">
      <w:start w:val="1"/>
      <w:numFmt w:val="bullet"/>
      <w:lvlText w:val="•"/>
      <w:lvlJc w:val="left"/>
      <w:pPr>
        <w:ind w:left="7292" w:hanging="360"/>
      </w:pPr>
      <w:rPr>
        <w:rFonts w:hint="default"/>
      </w:rPr>
    </w:lvl>
  </w:abstractNum>
  <w:abstractNum w:abstractNumId="27">
    <w:multiLevelType w:val="hybridMultilevel"/>
    <w:lvl w:ilvl="0">
      <w:start w:val="3"/>
      <w:numFmt w:val="decimal"/>
      <w:lvlText w:val="%1"/>
      <w:lvlJc w:val="left"/>
      <w:pPr>
        <w:ind w:left="636" w:hanging="535"/>
        <w:jc w:val="left"/>
      </w:pPr>
      <w:rPr>
        <w:rFonts w:hint="default"/>
      </w:rPr>
    </w:lvl>
    <w:lvl w:ilvl="1">
      <w:start w:val="65"/>
      <w:numFmt w:val="decimal"/>
      <w:lvlText w:val="%1.%2"/>
      <w:lvlJc w:val="left"/>
      <w:pPr>
        <w:ind w:left="636" w:hanging="535"/>
        <w:jc w:val="left"/>
      </w:pPr>
      <w:rPr>
        <w:rFonts w:hint="default" w:ascii="Arial" w:hAnsi="Arial" w:eastAsia="Arial" w:cs="Arial"/>
        <w:w w:val="99"/>
        <w:sz w:val="24"/>
        <w:szCs w:val="24"/>
      </w:rPr>
    </w:lvl>
    <w:lvl w:ilvl="2">
      <w:start w:val="1"/>
      <w:numFmt w:val="bullet"/>
      <w:lvlText w:val=""/>
      <w:lvlJc w:val="left"/>
      <w:pPr>
        <w:ind w:left="822" w:hanging="360"/>
      </w:pPr>
      <w:rPr>
        <w:rFonts w:hint="default" w:ascii="Symbol" w:hAnsi="Symbol" w:eastAsia="Symbol" w:cs="Symbol"/>
        <w:w w:val="100"/>
        <w:sz w:val="24"/>
        <w:szCs w:val="24"/>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26">
    <w:multiLevelType w:val="hybridMultilevel"/>
    <w:lvl w:ilvl="0">
      <w:start w:val="1"/>
      <w:numFmt w:val="bullet"/>
      <w:lvlText w:val=""/>
      <w:lvlJc w:val="left"/>
      <w:pPr>
        <w:ind w:left="522" w:hanging="360"/>
      </w:pPr>
      <w:rPr>
        <w:rFonts w:hint="default" w:ascii="Symbol" w:hAnsi="Symbol" w:eastAsia="Symbol" w:cs="Symbol"/>
        <w:w w:val="100"/>
        <w:sz w:val="24"/>
        <w:szCs w:val="24"/>
      </w:rPr>
    </w:lvl>
    <w:lvl w:ilvl="1">
      <w:start w:val="1"/>
      <w:numFmt w:val="bullet"/>
      <w:lvlText w:val="•"/>
      <w:lvlJc w:val="left"/>
      <w:pPr>
        <w:ind w:left="1372" w:hanging="360"/>
      </w:pPr>
      <w:rPr>
        <w:rFonts w:hint="default"/>
      </w:rPr>
    </w:lvl>
    <w:lvl w:ilvl="2">
      <w:start w:val="1"/>
      <w:numFmt w:val="bullet"/>
      <w:lvlText w:val="•"/>
      <w:lvlJc w:val="left"/>
      <w:pPr>
        <w:ind w:left="2224" w:hanging="360"/>
      </w:pPr>
      <w:rPr>
        <w:rFonts w:hint="default"/>
      </w:rPr>
    </w:lvl>
    <w:lvl w:ilvl="3">
      <w:start w:val="1"/>
      <w:numFmt w:val="bullet"/>
      <w:lvlText w:val="•"/>
      <w:lvlJc w:val="left"/>
      <w:pPr>
        <w:ind w:left="3076" w:hanging="360"/>
      </w:pPr>
      <w:rPr>
        <w:rFonts w:hint="default"/>
      </w:rPr>
    </w:lvl>
    <w:lvl w:ilvl="4">
      <w:start w:val="1"/>
      <w:numFmt w:val="bullet"/>
      <w:lvlText w:val="•"/>
      <w:lvlJc w:val="left"/>
      <w:pPr>
        <w:ind w:left="3928" w:hanging="360"/>
      </w:pPr>
      <w:rPr>
        <w:rFonts w:hint="default"/>
      </w:rPr>
    </w:lvl>
    <w:lvl w:ilvl="5">
      <w:start w:val="1"/>
      <w:numFmt w:val="bullet"/>
      <w:lvlText w:val="•"/>
      <w:lvlJc w:val="left"/>
      <w:pPr>
        <w:ind w:left="4780" w:hanging="360"/>
      </w:pPr>
      <w:rPr>
        <w:rFonts w:hint="default"/>
      </w:rPr>
    </w:lvl>
    <w:lvl w:ilvl="6">
      <w:start w:val="1"/>
      <w:numFmt w:val="bullet"/>
      <w:lvlText w:val="•"/>
      <w:lvlJc w:val="left"/>
      <w:pPr>
        <w:ind w:left="5632" w:hanging="360"/>
      </w:pPr>
      <w:rPr>
        <w:rFonts w:hint="default"/>
      </w:rPr>
    </w:lvl>
    <w:lvl w:ilvl="7">
      <w:start w:val="1"/>
      <w:numFmt w:val="bullet"/>
      <w:lvlText w:val="•"/>
      <w:lvlJc w:val="left"/>
      <w:pPr>
        <w:ind w:left="6484" w:hanging="360"/>
      </w:pPr>
      <w:rPr>
        <w:rFonts w:hint="default"/>
      </w:rPr>
    </w:lvl>
    <w:lvl w:ilvl="8">
      <w:start w:val="1"/>
      <w:numFmt w:val="bullet"/>
      <w:lvlText w:val="•"/>
      <w:lvlJc w:val="left"/>
      <w:pPr>
        <w:ind w:left="7336" w:hanging="360"/>
      </w:pPr>
      <w:rPr>
        <w:rFonts w:hint="default"/>
      </w:rPr>
    </w:lvl>
  </w:abstractNum>
  <w:abstractNum w:abstractNumId="25">
    <w:multiLevelType w:val="hybridMultilevel"/>
    <w:lvl w:ilvl="0">
      <w:start w:val="1"/>
      <w:numFmt w:val="decimal"/>
      <w:lvlText w:val="%1."/>
      <w:lvlJc w:val="left"/>
      <w:pPr>
        <w:ind w:left="102" w:hanging="307"/>
        <w:jc w:val="left"/>
      </w:pPr>
      <w:rPr>
        <w:rFonts w:hint="default" w:ascii="Arial" w:hAnsi="Arial" w:eastAsia="Arial" w:cs="Arial"/>
        <w:w w:val="99"/>
        <w:sz w:val="24"/>
        <w:szCs w:val="24"/>
      </w:rPr>
    </w:lvl>
    <w:lvl w:ilvl="1">
      <w:start w:val="6"/>
      <w:numFmt w:val="decimal"/>
      <w:lvlText w:val="%2."/>
      <w:lvlJc w:val="left"/>
      <w:pPr>
        <w:ind w:left="3961" w:hanging="392"/>
        <w:jc w:val="right"/>
      </w:pPr>
      <w:rPr>
        <w:rFonts w:hint="default" w:ascii="Arial" w:hAnsi="Arial" w:eastAsia="Arial" w:cs="Arial"/>
        <w:b/>
        <w:bCs/>
        <w:spacing w:val="-1"/>
        <w:w w:val="100"/>
        <w:sz w:val="28"/>
        <w:szCs w:val="28"/>
      </w:rPr>
    </w:lvl>
    <w:lvl w:ilvl="2">
      <w:start w:val="1"/>
      <w:numFmt w:val="bullet"/>
      <w:lvlText w:val="•"/>
      <w:lvlJc w:val="left"/>
      <w:pPr>
        <w:ind w:left="4524" w:hanging="392"/>
      </w:pPr>
      <w:rPr>
        <w:rFonts w:hint="default"/>
      </w:rPr>
    </w:lvl>
    <w:lvl w:ilvl="3">
      <w:start w:val="1"/>
      <w:numFmt w:val="bullet"/>
      <w:lvlText w:val="•"/>
      <w:lvlJc w:val="left"/>
      <w:pPr>
        <w:ind w:left="5088" w:hanging="392"/>
      </w:pPr>
      <w:rPr>
        <w:rFonts w:hint="default"/>
      </w:rPr>
    </w:lvl>
    <w:lvl w:ilvl="4">
      <w:start w:val="1"/>
      <w:numFmt w:val="bullet"/>
      <w:lvlText w:val="•"/>
      <w:lvlJc w:val="left"/>
      <w:pPr>
        <w:ind w:left="5653" w:hanging="392"/>
      </w:pPr>
      <w:rPr>
        <w:rFonts w:hint="default"/>
      </w:rPr>
    </w:lvl>
    <w:lvl w:ilvl="5">
      <w:start w:val="1"/>
      <w:numFmt w:val="bullet"/>
      <w:lvlText w:val="•"/>
      <w:lvlJc w:val="left"/>
      <w:pPr>
        <w:ind w:left="6217" w:hanging="392"/>
      </w:pPr>
      <w:rPr>
        <w:rFonts w:hint="default"/>
      </w:rPr>
    </w:lvl>
    <w:lvl w:ilvl="6">
      <w:start w:val="1"/>
      <w:numFmt w:val="bullet"/>
      <w:lvlText w:val="•"/>
      <w:lvlJc w:val="left"/>
      <w:pPr>
        <w:ind w:left="6782" w:hanging="392"/>
      </w:pPr>
      <w:rPr>
        <w:rFonts w:hint="default"/>
      </w:rPr>
    </w:lvl>
    <w:lvl w:ilvl="7">
      <w:start w:val="1"/>
      <w:numFmt w:val="bullet"/>
      <w:lvlText w:val="•"/>
      <w:lvlJc w:val="left"/>
      <w:pPr>
        <w:ind w:left="7346" w:hanging="392"/>
      </w:pPr>
      <w:rPr>
        <w:rFonts w:hint="default"/>
      </w:rPr>
    </w:lvl>
    <w:lvl w:ilvl="8">
      <w:start w:val="1"/>
      <w:numFmt w:val="bullet"/>
      <w:lvlText w:val="•"/>
      <w:lvlJc w:val="left"/>
      <w:pPr>
        <w:ind w:left="7911" w:hanging="392"/>
      </w:pPr>
      <w:rPr>
        <w:rFonts w:hint="default"/>
      </w:rPr>
    </w:lvl>
  </w:abstractNum>
  <w:abstractNum w:abstractNumId="24">
    <w:multiLevelType w:val="hybridMultilevel"/>
    <w:lvl w:ilvl="0">
      <w:start w:val="1"/>
      <w:numFmt w:val="decimal"/>
      <w:lvlText w:val="%1."/>
      <w:lvlJc w:val="left"/>
      <w:pPr>
        <w:ind w:left="102" w:hanging="286"/>
        <w:jc w:val="left"/>
      </w:pPr>
      <w:rPr>
        <w:rFonts w:hint="default" w:ascii="Arial" w:hAnsi="Arial" w:eastAsia="Arial" w:cs="Arial"/>
        <w:w w:val="99"/>
        <w:sz w:val="24"/>
        <w:szCs w:val="24"/>
      </w:rPr>
    </w:lvl>
    <w:lvl w:ilvl="1">
      <w:start w:val="1"/>
      <w:numFmt w:val="bullet"/>
      <w:lvlText w:val="•"/>
      <w:lvlJc w:val="left"/>
      <w:pPr>
        <w:ind w:left="996" w:hanging="286"/>
      </w:pPr>
      <w:rPr>
        <w:rFonts w:hint="default"/>
      </w:rPr>
    </w:lvl>
    <w:lvl w:ilvl="2">
      <w:start w:val="1"/>
      <w:numFmt w:val="bullet"/>
      <w:lvlText w:val="•"/>
      <w:lvlJc w:val="left"/>
      <w:pPr>
        <w:ind w:left="1892" w:hanging="286"/>
      </w:pPr>
      <w:rPr>
        <w:rFonts w:hint="default"/>
      </w:rPr>
    </w:lvl>
    <w:lvl w:ilvl="3">
      <w:start w:val="1"/>
      <w:numFmt w:val="bullet"/>
      <w:lvlText w:val="•"/>
      <w:lvlJc w:val="left"/>
      <w:pPr>
        <w:ind w:left="2788" w:hanging="286"/>
      </w:pPr>
      <w:rPr>
        <w:rFonts w:hint="default"/>
      </w:rPr>
    </w:lvl>
    <w:lvl w:ilvl="4">
      <w:start w:val="1"/>
      <w:numFmt w:val="bullet"/>
      <w:lvlText w:val="•"/>
      <w:lvlJc w:val="left"/>
      <w:pPr>
        <w:ind w:left="3684" w:hanging="286"/>
      </w:pPr>
      <w:rPr>
        <w:rFonts w:hint="default"/>
      </w:rPr>
    </w:lvl>
    <w:lvl w:ilvl="5">
      <w:start w:val="1"/>
      <w:numFmt w:val="bullet"/>
      <w:lvlText w:val="•"/>
      <w:lvlJc w:val="left"/>
      <w:pPr>
        <w:ind w:left="4580" w:hanging="286"/>
      </w:pPr>
      <w:rPr>
        <w:rFonts w:hint="default"/>
      </w:rPr>
    </w:lvl>
    <w:lvl w:ilvl="6">
      <w:start w:val="1"/>
      <w:numFmt w:val="bullet"/>
      <w:lvlText w:val="•"/>
      <w:lvlJc w:val="left"/>
      <w:pPr>
        <w:ind w:left="5476" w:hanging="286"/>
      </w:pPr>
      <w:rPr>
        <w:rFonts w:hint="default"/>
      </w:rPr>
    </w:lvl>
    <w:lvl w:ilvl="7">
      <w:start w:val="1"/>
      <w:numFmt w:val="bullet"/>
      <w:lvlText w:val="•"/>
      <w:lvlJc w:val="left"/>
      <w:pPr>
        <w:ind w:left="6372" w:hanging="286"/>
      </w:pPr>
      <w:rPr>
        <w:rFonts w:hint="default"/>
      </w:rPr>
    </w:lvl>
    <w:lvl w:ilvl="8">
      <w:start w:val="1"/>
      <w:numFmt w:val="bullet"/>
      <w:lvlText w:val="•"/>
      <w:lvlJc w:val="left"/>
      <w:pPr>
        <w:ind w:left="7268" w:hanging="286"/>
      </w:pPr>
      <w:rPr>
        <w:rFonts w:hint="default"/>
      </w:rPr>
    </w:lvl>
  </w:abstractNum>
  <w:abstractNum w:abstractNumId="23">
    <w:multiLevelType w:val="hybridMultilevel"/>
    <w:lvl w:ilvl="0">
      <w:start w:val="1"/>
      <w:numFmt w:val="decimal"/>
      <w:lvlText w:val="%1."/>
      <w:lvlJc w:val="left"/>
      <w:pPr>
        <w:ind w:left="385" w:hanging="284"/>
        <w:jc w:val="left"/>
      </w:pPr>
      <w:rPr>
        <w:rFonts w:hint="default" w:ascii="Arial" w:hAnsi="Arial" w:eastAsia="Arial" w:cs="Arial"/>
        <w:w w:val="100"/>
        <w:sz w:val="24"/>
        <w:szCs w:val="24"/>
      </w:rPr>
    </w:lvl>
    <w:lvl w:ilvl="1">
      <w:start w:val="1"/>
      <w:numFmt w:val="bullet"/>
      <w:lvlText w:val=""/>
      <w:lvlJc w:val="left"/>
      <w:pPr>
        <w:ind w:left="822" w:hanging="360"/>
      </w:pPr>
      <w:rPr>
        <w:rFonts w:hint="default" w:ascii="Symbol" w:hAnsi="Symbol" w:eastAsia="Symbol" w:cs="Symbol"/>
        <w:w w:val="100"/>
        <w:sz w:val="24"/>
        <w:szCs w:val="24"/>
      </w:rPr>
    </w:lvl>
    <w:lvl w:ilvl="2">
      <w:start w:val="1"/>
      <w:numFmt w:val="bullet"/>
      <w:lvlText w:val="•"/>
      <w:lvlJc w:val="left"/>
      <w:pPr>
        <w:ind w:left="1733" w:hanging="360"/>
      </w:pPr>
      <w:rPr>
        <w:rFonts w:hint="default"/>
      </w:rPr>
    </w:lvl>
    <w:lvl w:ilvl="3">
      <w:start w:val="1"/>
      <w:numFmt w:val="bullet"/>
      <w:lvlText w:val="•"/>
      <w:lvlJc w:val="left"/>
      <w:pPr>
        <w:ind w:left="2646" w:hanging="360"/>
      </w:pPr>
      <w:rPr>
        <w:rFonts w:hint="default"/>
      </w:rPr>
    </w:lvl>
    <w:lvl w:ilvl="4">
      <w:start w:val="1"/>
      <w:numFmt w:val="bullet"/>
      <w:lvlText w:val="•"/>
      <w:lvlJc w:val="left"/>
      <w:pPr>
        <w:ind w:left="3560" w:hanging="360"/>
      </w:pPr>
      <w:rPr>
        <w:rFonts w:hint="default"/>
      </w:rPr>
    </w:lvl>
    <w:lvl w:ilvl="5">
      <w:start w:val="1"/>
      <w:numFmt w:val="bullet"/>
      <w:lvlText w:val="•"/>
      <w:lvlJc w:val="left"/>
      <w:pPr>
        <w:ind w:left="4473" w:hanging="360"/>
      </w:pPr>
      <w:rPr>
        <w:rFonts w:hint="default"/>
      </w:rPr>
    </w:lvl>
    <w:lvl w:ilvl="6">
      <w:start w:val="1"/>
      <w:numFmt w:val="bullet"/>
      <w:lvlText w:val="•"/>
      <w:lvlJc w:val="left"/>
      <w:pPr>
        <w:ind w:left="5386" w:hanging="360"/>
      </w:pPr>
      <w:rPr>
        <w:rFonts w:hint="default"/>
      </w:rPr>
    </w:lvl>
    <w:lvl w:ilvl="7">
      <w:start w:val="1"/>
      <w:numFmt w:val="bullet"/>
      <w:lvlText w:val="•"/>
      <w:lvlJc w:val="left"/>
      <w:pPr>
        <w:ind w:left="6300" w:hanging="360"/>
      </w:pPr>
      <w:rPr>
        <w:rFonts w:hint="default"/>
      </w:rPr>
    </w:lvl>
    <w:lvl w:ilvl="8">
      <w:start w:val="1"/>
      <w:numFmt w:val="bullet"/>
      <w:lvlText w:val="•"/>
      <w:lvlJc w:val="left"/>
      <w:pPr>
        <w:ind w:left="7213" w:hanging="360"/>
      </w:pPr>
      <w:rPr>
        <w:rFonts w:hint="default"/>
      </w:rPr>
    </w:lvl>
  </w:abstractNum>
  <w:abstractNum w:abstractNumId="22">
    <w:multiLevelType w:val="hybridMultilevel"/>
    <w:lvl w:ilvl="0">
      <w:start w:val="1"/>
      <w:numFmt w:val="decimal"/>
      <w:lvlText w:val="%1."/>
      <w:lvlJc w:val="left"/>
      <w:pPr>
        <w:ind w:left="465" w:hanging="284"/>
        <w:jc w:val="right"/>
      </w:pPr>
      <w:rPr>
        <w:rFonts w:hint="default" w:ascii="Arial" w:hAnsi="Arial" w:eastAsia="Arial" w:cs="Arial"/>
        <w:w w:val="100"/>
        <w:sz w:val="24"/>
        <w:szCs w:val="24"/>
      </w:rPr>
    </w:lvl>
    <w:lvl w:ilvl="1">
      <w:start w:val="1"/>
      <w:numFmt w:val="bullet"/>
      <w:lvlText w:val="•"/>
      <w:lvlJc w:val="left"/>
      <w:pPr>
        <w:ind w:left="1326" w:hanging="284"/>
      </w:pPr>
      <w:rPr>
        <w:rFonts w:hint="default"/>
      </w:rPr>
    </w:lvl>
    <w:lvl w:ilvl="2">
      <w:start w:val="1"/>
      <w:numFmt w:val="bullet"/>
      <w:lvlText w:val="•"/>
      <w:lvlJc w:val="left"/>
      <w:pPr>
        <w:ind w:left="2192" w:hanging="284"/>
      </w:pPr>
      <w:rPr>
        <w:rFonts w:hint="default"/>
      </w:rPr>
    </w:lvl>
    <w:lvl w:ilvl="3">
      <w:start w:val="1"/>
      <w:numFmt w:val="bullet"/>
      <w:lvlText w:val="•"/>
      <w:lvlJc w:val="left"/>
      <w:pPr>
        <w:ind w:left="3058" w:hanging="284"/>
      </w:pPr>
      <w:rPr>
        <w:rFonts w:hint="default"/>
      </w:rPr>
    </w:lvl>
    <w:lvl w:ilvl="4">
      <w:start w:val="1"/>
      <w:numFmt w:val="bullet"/>
      <w:lvlText w:val="•"/>
      <w:lvlJc w:val="left"/>
      <w:pPr>
        <w:ind w:left="3924" w:hanging="284"/>
      </w:pPr>
      <w:rPr>
        <w:rFonts w:hint="default"/>
      </w:rPr>
    </w:lvl>
    <w:lvl w:ilvl="5">
      <w:start w:val="1"/>
      <w:numFmt w:val="bullet"/>
      <w:lvlText w:val="•"/>
      <w:lvlJc w:val="left"/>
      <w:pPr>
        <w:ind w:left="4790" w:hanging="284"/>
      </w:pPr>
      <w:rPr>
        <w:rFonts w:hint="default"/>
      </w:rPr>
    </w:lvl>
    <w:lvl w:ilvl="6">
      <w:start w:val="1"/>
      <w:numFmt w:val="bullet"/>
      <w:lvlText w:val="•"/>
      <w:lvlJc w:val="left"/>
      <w:pPr>
        <w:ind w:left="5656" w:hanging="284"/>
      </w:pPr>
      <w:rPr>
        <w:rFonts w:hint="default"/>
      </w:rPr>
    </w:lvl>
    <w:lvl w:ilvl="7">
      <w:start w:val="1"/>
      <w:numFmt w:val="bullet"/>
      <w:lvlText w:val="•"/>
      <w:lvlJc w:val="left"/>
      <w:pPr>
        <w:ind w:left="6522" w:hanging="284"/>
      </w:pPr>
      <w:rPr>
        <w:rFonts w:hint="default"/>
      </w:rPr>
    </w:lvl>
    <w:lvl w:ilvl="8">
      <w:start w:val="1"/>
      <w:numFmt w:val="bullet"/>
      <w:lvlText w:val="•"/>
      <w:lvlJc w:val="left"/>
      <w:pPr>
        <w:ind w:left="7388" w:hanging="284"/>
      </w:pPr>
      <w:rPr>
        <w:rFonts w:hint="default"/>
      </w:rPr>
    </w:lvl>
  </w:abstractNum>
  <w:abstractNum w:abstractNumId="21">
    <w:multiLevelType w:val="hybridMultilevel"/>
    <w:lvl w:ilvl="0">
      <w:start w:val="1"/>
      <w:numFmt w:val="bullet"/>
      <w:lvlText w:val=""/>
      <w:lvlJc w:val="left"/>
      <w:pPr>
        <w:ind w:left="822" w:hanging="360"/>
      </w:pPr>
      <w:rPr>
        <w:rFonts w:hint="default" w:ascii="Symbol" w:hAnsi="Symbol" w:eastAsia="Symbol" w:cs="Symbol"/>
        <w:w w:val="100"/>
        <w:sz w:val="24"/>
        <w:szCs w:val="24"/>
      </w:rPr>
    </w:lvl>
    <w:lvl w:ilvl="1">
      <w:start w:val="1"/>
      <w:numFmt w:val="bullet"/>
      <w:lvlText w:val="•"/>
      <w:lvlJc w:val="left"/>
      <w:pPr>
        <w:ind w:left="1642" w:hanging="360"/>
      </w:pPr>
      <w:rPr>
        <w:rFonts w:hint="default"/>
      </w:rPr>
    </w:lvl>
    <w:lvl w:ilvl="2">
      <w:start w:val="1"/>
      <w:numFmt w:val="bullet"/>
      <w:lvlText w:val="•"/>
      <w:lvlJc w:val="left"/>
      <w:pPr>
        <w:ind w:left="2464" w:hanging="360"/>
      </w:pPr>
      <w:rPr>
        <w:rFonts w:hint="default"/>
      </w:rPr>
    </w:lvl>
    <w:lvl w:ilvl="3">
      <w:start w:val="1"/>
      <w:numFmt w:val="bullet"/>
      <w:lvlText w:val="•"/>
      <w:lvlJc w:val="left"/>
      <w:pPr>
        <w:ind w:left="3286" w:hanging="360"/>
      </w:pPr>
      <w:rPr>
        <w:rFonts w:hint="default"/>
      </w:rPr>
    </w:lvl>
    <w:lvl w:ilvl="4">
      <w:start w:val="1"/>
      <w:numFmt w:val="bullet"/>
      <w:lvlText w:val="•"/>
      <w:lvlJc w:val="left"/>
      <w:pPr>
        <w:ind w:left="4108" w:hanging="360"/>
      </w:pPr>
      <w:rPr>
        <w:rFonts w:hint="default"/>
      </w:rPr>
    </w:lvl>
    <w:lvl w:ilvl="5">
      <w:start w:val="1"/>
      <w:numFmt w:val="bullet"/>
      <w:lvlText w:val="•"/>
      <w:lvlJc w:val="left"/>
      <w:pPr>
        <w:ind w:left="4930" w:hanging="360"/>
      </w:pPr>
      <w:rPr>
        <w:rFonts w:hint="default"/>
      </w:rPr>
    </w:lvl>
    <w:lvl w:ilvl="6">
      <w:start w:val="1"/>
      <w:numFmt w:val="bullet"/>
      <w:lvlText w:val="•"/>
      <w:lvlJc w:val="left"/>
      <w:pPr>
        <w:ind w:left="5752" w:hanging="360"/>
      </w:pPr>
      <w:rPr>
        <w:rFonts w:hint="default"/>
      </w:rPr>
    </w:lvl>
    <w:lvl w:ilvl="7">
      <w:start w:val="1"/>
      <w:numFmt w:val="bullet"/>
      <w:lvlText w:val="•"/>
      <w:lvlJc w:val="left"/>
      <w:pPr>
        <w:ind w:left="6574" w:hanging="360"/>
      </w:pPr>
      <w:rPr>
        <w:rFonts w:hint="default"/>
      </w:rPr>
    </w:lvl>
    <w:lvl w:ilvl="8">
      <w:start w:val="1"/>
      <w:numFmt w:val="bullet"/>
      <w:lvlText w:val="•"/>
      <w:lvlJc w:val="left"/>
      <w:pPr>
        <w:ind w:left="7396" w:hanging="360"/>
      </w:pPr>
      <w:rPr>
        <w:rFonts w:hint="default"/>
      </w:rPr>
    </w:lvl>
  </w:abstractNum>
  <w:abstractNum w:abstractNumId="20">
    <w:multiLevelType w:val="hybridMultilevel"/>
    <w:lvl w:ilvl="0">
      <w:start w:val="1"/>
      <w:numFmt w:val="bullet"/>
      <w:lvlText w:val="-"/>
      <w:lvlJc w:val="left"/>
      <w:pPr>
        <w:ind w:left="240" w:hanging="137"/>
      </w:pPr>
      <w:rPr>
        <w:rFonts w:hint="default" w:ascii="Arial" w:hAnsi="Arial" w:eastAsia="Arial" w:cs="Arial"/>
        <w:w w:val="100"/>
        <w:sz w:val="22"/>
        <w:szCs w:val="22"/>
      </w:rPr>
    </w:lvl>
    <w:lvl w:ilvl="1">
      <w:start w:val="1"/>
      <w:numFmt w:val="bullet"/>
      <w:lvlText w:val="•"/>
      <w:lvlJc w:val="left"/>
      <w:pPr>
        <w:ind w:left="371" w:hanging="137"/>
      </w:pPr>
      <w:rPr>
        <w:rFonts w:hint="default"/>
      </w:rPr>
    </w:lvl>
    <w:lvl w:ilvl="2">
      <w:start w:val="1"/>
      <w:numFmt w:val="bullet"/>
      <w:lvlText w:val="•"/>
      <w:lvlJc w:val="left"/>
      <w:pPr>
        <w:ind w:left="502" w:hanging="137"/>
      </w:pPr>
      <w:rPr>
        <w:rFonts w:hint="default"/>
      </w:rPr>
    </w:lvl>
    <w:lvl w:ilvl="3">
      <w:start w:val="1"/>
      <w:numFmt w:val="bullet"/>
      <w:lvlText w:val="•"/>
      <w:lvlJc w:val="left"/>
      <w:pPr>
        <w:ind w:left="633" w:hanging="137"/>
      </w:pPr>
      <w:rPr>
        <w:rFonts w:hint="default"/>
      </w:rPr>
    </w:lvl>
    <w:lvl w:ilvl="4">
      <w:start w:val="1"/>
      <w:numFmt w:val="bullet"/>
      <w:lvlText w:val="•"/>
      <w:lvlJc w:val="left"/>
      <w:pPr>
        <w:ind w:left="764" w:hanging="137"/>
      </w:pPr>
      <w:rPr>
        <w:rFonts w:hint="default"/>
      </w:rPr>
    </w:lvl>
    <w:lvl w:ilvl="5">
      <w:start w:val="1"/>
      <w:numFmt w:val="bullet"/>
      <w:lvlText w:val="•"/>
      <w:lvlJc w:val="left"/>
      <w:pPr>
        <w:ind w:left="895" w:hanging="137"/>
      </w:pPr>
      <w:rPr>
        <w:rFonts w:hint="default"/>
      </w:rPr>
    </w:lvl>
    <w:lvl w:ilvl="6">
      <w:start w:val="1"/>
      <w:numFmt w:val="bullet"/>
      <w:lvlText w:val="•"/>
      <w:lvlJc w:val="left"/>
      <w:pPr>
        <w:ind w:left="1026" w:hanging="137"/>
      </w:pPr>
      <w:rPr>
        <w:rFonts w:hint="default"/>
      </w:rPr>
    </w:lvl>
    <w:lvl w:ilvl="7">
      <w:start w:val="1"/>
      <w:numFmt w:val="bullet"/>
      <w:lvlText w:val="•"/>
      <w:lvlJc w:val="left"/>
      <w:pPr>
        <w:ind w:left="1157" w:hanging="137"/>
      </w:pPr>
      <w:rPr>
        <w:rFonts w:hint="default"/>
      </w:rPr>
    </w:lvl>
    <w:lvl w:ilvl="8">
      <w:start w:val="1"/>
      <w:numFmt w:val="bullet"/>
      <w:lvlText w:val="•"/>
      <w:lvlJc w:val="left"/>
      <w:pPr>
        <w:ind w:left="1288" w:hanging="137"/>
      </w:pPr>
      <w:rPr>
        <w:rFonts w:hint="default"/>
      </w:rPr>
    </w:lvl>
  </w:abstractNum>
  <w:abstractNum w:abstractNumId="19">
    <w:multiLevelType w:val="hybridMultilevel"/>
    <w:lvl w:ilvl="0">
      <w:start w:val="1"/>
      <w:numFmt w:val="bullet"/>
      <w:lvlText w:val=""/>
      <w:lvlJc w:val="left"/>
      <w:pPr>
        <w:ind w:left="942" w:hanging="360"/>
      </w:pPr>
      <w:rPr>
        <w:rFonts w:hint="default" w:ascii="Symbol" w:hAnsi="Symbol" w:eastAsia="Symbol" w:cs="Symbol"/>
        <w:w w:val="100"/>
        <w:sz w:val="24"/>
        <w:szCs w:val="24"/>
      </w:rPr>
    </w:lvl>
    <w:lvl w:ilvl="1">
      <w:start w:val="1"/>
      <w:numFmt w:val="bullet"/>
      <w:lvlText w:val="•"/>
      <w:lvlJc w:val="left"/>
      <w:pPr>
        <w:ind w:left="1858" w:hanging="360"/>
      </w:pPr>
      <w:rPr>
        <w:rFonts w:hint="default"/>
      </w:rPr>
    </w:lvl>
    <w:lvl w:ilvl="2">
      <w:start w:val="1"/>
      <w:numFmt w:val="bullet"/>
      <w:lvlText w:val="•"/>
      <w:lvlJc w:val="left"/>
      <w:pPr>
        <w:ind w:left="2776" w:hanging="360"/>
      </w:pPr>
      <w:rPr>
        <w:rFonts w:hint="default"/>
      </w:rPr>
    </w:lvl>
    <w:lvl w:ilvl="3">
      <w:start w:val="1"/>
      <w:numFmt w:val="bullet"/>
      <w:lvlText w:val="•"/>
      <w:lvlJc w:val="left"/>
      <w:pPr>
        <w:ind w:left="3694" w:hanging="360"/>
      </w:pPr>
      <w:rPr>
        <w:rFonts w:hint="default"/>
      </w:rPr>
    </w:lvl>
    <w:lvl w:ilvl="4">
      <w:start w:val="1"/>
      <w:numFmt w:val="bullet"/>
      <w:lvlText w:val="•"/>
      <w:lvlJc w:val="left"/>
      <w:pPr>
        <w:ind w:left="4612" w:hanging="360"/>
      </w:pPr>
      <w:rPr>
        <w:rFonts w:hint="default"/>
      </w:rPr>
    </w:lvl>
    <w:lvl w:ilvl="5">
      <w:start w:val="1"/>
      <w:numFmt w:val="bullet"/>
      <w:lvlText w:val="•"/>
      <w:lvlJc w:val="left"/>
      <w:pPr>
        <w:ind w:left="5530" w:hanging="360"/>
      </w:pPr>
      <w:rPr>
        <w:rFonts w:hint="default"/>
      </w:rPr>
    </w:lvl>
    <w:lvl w:ilvl="6">
      <w:start w:val="1"/>
      <w:numFmt w:val="bullet"/>
      <w:lvlText w:val="•"/>
      <w:lvlJc w:val="left"/>
      <w:pPr>
        <w:ind w:left="6448" w:hanging="360"/>
      </w:pPr>
      <w:rPr>
        <w:rFonts w:hint="default"/>
      </w:rPr>
    </w:lvl>
    <w:lvl w:ilvl="7">
      <w:start w:val="1"/>
      <w:numFmt w:val="bullet"/>
      <w:lvlText w:val="•"/>
      <w:lvlJc w:val="left"/>
      <w:pPr>
        <w:ind w:left="7366" w:hanging="360"/>
      </w:pPr>
      <w:rPr>
        <w:rFonts w:hint="default"/>
      </w:rPr>
    </w:lvl>
    <w:lvl w:ilvl="8">
      <w:start w:val="1"/>
      <w:numFmt w:val="bullet"/>
      <w:lvlText w:val="•"/>
      <w:lvlJc w:val="left"/>
      <w:pPr>
        <w:ind w:left="8284" w:hanging="360"/>
      </w:pPr>
      <w:rPr>
        <w:rFonts w:hint="default"/>
      </w:rPr>
    </w:lvl>
  </w:abstractNum>
  <w:abstractNum w:abstractNumId="18">
    <w:multiLevelType w:val="hybridMultilevel"/>
    <w:lvl w:ilvl="0">
      <w:start w:val="1"/>
      <w:numFmt w:val="bullet"/>
      <w:lvlText w:val=""/>
      <w:lvlJc w:val="left"/>
      <w:pPr>
        <w:ind w:left="942" w:hanging="360"/>
      </w:pPr>
      <w:rPr>
        <w:rFonts w:hint="default" w:ascii="Symbol" w:hAnsi="Symbol" w:eastAsia="Symbol" w:cs="Symbol"/>
        <w:w w:val="100"/>
        <w:sz w:val="24"/>
        <w:szCs w:val="24"/>
      </w:rPr>
    </w:lvl>
    <w:lvl w:ilvl="1">
      <w:start w:val="1"/>
      <w:numFmt w:val="bullet"/>
      <w:lvlText w:val="•"/>
      <w:lvlJc w:val="left"/>
      <w:pPr>
        <w:ind w:left="1858" w:hanging="360"/>
      </w:pPr>
      <w:rPr>
        <w:rFonts w:hint="default"/>
      </w:rPr>
    </w:lvl>
    <w:lvl w:ilvl="2">
      <w:start w:val="1"/>
      <w:numFmt w:val="bullet"/>
      <w:lvlText w:val="•"/>
      <w:lvlJc w:val="left"/>
      <w:pPr>
        <w:ind w:left="2776" w:hanging="360"/>
      </w:pPr>
      <w:rPr>
        <w:rFonts w:hint="default"/>
      </w:rPr>
    </w:lvl>
    <w:lvl w:ilvl="3">
      <w:start w:val="1"/>
      <w:numFmt w:val="bullet"/>
      <w:lvlText w:val="•"/>
      <w:lvlJc w:val="left"/>
      <w:pPr>
        <w:ind w:left="3694" w:hanging="360"/>
      </w:pPr>
      <w:rPr>
        <w:rFonts w:hint="default"/>
      </w:rPr>
    </w:lvl>
    <w:lvl w:ilvl="4">
      <w:start w:val="1"/>
      <w:numFmt w:val="bullet"/>
      <w:lvlText w:val="•"/>
      <w:lvlJc w:val="left"/>
      <w:pPr>
        <w:ind w:left="4612" w:hanging="360"/>
      </w:pPr>
      <w:rPr>
        <w:rFonts w:hint="default"/>
      </w:rPr>
    </w:lvl>
    <w:lvl w:ilvl="5">
      <w:start w:val="1"/>
      <w:numFmt w:val="bullet"/>
      <w:lvlText w:val="•"/>
      <w:lvlJc w:val="left"/>
      <w:pPr>
        <w:ind w:left="5530" w:hanging="360"/>
      </w:pPr>
      <w:rPr>
        <w:rFonts w:hint="default"/>
      </w:rPr>
    </w:lvl>
    <w:lvl w:ilvl="6">
      <w:start w:val="1"/>
      <w:numFmt w:val="bullet"/>
      <w:lvlText w:val="•"/>
      <w:lvlJc w:val="left"/>
      <w:pPr>
        <w:ind w:left="6448" w:hanging="360"/>
      </w:pPr>
      <w:rPr>
        <w:rFonts w:hint="default"/>
      </w:rPr>
    </w:lvl>
    <w:lvl w:ilvl="7">
      <w:start w:val="1"/>
      <w:numFmt w:val="bullet"/>
      <w:lvlText w:val="•"/>
      <w:lvlJc w:val="left"/>
      <w:pPr>
        <w:ind w:left="7366" w:hanging="360"/>
      </w:pPr>
      <w:rPr>
        <w:rFonts w:hint="default"/>
      </w:rPr>
    </w:lvl>
    <w:lvl w:ilvl="8">
      <w:start w:val="1"/>
      <w:numFmt w:val="bullet"/>
      <w:lvlText w:val="•"/>
      <w:lvlJc w:val="left"/>
      <w:pPr>
        <w:ind w:left="8284" w:hanging="360"/>
      </w:pPr>
      <w:rPr>
        <w:rFonts w:hint="default"/>
      </w:rPr>
    </w:lvl>
  </w:abstractNum>
  <w:abstractNum w:abstractNumId="17">
    <w:multiLevelType w:val="hybridMultilevel"/>
    <w:lvl w:ilvl="0">
      <w:start w:val="1"/>
      <w:numFmt w:val="bullet"/>
      <w:lvlText w:val=""/>
      <w:lvlJc w:val="left"/>
      <w:pPr>
        <w:ind w:left="942" w:hanging="360"/>
      </w:pPr>
      <w:rPr>
        <w:rFonts w:hint="default" w:ascii="Symbol" w:hAnsi="Symbol" w:eastAsia="Symbol" w:cs="Symbol"/>
        <w:w w:val="100"/>
        <w:sz w:val="24"/>
        <w:szCs w:val="24"/>
      </w:rPr>
    </w:lvl>
    <w:lvl w:ilvl="1">
      <w:start w:val="1"/>
      <w:numFmt w:val="bullet"/>
      <w:lvlText w:val="•"/>
      <w:lvlJc w:val="left"/>
      <w:pPr>
        <w:ind w:left="1858" w:hanging="360"/>
      </w:pPr>
      <w:rPr>
        <w:rFonts w:hint="default"/>
      </w:rPr>
    </w:lvl>
    <w:lvl w:ilvl="2">
      <w:start w:val="1"/>
      <w:numFmt w:val="bullet"/>
      <w:lvlText w:val="•"/>
      <w:lvlJc w:val="left"/>
      <w:pPr>
        <w:ind w:left="2776" w:hanging="360"/>
      </w:pPr>
      <w:rPr>
        <w:rFonts w:hint="default"/>
      </w:rPr>
    </w:lvl>
    <w:lvl w:ilvl="3">
      <w:start w:val="1"/>
      <w:numFmt w:val="bullet"/>
      <w:lvlText w:val="•"/>
      <w:lvlJc w:val="left"/>
      <w:pPr>
        <w:ind w:left="3694" w:hanging="360"/>
      </w:pPr>
      <w:rPr>
        <w:rFonts w:hint="default"/>
      </w:rPr>
    </w:lvl>
    <w:lvl w:ilvl="4">
      <w:start w:val="1"/>
      <w:numFmt w:val="bullet"/>
      <w:lvlText w:val="•"/>
      <w:lvlJc w:val="left"/>
      <w:pPr>
        <w:ind w:left="4612" w:hanging="360"/>
      </w:pPr>
      <w:rPr>
        <w:rFonts w:hint="default"/>
      </w:rPr>
    </w:lvl>
    <w:lvl w:ilvl="5">
      <w:start w:val="1"/>
      <w:numFmt w:val="bullet"/>
      <w:lvlText w:val="•"/>
      <w:lvlJc w:val="left"/>
      <w:pPr>
        <w:ind w:left="5530" w:hanging="360"/>
      </w:pPr>
      <w:rPr>
        <w:rFonts w:hint="default"/>
      </w:rPr>
    </w:lvl>
    <w:lvl w:ilvl="6">
      <w:start w:val="1"/>
      <w:numFmt w:val="bullet"/>
      <w:lvlText w:val="•"/>
      <w:lvlJc w:val="left"/>
      <w:pPr>
        <w:ind w:left="6448" w:hanging="360"/>
      </w:pPr>
      <w:rPr>
        <w:rFonts w:hint="default"/>
      </w:rPr>
    </w:lvl>
    <w:lvl w:ilvl="7">
      <w:start w:val="1"/>
      <w:numFmt w:val="bullet"/>
      <w:lvlText w:val="•"/>
      <w:lvlJc w:val="left"/>
      <w:pPr>
        <w:ind w:left="7366" w:hanging="360"/>
      </w:pPr>
      <w:rPr>
        <w:rFonts w:hint="default"/>
      </w:rPr>
    </w:lvl>
    <w:lvl w:ilvl="8">
      <w:start w:val="1"/>
      <w:numFmt w:val="bullet"/>
      <w:lvlText w:val="•"/>
      <w:lvlJc w:val="left"/>
      <w:pPr>
        <w:ind w:left="8284" w:hanging="360"/>
      </w:pPr>
      <w:rPr>
        <w:rFonts w:hint="default"/>
      </w:rPr>
    </w:lvl>
  </w:abstractNum>
  <w:abstractNum w:abstractNumId="16">
    <w:multiLevelType w:val="hybridMultilevel"/>
    <w:lvl w:ilvl="0">
      <w:start w:val="1"/>
      <w:numFmt w:val="bullet"/>
      <w:lvlText w:val=""/>
      <w:lvlJc w:val="left"/>
      <w:pPr>
        <w:ind w:left="962" w:hanging="360"/>
      </w:pPr>
      <w:rPr>
        <w:rFonts w:hint="default" w:ascii="Symbol" w:hAnsi="Symbol" w:eastAsia="Symbol" w:cs="Symbol"/>
        <w:w w:val="100"/>
        <w:sz w:val="24"/>
        <w:szCs w:val="24"/>
      </w:rPr>
    </w:lvl>
    <w:lvl w:ilvl="1">
      <w:start w:val="1"/>
      <w:numFmt w:val="bullet"/>
      <w:lvlText w:val="•"/>
      <w:lvlJc w:val="left"/>
      <w:pPr>
        <w:ind w:left="1782" w:hanging="360"/>
      </w:pPr>
      <w:rPr>
        <w:rFonts w:hint="default"/>
      </w:rPr>
    </w:lvl>
    <w:lvl w:ilvl="2">
      <w:start w:val="1"/>
      <w:numFmt w:val="bullet"/>
      <w:lvlText w:val="•"/>
      <w:lvlJc w:val="left"/>
      <w:pPr>
        <w:ind w:left="2604" w:hanging="360"/>
      </w:pPr>
      <w:rPr>
        <w:rFonts w:hint="default"/>
      </w:rPr>
    </w:lvl>
    <w:lvl w:ilvl="3">
      <w:start w:val="1"/>
      <w:numFmt w:val="bullet"/>
      <w:lvlText w:val="•"/>
      <w:lvlJc w:val="left"/>
      <w:pPr>
        <w:ind w:left="3426" w:hanging="360"/>
      </w:pPr>
      <w:rPr>
        <w:rFonts w:hint="default"/>
      </w:rPr>
    </w:lvl>
    <w:lvl w:ilvl="4">
      <w:start w:val="1"/>
      <w:numFmt w:val="bullet"/>
      <w:lvlText w:val="•"/>
      <w:lvlJc w:val="left"/>
      <w:pPr>
        <w:ind w:left="4248" w:hanging="360"/>
      </w:pPr>
      <w:rPr>
        <w:rFonts w:hint="default"/>
      </w:rPr>
    </w:lvl>
    <w:lvl w:ilvl="5">
      <w:start w:val="1"/>
      <w:numFmt w:val="bullet"/>
      <w:lvlText w:val="•"/>
      <w:lvlJc w:val="left"/>
      <w:pPr>
        <w:ind w:left="5070" w:hanging="360"/>
      </w:pPr>
      <w:rPr>
        <w:rFonts w:hint="default"/>
      </w:rPr>
    </w:lvl>
    <w:lvl w:ilvl="6">
      <w:start w:val="1"/>
      <w:numFmt w:val="bullet"/>
      <w:lvlText w:val="•"/>
      <w:lvlJc w:val="left"/>
      <w:pPr>
        <w:ind w:left="5892" w:hanging="360"/>
      </w:pPr>
      <w:rPr>
        <w:rFonts w:hint="default"/>
      </w:rPr>
    </w:lvl>
    <w:lvl w:ilvl="7">
      <w:start w:val="1"/>
      <w:numFmt w:val="bullet"/>
      <w:lvlText w:val="•"/>
      <w:lvlJc w:val="left"/>
      <w:pPr>
        <w:ind w:left="6714" w:hanging="360"/>
      </w:pPr>
      <w:rPr>
        <w:rFonts w:hint="default"/>
      </w:rPr>
    </w:lvl>
    <w:lvl w:ilvl="8">
      <w:start w:val="1"/>
      <w:numFmt w:val="bullet"/>
      <w:lvlText w:val="•"/>
      <w:lvlJc w:val="left"/>
      <w:pPr>
        <w:ind w:left="7536" w:hanging="360"/>
      </w:pPr>
      <w:rPr>
        <w:rFonts w:hint="default"/>
      </w:rPr>
    </w:lvl>
  </w:abstractNum>
  <w:abstractNum w:abstractNumId="15">
    <w:multiLevelType w:val="hybridMultilevel"/>
    <w:lvl w:ilvl="0">
      <w:start w:val="2"/>
      <w:numFmt w:val="decimal"/>
      <w:lvlText w:val="%1."/>
      <w:lvlJc w:val="left"/>
      <w:pPr>
        <w:ind w:left="2802" w:hanging="315"/>
        <w:jc w:val="right"/>
      </w:pPr>
      <w:rPr>
        <w:rFonts w:hint="default" w:ascii="Arial" w:hAnsi="Arial" w:eastAsia="Arial" w:cs="Arial"/>
        <w:b/>
        <w:bCs/>
        <w:w w:val="100"/>
        <w:sz w:val="28"/>
        <w:szCs w:val="28"/>
      </w:rPr>
    </w:lvl>
    <w:lvl w:ilvl="1">
      <w:start w:val="1"/>
      <w:numFmt w:val="bullet"/>
      <w:lvlText w:val="•"/>
      <w:lvlJc w:val="left"/>
      <w:pPr>
        <w:ind w:left="3426" w:hanging="315"/>
      </w:pPr>
      <w:rPr>
        <w:rFonts w:hint="default"/>
      </w:rPr>
    </w:lvl>
    <w:lvl w:ilvl="2">
      <w:start w:val="1"/>
      <w:numFmt w:val="bullet"/>
      <w:lvlText w:val="•"/>
      <w:lvlJc w:val="left"/>
      <w:pPr>
        <w:ind w:left="4052" w:hanging="315"/>
      </w:pPr>
      <w:rPr>
        <w:rFonts w:hint="default"/>
      </w:rPr>
    </w:lvl>
    <w:lvl w:ilvl="3">
      <w:start w:val="1"/>
      <w:numFmt w:val="bullet"/>
      <w:lvlText w:val="•"/>
      <w:lvlJc w:val="left"/>
      <w:pPr>
        <w:ind w:left="4678" w:hanging="315"/>
      </w:pPr>
      <w:rPr>
        <w:rFonts w:hint="default"/>
      </w:rPr>
    </w:lvl>
    <w:lvl w:ilvl="4">
      <w:start w:val="1"/>
      <w:numFmt w:val="bullet"/>
      <w:lvlText w:val="•"/>
      <w:lvlJc w:val="left"/>
      <w:pPr>
        <w:ind w:left="5304" w:hanging="315"/>
      </w:pPr>
      <w:rPr>
        <w:rFonts w:hint="default"/>
      </w:rPr>
    </w:lvl>
    <w:lvl w:ilvl="5">
      <w:start w:val="1"/>
      <w:numFmt w:val="bullet"/>
      <w:lvlText w:val="•"/>
      <w:lvlJc w:val="left"/>
      <w:pPr>
        <w:ind w:left="5930" w:hanging="315"/>
      </w:pPr>
      <w:rPr>
        <w:rFonts w:hint="default"/>
      </w:rPr>
    </w:lvl>
    <w:lvl w:ilvl="6">
      <w:start w:val="1"/>
      <w:numFmt w:val="bullet"/>
      <w:lvlText w:val="•"/>
      <w:lvlJc w:val="left"/>
      <w:pPr>
        <w:ind w:left="6556" w:hanging="315"/>
      </w:pPr>
      <w:rPr>
        <w:rFonts w:hint="default"/>
      </w:rPr>
    </w:lvl>
    <w:lvl w:ilvl="7">
      <w:start w:val="1"/>
      <w:numFmt w:val="bullet"/>
      <w:lvlText w:val="•"/>
      <w:lvlJc w:val="left"/>
      <w:pPr>
        <w:ind w:left="7182" w:hanging="315"/>
      </w:pPr>
      <w:rPr>
        <w:rFonts w:hint="default"/>
      </w:rPr>
    </w:lvl>
    <w:lvl w:ilvl="8">
      <w:start w:val="1"/>
      <w:numFmt w:val="bullet"/>
      <w:lvlText w:val="•"/>
      <w:lvlJc w:val="left"/>
      <w:pPr>
        <w:ind w:left="7808" w:hanging="315"/>
      </w:pPr>
      <w:rPr>
        <w:rFonts w:hint="default"/>
      </w:rPr>
    </w:lvl>
  </w:abstractNum>
  <w:abstractNum w:abstractNumId="14">
    <w:multiLevelType w:val="hybridMultilevel"/>
    <w:lvl w:ilvl="0">
      <w:start w:val="1"/>
      <w:numFmt w:val="bullet"/>
      <w:lvlText w:val=""/>
      <w:lvlJc w:val="left"/>
      <w:pPr>
        <w:ind w:left="822" w:hanging="360"/>
      </w:pPr>
      <w:rPr>
        <w:rFonts w:hint="default" w:ascii="Symbol" w:hAnsi="Symbol" w:eastAsia="Symbol" w:cs="Symbol"/>
        <w:w w:val="100"/>
        <w:sz w:val="24"/>
        <w:szCs w:val="24"/>
      </w:rPr>
    </w:lvl>
    <w:lvl w:ilvl="1">
      <w:start w:val="1"/>
      <w:numFmt w:val="bullet"/>
      <w:lvlText w:val="•"/>
      <w:lvlJc w:val="left"/>
      <w:pPr>
        <w:ind w:left="1642" w:hanging="360"/>
      </w:pPr>
      <w:rPr>
        <w:rFonts w:hint="default"/>
      </w:rPr>
    </w:lvl>
    <w:lvl w:ilvl="2">
      <w:start w:val="1"/>
      <w:numFmt w:val="bullet"/>
      <w:lvlText w:val="•"/>
      <w:lvlJc w:val="left"/>
      <w:pPr>
        <w:ind w:left="2464" w:hanging="360"/>
      </w:pPr>
      <w:rPr>
        <w:rFonts w:hint="default"/>
      </w:rPr>
    </w:lvl>
    <w:lvl w:ilvl="3">
      <w:start w:val="1"/>
      <w:numFmt w:val="bullet"/>
      <w:lvlText w:val="•"/>
      <w:lvlJc w:val="left"/>
      <w:pPr>
        <w:ind w:left="3286" w:hanging="360"/>
      </w:pPr>
      <w:rPr>
        <w:rFonts w:hint="default"/>
      </w:rPr>
    </w:lvl>
    <w:lvl w:ilvl="4">
      <w:start w:val="1"/>
      <w:numFmt w:val="bullet"/>
      <w:lvlText w:val="•"/>
      <w:lvlJc w:val="left"/>
      <w:pPr>
        <w:ind w:left="4108" w:hanging="360"/>
      </w:pPr>
      <w:rPr>
        <w:rFonts w:hint="default"/>
      </w:rPr>
    </w:lvl>
    <w:lvl w:ilvl="5">
      <w:start w:val="1"/>
      <w:numFmt w:val="bullet"/>
      <w:lvlText w:val="•"/>
      <w:lvlJc w:val="left"/>
      <w:pPr>
        <w:ind w:left="4930" w:hanging="360"/>
      </w:pPr>
      <w:rPr>
        <w:rFonts w:hint="default"/>
      </w:rPr>
    </w:lvl>
    <w:lvl w:ilvl="6">
      <w:start w:val="1"/>
      <w:numFmt w:val="bullet"/>
      <w:lvlText w:val="•"/>
      <w:lvlJc w:val="left"/>
      <w:pPr>
        <w:ind w:left="5752" w:hanging="360"/>
      </w:pPr>
      <w:rPr>
        <w:rFonts w:hint="default"/>
      </w:rPr>
    </w:lvl>
    <w:lvl w:ilvl="7">
      <w:start w:val="1"/>
      <w:numFmt w:val="bullet"/>
      <w:lvlText w:val="•"/>
      <w:lvlJc w:val="left"/>
      <w:pPr>
        <w:ind w:left="6574" w:hanging="360"/>
      </w:pPr>
      <w:rPr>
        <w:rFonts w:hint="default"/>
      </w:rPr>
    </w:lvl>
    <w:lvl w:ilvl="8">
      <w:start w:val="1"/>
      <w:numFmt w:val="bullet"/>
      <w:lvlText w:val="•"/>
      <w:lvlJc w:val="left"/>
      <w:pPr>
        <w:ind w:left="7396" w:hanging="360"/>
      </w:pPr>
      <w:rPr>
        <w:rFonts w:hint="default"/>
      </w:rPr>
    </w:lvl>
  </w:abstractNum>
  <w:abstractNum w:abstractNumId="13">
    <w:multiLevelType w:val="hybridMultilevel"/>
    <w:lvl w:ilvl="0">
      <w:start w:val="1"/>
      <w:numFmt w:val="decimal"/>
      <w:lvlText w:val="%1."/>
      <w:lvlJc w:val="left"/>
      <w:pPr>
        <w:ind w:left="702" w:hanging="360"/>
        <w:jc w:val="right"/>
      </w:pPr>
      <w:rPr>
        <w:rFonts w:hint="default" w:ascii="Arial" w:hAnsi="Arial" w:eastAsia="Arial" w:cs="Arial"/>
        <w:spacing w:val="-4"/>
        <w:w w:val="99"/>
        <w:sz w:val="24"/>
        <w:szCs w:val="24"/>
      </w:rPr>
    </w:lvl>
    <w:lvl w:ilvl="1">
      <w:start w:val="1"/>
      <w:numFmt w:val="bullet"/>
      <w:lvlText w:val=""/>
      <w:lvlJc w:val="left"/>
      <w:pPr>
        <w:ind w:left="891" w:hanging="430"/>
      </w:pPr>
      <w:rPr>
        <w:rFonts w:hint="default" w:ascii="Symbol" w:hAnsi="Symbol" w:eastAsia="Symbol" w:cs="Symbol"/>
        <w:w w:val="100"/>
        <w:sz w:val="24"/>
        <w:szCs w:val="24"/>
      </w:rPr>
    </w:lvl>
    <w:lvl w:ilvl="2">
      <w:start w:val="1"/>
      <w:numFmt w:val="bullet"/>
      <w:lvlText w:val="•"/>
      <w:lvlJc w:val="left"/>
      <w:pPr>
        <w:ind w:left="1804" w:hanging="430"/>
      </w:pPr>
      <w:rPr>
        <w:rFonts w:hint="default"/>
      </w:rPr>
    </w:lvl>
    <w:lvl w:ilvl="3">
      <w:start w:val="1"/>
      <w:numFmt w:val="bullet"/>
      <w:lvlText w:val="•"/>
      <w:lvlJc w:val="left"/>
      <w:pPr>
        <w:ind w:left="2708" w:hanging="430"/>
      </w:pPr>
      <w:rPr>
        <w:rFonts w:hint="default"/>
      </w:rPr>
    </w:lvl>
    <w:lvl w:ilvl="4">
      <w:start w:val="1"/>
      <w:numFmt w:val="bullet"/>
      <w:lvlText w:val="•"/>
      <w:lvlJc w:val="left"/>
      <w:pPr>
        <w:ind w:left="3613" w:hanging="430"/>
      </w:pPr>
      <w:rPr>
        <w:rFonts w:hint="default"/>
      </w:rPr>
    </w:lvl>
    <w:lvl w:ilvl="5">
      <w:start w:val="1"/>
      <w:numFmt w:val="bullet"/>
      <w:lvlText w:val="•"/>
      <w:lvlJc w:val="left"/>
      <w:pPr>
        <w:ind w:left="4517" w:hanging="430"/>
      </w:pPr>
      <w:rPr>
        <w:rFonts w:hint="default"/>
      </w:rPr>
    </w:lvl>
    <w:lvl w:ilvl="6">
      <w:start w:val="1"/>
      <w:numFmt w:val="bullet"/>
      <w:lvlText w:val="•"/>
      <w:lvlJc w:val="left"/>
      <w:pPr>
        <w:ind w:left="5422" w:hanging="430"/>
      </w:pPr>
      <w:rPr>
        <w:rFonts w:hint="default"/>
      </w:rPr>
    </w:lvl>
    <w:lvl w:ilvl="7">
      <w:start w:val="1"/>
      <w:numFmt w:val="bullet"/>
      <w:lvlText w:val="•"/>
      <w:lvlJc w:val="left"/>
      <w:pPr>
        <w:ind w:left="6326" w:hanging="430"/>
      </w:pPr>
      <w:rPr>
        <w:rFonts w:hint="default"/>
      </w:rPr>
    </w:lvl>
    <w:lvl w:ilvl="8">
      <w:start w:val="1"/>
      <w:numFmt w:val="bullet"/>
      <w:lvlText w:val="•"/>
      <w:lvlJc w:val="left"/>
      <w:pPr>
        <w:ind w:left="7231" w:hanging="430"/>
      </w:pPr>
      <w:rPr>
        <w:rFonts w:hint="default"/>
      </w:rPr>
    </w:lvl>
  </w:abstractNum>
  <w:abstractNum w:abstractNumId="12">
    <w:multiLevelType w:val="hybridMultilevel"/>
    <w:lvl w:ilvl="0">
      <w:start w:val="1"/>
      <w:numFmt w:val="bullet"/>
      <w:lvlText w:val="•"/>
      <w:lvlJc w:val="left"/>
      <w:pPr>
        <w:ind w:left="252" w:hanging="151"/>
      </w:pPr>
      <w:rPr>
        <w:rFonts w:hint="default" w:ascii="Arial" w:hAnsi="Arial" w:eastAsia="Arial" w:cs="Arial"/>
        <w:w w:val="99"/>
        <w:sz w:val="24"/>
        <w:szCs w:val="24"/>
      </w:rPr>
    </w:lvl>
    <w:lvl w:ilvl="1">
      <w:start w:val="1"/>
      <w:numFmt w:val="bullet"/>
      <w:lvlText w:val=""/>
      <w:lvlJc w:val="left"/>
      <w:pPr>
        <w:ind w:left="822" w:hanging="360"/>
      </w:pPr>
      <w:rPr>
        <w:rFonts w:hint="default" w:ascii="Symbol" w:hAnsi="Symbol" w:eastAsia="Symbol" w:cs="Symbol"/>
        <w:w w:val="100"/>
        <w:sz w:val="24"/>
        <w:szCs w:val="24"/>
      </w:rPr>
    </w:lvl>
    <w:lvl w:ilvl="2">
      <w:start w:val="1"/>
      <w:numFmt w:val="bullet"/>
      <w:lvlText w:val="•"/>
      <w:lvlJc w:val="left"/>
      <w:pPr>
        <w:ind w:left="1733" w:hanging="360"/>
      </w:pPr>
      <w:rPr>
        <w:rFonts w:hint="default"/>
      </w:rPr>
    </w:lvl>
    <w:lvl w:ilvl="3">
      <w:start w:val="1"/>
      <w:numFmt w:val="bullet"/>
      <w:lvlText w:val="•"/>
      <w:lvlJc w:val="left"/>
      <w:pPr>
        <w:ind w:left="2646" w:hanging="360"/>
      </w:pPr>
      <w:rPr>
        <w:rFonts w:hint="default"/>
      </w:rPr>
    </w:lvl>
    <w:lvl w:ilvl="4">
      <w:start w:val="1"/>
      <w:numFmt w:val="bullet"/>
      <w:lvlText w:val="•"/>
      <w:lvlJc w:val="left"/>
      <w:pPr>
        <w:ind w:left="3560" w:hanging="360"/>
      </w:pPr>
      <w:rPr>
        <w:rFonts w:hint="default"/>
      </w:rPr>
    </w:lvl>
    <w:lvl w:ilvl="5">
      <w:start w:val="1"/>
      <w:numFmt w:val="bullet"/>
      <w:lvlText w:val="•"/>
      <w:lvlJc w:val="left"/>
      <w:pPr>
        <w:ind w:left="4473" w:hanging="360"/>
      </w:pPr>
      <w:rPr>
        <w:rFonts w:hint="default"/>
      </w:rPr>
    </w:lvl>
    <w:lvl w:ilvl="6">
      <w:start w:val="1"/>
      <w:numFmt w:val="bullet"/>
      <w:lvlText w:val="•"/>
      <w:lvlJc w:val="left"/>
      <w:pPr>
        <w:ind w:left="5386" w:hanging="360"/>
      </w:pPr>
      <w:rPr>
        <w:rFonts w:hint="default"/>
      </w:rPr>
    </w:lvl>
    <w:lvl w:ilvl="7">
      <w:start w:val="1"/>
      <w:numFmt w:val="bullet"/>
      <w:lvlText w:val="•"/>
      <w:lvlJc w:val="left"/>
      <w:pPr>
        <w:ind w:left="6300" w:hanging="360"/>
      </w:pPr>
      <w:rPr>
        <w:rFonts w:hint="default"/>
      </w:rPr>
    </w:lvl>
    <w:lvl w:ilvl="8">
      <w:start w:val="1"/>
      <w:numFmt w:val="bullet"/>
      <w:lvlText w:val="•"/>
      <w:lvlJc w:val="left"/>
      <w:pPr>
        <w:ind w:left="7213" w:hanging="360"/>
      </w:pPr>
      <w:rPr>
        <w:rFonts w:hint="default"/>
      </w:rPr>
    </w:lvl>
  </w:abstractNum>
  <w:abstractNum w:abstractNumId="11">
    <w:multiLevelType w:val="hybridMultilevel"/>
    <w:lvl w:ilvl="0">
      <w:start w:val="1"/>
      <w:numFmt w:val="decimal"/>
      <w:lvlText w:val="%1"/>
      <w:lvlJc w:val="left"/>
      <w:pPr>
        <w:ind w:left="102" w:hanging="603"/>
        <w:jc w:val="left"/>
      </w:pPr>
      <w:rPr>
        <w:rFonts w:hint="default"/>
      </w:rPr>
    </w:lvl>
    <w:lvl w:ilvl="1">
      <w:start w:val="3"/>
      <w:numFmt w:val="decimal"/>
      <w:lvlText w:val="%1.%2"/>
      <w:lvlJc w:val="left"/>
      <w:pPr>
        <w:ind w:left="102" w:hanging="603"/>
        <w:jc w:val="right"/>
      </w:pPr>
      <w:rPr>
        <w:rFonts w:hint="default"/>
      </w:rPr>
    </w:lvl>
    <w:lvl w:ilvl="2">
      <w:start w:val="1"/>
      <w:numFmt w:val="decimal"/>
      <w:lvlText w:val="%1.%2.%3"/>
      <w:lvlJc w:val="left"/>
      <w:pPr>
        <w:ind w:left="102" w:hanging="603"/>
        <w:jc w:val="right"/>
      </w:pPr>
      <w:rPr>
        <w:rFonts w:hint="default" w:ascii="Arial" w:hAnsi="Arial" w:eastAsia="Arial" w:cs="Arial"/>
        <w:b/>
        <w:bCs/>
        <w:spacing w:val="-2"/>
        <w:w w:val="99"/>
        <w:sz w:val="24"/>
        <w:szCs w:val="24"/>
      </w:rPr>
    </w:lvl>
    <w:lvl w:ilvl="3">
      <w:start w:val="1"/>
      <w:numFmt w:val="bullet"/>
      <w:lvlText w:val=""/>
      <w:lvlJc w:val="left"/>
      <w:pPr>
        <w:ind w:left="582" w:hanging="360"/>
      </w:pPr>
      <w:rPr>
        <w:rFonts w:hint="default" w:ascii="Symbol" w:hAnsi="Symbol" w:eastAsia="Symbol" w:cs="Symbol"/>
        <w:w w:val="100"/>
        <w:sz w:val="24"/>
        <w:szCs w:val="24"/>
      </w:rPr>
    </w:lvl>
    <w:lvl w:ilvl="4">
      <w:start w:val="1"/>
      <w:numFmt w:val="bullet"/>
      <w:lvlText w:val="•"/>
      <w:lvlJc w:val="left"/>
      <w:pPr>
        <w:ind w:left="3400" w:hanging="360"/>
      </w:pPr>
      <w:rPr>
        <w:rFonts w:hint="default"/>
      </w:rPr>
    </w:lvl>
    <w:lvl w:ilvl="5">
      <w:start w:val="1"/>
      <w:numFmt w:val="bullet"/>
      <w:lvlText w:val="•"/>
      <w:lvlJc w:val="left"/>
      <w:pPr>
        <w:ind w:left="4340" w:hanging="360"/>
      </w:pPr>
      <w:rPr>
        <w:rFonts w:hint="default"/>
      </w:rPr>
    </w:lvl>
    <w:lvl w:ilvl="6">
      <w:start w:val="1"/>
      <w:numFmt w:val="bullet"/>
      <w:lvlText w:val="•"/>
      <w:lvlJc w:val="left"/>
      <w:pPr>
        <w:ind w:left="5280" w:hanging="360"/>
      </w:pPr>
      <w:rPr>
        <w:rFonts w:hint="default"/>
      </w:rPr>
    </w:lvl>
    <w:lvl w:ilvl="7">
      <w:start w:val="1"/>
      <w:numFmt w:val="bullet"/>
      <w:lvlText w:val="•"/>
      <w:lvlJc w:val="left"/>
      <w:pPr>
        <w:ind w:left="6220" w:hanging="360"/>
      </w:pPr>
      <w:rPr>
        <w:rFonts w:hint="default"/>
      </w:rPr>
    </w:lvl>
    <w:lvl w:ilvl="8">
      <w:start w:val="1"/>
      <w:numFmt w:val="bullet"/>
      <w:lvlText w:val="•"/>
      <w:lvlJc w:val="left"/>
      <w:pPr>
        <w:ind w:left="7160" w:hanging="360"/>
      </w:pPr>
      <w:rPr>
        <w:rFonts w:hint="default"/>
      </w:rPr>
    </w:lvl>
  </w:abstractNum>
  <w:abstractNum w:abstractNumId="10">
    <w:multiLevelType w:val="hybridMultilevel"/>
    <w:lvl w:ilvl="0">
      <w:start w:val="1"/>
      <w:numFmt w:val="decimal"/>
      <w:lvlText w:val="%1."/>
      <w:lvlJc w:val="left"/>
      <w:pPr>
        <w:ind w:left="802" w:hanging="360"/>
        <w:jc w:val="left"/>
      </w:pPr>
      <w:rPr>
        <w:rFonts w:hint="default" w:ascii="Arial" w:hAnsi="Arial" w:eastAsia="Arial" w:cs="Arial"/>
        <w:spacing w:val="-3"/>
        <w:w w:val="99"/>
        <w:sz w:val="24"/>
        <w:szCs w:val="24"/>
      </w:rPr>
    </w:lvl>
    <w:lvl w:ilvl="1">
      <w:start w:val="1"/>
      <w:numFmt w:val="bullet"/>
      <w:lvlText w:val="•"/>
      <w:lvlJc w:val="left"/>
      <w:pPr>
        <w:ind w:left="1620" w:hanging="360"/>
      </w:pPr>
      <w:rPr>
        <w:rFonts w:hint="default"/>
      </w:rPr>
    </w:lvl>
    <w:lvl w:ilvl="2">
      <w:start w:val="1"/>
      <w:numFmt w:val="bullet"/>
      <w:lvlText w:val="•"/>
      <w:lvlJc w:val="left"/>
      <w:pPr>
        <w:ind w:left="2440" w:hanging="360"/>
      </w:pPr>
      <w:rPr>
        <w:rFonts w:hint="default"/>
      </w:rPr>
    </w:lvl>
    <w:lvl w:ilvl="3">
      <w:start w:val="1"/>
      <w:numFmt w:val="bullet"/>
      <w:lvlText w:val="•"/>
      <w:lvlJc w:val="left"/>
      <w:pPr>
        <w:ind w:left="3260" w:hanging="360"/>
      </w:pPr>
      <w:rPr>
        <w:rFonts w:hint="default"/>
      </w:rPr>
    </w:lvl>
    <w:lvl w:ilvl="4">
      <w:start w:val="1"/>
      <w:numFmt w:val="bullet"/>
      <w:lvlText w:val="•"/>
      <w:lvlJc w:val="left"/>
      <w:pPr>
        <w:ind w:left="4080" w:hanging="360"/>
      </w:pPr>
      <w:rPr>
        <w:rFonts w:hint="default"/>
      </w:rPr>
    </w:lvl>
    <w:lvl w:ilvl="5">
      <w:start w:val="1"/>
      <w:numFmt w:val="bullet"/>
      <w:lvlText w:val="•"/>
      <w:lvlJc w:val="left"/>
      <w:pPr>
        <w:ind w:left="4900" w:hanging="360"/>
      </w:pPr>
      <w:rPr>
        <w:rFonts w:hint="default"/>
      </w:rPr>
    </w:lvl>
    <w:lvl w:ilvl="6">
      <w:start w:val="1"/>
      <w:numFmt w:val="bullet"/>
      <w:lvlText w:val="•"/>
      <w:lvlJc w:val="left"/>
      <w:pPr>
        <w:ind w:left="5720" w:hanging="360"/>
      </w:pPr>
      <w:rPr>
        <w:rFonts w:hint="default"/>
      </w:rPr>
    </w:lvl>
    <w:lvl w:ilvl="7">
      <w:start w:val="1"/>
      <w:numFmt w:val="bullet"/>
      <w:lvlText w:val="•"/>
      <w:lvlJc w:val="left"/>
      <w:pPr>
        <w:ind w:left="6540" w:hanging="360"/>
      </w:pPr>
      <w:rPr>
        <w:rFonts w:hint="default"/>
      </w:rPr>
    </w:lvl>
    <w:lvl w:ilvl="8">
      <w:start w:val="1"/>
      <w:numFmt w:val="bullet"/>
      <w:lvlText w:val="•"/>
      <w:lvlJc w:val="left"/>
      <w:pPr>
        <w:ind w:left="7360" w:hanging="360"/>
      </w:pPr>
      <w:rPr>
        <w:rFonts w:hint="default"/>
      </w:rPr>
    </w:lvl>
  </w:abstractNum>
  <w:abstractNum w:abstractNumId="9">
    <w:multiLevelType w:val="hybridMultilevel"/>
    <w:lvl w:ilvl="0">
      <w:start w:val="1"/>
      <w:numFmt w:val="bullet"/>
      <w:lvlText w:val="-"/>
      <w:lvlJc w:val="left"/>
      <w:pPr>
        <w:ind w:left="383" w:hanging="360"/>
      </w:pPr>
      <w:rPr>
        <w:rFonts w:hint="default"/>
        <w:spacing w:val="-3"/>
        <w:w w:val="99"/>
      </w:rPr>
    </w:lvl>
    <w:lvl w:ilvl="1">
      <w:start w:val="1"/>
      <w:numFmt w:val="bullet"/>
      <w:lvlText w:val="-"/>
      <w:lvlJc w:val="left"/>
      <w:pPr>
        <w:ind w:left="465" w:hanging="284"/>
      </w:pPr>
      <w:rPr>
        <w:rFonts w:hint="default"/>
        <w:spacing w:val="-4"/>
        <w:w w:val="99"/>
      </w:rPr>
    </w:lvl>
    <w:lvl w:ilvl="2">
      <w:start w:val="1"/>
      <w:numFmt w:val="bullet"/>
      <w:lvlText w:val=""/>
      <w:lvlJc w:val="left"/>
      <w:pPr>
        <w:ind w:left="822" w:hanging="284"/>
      </w:pPr>
      <w:rPr>
        <w:rFonts w:hint="default" w:ascii="Symbol" w:hAnsi="Symbol" w:eastAsia="Symbol" w:cs="Symbol"/>
        <w:w w:val="100"/>
        <w:sz w:val="24"/>
        <w:szCs w:val="24"/>
      </w:rPr>
    </w:lvl>
    <w:lvl w:ilvl="3">
      <w:start w:val="1"/>
      <w:numFmt w:val="bullet"/>
      <w:lvlText w:val=""/>
      <w:lvlJc w:val="left"/>
      <w:pPr>
        <w:ind w:left="962" w:hanging="284"/>
      </w:pPr>
      <w:rPr>
        <w:rFonts w:hint="default"/>
        <w:w w:val="100"/>
      </w:rPr>
    </w:lvl>
    <w:lvl w:ilvl="4">
      <w:start w:val="1"/>
      <w:numFmt w:val="bullet"/>
      <w:lvlText w:val="•"/>
      <w:lvlJc w:val="left"/>
      <w:pPr>
        <w:ind w:left="940" w:hanging="284"/>
      </w:pPr>
      <w:rPr>
        <w:rFonts w:hint="default"/>
      </w:rPr>
    </w:lvl>
    <w:lvl w:ilvl="5">
      <w:start w:val="1"/>
      <w:numFmt w:val="bullet"/>
      <w:lvlText w:val="•"/>
      <w:lvlJc w:val="left"/>
      <w:pPr>
        <w:ind w:left="960" w:hanging="284"/>
      </w:pPr>
      <w:rPr>
        <w:rFonts w:hint="default"/>
      </w:rPr>
    </w:lvl>
    <w:lvl w:ilvl="6">
      <w:start w:val="1"/>
      <w:numFmt w:val="bullet"/>
      <w:lvlText w:val="•"/>
      <w:lvlJc w:val="left"/>
      <w:pPr>
        <w:ind w:left="2568" w:hanging="284"/>
      </w:pPr>
      <w:rPr>
        <w:rFonts w:hint="default"/>
      </w:rPr>
    </w:lvl>
    <w:lvl w:ilvl="7">
      <w:start w:val="1"/>
      <w:numFmt w:val="bullet"/>
      <w:lvlText w:val="•"/>
      <w:lvlJc w:val="left"/>
      <w:pPr>
        <w:ind w:left="4176" w:hanging="284"/>
      </w:pPr>
      <w:rPr>
        <w:rFonts w:hint="default"/>
      </w:rPr>
    </w:lvl>
    <w:lvl w:ilvl="8">
      <w:start w:val="1"/>
      <w:numFmt w:val="bullet"/>
      <w:lvlText w:val="•"/>
      <w:lvlJc w:val="left"/>
      <w:pPr>
        <w:ind w:left="5784" w:hanging="284"/>
      </w:pPr>
      <w:rPr>
        <w:rFonts w:hint="default"/>
      </w:rPr>
    </w:lvl>
  </w:abstractNum>
  <w:abstractNum w:abstractNumId="8">
    <w:multiLevelType w:val="hybridMultilevel"/>
    <w:lvl w:ilvl="0">
      <w:start w:val="1"/>
      <w:numFmt w:val="decimal"/>
      <w:lvlText w:val="%1."/>
      <w:lvlJc w:val="left"/>
      <w:pPr>
        <w:ind w:left="822" w:hanging="360"/>
        <w:jc w:val="left"/>
      </w:pPr>
      <w:rPr>
        <w:rFonts w:hint="default" w:ascii="Arial" w:hAnsi="Arial" w:eastAsia="Arial" w:cs="Arial"/>
        <w:spacing w:val="-5"/>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7">
    <w:multiLevelType w:val="hybridMultilevel"/>
    <w:lvl w:ilvl="0">
      <w:start w:val="1"/>
      <w:numFmt w:val="bullet"/>
      <w:lvlText w:val=""/>
      <w:lvlJc w:val="left"/>
      <w:pPr>
        <w:ind w:left="529" w:hanging="360"/>
      </w:pPr>
      <w:rPr>
        <w:rFonts w:hint="default" w:ascii="Symbol" w:hAnsi="Symbol" w:eastAsia="Symbol" w:cs="Symbol"/>
        <w:w w:val="100"/>
        <w:sz w:val="24"/>
        <w:szCs w:val="24"/>
      </w:rPr>
    </w:lvl>
    <w:lvl w:ilvl="1">
      <w:start w:val="1"/>
      <w:numFmt w:val="bullet"/>
      <w:lvlText w:val="•"/>
      <w:lvlJc w:val="left"/>
      <w:pPr>
        <w:ind w:left="1372" w:hanging="360"/>
      </w:pPr>
      <w:rPr>
        <w:rFonts w:hint="default"/>
      </w:rPr>
    </w:lvl>
    <w:lvl w:ilvl="2">
      <w:start w:val="1"/>
      <w:numFmt w:val="bullet"/>
      <w:lvlText w:val="•"/>
      <w:lvlJc w:val="left"/>
      <w:pPr>
        <w:ind w:left="2224" w:hanging="360"/>
      </w:pPr>
      <w:rPr>
        <w:rFonts w:hint="default"/>
      </w:rPr>
    </w:lvl>
    <w:lvl w:ilvl="3">
      <w:start w:val="1"/>
      <w:numFmt w:val="bullet"/>
      <w:lvlText w:val="•"/>
      <w:lvlJc w:val="left"/>
      <w:pPr>
        <w:ind w:left="3076" w:hanging="360"/>
      </w:pPr>
      <w:rPr>
        <w:rFonts w:hint="default"/>
      </w:rPr>
    </w:lvl>
    <w:lvl w:ilvl="4">
      <w:start w:val="1"/>
      <w:numFmt w:val="bullet"/>
      <w:lvlText w:val="•"/>
      <w:lvlJc w:val="left"/>
      <w:pPr>
        <w:ind w:left="3928" w:hanging="360"/>
      </w:pPr>
      <w:rPr>
        <w:rFonts w:hint="default"/>
      </w:rPr>
    </w:lvl>
    <w:lvl w:ilvl="5">
      <w:start w:val="1"/>
      <w:numFmt w:val="bullet"/>
      <w:lvlText w:val="•"/>
      <w:lvlJc w:val="left"/>
      <w:pPr>
        <w:ind w:left="4780" w:hanging="360"/>
      </w:pPr>
      <w:rPr>
        <w:rFonts w:hint="default"/>
      </w:rPr>
    </w:lvl>
    <w:lvl w:ilvl="6">
      <w:start w:val="1"/>
      <w:numFmt w:val="bullet"/>
      <w:lvlText w:val="•"/>
      <w:lvlJc w:val="left"/>
      <w:pPr>
        <w:ind w:left="5632" w:hanging="360"/>
      </w:pPr>
      <w:rPr>
        <w:rFonts w:hint="default"/>
      </w:rPr>
    </w:lvl>
    <w:lvl w:ilvl="7">
      <w:start w:val="1"/>
      <w:numFmt w:val="bullet"/>
      <w:lvlText w:val="•"/>
      <w:lvlJc w:val="left"/>
      <w:pPr>
        <w:ind w:left="6484" w:hanging="360"/>
      </w:pPr>
      <w:rPr>
        <w:rFonts w:hint="default"/>
      </w:rPr>
    </w:lvl>
    <w:lvl w:ilvl="8">
      <w:start w:val="1"/>
      <w:numFmt w:val="bullet"/>
      <w:lvlText w:val="•"/>
      <w:lvlJc w:val="left"/>
      <w:pPr>
        <w:ind w:left="7336" w:hanging="360"/>
      </w:pPr>
      <w:rPr>
        <w:rFonts w:hint="default"/>
      </w:rPr>
    </w:lvl>
  </w:abstractNum>
  <w:abstractNum w:abstractNumId="6">
    <w:multiLevelType w:val="hybridMultilevel"/>
    <w:lvl w:ilvl="0">
      <w:start w:val="1"/>
      <w:numFmt w:val="decimal"/>
      <w:lvlText w:val="%1."/>
      <w:lvlJc w:val="left"/>
      <w:pPr>
        <w:ind w:left="102" w:hanging="312"/>
        <w:jc w:val="left"/>
      </w:pPr>
      <w:rPr>
        <w:rFonts w:hint="default" w:ascii="Arial" w:hAnsi="Arial" w:eastAsia="Arial" w:cs="Arial"/>
        <w:w w:val="99"/>
        <w:sz w:val="24"/>
        <w:szCs w:val="24"/>
      </w:rPr>
    </w:lvl>
    <w:lvl w:ilvl="1">
      <w:start w:val="1"/>
      <w:numFmt w:val="bullet"/>
      <w:lvlText w:val="•"/>
      <w:lvlJc w:val="left"/>
      <w:pPr>
        <w:ind w:left="994" w:hanging="312"/>
      </w:pPr>
      <w:rPr>
        <w:rFonts w:hint="default"/>
      </w:rPr>
    </w:lvl>
    <w:lvl w:ilvl="2">
      <w:start w:val="1"/>
      <w:numFmt w:val="bullet"/>
      <w:lvlText w:val="•"/>
      <w:lvlJc w:val="left"/>
      <w:pPr>
        <w:ind w:left="1888" w:hanging="312"/>
      </w:pPr>
      <w:rPr>
        <w:rFonts w:hint="default"/>
      </w:rPr>
    </w:lvl>
    <w:lvl w:ilvl="3">
      <w:start w:val="1"/>
      <w:numFmt w:val="bullet"/>
      <w:lvlText w:val="•"/>
      <w:lvlJc w:val="left"/>
      <w:pPr>
        <w:ind w:left="2782" w:hanging="312"/>
      </w:pPr>
      <w:rPr>
        <w:rFonts w:hint="default"/>
      </w:rPr>
    </w:lvl>
    <w:lvl w:ilvl="4">
      <w:start w:val="1"/>
      <w:numFmt w:val="bullet"/>
      <w:lvlText w:val="•"/>
      <w:lvlJc w:val="left"/>
      <w:pPr>
        <w:ind w:left="3676" w:hanging="312"/>
      </w:pPr>
      <w:rPr>
        <w:rFonts w:hint="default"/>
      </w:rPr>
    </w:lvl>
    <w:lvl w:ilvl="5">
      <w:start w:val="1"/>
      <w:numFmt w:val="bullet"/>
      <w:lvlText w:val="•"/>
      <w:lvlJc w:val="left"/>
      <w:pPr>
        <w:ind w:left="4570" w:hanging="312"/>
      </w:pPr>
      <w:rPr>
        <w:rFonts w:hint="default"/>
      </w:rPr>
    </w:lvl>
    <w:lvl w:ilvl="6">
      <w:start w:val="1"/>
      <w:numFmt w:val="bullet"/>
      <w:lvlText w:val="•"/>
      <w:lvlJc w:val="left"/>
      <w:pPr>
        <w:ind w:left="5464" w:hanging="312"/>
      </w:pPr>
      <w:rPr>
        <w:rFonts w:hint="default"/>
      </w:rPr>
    </w:lvl>
    <w:lvl w:ilvl="7">
      <w:start w:val="1"/>
      <w:numFmt w:val="bullet"/>
      <w:lvlText w:val="•"/>
      <w:lvlJc w:val="left"/>
      <w:pPr>
        <w:ind w:left="6358" w:hanging="312"/>
      </w:pPr>
      <w:rPr>
        <w:rFonts w:hint="default"/>
      </w:rPr>
    </w:lvl>
    <w:lvl w:ilvl="8">
      <w:start w:val="1"/>
      <w:numFmt w:val="bullet"/>
      <w:lvlText w:val="•"/>
      <w:lvlJc w:val="left"/>
      <w:pPr>
        <w:ind w:left="7252" w:hanging="312"/>
      </w:pPr>
      <w:rPr>
        <w:rFonts w:hint="default"/>
      </w:rPr>
    </w:lvl>
  </w:abstractNum>
  <w:abstractNum w:abstractNumId="5">
    <w:multiLevelType w:val="hybridMultilevel"/>
    <w:lvl w:ilvl="0">
      <w:start w:val="1"/>
      <w:numFmt w:val="decimal"/>
      <w:lvlText w:val="%1"/>
      <w:lvlJc w:val="left"/>
      <w:pPr>
        <w:ind w:left="703" w:hanging="602"/>
        <w:jc w:val="left"/>
      </w:pPr>
      <w:rPr>
        <w:rFonts w:hint="default"/>
      </w:rPr>
    </w:lvl>
    <w:lvl w:ilvl="1">
      <w:start w:val="2"/>
      <w:numFmt w:val="decimal"/>
      <w:lvlText w:val="%1.%2"/>
      <w:lvlJc w:val="left"/>
      <w:pPr>
        <w:ind w:left="703" w:hanging="602"/>
        <w:jc w:val="left"/>
      </w:pPr>
      <w:rPr>
        <w:rFonts w:hint="default"/>
      </w:rPr>
    </w:lvl>
    <w:lvl w:ilvl="2">
      <w:start w:val="1"/>
      <w:numFmt w:val="decimal"/>
      <w:lvlText w:val="%1.%2.%3"/>
      <w:lvlJc w:val="left"/>
      <w:pPr>
        <w:ind w:left="703" w:hanging="602"/>
        <w:jc w:val="left"/>
      </w:pPr>
      <w:rPr>
        <w:rFonts w:hint="default" w:ascii="Arial" w:hAnsi="Arial" w:eastAsia="Arial" w:cs="Arial"/>
        <w:b/>
        <w:bCs/>
        <w:spacing w:val="-2"/>
        <w:w w:val="99"/>
        <w:sz w:val="24"/>
        <w:szCs w:val="24"/>
      </w:rPr>
    </w:lvl>
    <w:lvl w:ilvl="3">
      <w:start w:val="1"/>
      <w:numFmt w:val="bullet"/>
      <w:lvlText w:val="•"/>
      <w:lvlJc w:val="left"/>
      <w:pPr>
        <w:ind w:left="3202" w:hanging="602"/>
      </w:pPr>
      <w:rPr>
        <w:rFonts w:hint="default"/>
      </w:rPr>
    </w:lvl>
    <w:lvl w:ilvl="4">
      <w:start w:val="1"/>
      <w:numFmt w:val="bullet"/>
      <w:lvlText w:val="•"/>
      <w:lvlJc w:val="left"/>
      <w:pPr>
        <w:ind w:left="4036" w:hanging="602"/>
      </w:pPr>
      <w:rPr>
        <w:rFonts w:hint="default"/>
      </w:rPr>
    </w:lvl>
    <w:lvl w:ilvl="5">
      <w:start w:val="1"/>
      <w:numFmt w:val="bullet"/>
      <w:lvlText w:val="•"/>
      <w:lvlJc w:val="left"/>
      <w:pPr>
        <w:ind w:left="4870" w:hanging="602"/>
      </w:pPr>
      <w:rPr>
        <w:rFonts w:hint="default"/>
      </w:rPr>
    </w:lvl>
    <w:lvl w:ilvl="6">
      <w:start w:val="1"/>
      <w:numFmt w:val="bullet"/>
      <w:lvlText w:val="•"/>
      <w:lvlJc w:val="left"/>
      <w:pPr>
        <w:ind w:left="5704" w:hanging="602"/>
      </w:pPr>
      <w:rPr>
        <w:rFonts w:hint="default"/>
      </w:rPr>
    </w:lvl>
    <w:lvl w:ilvl="7">
      <w:start w:val="1"/>
      <w:numFmt w:val="bullet"/>
      <w:lvlText w:val="•"/>
      <w:lvlJc w:val="left"/>
      <w:pPr>
        <w:ind w:left="6538" w:hanging="602"/>
      </w:pPr>
      <w:rPr>
        <w:rFonts w:hint="default"/>
      </w:rPr>
    </w:lvl>
    <w:lvl w:ilvl="8">
      <w:start w:val="1"/>
      <w:numFmt w:val="bullet"/>
      <w:lvlText w:val="•"/>
      <w:lvlJc w:val="left"/>
      <w:pPr>
        <w:ind w:left="7372" w:hanging="602"/>
      </w:pPr>
      <w:rPr>
        <w:rFonts w:hint="default"/>
      </w:rPr>
    </w:lvl>
  </w:abstractNum>
  <w:abstractNum w:abstractNumId="4">
    <w:multiLevelType w:val="hybridMultilevel"/>
    <w:lvl w:ilvl="0">
      <w:start w:val="1"/>
      <w:numFmt w:val="bullet"/>
      <w:lvlText w:val=""/>
      <w:lvlJc w:val="left"/>
      <w:pPr>
        <w:ind w:left="465" w:hanging="360"/>
      </w:pPr>
      <w:rPr>
        <w:rFonts w:hint="default"/>
        <w:w w:val="100"/>
      </w:rPr>
    </w:lvl>
    <w:lvl w:ilvl="1">
      <w:start w:val="1"/>
      <w:numFmt w:val="bullet"/>
      <w:lvlText w:val="•"/>
      <w:lvlJc w:val="left"/>
      <w:pPr>
        <w:ind w:left="1326" w:hanging="360"/>
      </w:pPr>
      <w:rPr>
        <w:rFonts w:hint="default"/>
      </w:rPr>
    </w:lvl>
    <w:lvl w:ilvl="2">
      <w:start w:val="1"/>
      <w:numFmt w:val="bullet"/>
      <w:lvlText w:val="•"/>
      <w:lvlJc w:val="left"/>
      <w:pPr>
        <w:ind w:left="2192" w:hanging="360"/>
      </w:pPr>
      <w:rPr>
        <w:rFonts w:hint="default"/>
      </w:rPr>
    </w:lvl>
    <w:lvl w:ilvl="3">
      <w:start w:val="1"/>
      <w:numFmt w:val="bullet"/>
      <w:lvlText w:val="•"/>
      <w:lvlJc w:val="left"/>
      <w:pPr>
        <w:ind w:left="3058" w:hanging="360"/>
      </w:pPr>
      <w:rPr>
        <w:rFonts w:hint="default"/>
      </w:rPr>
    </w:lvl>
    <w:lvl w:ilvl="4">
      <w:start w:val="1"/>
      <w:numFmt w:val="bullet"/>
      <w:lvlText w:val="•"/>
      <w:lvlJc w:val="left"/>
      <w:pPr>
        <w:ind w:left="3924" w:hanging="360"/>
      </w:pPr>
      <w:rPr>
        <w:rFonts w:hint="default"/>
      </w:rPr>
    </w:lvl>
    <w:lvl w:ilvl="5">
      <w:start w:val="1"/>
      <w:numFmt w:val="bullet"/>
      <w:lvlText w:val="•"/>
      <w:lvlJc w:val="left"/>
      <w:pPr>
        <w:ind w:left="4790" w:hanging="360"/>
      </w:pPr>
      <w:rPr>
        <w:rFonts w:hint="default"/>
      </w:rPr>
    </w:lvl>
    <w:lvl w:ilvl="6">
      <w:start w:val="1"/>
      <w:numFmt w:val="bullet"/>
      <w:lvlText w:val="•"/>
      <w:lvlJc w:val="left"/>
      <w:pPr>
        <w:ind w:left="5656" w:hanging="360"/>
      </w:pPr>
      <w:rPr>
        <w:rFonts w:hint="default"/>
      </w:rPr>
    </w:lvl>
    <w:lvl w:ilvl="7">
      <w:start w:val="1"/>
      <w:numFmt w:val="bullet"/>
      <w:lvlText w:val="•"/>
      <w:lvlJc w:val="left"/>
      <w:pPr>
        <w:ind w:left="6522" w:hanging="360"/>
      </w:pPr>
      <w:rPr>
        <w:rFonts w:hint="default"/>
      </w:rPr>
    </w:lvl>
    <w:lvl w:ilvl="8">
      <w:start w:val="1"/>
      <w:numFmt w:val="bullet"/>
      <w:lvlText w:val="•"/>
      <w:lvlJc w:val="left"/>
      <w:pPr>
        <w:ind w:left="7388" w:hanging="360"/>
      </w:pPr>
      <w:rPr>
        <w:rFonts w:hint="default"/>
      </w:rPr>
    </w:lvl>
  </w:abstractNum>
  <w:abstractNum w:abstractNumId="3">
    <w:multiLevelType w:val="hybridMultilevel"/>
    <w:lvl w:ilvl="0">
      <w:start w:val="1"/>
      <w:numFmt w:val="lowerLetter"/>
      <w:lvlText w:val="%1)"/>
      <w:lvlJc w:val="left"/>
      <w:pPr>
        <w:ind w:left="382" w:hanging="281"/>
        <w:jc w:val="right"/>
      </w:pPr>
      <w:rPr>
        <w:rFonts w:hint="default" w:ascii="Arial" w:hAnsi="Arial" w:eastAsia="Arial" w:cs="Arial"/>
        <w:b/>
        <w:bCs/>
        <w:w w:val="99"/>
        <w:sz w:val="24"/>
        <w:szCs w:val="24"/>
      </w:rPr>
    </w:lvl>
    <w:lvl w:ilvl="1">
      <w:start w:val="1"/>
      <w:numFmt w:val="bullet"/>
      <w:lvlText w:val=""/>
      <w:lvlJc w:val="left"/>
      <w:pPr>
        <w:ind w:left="822" w:hanging="360"/>
      </w:pPr>
      <w:rPr>
        <w:rFonts w:hint="default"/>
        <w:w w:val="100"/>
      </w:rPr>
    </w:lvl>
    <w:lvl w:ilvl="2">
      <w:start w:val="1"/>
      <w:numFmt w:val="bullet"/>
      <w:lvlText w:val="•"/>
      <w:lvlJc w:val="left"/>
      <w:pPr>
        <w:ind w:left="1735" w:hanging="360"/>
      </w:pPr>
      <w:rPr>
        <w:rFonts w:hint="default"/>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2">
    <w:multiLevelType w:val="hybridMultilevel"/>
    <w:lvl w:ilvl="0">
      <w:start w:val="1"/>
      <w:numFmt w:val="decimal"/>
      <w:lvlText w:val="%1"/>
      <w:lvlJc w:val="left"/>
      <w:pPr>
        <w:ind w:left="706" w:hanging="605"/>
        <w:jc w:val="left"/>
      </w:pPr>
      <w:rPr>
        <w:rFonts w:hint="default"/>
      </w:rPr>
    </w:lvl>
    <w:lvl w:ilvl="1">
      <w:start w:val="1"/>
      <w:numFmt w:val="decimal"/>
      <w:lvlText w:val="%1.%2"/>
      <w:lvlJc w:val="left"/>
      <w:pPr>
        <w:ind w:left="706" w:hanging="605"/>
        <w:jc w:val="left"/>
      </w:pPr>
      <w:rPr>
        <w:rFonts w:hint="default"/>
      </w:rPr>
    </w:lvl>
    <w:lvl w:ilvl="2">
      <w:start w:val="1"/>
      <w:numFmt w:val="decimal"/>
      <w:lvlText w:val="%1.%2.%3"/>
      <w:lvlJc w:val="left"/>
      <w:pPr>
        <w:ind w:left="706" w:hanging="605"/>
        <w:jc w:val="right"/>
      </w:pPr>
      <w:rPr>
        <w:rFonts w:hint="default" w:ascii="Arial" w:hAnsi="Arial" w:eastAsia="Arial" w:cs="Arial"/>
        <w:b/>
        <w:bCs/>
        <w:spacing w:val="-2"/>
        <w:w w:val="99"/>
        <w:sz w:val="24"/>
        <w:szCs w:val="24"/>
      </w:rPr>
    </w:lvl>
    <w:lvl w:ilvl="3">
      <w:start w:val="1"/>
      <w:numFmt w:val="bullet"/>
      <w:lvlText w:val="•"/>
      <w:lvlJc w:val="left"/>
      <w:pPr>
        <w:ind w:left="3208" w:hanging="605"/>
      </w:pPr>
      <w:rPr>
        <w:rFonts w:hint="default"/>
      </w:rPr>
    </w:lvl>
    <w:lvl w:ilvl="4">
      <w:start w:val="1"/>
      <w:numFmt w:val="bullet"/>
      <w:lvlText w:val="•"/>
      <w:lvlJc w:val="left"/>
      <w:pPr>
        <w:ind w:left="4044" w:hanging="605"/>
      </w:pPr>
      <w:rPr>
        <w:rFonts w:hint="default"/>
      </w:rPr>
    </w:lvl>
    <w:lvl w:ilvl="5">
      <w:start w:val="1"/>
      <w:numFmt w:val="bullet"/>
      <w:lvlText w:val="•"/>
      <w:lvlJc w:val="left"/>
      <w:pPr>
        <w:ind w:left="4880" w:hanging="605"/>
      </w:pPr>
      <w:rPr>
        <w:rFonts w:hint="default"/>
      </w:rPr>
    </w:lvl>
    <w:lvl w:ilvl="6">
      <w:start w:val="1"/>
      <w:numFmt w:val="bullet"/>
      <w:lvlText w:val="•"/>
      <w:lvlJc w:val="left"/>
      <w:pPr>
        <w:ind w:left="5716" w:hanging="605"/>
      </w:pPr>
      <w:rPr>
        <w:rFonts w:hint="default"/>
      </w:rPr>
    </w:lvl>
    <w:lvl w:ilvl="7">
      <w:start w:val="1"/>
      <w:numFmt w:val="bullet"/>
      <w:lvlText w:val="•"/>
      <w:lvlJc w:val="left"/>
      <w:pPr>
        <w:ind w:left="6552" w:hanging="605"/>
      </w:pPr>
      <w:rPr>
        <w:rFonts w:hint="default"/>
      </w:rPr>
    </w:lvl>
    <w:lvl w:ilvl="8">
      <w:start w:val="1"/>
      <w:numFmt w:val="bullet"/>
      <w:lvlText w:val="•"/>
      <w:lvlJc w:val="left"/>
      <w:pPr>
        <w:ind w:left="7388" w:hanging="605"/>
      </w:pPr>
      <w:rPr>
        <w:rFonts w:hint="default"/>
      </w:rPr>
    </w:lvl>
  </w:abstractNum>
  <w:abstractNum w:abstractNumId="1">
    <w:multiLevelType w:val="hybridMultilevel"/>
    <w:lvl w:ilvl="0">
      <w:start w:val="1"/>
      <w:numFmt w:val="bullet"/>
      <w:lvlText w:val=""/>
      <w:lvlJc w:val="left"/>
      <w:pPr>
        <w:ind w:left="822" w:hanging="360"/>
      </w:pPr>
      <w:rPr>
        <w:rFonts w:hint="default" w:ascii="Symbol" w:hAnsi="Symbol" w:eastAsia="Symbol" w:cs="Symbol"/>
        <w:w w:val="100"/>
        <w:sz w:val="24"/>
        <w:szCs w:val="24"/>
      </w:rPr>
    </w:lvl>
    <w:lvl w:ilvl="1">
      <w:start w:val="1"/>
      <w:numFmt w:val="bullet"/>
      <w:lvlText w:val="o"/>
      <w:lvlJc w:val="left"/>
      <w:pPr>
        <w:ind w:left="1542" w:hanging="360"/>
      </w:pPr>
      <w:rPr>
        <w:rFonts w:hint="default"/>
        <w:w w:val="100"/>
      </w:rPr>
    </w:lvl>
    <w:lvl w:ilvl="2">
      <w:start w:val="1"/>
      <w:numFmt w:val="bullet"/>
      <w:lvlText w:val="•"/>
      <w:lvlJc w:val="left"/>
      <w:pPr>
        <w:ind w:left="2364" w:hanging="360"/>
      </w:pPr>
      <w:rPr>
        <w:rFonts w:hint="default"/>
      </w:rPr>
    </w:lvl>
    <w:lvl w:ilvl="3">
      <w:start w:val="1"/>
      <w:numFmt w:val="bullet"/>
      <w:lvlText w:val="•"/>
      <w:lvlJc w:val="left"/>
      <w:pPr>
        <w:ind w:left="3188" w:hanging="360"/>
      </w:pPr>
      <w:rPr>
        <w:rFonts w:hint="default"/>
      </w:rPr>
    </w:lvl>
    <w:lvl w:ilvl="4">
      <w:start w:val="1"/>
      <w:numFmt w:val="bullet"/>
      <w:lvlText w:val="•"/>
      <w:lvlJc w:val="left"/>
      <w:pPr>
        <w:ind w:left="4013" w:hanging="360"/>
      </w:pPr>
      <w:rPr>
        <w:rFonts w:hint="default"/>
      </w:rPr>
    </w:lvl>
    <w:lvl w:ilvl="5">
      <w:start w:val="1"/>
      <w:numFmt w:val="bullet"/>
      <w:lvlText w:val="•"/>
      <w:lvlJc w:val="left"/>
      <w:pPr>
        <w:ind w:left="4837" w:hanging="360"/>
      </w:pPr>
      <w:rPr>
        <w:rFonts w:hint="default"/>
      </w:rPr>
    </w:lvl>
    <w:lvl w:ilvl="6">
      <w:start w:val="1"/>
      <w:numFmt w:val="bullet"/>
      <w:lvlText w:val="•"/>
      <w:lvlJc w:val="left"/>
      <w:pPr>
        <w:ind w:left="5662" w:hanging="360"/>
      </w:pPr>
      <w:rPr>
        <w:rFonts w:hint="default"/>
      </w:rPr>
    </w:lvl>
    <w:lvl w:ilvl="7">
      <w:start w:val="1"/>
      <w:numFmt w:val="bullet"/>
      <w:lvlText w:val="•"/>
      <w:lvlJc w:val="left"/>
      <w:pPr>
        <w:ind w:left="6486" w:hanging="360"/>
      </w:pPr>
      <w:rPr>
        <w:rFonts w:hint="default"/>
      </w:rPr>
    </w:lvl>
    <w:lvl w:ilvl="8">
      <w:start w:val="1"/>
      <w:numFmt w:val="bullet"/>
      <w:lvlText w:val="•"/>
      <w:lvlJc w:val="left"/>
      <w:pPr>
        <w:ind w:left="7311" w:hanging="360"/>
      </w:pPr>
      <w:rPr>
        <w:rFonts w:hint="default"/>
      </w:rPr>
    </w:lvl>
  </w:abstractNum>
  <w:abstractNum w:abstractNumId="0">
    <w:multiLevelType w:val="hybridMultilevel"/>
    <w:lvl w:ilvl="0">
      <w:start w:val="1"/>
      <w:numFmt w:val="decimal"/>
      <w:lvlText w:val="%1"/>
      <w:lvlJc w:val="left"/>
      <w:pPr>
        <w:ind w:left="1978" w:hanging="720"/>
        <w:jc w:val="left"/>
      </w:pPr>
      <w:rPr>
        <w:rFonts w:hint="default"/>
      </w:rPr>
    </w:lvl>
    <w:lvl w:ilvl="1">
      <w:start w:val="1"/>
      <w:numFmt w:val="decimal"/>
      <w:lvlText w:val="%1.%2"/>
      <w:lvlJc w:val="left"/>
      <w:pPr>
        <w:ind w:left="1978" w:hanging="720"/>
        <w:jc w:val="left"/>
      </w:pPr>
      <w:rPr>
        <w:rFonts w:hint="default"/>
      </w:rPr>
    </w:lvl>
    <w:lvl w:ilvl="2">
      <w:start w:val="1"/>
      <w:numFmt w:val="decimal"/>
      <w:lvlText w:val="%1.%2.%3"/>
      <w:lvlJc w:val="left"/>
      <w:pPr>
        <w:ind w:left="1978" w:hanging="720"/>
        <w:jc w:val="left"/>
      </w:pPr>
      <w:rPr>
        <w:rFonts w:hint="default" w:ascii="Arial" w:hAnsi="Arial" w:eastAsia="Arial" w:cs="Arial"/>
        <w:b/>
        <w:bCs/>
        <w:spacing w:val="-2"/>
        <w:w w:val="99"/>
        <w:sz w:val="24"/>
        <w:szCs w:val="24"/>
      </w:rPr>
    </w:lvl>
    <w:lvl w:ilvl="3">
      <w:start w:val="1"/>
      <w:numFmt w:val="lowerLetter"/>
      <w:lvlText w:val="%4)"/>
      <w:lvlJc w:val="left"/>
      <w:pPr>
        <w:ind w:left="3044" w:hanging="360"/>
        <w:jc w:val="left"/>
      </w:pPr>
      <w:rPr>
        <w:rFonts w:hint="default" w:ascii="Arial" w:hAnsi="Arial" w:eastAsia="Arial" w:cs="Arial"/>
        <w:w w:val="99"/>
        <w:sz w:val="24"/>
        <w:szCs w:val="24"/>
      </w:rPr>
    </w:lvl>
    <w:lvl w:ilvl="4">
      <w:start w:val="1"/>
      <w:numFmt w:val="bullet"/>
      <w:lvlText w:val="•"/>
      <w:lvlJc w:val="left"/>
      <w:pPr>
        <w:ind w:left="4708" w:hanging="360"/>
      </w:pPr>
      <w:rPr>
        <w:rFonts w:hint="default"/>
      </w:rPr>
    </w:lvl>
    <w:lvl w:ilvl="5">
      <w:start w:val="1"/>
      <w:numFmt w:val="bullet"/>
      <w:lvlText w:val="•"/>
      <w:lvlJc w:val="left"/>
      <w:pPr>
        <w:ind w:left="5264" w:hanging="360"/>
      </w:pPr>
      <w:rPr>
        <w:rFonts w:hint="default"/>
      </w:rPr>
    </w:lvl>
    <w:lvl w:ilvl="6">
      <w:start w:val="1"/>
      <w:numFmt w:val="bullet"/>
      <w:lvlText w:val="•"/>
      <w:lvlJc w:val="left"/>
      <w:pPr>
        <w:ind w:left="5819" w:hanging="360"/>
      </w:pPr>
      <w:rPr>
        <w:rFonts w:hint="default"/>
      </w:rPr>
    </w:lvl>
    <w:lvl w:ilvl="7">
      <w:start w:val="1"/>
      <w:numFmt w:val="bullet"/>
      <w:lvlText w:val="•"/>
      <w:lvlJc w:val="left"/>
      <w:pPr>
        <w:ind w:left="6375" w:hanging="360"/>
      </w:pPr>
      <w:rPr>
        <w:rFonts w:hint="default"/>
      </w:rPr>
    </w:lvl>
    <w:lvl w:ilvl="8">
      <w:start w:val="1"/>
      <w:numFmt w:val="bullet"/>
      <w:lvlText w:val="•"/>
      <w:lvlJc w:val="left"/>
      <w:pPr>
        <w:ind w:left="6931" w:hanging="360"/>
      </w:pPr>
      <w:rPr>
        <w:rFonts w:hint="default"/>
      </w:rPr>
    </w:lvl>
  </w:abstract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52"/>
      <w:ind w:left="804" w:hanging="391"/>
      <w:outlineLvl w:val="1"/>
    </w:pPr>
    <w:rPr>
      <w:rFonts w:ascii="Arial" w:hAnsi="Arial" w:eastAsia="Arial" w:cs="Arial"/>
      <w:b/>
      <w:bCs/>
      <w:sz w:val="28"/>
      <w:szCs w:val="28"/>
    </w:rPr>
  </w:style>
  <w:style w:styleId="Heading2" w:type="paragraph">
    <w:name w:val="Heading 2"/>
    <w:basedOn w:val="Normal"/>
    <w:uiPriority w:val="1"/>
    <w:qFormat/>
    <w:pPr>
      <w:spacing w:before="1"/>
      <w:ind w:left="274" w:hanging="173"/>
      <w:outlineLvl w:val="2"/>
    </w:pPr>
    <w:rPr>
      <w:rFonts w:ascii="Arial" w:hAnsi="Arial" w:eastAsia="Arial" w:cs="Arial"/>
      <w:sz w:val="28"/>
      <w:szCs w:val="28"/>
    </w:rPr>
  </w:style>
  <w:style w:styleId="Heading3" w:type="paragraph">
    <w:name w:val="Heading 3"/>
    <w:basedOn w:val="Normal"/>
    <w:uiPriority w:val="1"/>
    <w:qFormat/>
    <w:pPr>
      <w:ind w:left="461"/>
      <w:outlineLvl w:val="3"/>
    </w:pPr>
    <w:rPr>
      <w:rFonts w:ascii="Arial" w:hAnsi="Arial" w:eastAsia="Arial" w:cs="Arial"/>
      <w:b/>
      <w:bCs/>
      <w:sz w:val="24"/>
      <w:szCs w:val="24"/>
    </w:rPr>
  </w:style>
  <w:style w:styleId="ListParagraph" w:type="paragraph">
    <w:name w:val="List Paragraph"/>
    <w:basedOn w:val="Normal"/>
    <w:uiPriority w:val="1"/>
    <w:qFormat/>
    <w:pPr>
      <w:ind w:left="702" w:hanging="360"/>
    </w:pPr>
    <w:rPr>
      <w:rFonts w:ascii="Arial" w:hAnsi="Arial" w:eastAsia="Arial" w:cs="Arial"/>
    </w:rPr>
  </w:style>
  <w:style w:styleId="TableParagraph" w:type="paragraph">
    <w:name w:val="Table Paragraph"/>
    <w:basedOn w:val="Normal"/>
    <w:uiPriority w:val="1"/>
    <w:qFormat/>
    <w:pPr>
      <w:jc w:val="center"/>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jpeg"/><Relationship Id="rId10" Type="http://schemas.openxmlformats.org/officeDocument/2006/relationships/footer" Target="footer1.xml"/><Relationship Id="rId11" Type="http://schemas.openxmlformats.org/officeDocument/2006/relationships/image" Target="media/image6.jpeg"/><Relationship Id="rId12" Type="http://schemas.openxmlformats.org/officeDocument/2006/relationships/hyperlink" Target="http://www.ceobaza.es/es/producto/como-llevamos-a-cabo-los-tratamientos/" TargetMode="External"/><Relationship Id="rId13" Type="http://schemas.openxmlformats.org/officeDocument/2006/relationships/image" Target="media/image7.jpeg"/><Relationship Id="rId14" Type="http://schemas.openxmlformats.org/officeDocument/2006/relationships/image" Target="media/image8.jpeg"/><Relationship Id="rId15" Type="http://schemas.openxmlformats.org/officeDocument/2006/relationships/image" Target="media/image9.jpeg"/><Relationship Id="rId16" Type="http://schemas.openxmlformats.org/officeDocument/2006/relationships/image" Target="media/image10.jpeg"/><Relationship Id="rId17" Type="http://schemas.openxmlformats.org/officeDocument/2006/relationships/image" Target="media/image11.jpeg"/><Relationship Id="rId18" Type="http://schemas.openxmlformats.org/officeDocument/2006/relationships/image" Target="media/image12.jpeg"/><Relationship Id="rId19" Type="http://schemas.openxmlformats.org/officeDocument/2006/relationships/image" Target="media/image13.jpeg"/><Relationship Id="rId20" Type="http://schemas.openxmlformats.org/officeDocument/2006/relationships/image" Target="media/image14.jpeg"/><Relationship Id="rId21" Type="http://schemas.openxmlformats.org/officeDocument/2006/relationships/footer" Target="footer2.xml"/><Relationship Id="rId22" Type="http://schemas.openxmlformats.org/officeDocument/2006/relationships/footer" Target="footer3.xml"/><Relationship Id="rId23" Type="http://schemas.openxmlformats.org/officeDocument/2006/relationships/image" Target="media/image15.jpeg"/><Relationship Id="rId24" Type="http://schemas.openxmlformats.org/officeDocument/2006/relationships/hyperlink" Target="http://maxilofacial.obolog.es/historia-cefalometria-radiografica-457832" TargetMode="External"/><Relationship Id="rId25" Type="http://schemas.openxmlformats.org/officeDocument/2006/relationships/image" Target="media/image16.jpeg"/><Relationship Id="rId26" Type="http://schemas.openxmlformats.org/officeDocument/2006/relationships/image" Target="media/image17.jpeg"/><Relationship Id="rId27" Type="http://schemas.openxmlformats.org/officeDocument/2006/relationships/image" Target="media/image18.jpeg"/><Relationship Id="rId28" Type="http://schemas.openxmlformats.org/officeDocument/2006/relationships/image" Target="media/image19.jpeg"/><Relationship Id="rId29" Type="http://schemas.openxmlformats.org/officeDocument/2006/relationships/image" Target="media/image20.jpeg"/><Relationship Id="rId30" Type="http://schemas.openxmlformats.org/officeDocument/2006/relationships/image" Target="media/image21.jpeg"/><Relationship Id="rId31" Type="http://schemas.openxmlformats.org/officeDocument/2006/relationships/image" Target="media/image22.jpeg"/><Relationship Id="rId32" Type="http://schemas.openxmlformats.org/officeDocument/2006/relationships/image" Target="media/image23.jpeg"/><Relationship Id="rId33" Type="http://schemas.openxmlformats.org/officeDocument/2006/relationships/image" Target="media/image24.jpeg"/><Relationship Id="rId34" Type="http://schemas.openxmlformats.org/officeDocument/2006/relationships/footer" Target="footer4.xml"/><Relationship Id="rId35" Type="http://schemas.openxmlformats.org/officeDocument/2006/relationships/image" Target="media/image25.jpeg"/><Relationship Id="rId36" Type="http://schemas.openxmlformats.org/officeDocument/2006/relationships/hyperlink" Target="http://doctores.radiologiadentofacial.com/blog/2015/01/30/cefalometria-analisis-de-bjork/" TargetMode="External"/><Relationship Id="rId37" Type="http://schemas.openxmlformats.org/officeDocument/2006/relationships/footer" Target="footer5.xml"/><Relationship Id="rId38" Type="http://schemas.openxmlformats.org/officeDocument/2006/relationships/image" Target="media/image26.jpeg"/><Relationship Id="rId39" Type="http://schemas.openxmlformats.org/officeDocument/2006/relationships/image" Target="media/image27.jpeg"/><Relationship Id="rId40" Type="http://schemas.openxmlformats.org/officeDocument/2006/relationships/hyperlink" Target="http://doctores.radiologiadentofacial.com/blog/2015/01/30/analisis-de-downs/" TargetMode="External"/><Relationship Id="rId41" Type="http://schemas.openxmlformats.org/officeDocument/2006/relationships/image" Target="media/image28.jpeg"/><Relationship Id="rId42" Type="http://schemas.openxmlformats.org/officeDocument/2006/relationships/hyperlink" Target="http://doctores.radiologiadentofacial.com/blog/2015/01/30/cefalometria-analisis-de-steiner/" TargetMode="External"/><Relationship Id="rId43" Type="http://schemas.openxmlformats.org/officeDocument/2006/relationships/image" Target="media/image29.jpeg"/><Relationship Id="rId44" Type="http://schemas.openxmlformats.org/officeDocument/2006/relationships/hyperlink" Target="http://tmjc.com.ne.kr/tmj/info/drinfo/wizigcase14.htm" TargetMode="External"/><Relationship Id="rId45" Type="http://schemas.openxmlformats.org/officeDocument/2006/relationships/image" Target="media/image30.jpeg"/><Relationship Id="rId46" Type="http://schemas.openxmlformats.org/officeDocument/2006/relationships/hyperlink" Target="http://doctores.radiologiadentofacial.com/blog/2015/01/30/cefalometria-analisis-de-ricketts/" TargetMode="External"/><Relationship Id="rId47" Type="http://schemas.openxmlformats.org/officeDocument/2006/relationships/image" Target="media/image31.jpeg"/><Relationship Id="rId48" Type="http://schemas.openxmlformats.org/officeDocument/2006/relationships/hyperlink" Target="http://www.cleber.com.br/livro_cefalometria/html/cap09/" TargetMode="External"/><Relationship Id="rId49" Type="http://schemas.openxmlformats.org/officeDocument/2006/relationships/image" Target="media/image32.jpeg"/><Relationship Id="rId50" Type="http://schemas.openxmlformats.org/officeDocument/2006/relationships/image" Target="media/image33.jpeg"/><Relationship Id="rId51" Type="http://schemas.openxmlformats.org/officeDocument/2006/relationships/image" Target="media/image34.jpeg"/><Relationship Id="rId52" Type="http://schemas.openxmlformats.org/officeDocument/2006/relationships/hyperlink" Target="http://www.kieferorthopaede-wien.at/meaw-technik.html" TargetMode="External"/><Relationship Id="rId53" Type="http://schemas.openxmlformats.org/officeDocument/2006/relationships/image" Target="media/image35.jpeg"/><Relationship Id="rId54" Type="http://schemas.openxmlformats.org/officeDocument/2006/relationships/hyperlink" Target="http://www.orthofree.com/cms/assets/pdf/99.pdf" TargetMode="External"/><Relationship Id="rId55" Type="http://schemas.openxmlformats.org/officeDocument/2006/relationships/image" Target="media/image36.jpeg"/><Relationship Id="rId56" Type="http://schemas.openxmlformats.org/officeDocument/2006/relationships/footer" Target="footer6.xml"/><Relationship Id="rId57" Type="http://schemas.openxmlformats.org/officeDocument/2006/relationships/image" Target="media/image37.jpeg"/><Relationship Id="rId58" Type="http://schemas.openxmlformats.org/officeDocument/2006/relationships/footer" Target="footer7.xml"/><Relationship Id="rId59" Type="http://schemas.openxmlformats.org/officeDocument/2006/relationships/image" Target="media/image38.jpeg"/><Relationship Id="rId60" Type="http://schemas.openxmlformats.org/officeDocument/2006/relationships/image" Target="media/image39.jpeg"/><Relationship Id="rId61" Type="http://schemas.openxmlformats.org/officeDocument/2006/relationships/image" Target="media/image40.jpeg"/><Relationship Id="rId62" Type="http://schemas.openxmlformats.org/officeDocument/2006/relationships/image" Target="media/image41.jpeg"/><Relationship Id="rId63" Type="http://schemas.openxmlformats.org/officeDocument/2006/relationships/image" Target="media/image42.jpeg"/><Relationship Id="rId64" Type="http://schemas.openxmlformats.org/officeDocument/2006/relationships/image" Target="media/image43.jpeg"/><Relationship Id="rId65" Type="http://schemas.openxmlformats.org/officeDocument/2006/relationships/image" Target="media/image44.jpeg"/><Relationship Id="rId66" Type="http://schemas.openxmlformats.org/officeDocument/2006/relationships/image" Target="media/image45.jpeg"/><Relationship Id="rId67" Type="http://schemas.openxmlformats.org/officeDocument/2006/relationships/image" Target="media/image46.jpeg"/><Relationship Id="rId68" Type="http://schemas.openxmlformats.org/officeDocument/2006/relationships/image" Target="media/image47.jpeg"/><Relationship Id="rId69" Type="http://schemas.openxmlformats.org/officeDocument/2006/relationships/image" Target="media/image48.jpeg"/><Relationship Id="rId70" Type="http://schemas.openxmlformats.org/officeDocument/2006/relationships/image" Target="media/image49.jpeg"/><Relationship Id="rId71" Type="http://schemas.openxmlformats.org/officeDocument/2006/relationships/image" Target="media/image50.jpeg"/><Relationship Id="rId72" Type="http://schemas.openxmlformats.org/officeDocument/2006/relationships/image" Target="media/image51.png"/><Relationship Id="rId73" Type="http://schemas.openxmlformats.org/officeDocument/2006/relationships/image" Target="media/image52.jpeg"/><Relationship Id="rId74" Type="http://schemas.openxmlformats.org/officeDocument/2006/relationships/image" Target="media/image53.jpeg"/><Relationship Id="rId75" Type="http://schemas.openxmlformats.org/officeDocument/2006/relationships/footer" Target="footer8.xml"/><Relationship Id="rId76" Type="http://schemas.openxmlformats.org/officeDocument/2006/relationships/image" Target="media/image54.jpeg"/><Relationship Id="rId77" Type="http://schemas.openxmlformats.org/officeDocument/2006/relationships/footer" Target="footer9.xml"/><Relationship Id="rId78" Type="http://schemas.openxmlformats.org/officeDocument/2006/relationships/image" Target="media/image55.png"/><Relationship Id="rId79" Type="http://schemas.openxmlformats.org/officeDocument/2006/relationships/footer" Target="footer10.xml"/><Relationship Id="rId80" Type="http://schemas.openxmlformats.org/officeDocument/2006/relationships/footer" Target="footer11.xml"/><Relationship Id="rId81" Type="http://schemas.openxmlformats.org/officeDocument/2006/relationships/image" Target="media/image56.jpeg"/><Relationship Id="rId82" Type="http://schemas.openxmlformats.org/officeDocument/2006/relationships/image" Target="media/image57.jpeg"/><Relationship Id="rId83" Type="http://schemas.openxmlformats.org/officeDocument/2006/relationships/image" Target="media/image58.jpeg"/><Relationship Id="rId84" Type="http://schemas.openxmlformats.org/officeDocument/2006/relationships/image" Target="media/image59.jpeg"/><Relationship Id="rId85" Type="http://schemas.openxmlformats.org/officeDocument/2006/relationships/image" Target="media/image60.jpeg"/><Relationship Id="rId86" Type="http://schemas.openxmlformats.org/officeDocument/2006/relationships/image" Target="media/image61.jpeg"/><Relationship Id="rId87" Type="http://schemas.openxmlformats.org/officeDocument/2006/relationships/image" Target="media/image62.jpeg"/><Relationship Id="rId88" Type="http://schemas.openxmlformats.org/officeDocument/2006/relationships/image" Target="media/image63.jpeg"/><Relationship Id="rId89" Type="http://schemas.openxmlformats.org/officeDocument/2006/relationships/image" Target="media/image64.jpeg"/><Relationship Id="rId90" Type="http://schemas.openxmlformats.org/officeDocument/2006/relationships/image" Target="media/image65.jpeg"/><Relationship Id="rId91" Type="http://schemas.openxmlformats.org/officeDocument/2006/relationships/image" Target="media/image66.jpeg"/><Relationship Id="rId92" Type="http://schemas.openxmlformats.org/officeDocument/2006/relationships/footer" Target="footer12.xml"/><Relationship Id="rId93" Type="http://schemas.openxmlformats.org/officeDocument/2006/relationships/footer" Target="footer13.xml"/><Relationship Id="rId94" Type="http://schemas.openxmlformats.org/officeDocument/2006/relationships/image" Target="media/image67.jpeg"/><Relationship Id="rId95" Type="http://schemas.openxmlformats.org/officeDocument/2006/relationships/image" Target="media/image68.jpeg"/><Relationship Id="rId96" Type="http://schemas.openxmlformats.org/officeDocument/2006/relationships/image" Target="media/image69.jpeg"/><Relationship Id="rId97" Type="http://schemas.openxmlformats.org/officeDocument/2006/relationships/image" Target="media/image70.jpeg"/><Relationship Id="rId98" Type="http://schemas.openxmlformats.org/officeDocument/2006/relationships/footer" Target="footer14.xml"/><Relationship Id="rId99" Type="http://schemas.openxmlformats.org/officeDocument/2006/relationships/hyperlink" Target="http://www.actaodontologica.com/ediciones/2011/3/ort7.asp" TargetMode="External"/><Relationship Id="rId100" Type="http://schemas.openxmlformats.org/officeDocument/2006/relationships/hyperlink" Target="http://www.ulacit.ac.cr/.../suplemento%20Ortodoncia/ID02.pdf" TargetMode="External"/><Relationship Id="rId101" Type="http://schemas.openxmlformats.org/officeDocument/2006/relationships/footer" Target="footer15.xml"/><Relationship Id="rId102" Type="http://schemas.openxmlformats.org/officeDocument/2006/relationships/hyperlink" Target="http://www.gacetadental.com/2011/09/historia-de-la-cefalometra-25810/" TargetMode="External"/><Relationship Id="rId103" Type="http://schemas.openxmlformats.org/officeDocument/2006/relationships/hyperlink" Target="http://orthocj.com/2004/02/indicadores-de-profundidad-de-" TargetMode="External"/><Relationship Id="rId104" Type="http://schemas.openxmlformats.org/officeDocument/2006/relationships/image" Target="media/image71.jpeg"/><Relationship Id="rId105" Type="http://schemas.openxmlformats.org/officeDocument/2006/relationships/image" Target="media/image72.jpeg"/><Relationship Id="rId106" Type="http://schemas.openxmlformats.org/officeDocument/2006/relationships/image" Target="media/image73.jpeg"/><Relationship Id="rId107" Type="http://schemas.openxmlformats.org/officeDocument/2006/relationships/image" Target="media/image74.jpeg"/><Relationship Id="rId108" Type="http://schemas.openxmlformats.org/officeDocument/2006/relationships/image" Target="media/image75.jpeg"/><Relationship Id="rId109" Type="http://schemas.openxmlformats.org/officeDocument/2006/relationships/footer" Target="footer16.xml"/><Relationship Id="rId110" Type="http://schemas.openxmlformats.org/officeDocument/2006/relationships/image" Target="media/image76.jpeg"/><Relationship Id="rId111" Type="http://schemas.openxmlformats.org/officeDocument/2006/relationships/footer" Target="footer17.xml"/><Relationship Id="rId112" Type="http://schemas.openxmlformats.org/officeDocument/2006/relationships/image" Target="media/image77.jpeg"/><Relationship Id="rId113" Type="http://schemas.openxmlformats.org/officeDocument/2006/relationships/image" Target="media/image78.jpeg"/><Relationship Id="rId114" Type="http://schemas.openxmlformats.org/officeDocument/2006/relationships/image" Target="media/image79.jpeg"/><Relationship Id="rId115"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thania</dc:creator>
  <dcterms:created xsi:type="dcterms:W3CDTF">2017-05-17T17:03:49Z</dcterms:created>
  <dcterms:modified xsi:type="dcterms:W3CDTF">2017-05-17T17:03:49Z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2015-12-09T00:00:00Z</vt:filetime>
  </property>
  <property fmtid="{D5CDD505-2E9C-101B-9397-08002B2CF9AE}" pid="3" name="Creator">
    <vt:lpwstr>Microsoft® Word 2010</vt:lpwstr>
  </property>
  <property fmtid="{D5CDD505-2E9C-101B-9397-08002B2CF9AE}" pid="4" name="LastSaved">
    <vt:filetime>2017-05-17T00:00:00Z</vt:filetime>
  </property>
</Properties>
</file>