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png" ContentType="image/pn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2"/>
        <w:rPr>
          <w:rFonts w:ascii="Times New Roman"/>
          <w:sz w:val="28"/>
        </w:rPr>
      </w:pPr>
    </w:p>
    <w:p>
      <w:pPr>
        <w:pStyle w:val="Heading6"/>
        <w:spacing w:line="362" w:lineRule="auto" w:before="70"/>
        <w:ind w:left="2738" w:right="1118"/>
        <w:jc w:val="center"/>
      </w:pPr>
      <w:r>
        <w:rPr/>
        <w:drawing>
          <wp:anchor distT="0" distB="0" distL="0" distR="0" allowOverlap="1" layoutInCell="1" locked="0" behindDoc="0" simplePos="0" relativeHeight="0">
            <wp:simplePos x="0" y="0"/>
            <wp:positionH relativeFrom="page">
              <wp:posOffset>349250</wp:posOffset>
            </wp:positionH>
            <wp:positionV relativeFrom="paragraph">
              <wp:posOffset>-200077</wp:posOffset>
            </wp:positionV>
            <wp:extent cx="1143000" cy="103060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43000" cy="1030604"/>
                    </a:xfrm>
                    <a:prstGeom prst="rect">
                      <a:avLst/>
                    </a:prstGeom>
                  </pic:spPr>
                </pic:pic>
              </a:graphicData>
            </a:graphic>
          </wp:anchor>
        </w:drawing>
      </w:r>
      <w:r>
        <w:rPr/>
        <w:t>UNIVERSIDAD AUTÓNOMA DEL ESTADO DE MÉXICO FACULTAD DE ODONTOLOGÍA</w:t>
      </w:r>
    </w:p>
    <w:p>
      <w:pPr>
        <w:spacing w:before="0"/>
        <w:ind w:left="2558" w:right="1139" w:firstLine="0"/>
        <w:jc w:val="center"/>
        <w:rPr>
          <w:b/>
          <w:sz w:val="24"/>
        </w:rPr>
      </w:pPr>
      <w:r>
        <w:rPr>
          <w:b/>
          <w:sz w:val="24"/>
        </w:rPr>
        <w:t>CENTRO DE INVESTIGACIÓN</w:t>
      </w:r>
    </w:p>
    <w:p>
      <w:pPr>
        <w:spacing w:line="360" w:lineRule="auto" w:before="139"/>
        <w:ind w:left="4166" w:right="1776" w:hanging="1203"/>
        <w:jc w:val="left"/>
        <w:rPr>
          <w:b/>
          <w:sz w:val="24"/>
        </w:rPr>
      </w:pPr>
      <w:r>
        <w:rPr/>
        <w:pict>
          <v:line style="position:absolute;mso-position-horizontal-relative:page;mso-position-vertical-relative:paragraph;z-index:1048" from="70.650002pt,21.705845pt" to="70.650002pt,502.655845pt" stroked="true" strokeweight="2.25pt" strokecolor="#77923b">
            <w10:wrap type="none"/>
          </v:line>
        </w:pict>
      </w:r>
      <w:r>
        <w:rPr>
          <w:b/>
          <w:sz w:val="24"/>
        </w:rPr>
        <w:t>Y ESTUDIOS AVANZADOS EN ODONTOLOGÍA “DR. KEISABURO MIYATA”</w:t>
      </w:r>
    </w:p>
    <w:p>
      <w:pPr>
        <w:pStyle w:val="BodyText"/>
        <w:rPr>
          <w:b/>
          <w:sz w:val="20"/>
        </w:rPr>
      </w:pPr>
    </w:p>
    <w:p>
      <w:pPr>
        <w:spacing w:line="360" w:lineRule="auto" w:before="188"/>
        <w:ind w:left="1559" w:right="260" w:firstLine="381"/>
        <w:jc w:val="left"/>
        <w:rPr>
          <w:b/>
          <w:sz w:val="24"/>
        </w:rPr>
      </w:pPr>
      <w:r>
        <w:rPr>
          <w:b/>
          <w:sz w:val="24"/>
        </w:rPr>
        <w:t>“FLUORURO DE SODIO Y CLORHEXIDINA EN LA PREVENCIÓN DE CARIES  EN  LA   PRIMERA  INFANCIA  Y SUS  FACTORES ASOCIADOS</w:t>
      </w:r>
    </w:p>
    <w:p>
      <w:pPr>
        <w:spacing w:line="362" w:lineRule="auto" w:before="2"/>
        <w:ind w:left="2738" w:right="1394" w:firstLine="0"/>
        <w:jc w:val="center"/>
        <w:rPr>
          <w:b/>
          <w:sz w:val="24"/>
        </w:rPr>
      </w:pPr>
      <w:r>
        <w:rPr>
          <w:b/>
          <w:sz w:val="24"/>
        </w:rPr>
        <w:t>(STREPTOCOCCUS MUTANS, PH SALIVAL, DIETA), EN ESTANCIAS INFANTILES DEL DIF</w:t>
      </w:r>
    </w:p>
    <w:p>
      <w:pPr>
        <w:spacing w:before="0"/>
        <w:ind w:left="2420" w:right="1139" w:firstLine="0"/>
        <w:jc w:val="center"/>
        <w:rPr>
          <w:b/>
          <w:sz w:val="24"/>
        </w:rPr>
      </w:pPr>
      <w:r>
        <w:rPr>
          <w:b/>
          <w:sz w:val="24"/>
        </w:rPr>
        <w:t>EN LA CIUDAD DE TOLUCA, ESTADO DE MÉXICO; 2012.</w:t>
      </w:r>
    </w:p>
    <w:p>
      <w:pPr>
        <w:pStyle w:val="BodyText"/>
        <w:rPr>
          <w:b/>
        </w:rPr>
      </w:pPr>
    </w:p>
    <w:p>
      <w:pPr>
        <w:pStyle w:val="BodyText"/>
        <w:spacing w:before="7"/>
        <w:rPr>
          <w:b/>
          <w:sz w:val="23"/>
        </w:rPr>
      </w:pPr>
    </w:p>
    <w:p>
      <w:pPr>
        <w:spacing w:before="0"/>
        <w:ind w:left="2252" w:right="1139" w:firstLine="0"/>
        <w:jc w:val="center"/>
        <w:rPr>
          <w:b/>
          <w:sz w:val="36"/>
        </w:rPr>
      </w:pPr>
      <w:r>
        <w:rPr>
          <w:b/>
          <w:sz w:val="36"/>
        </w:rPr>
        <w:t>TESIS</w:t>
      </w:r>
    </w:p>
    <w:p>
      <w:pPr>
        <w:pStyle w:val="BodyText"/>
        <w:rPr>
          <w:b/>
          <w:sz w:val="36"/>
        </w:rPr>
      </w:pPr>
    </w:p>
    <w:p>
      <w:pPr>
        <w:pStyle w:val="Heading6"/>
        <w:spacing w:line="360" w:lineRule="auto" w:before="211"/>
        <w:ind w:left="3232" w:right="1027" w:firstLine="267"/>
      </w:pPr>
      <w:r>
        <w:rPr/>
        <w:t>QUE PARA OBTENER EL GRADO DE: MAESTRÍA EN CIENCIAS ODONTOLÓGICAS</w:t>
      </w:r>
    </w:p>
    <w:p>
      <w:pPr>
        <w:pStyle w:val="BodyText"/>
        <w:rPr>
          <w:b/>
        </w:rPr>
      </w:pPr>
    </w:p>
    <w:p>
      <w:pPr>
        <w:spacing w:before="142"/>
        <w:ind w:left="2435" w:right="1139" w:firstLine="0"/>
        <w:jc w:val="center"/>
        <w:rPr>
          <w:b/>
          <w:sz w:val="24"/>
        </w:rPr>
      </w:pPr>
      <w:r>
        <w:rPr>
          <w:b/>
          <w:sz w:val="24"/>
        </w:rPr>
        <w:t>PRESENTA:</w:t>
      </w:r>
    </w:p>
    <w:p>
      <w:pPr>
        <w:spacing w:before="137"/>
        <w:ind w:left="3533" w:right="1776" w:firstLine="0"/>
        <w:jc w:val="left"/>
        <w:rPr>
          <w:b/>
          <w:sz w:val="24"/>
        </w:rPr>
      </w:pPr>
      <w:r>
        <w:rPr>
          <w:b/>
          <w:sz w:val="24"/>
        </w:rPr>
        <w:t>C. D. KARIN ELFRIDE BEHNKE RIVERA</w:t>
      </w:r>
    </w:p>
    <w:p>
      <w:pPr>
        <w:pStyle w:val="BodyText"/>
        <w:rPr>
          <w:b/>
        </w:rPr>
      </w:pPr>
    </w:p>
    <w:p>
      <w:pPr>
        <w:pStyle w:val="BodyText"/>
        <w:rPr>
          <w:b/>
        </w:rPr>
      </w:pPr>
    </w:p>
    <w:p>
      <w:pPr>
        <w:pStyle w:val="BodyText"/>
        <w:rPr>
          <w:b/>
        </w:rPr>
      </w:pPr>
    </w:p>
    <w:p>
      <w:pPr>
        <w:spacing w:before="0"/>
        <w:ind w:left="2489" w:right="1139" w:firstLine="0"/>
        <w:jc w:val="center"/>
        <w:rPr>
          <w:b/>
          <w:sz w:val="24"/>
        </w:rPr>
      </w:pPr>
      <w:r>
        <w:rPr>
          <w:b/>
          <w:sz w:val="24"/>
        </w:rPr>
        <w:t>TUTOR ACADÉMICO</w:t>
      </w:r>
    </w:p>
    <w:p>
      <w:pPr>
        <w:spacing w:before="43"/>
        <w:ind w:left="2481" w:right="1139" w:firstLine="0"/>
        <w:jc w:val="center"/>
        <w:rPr>
          <w:b/>
          <w:sz w:val="24"/>
        </w:rPr>
      </w:pPr>
      <w:r>
        <w:rPr>
          <w:b/>
          <w:sz w:val="24"/>
        </w:rPr>
        <w:t>DR. EN C.S.P. ANGEL  VISOSO SALGADO</w:t>
      </w:r>
    </w:p>
    <w:p>
      <w:pPr>
        <w:pStyle w:val="BodyText"/>
        <w:spacing w:before="10"/>
        <w:rPr>
          <w:b/>
          <w:sz w:val="20"/>
        </w:rPr>
      </w:pPr>
    </w:p>
    <w:p>
      <w:pPr>
        <w:spacing w:before="0"/>
        <w:ind w:left="2488" w:right="1139" w:firstLine="0"/>
        <w:jc w:val="center"/>
        <w:rPr>
          <w:b/>
          <w:sz w:val="24"/>
        </w:rPr>
      </w:pPr>
      <w:r>
        <w:rPr>
          <w:b/>
          <w:sz w:val="24"/>
        </w:rPr>
        <w:t>TUTORES ADJUNTOS</w:t>
      </w:r>
    </w:p>
    <w:p>
      <w:pPr>
        <w:spacing w:line="278" w:lineRule="auto" w:before="41"/>
        <w:ind w:left="3201" w:right="1027" w:hanging="600"/>
        <w:jc w:val="left"/>
        <w:rPr>
          <w:b/>
          <w:sz w:val="24"/>
        </w:rPr>
      </w:pPr>
      <w:r>
        <w:rPr>
          <w:b/>
          <w:sz w:val="24"/>
        </w:rPr>
        <w:t>DRA. EN O. NORMA MARGARITA MONTIEL BASTIDA DR. EN C.I.A. ISAÍAS DE LA ROSA GÓMEZ</w:t>
      </w:r>
    </w:p>
    <w:p>
      <w:pPr>
        <w:pStyle w:val="BodyText"/>
        <w:rPr>
          <w:b/>
        </w:rPr>
      </w:pPr>
    </w:p>
    <w:p>
      <w:pPr>
        <w:pStyle w:val="BodyText"/>
        <w:rPr>
          <w:b/>
        </w:rPr>
      </w:pPr>
    </w:p>
    <w:p>
      <w:pPr>
        <w:pStyle w:val="BodyText"/>
        <w:rPr>
          <w:b/>
        </w:rPr>
      </w:pPr>
    </w:p>
    <w:p>
      <w:pPr>
        <w:spacing w:before="197"/>
        <w:ind w:left="3201" w:right="260" w:firstLine="0"/>
        <w:jc w:val="left"/>
        <w:rPr>
          <w:b/>
          <w:sz w:val="24"/>
        </w:rPr>
      </w:pPr>
      <w:r>
        <w:rPr/>
        <w:drawing>
          <wp:anchor distT="0" distB="0" distL="0" distR="0" allowOverlap="1" layoutInCell="1" locked="0" behindDoc="0" simplePos="0" relativeHeight="1072">
            <wp:simplePos x="0" y="0"/>
            <wp:positionH relativeFrom="page">
              <wp:posOffset>630555</wp:posOffset>
            </wp:positionH>
            <wp:positionV relativeFrom="paragraph">
              <wp:posOffset>129741</wp:posOffset>
            </wp:positionV>
            <wp:extent cx="591820" cy="102171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91820" cy="1021714"/>
                    </a:xfrm>
                    <a:prstGeom prst="rect">
                      <a:avLst/>
                    </a:prstGeom>
                  </pic:spPr>
                </pic:pic>
              </a:graphicData>
            </a:graphic>
          </wp:anchor>
        </w:drawing>
      </w:r>
      <w:r>
        <w:rPr>
          <w:b/>
          <w:sz w:val="24"/>
        </w:rPr>
        <w:t>TOLUCA, ESTADO DE MÉXICO, JUNIO DE 2013</w:t>
      </w:r>
    </w:p>
    <w:p>
      <w:pPr>
        <w:spacing w:after="0"/>
        <w:jc w:val="left"/>
        <w:rPr>
          <w:sz w:val="24"/>
        </w:rPr>
        <w:sectPr>
          <w:type w:val="continuous"/>
          <w:pgSz w:w="12240" w:h="15840"/>
          <w:pgMar w:top="1020" w:bottom="280" w:left="440" w:right="1720"/>
        </w:sectPr>
      </w:pPr>
    </w:p>
    <w:p>
      <w:pPr>
        <w:pStyle w:val="BodyText"/>
        <w:rPr>
          <w:b/>
          <w:sz w:val="20"/>
        </w:rPr>
      </w:pPr>
    </w:p>
    <w:p>
      <w:pPr>
        <w:pStyle w:val="BodyText"/>
        <w:rPr>
          <w:b/>
          <w:sz w:val="20"/>
        </w:rPr>
      </w:pPr>
    </w:p>
    <w:p>
      <w:pPr>
        <w:pStyle w:val="BodyText"/>
        <w:rPr>
          <w:b/>
          <w:sz w:val="20"/>
        </w:rPr>
      </w:pPr>
    </w:p>
    <w:p>
      <w:pPr>
        <w:spacing w:line="235" w:lineRule="auto" w:before="163"/>
        <w:ind w:left="102" w:right="118" w:firstLine="0"/>
        <w:jc w:val="both"/>
        <w:rPr>
          <w:rFonts w:ascii="Times New Roman" w:hAnsi="Times New Roman"/>
          <w:i/>
          <w:sz w:val="50"/>
        </w:rPr>
      </w:pPr>
      <w:r>
        <w:rPr>
          <w:rFonts w:ascii="Times New Roman" w:hAnsi="Times New Roman"/>
          <w:i/>
          <w:w w:val="60"/>
          <w:sz w:val="50"/>
        </w:rPr>
        <w:t>A mis Tutores de tesis que compartieron conmigo sus conocimientos y </w:t>
      </w:r>
      <w:r>
        <w:rPr>
          <w:rFonts w:ascii="Times New Roman" w:hAnsi="Times New Roman"/>
          <w:i/>
          <w:w w:val="65"/>
          <w:sz w:val="50"/>
        </w:rPr>
        <w:t>experiencias y participaron activamente en el logro de esta </w:t>
      </w:r>
      <w:r>
        <w:rPr>
          <w:rFonts w:ascii="Times New Roman" w:hAnsi="Times New Roman"/>
          <w:i/>
          <w:w w:val="60"/>
          <w:sz w:val="50"/>
        </w:rPr>
        <w:t>investigación, me permito expresarles mi agradecimiento por participar conmigo en este proyecto.</w:t>
      </w:r>
    </w:p>
    <w:p>
      <w:pPr>
        <w:spacing w:line="566" w:lineRule="exact" w:before="6"/>
        <w:ind w:left="102" w:right="114" w:firstLine="0"/>
        <w:jc w:val="both"/>
        <w:rPr>
          <w:rFonts w:ascii="Times New Roman" w:hAnsi="Times New Roman"/>
          <w:i/>
          <w:sz w:val="50"/>
        </w:rPr>
      </w:pPr>
      <w:r>
        <w:rPr>
          <w:rFonts w:ascii="Times New Roman" w:hAnsi="Times New Roman"/>
          <w:i/>
          <w:w w:val="60"/>
          <w:sz w:val="50"/>
        </w:rPr>
        <w:t>A los directivos de las instituciones DIF Toluca e Instituto Tecnológico </w:t>
      </w:r>
      <w:r>
        <w:rPr>
          <w:rFonts w:ascii="Times New Roman" w:hAnsi="Times New Roman"/>
          <w:i/>
          <w:w w:val="65"/>
          <w:sz w:val="50"/>
        </w:rPr>
        <w:t>de Toluca que confiaron en mí y amablemente me recibieron, </w:t>
      </w:r>
      <w:r>
        <w:rPr>
          <w:rFonts w:ascii="Times New Roman" w:hAnsi="Times New Roman"/>
          <w:i/>
          <w:w w:val="60"/>
          <w:sz w:val="50"/>
        </w:rPr>
        <w:t>permitiéndome el uso de sus instalaciones.</w:t>
      </w:r>
    </w:p>
    <w:p>
      <w:pPr>
        <w:spacing w:line="555" w:lineRule="exact" w:before="0"/>
        <w:ind w:left="102" w:right="0" w:firstLine="0"/>
        <w:jc w:val="both"/>
        <w:rPr>
          <w:rFonts w:ascii="Times New Roman" w:hAnsi="Times New Roman"/>
          <w:i/>
          <w:sz w:val="50"/>
        </w:rPr>
      </w:pPr>
      <w:r>
        <w:rPr>
          <w:rFonts w:ascii="Times New Roman" w:hAnsi="Times New Roman"/>
          <w:i/>
          <w:w w:val="65"/>
          <w:sz w:val="50"/>
        </w:rPr>
        <w:t>A</w:t>
      </w:r>
      <w:r>
        <w:rPr>
          <w:rFonts w:ascii="Times New Roman" w:hAnsi="Times New Roman"/>
          <w:i/>
          <w:spacing w:val="-16"/>
          <w:w w:val="65"/>
          <w:sz w:val="50"/>
        </w:rPr>
        <w:t> </w:t>
      </w:r>
      <w:r>
        <w:rPr>
          <w:rFonts w:ascii="Times New Roman" w:hAnsi="Times New Roman"/>
          <w:i/>
          <w:w w:val="65"/>
          <w:sz w:val="50"/>
        </w:rPr>
        <w:t>Todos</w:t>
      </w:r>
      <w:r>
        <w:rPr>
          <w:rFonts w:ascii="Times New Roman" w:hAnsi="Times New Roman"/>
          <w:i/>
          <w:spacing w:val="-16"/>
          <w:w w:val="65"/>
          <w:sz w:val="50"/>
        </w:rPr>
        <w:t> </w:t>
      </w:r>
      <w:r>
        <w:rPr>
          <w:rFonts w:ascii="Times New Roman" w:hAnsi="Times New Roman"/>
          <w:i/>
          <w:w w:val="65"/>
          <w:sz w:val="50"/>
        </w:rPr>
        <w:t>y</w:t>
      </w:r>
      <w:r>
        <w:rPr>
          <w:rFonts w:ascii="Times New Roman" w:hAnsi="Times New Roman"/>
          <w:i/>
          <w:spacing w:val="-17"/>
          <w:w w:val="65"/>
          <w:sz w:val="50"/>
        </w:rPr>
        <w:t> </w:t>
      </w:r>
      <w:r>
        <w:rPr>
          <w:rFonts w:ascii="Times New Roman" w:hAnsi="Times New Roman"/>
          <w:i/>
          <w:w w:val="65"/>
          <w:sz w:val="50"/>
        </w:rPr>
        <w:t>cada</w:t>
      </w:r>
      <w:r>
        <w:rPr>
          <w:rFonts w:ascii="Times New Roman" w:hAnsi="Times New Roman"/>
          <w:i/>
          <w:spacing w:val="-15"/>
          <w:w w:val="65"/>
          <w:sz w:val="50"/>
        </w:rPr>
        <w:t> </w:t>
      </w:r>
      <w:r>
        <w:rPr>
          <w:rFonts w:ascii="Times New Roman" w:hAnsi="Times New Roman"/>
          <w:i/>
          <w:w w:val="65"/>
          <w:sz w:val="50"/>
        </w:rPr>
        <w:t>uno</w:t>
      </w:r>
      <w:r>
        <w:rPr>
          <w:rFonts w:ascii="Times New Roman" w:hAnsi="Times New Roman"/>
          <w:i/>
          <w:spacing w:val="-16"/>
          <w:w w:val="65"/>
          <w:sz w:val="50"/>
        </w:rPr>
        <w:t> </w:t>
      </w:r>
      <w:r>
        <w:rPr>
          <w:rFonts w:ascii="Times New Roman" w:hAnsi="Times New Roman"/>
          <w:i/>
          <w:w w:val="65"/>
          <w:sz w:val="50"/>
        </w:rPr>
        <w:t>de</w:t>
      </w:r>
      <w:r>
        <w:rPr>
          <w:rFonts w:ascii="Times New Roman" w:hAnsi="Times New Roman"/>
          <w:i/>
          <w:spacing w:val="-16"/>
          <w:w w:val="65"/>
          <w:sz w:val="50"/>
        </w:rPr>
        <w:t> </w:t>
      </w:r>
      <w:r>
        <w:rPr>
          <w:rFonts w:ascii="Times New Roman" w:hAnsi="Times New Roman"/>
          <w:i/>
          <w:w w:val="65"/>
          <w:sz w:val="50"/>
        </w:rPr>
        <w:t>los</w:t>
      </w:r>
      <w:r>
        <w:rPr>
          <w:rFonts w:ascii="Times New Roman" w:hAnsi="Times New Roman"/>
          <w:i/>
          <w:spacing w:val="-16"/>
          <w:w w:val="65"/>
          <w:sz w:val="50"/>
        </w:rPr>
        <w:t> </w:t>
      </w:r>
      <w:r>
        <w:rPr>
          <w:rFonts w:ascii="Times New Roman" w:hAnsi="Times New Roman"/>
          <w:i/>
          <w:w w:val="65"/>
          <w:sz w:val="50"/>
        </w:rPr>
        <w:t>niños</w:t>
      </w:r>
      <w:r>
        <w:rPr>
          <w:rFonts w:ascii="Times New Roman" w:hAnsi="Times New Roman"/>
          <w:i/>
          <w:spacing w:val="-16"/>
          <w:w w:val="65"/>
          <w:sz w:val="50"/>
        </w:rPr>
        <w:t> </w:t>
      </w:r>
      <w:r>
        <w:rPr>
          <w:rFonts w:ascii="Times New Roman" w:hAnsi="Times New Roman"/>
          <w:i/>
          <w:w w:val="65"/>
          <w:sz w:val="50"/>
        </w:rPr>
        <w:t>que</w:t>
      </w:r>
      <w:r>
        <w:rPr>
          <w:rFonts w:ascii="Times New Roman" w:hAnsi="Times New Roman"/>
          <w:i/>
          <w:spacing w:val="-15"/>
          <w:w w:val="65"/>
          <w:sz w:val="50"/>
        </w:rPr>
        <w:t> </w:t>
      </w:r>
      <w:r>
        <w:rPr>
          <w:rFonts w:ascii="Times New Roman" w:hAnsi="Times New Roman"/>
          <w:i/>
          <w:w w:val="65"/>
          <w:sz w:val="50"/>
        </w:rPr>
        <w:t>con</w:t>
      </w:r>
      <w:r>
        <w:rPr>
          <w:rFonts w:ascii="Times New Roman" w:hAnsi="Times New Roman"/>
          <w:i/>
          <w:spacing w:val="-16"/>
          <w:w w:val="65"/>
          <w:sz w:val="50"/>
        </w:rPr>
        <w:t> </w:t>
      </w:r>
      <w:r>
        <w:rPr>
          <w:rFonts w:ascii="Times New Roman" w:hAnsi="Times New Roman"/>
          <w:i/>
          <w:w w:val="65"/>
          <w:sz w:val="50"/>
        </w:rPr>
        <w:t>sonrisas</w:t>
      </w:r>
      <w:r>
        <w:rPr>
          <w:rFonts w:ascii="Times New Roman" w:hAnsi="Times New Roman"/>
          <w:i/>
          <w:spacing w:val="-15"/>
          <w:w w:val="65"/>
          <w:sz w:val="50"/>
        </w:rPr>
        <w:t> </w:t>
      </w:r>
      <w:r>
        <w:rPr>
          <w:rFonts w:ascii="Times New Roman" w:hAnsi="Times New Roman"/>
          <w:i/>
          <w:w w:val="65"/>
          <w:sz w:val="50"/>
        </w:rPr>
        <w:t>día</w:t>
      </w:r>
      <w:r>
        <w:rPr>
          <w:rFonts w:ascii="Times New Roman" w:hAnsi="Times New Roman"/>
          <w:i/>
          <w:spacing w:val="-16"/>
          <w:w w:val="65"/>
          <w:sz w:val="50"/>
        </w:rPr>
        <w:t> </w:t>
      </w:r>
      <w:r>
        <w:rPr>
          <w:rFonts w:ascii="Times New Roman" w:hAnsi="Times New Roman"/>
          <w:i/>
          <w:w w:val="65"/>
          <w:sz w:val="50"/>
        </w:rPr>
        <w:t>a</w:t>
      </w:r>
      <w:r>
        <w:rPr>
          <w:rFonts w:ascii="Times New Roman" w:hAnsi="Times New Roman"/>
          <w:i/>
          <w:spacing w:val="-17"/>
          <w:w w:val="65"/>
          <w:sz w:val="50"/>
        </w:rPr>
        <w:t> </w:t>
      </w:r>
      <w:r>
        <w:rPr>
          <w:rFonts w:ascii="Times New Roman" w:hAnsi="Times New Roman"/>
          <w:i/>
          <w:w w:val="65"/>
          <w:sz w:val="50"/>
        </w:rPr>
        <w:t>día</w:t>
      </w:r>
      <w:r>
        <w:rPr>
          <w:rFonts w:ascii="Times New Roman" w:hAnsi="Times New Roman"/>
          <w:i/>
          <w:spacing w:val="-16"/>
          <w:w w:val="65"/>
          <w:sz w:val="50"/>
        </w:rPr>
        <w:t> </w:t>
      </w:r>
      <w:r>
        <w:rPr>
          <w:rFonts w:ascii="Times New Roman" w:hAnsi="Times New Roman"/>
          <w:i/>
          <w:w w:val="65"/>
          <w:sz w:val="50"/>
        </w:rPr>
        <w:t>se</w:t>
      </w:r>
      <w:r>
        <w:rPr>
          <w:rFonts w:ascii="Times New Roman" w:hAnsi="Times New Roman"/>
          <w:i/>
          <w:spacing w:val="-16"/>
          <w:w w:val="65"/>
          <w:sz w:val="50"/>
        </w:rPr>
        <w:t> </w:t>
      </w:r>
      <w:r>
        <w:rPr>
          <w:rFonts w:ascii="Times New Roman" w:hAnsi="Times New Roman"/>
          <w:i/>
          <w:w w:val="65"/>
          <w:sz w:val="50"/>
        </w:rPr>
        <w:t>hacían</w:t>
      </w:r>
    </w:p>
    <w:p>
      <w:pPr>
        <w:spacing w:line="571" w:lineRule="exact" w:before="0"/>
        <w:ind w:left="102" w:right="0" w:firstLine="0"/>
        <w:jc w:val="both"/>
        <w:rPr>
          <w:rFonts w:ascii="Times New Roman"/>
          <w:i/>
          <w:sz w:val="50"/>
        </w:rPr>
      </w:pPr>
      <w:r>
        <w:rPr>
          <w:rFonts w:ascii="Times New Roman"/>
          <w:i/>
          <w:w w:val="60"/>
          <w:sz w:val="50"/>
        </w:rPr>
        <w:t>participes en este estudio.</w:t>
      </w:r>
    </w:p>
    <w:p>
      <w:pPr>
        <w:pStyle w:val="BodyText"/>
        <w:spacing w:before="1"/>
        <w:rPr>
          <w:rFonts w:ascii="Times New Roman"/>
          <w:i/>
          <w:sz w:val="49"/>
        </w:rPr>
      </w:pPr>
    </w:p>
    <w:p>
      <w:pPr>
        <w:spacing w:line="235" w:lineRule="auto" w:before="0"/>
        <w:ind w:left="102" w:right="116" w:firstLine="0"/>
        <w:jc w:val="both"/>
        <w:rPr>
          <w:rFonts w:ascii="Times New Roman" w:hAnsi="Times New Roman"/>
          <w:i/>
          <w:sz w:val="50"/>
        </w:rPr>
      </w:pPr>
      <w:r>
        <w:rPr>
          <w:rFonts w:ascii="Times New Roman" w:hAnsi="Times New Roman"/>
          <w:i/>
          <w:w w:val="65"/>
          <w:sz w:val="50"/>
        </w:rPr>
        <w:t>Reciban</w:t>
      </w:r>
      <w:r>
        <w:rPr>
          <w:rFonts w:ascii="Times New Roman" w:hAnsi="Times New Roman"/>
          <w:i/>
          <w:spacing w:val="-19"/>
          <w:w w:val="65"/>
          <w:sz w:val="50"/>
        </w:rPr>
        <w:t> </w:t>
      </w:r>
      <w:r>
        <w:rPr>
          <w:rFonts w:ascii="Times New Roman" w:hAnsi="Times New Roman"/>
          <w:i/>
          <w:w w:val="65"/>
          <w:sz w:val="50"/>
        </w:rPr>
        <w:t>un</w:t>
      </w:r>
      <w:r>
        <w:rPr>
          <w:rFonts w:ascii="Times New Roman" w:hAnsi="Times New Roman"/>
          <w:i/>
          <w:spacing w:val="-18"/>
          <w:w w:val="65"/>
          <w:sz w:val="50"/>
        </w:rPr>
        <w:t> </w:t>
      </w:r>
      <w:r>
        <w:rPr>
          <w:rFonts w:ascii="Times New Roman" w:hAnsi="Times New Roman"/>
          <w:i/>
          <w:w w:val="65"/>
          <w:sz w:val="50"/>
        </w:rPr>
        <w:t>fuerte</w:t>
      </w:r>
      <w:r>
        <w:rPr>
          <w:rFonts w:ascii="Times New Roman" w:hAnsi="Times New Roman"/>
          <w:i/>
          <w:spacing w:val="-19"/>
          <w:w w:val="65"/>
          <w:sz w:val="50"/>
        </w:rPr>
        <w:t> </w:t>
      </w:r>
      <w:r>
        <w:rPr>
          <w:rFonts w:ascii="Times New Roman" w:hAnsi="Times New Roman"/>
          <w:i/>
          <w:w w:val="65"/>
          <w:sz w:val="50"/>
        </w:rPr>
        <w:t>abrazo</w:t>
      </w:r>
      <w:r>
        <w:rPr>
          <w:rFonts w:ascii="Times New Roman" w:hAnsi="Times New Roman"/>
          <w:i/>
          <w:spacing w:val="-19"/>
          <w:w w:val="65"/>
          <w:sz w:val="50"/>
        </w:rPr>
        <w:t> </w:t>
      </w:r>
      <w:r>
        <w:rPr>
          <w:rFonts w:ascii="Times New Roman" w:hAnsi="Times New Roman"/>
          <w:i/>
          <w:w w:val="65"/>
          <w:sz w:val="50"/>
        </w:rPr>
        <w:t>y</w:t>
      </w:r>
      <w:r>
        <w:rPr>
          <w:rFonts w:ascii="Times New Roman" w:hAnsi="Times New Roman"/>
          <w:i/>
          <w:spacing w:val="-19"/>
          <w:w w:val="65"/>
          <w:sz w:val="50"/>
        </w:rPr>
        <w:t> </w:t>
      </w:r>
      <w:r>
        <w:rPr>
          <w:rFonts w:ascii="Times New Roman" w:hAnsi="Times New Roman"/>
          <w:i/>
          <w:w w:val="65"/>
          <w:sz w:val="50"/>
        </w:rPr>
        <w:t>espero</w:t>
      </w:r>
      <w:r>
        <w:rPr>
          <w:rFonts w:ascii="Times New Roman" w:hAnsi="Times New Roman"/>
          <w:i/>
          <w:spacing w:val="-19"/>
          <w:w w:val="65"/>
          <w:sz w:val="50"/>
        </w:rPr>
        <w:t> </w:t>
      </w:r>
      <w:r>
        <w:rPr>
          <w:rFonts w:ascii="Times New Roman" w:hAnsi="Times New Roman"/>
          <w:i/>
          <w:w w:val="65"/>
          <w:sz w:val="50"/>
        </w:rPr>
        <w:t>tener</w:t>
      </w:r>
      <w:r>
        <w:rPr>
          <w:rFonts w:ascii="Times New Roman" w:hAnsi="Times New Roman"/>
          <w:i/>
          <w:spacing w:val="-19"/>
          <w:w w:val="65"/>
          <w:sz w:val="50"/>
        </w:rPr>
        <w:t> </w:t>
      </w:r>
      <w:r>
        <w:rPr>
          <w:rFonts w:ascii="Times New Roman" w:hAnsi="Times New Roman"/>
          <w:i/>
          <w:w w:val="65"/>
          <w:sz w:val="50"/>
        </w:rPr>
        <w:t>la</w:t>
      </w:r>
      <w:r>
        <w:rPr>
          <w:rFonts w:ascii="Times New Roman" w:hAnsi="Times New Roman"/>
          <w:i/>
          <w:spacing w:val="-19"/>
          <w:w w:val="65"/>
          <w:sz w:val="50"/>
        </w:rPr>
        <w:t> </w:t>
      </w:r>
      <w:r>
        <w:rPr>
          <w:rFonts w:ascii="Times New Roman" w:hAnsi="Times New Roman"/>
          <w:i/>
          <w:w w:val="65"/>
          <w:sz w:val="50"/>
        </w:rPr>
        <w:t>oportunidad</w:t>
      </w:r>
      <w:r>
        <w:rPr>
          <w:rFonts w:ascii="Times New Roman" w:hAnsi="Times New Roman"/>
          <w:i/>
          <w:spacing w:val="-19"/>
          <w:w w:val="65"/>
          <w:sz w:val="50"/>
        </w:rPr>
        <w:t> </w:t>
      </w:r>
      <w:r>
        <w:rPr>
          <w:rFonts w:ascii="Times New Roman" w:hAnsi="Times New Roman"/>
          <w:i/>
          <w:w w:val="65"/>
          <w:sz w:val="50"/>
        </w:rPr>
        <w:t>de</w:t>
      </w:r>
      <w:r>
        <w:rPr>
          <w:rFonts w:ascii="Times New Roman" w:hAnsi="Times New Roman"/>
          <w:i/>
          <w:spacing w:val="-15"/>
          <w:w w:val="65"/>
          <w:sz w:val="50"/>
        </w:rPr>
        <w:t> </w:t>
      </w:r>
      <w:r>
        <w:rPr>
          <w:rFonts w:ascii="Times New Roman" w:hAnsi="Times New Roman"/>
          <w:i/>
          <w:w w:val="65"/>
          <w:sz w:val="50"/>
        </w:rPr>
        <w:t>compartir </w:t>
      </w:r>
      <w:r>
        <w:rPr>
          <w:rFonts w:ascii="Times New Roman" w:hAnsi="Times New Roman"/>
          <w:i/>
          <w:w w:val="65"/>
          <w:sz w:val="50"/>
        </w:rPr>
        <w:t>con ustedes en alguna otra ocasión reiterándoles mi amistad y agradecimiento.</w:t>
      </w:r>
    </w:p>
    <w:p>
      <w:pPr>
        <w:pStyle w:val="BodyText"/>
        <w:rPr>
          <w:rFonts w:ascii="Times New Roman"/>
          <w:i/>
          <w:sz w:val="50"/>
        </w:rPr>
      </w:pPr>
    </w:p>
    <w:p>
      <w:pPr>
        <w:pStyle w:val="BodyText"/>
        <w:rPr>
          <w:rFonts w:ascii="Times New Roman"/>
          <w:i/>
          <w:sz w:val="50"/>
        </w:rPr>
      </w:pPr>
    </w:p>
    <w:p>
      <w:pPr>
        <w:pStyle w:val="BodyText"/>
        <w:spacing w:before="10"/>
        <w:rPr>
          <w:rFonts w:ascii="Times New Roman"/>
          <w:i/>
          <w:sz w:val="47"/>
        </w:rPr>
      </w:pPr>
    </w:p>
    <w:p>
      <w:pPr>
        <w:spacing w:line="568" w:lineRule="exact" w:before="0"/>
        <w:ind w:left="5284" w:right="28" w:firstLine="1972"/>
        <w:jc w:val="left"/>
        <w:rPr>
          <w:rFonts w:ascii="Times New Roman"/>
          <w:i/>
          <w:sz w:val="50"/>
        </w:rPr>
      </w:pPr>
      <w:r>
        <w:rPr>
          <w:rFonts w:ascii="Times New Roman"/>
          <w:i/>
          <w:w w:val="55"/>
          <w:sz w:val="50"/>
        </w:rPr>
        <w:t>Sinceramente, </w:t>
      </w:r>
      <w:r>
        <w:rPr>
          <w:rFonts w:ascii="Times New Roman"/>
          <w:i/>
          <w:w w:val="65"/>
          <w:sz w:val="50"/>
        </w:rPr>
        <w:t>Karin Elfride Behnke Rivera</w:t>
      </w:r>
    </w:p>
    <w:p>
      <w:pPr>
        <w:spacing w:after="0" w:line="568" w:lineRule="exact"/>
        <w:jc w:val="left"/>
        <w:rPr>
          <w:rFonts w:ascii="Times New Roman"/>
          <w:sz w:val="50"/>
        </w:rPr>
        <w:sectPr>
          <w:pgSz w:w="12240" w:h="15840"/>
          <w:pgMar w:top="1500" w:bottom="280" w:left="1600" w:right="1580"/>
        </w:sectPr>
      </w:pPr>
    </w:p>
    <w:p>
      <w:pPr>
        <w:pStyle w:val="BodyText"/>
        <w:spacing w:before="5"/>
        <w:rPr>
          <w:rFonts w:ascii="Times New Roman"/>
          <w:i/>
          <w:sz w:val="17"/>
        </w:rPr>
      </w:pPr>
    </w:p>
    <w:p>
      <w:pPr>
        <w:pStyle w:val="Heading4"/>
        <w:ind w:left="2886"/>
        <w:jc w:val="left"/>
      </w:pPr>
      <w:r>
        <w:rPr/>
        <w:t>INDICE DE CONTENIDO</w:t>
      </w:r>
    </w:p>
    <w:p>
      <w:pPr>
        <w:pStyle w:val="BodyText"/>
        <w:spacing w:before="8"/>
        <w:rPr>
          <w:b/>
          <w:sz w:val="15"/>
        </w:rPr>
      </w:pPr>
    </w:p>
    <w:p>
      <w:pPr>
        <w:pStyle w:val="Heading6"/>
        <w:spacing w:before="70"/>
        <w:ind w:right="179"/>
        <w:jc w:val="right"/>
      </w:pPr>
      <w:r>
        <w:rPr/>
        <w:t>Página</w:t>
      </w:r>
    </w:p>
    <w:p>
      <w:pPr>
        <w:spacing w:after="0"/>
        <w:jc w:val="right"/>
        <w:sectPr>
          <w:headerReference w:type="default" r:id="rId7"/>
          <w:pgSz w:w="12240" w:h="15840"/>
          <w:pgMar w:header="729" w:footer="0" w:top="1540" w:bottom="1456" w:left="1540" w:right="1520"/>
        </w:sectPr>
      </w:pPr>
    </w:p>
    <w:sdt>
      <w:sdtPr>
        <w:docPartObj>
          <w:docPartGallery w:val="Table of Contents"/>
          <w:docPartUnique/>
        </w:docPartObj>
      </w:sdtPr>
      <w:sdtEndPr/>
      <w:sdtContent>
        <w:p>
          <w:pPr>
            <w:pStyle w:val="TOC3"/>
            <w:tabs>
              <w:tab w:pos="9001" w:val="right" w:leader="none"/>
            </w:tabs>
            <w:spacing w:before="240"/>
            <w:ind w:left="370"/>
            <w:jc w:val="left"/>
          </w:pPr>
          <w:hyperlink w:history="true" w:anchor="_TOC_250039">
            <w:r>
              <w:rPr/>
              <w:t>1.-</w:t>
            </w:r>
            <w:r>
              <w:rPr>
                <w:spacing w:val="66"/>
              </w:rPr>
              <w:t> </w:t>
            </w:r>
            <w:r>
              <w:rPr/>
              <w:t>Resumen</w:t>
              <w:tab/>
              <w:t>1</w:t>
            </w:r>
          </w:hyperlink>
        </w:p>
        <w:p>
          <w:pPr>
            <w:pStyle w:val="TOC1"/>
            <w:tabs>
              <w:tab w:pos="8823" w:val="right" w:leader="none"/>
            </w:tabs>
          </w:pPr>
          <w:hyperlink w:history="true" w:anchor="_TOC_250038">
            <w:r>
              <w:rPr/>
              <w:t>2.-</w:t>
            </w:r>
            <w:r>
              <w:rPr>
                <w:spacing w:val="66"/>
              </w:rPr>
              <w:t> </w:t>
            </w:r>
            <w:r>
              <w:rPr/>
              <w:t>Introducción</w:t>
              <w:tab/>
              <w:t>3</w:t>
            </w:r>
          </w:hyperlink>
        </w:p>
        <w:p>
          <w:pPr>
            <w:pStyle w:val="TOC2"/>
            <w:tabs>
              <w:tab w:pos="8823" w:val="right" w:leader="none"/>
            </w:tabs>
            <w:spacing w:before="240"/>
            <w:ind w:left="231"/>
            <w:jc w:val="center"/>
          </w:pPr>
          <w:hyperlink w:history="true" w:anchor="_TOC_250037">
            <w:r>
              <w:rPr/>
              <w:t>3.-Marco</w:t>
            </w:r>
            <w:r>
              <w:rPr>
                <w:spacing w:val="-1"/>
              </w:rPr>
              <w:t> </w:t>
            </w:r>
            <w:r>
              <w:rPr/>
              <w:t>Teórico</w:t>
              <w:tab/>
              <w:t>6</w:t>
            </w:r>
          </w:hyperlink>
        </w:p>
        <w:p>
          <w:pPr>
            <w:pStyle w:val="TOC5"/>
            <w:tabs>
              <w:tab w:pos="8823" w:val="right" w:leader="none"/>
            </w:tabs>
            <w:spacing w:before="242"/>
            <w:ind w:left="523"/>
          </w:pPr>
          <w:hyperlink w:history="true" w:anchor="_TOC_250036">
            <w:r>
              <w:rPr/>
              <w:t>3.1.- La</w:t>
            </w:r>
            <w:r>
              <w:rPr>
                <w:spacing w:val="-3"/>
              </w:rPr>
              <w:t> </w:t>
            </w:r>
            <w:r>
              <w:rPr/>
              <w:t>caries</w:t>
            </w:r>
            <w:r>
              <w:rPr>
                <w:spacing w:val="-2"/>
              </w:rPr>
              <w:t> </w:t>
            </w:r>
            <w:r>
              <w:rPr/>
              <w:t>dental</w:t>
              <w:tab/>
              <w:t>7</w:t>
            </w:r>
          </w:hyperlink>
        </w:p>
        <w:p>
          <w:pPr>
            <w:pStyle w:val="TOC9"/>
            <w:tabs>
              <w:tab w:pos="9001" w:val="right" w:leader="none"/>
            </w:tabs>
            <w:spacing w:before="240"/>
            <w:ind w:left="1222"/>
          </w:pPr>
          <w:r>
            <w:rPr/>
            <w:t>3.1.1.- Generalidades de</w:t>
          </w:r>
          <w:r>
            <w:rPr>
              <w:spacing w:val="-2"/>
            </w:rPr>
            <w:t> </w:t>
          </w:r>
          <w:r>
            <w:rPr/>
            <w:t>la</w:t>
          </w:r>
          <w:r>
            <w:rPr>
              <w:spacing w:val="-3"/>
            </w:rPr>
            <w:t> </w:t>
          </w:r>
          <w:r>
            <w:rPr/>
            <w:t>caries</w:t>
            <w:tab/>
            <w:t>7</w:t>
          </w:r>
        </w:p>
        <w:p>
          <w:pPr>
            <w:pStyle w:val="TOC9"/>
            <w:tabs>
              <w:tab w:pos="9001" w:val="right" w:leader="none"/>
            </w:tabs>
            <w:spacing w:before="201"/>
          </w:pPr>
          <w:hyperlink w:history="true" w:anchor="_TOC_250035">
            <w:r>
              <w:rPr/>
              <w:t>3.1.2.- Generalidades de la caries a</w:t>
            </w:r>
            <w:r>
              <w:rPr>
                <w:spacing w:val="-6"/>
              </w:rPr>
              <w:t> </w:t>
            </w:r>
            <w:r>
              <w:rPr/>
              <w:t>nivel</w:t>
            </w:r>
            <w:r>
              <w:rPr>
                <w:spacing w:val="-1"/>
              </w:rPr>
              <w:t> </w:t>
            </w:r>
            <w:r>
              <w:rPr/>
              <w:t>mundial</w:t>
              <w:tab/>
              <w:t>8</w:t>
            </w:r>
          </w:hyperlink>
        </w:p>
        <w:p>
          <w:pPr>
            <w:pStyle w:val="TOC9"/>
            <w:tabs>
              <w:tab w:pos="9001" w:val="right" w:leader="none"/>
            </w:tabs>
            <w:ind w:left="1193"/>
          </w:pPr>
          <w:hyperlink w:history="true" w:anchor="_TOC_250034">
            <w:r>
              <w:rPr/>
              <w:t>3.1.3.- Generalidades de la caries</w:t>
            </w:r>
            <w:r>
              <w:rPr>
                <w:spacing w:val="-6"/>
              </w:rPr>
              <w:t> </w:t>
            </w:r>
            <w:r>
              <w:rPr/>
              <w:t>en</w:t>
            </w:r>
            <w:r>
              <w:rPr>
                <w:spacing w:val="-1"/>
              </w:rPr>
              <w:t> </w:t>
            </w:r>
            <w:r>
              <w:rPr/>
              <w:t>México</w:t>
              <w:tab/>
              <w:t>8</w:t>
            </w:r>
          </w:hyperlink>
        </w:p>
        <w:p>
          <w:pPr>
            <w:pStyle w:val="TOC5"/>
            <w:tabs>
              <w:tab w:pos="8823" w:val="right" w:leader="none"/>
            </w:tabs>
            <w:ind w:left="511"/>
          </w:pPr>
          <w:hyperlink w:history="true" w:anchor="_TOC_250033">
            <w:r>
              <w:rPr/>
              <w:t>3.2.- Causas de</w:t>
            </w:r>
            <w:r>
              <w:rPr>
                <w:spacing w:val="-3"/>
              </w:rPr>
              <w:t> </w:t>
            </w:r>
            <w:r>
              <w:rPr/>
              <w:t>la</w:t>
            </w:r>
            <w:r>
              <w:rPr>
                <w:spacing w:val="-3"/>
              </w:rPr>
              <w:t> </w:t>
            </w:r>
            <w:r>
              <w:rPr/>
              <w:t>caries</w:t>
              <w:tab/>
              <w:t>9</w:t>
            </w:r>
          </w:hyperlink>
        </w:p>
        <w:p>
          <w:pPr>
            <w:pStyle w:val="TOC9"/>
            <w:tabs>
              <w:tab w:pos="9001" w:val="right" w:leader="none"/>
            </w:tabs>
            <w:spacing w:before="201"/>
            <w:ind w:left="1208"/>
          </w:pPr>
          <w:hyperlink w:history="true" w:anchor="_TOC_250032">
            <w:r>
              <w:rPr/>
              <w:t>3.2.1.- Causas de la caries en la población</w:t>
            </w:r>
            <w:r>
              <w:rPr>
                <w:spacing w:val="-5"/>
              </w:rPr>
              <w:t> </w:t>
            </w:r>
            <w:r>
              <w:rPr/>
              <w:t>en</w:t>
            </w:r>
            <w:r>
              <w:rPr>
                <w:spacing w:val="-4"/>
              </w:rPr>
              <w:t> </w:t>
            </w:r>
            <w:r>
              <w:rPr/>
              <w:t>general</w:t>
              <w:tab/>
              <w:t>9</w:t>
            </w:r>
          </w:hyperlink>
        </w:p>
        <w:p>
          <w:pPr>
            <w:pStyle w:val="TOC9"/>
            <w:tabs>
              <w:tab w:pos="8997" w:val="right" w:leader="none"/>
            </w:tabs>
          </w:pPr>
          <w:hyperlink w:history="true" w:anchor="_TOC_250031">
            <w:r>
              <w:rPr/>
              <w:t>3.2.2.- Causas de la caries en la</w:t>
            </w:r>
            <w:r>
              <w:rPr>
                <w:spacing w:val="-2"/>
              </w:rPr>
              <w:t> </w:t>
            </w:r>
            <w:r>
              <w:rPr/>
              <w:t>primera</w:t>
            </w:r>
            <w:r>
              <w:rPr>
                <w:spacing w:val="-2"/>
              </w:rPr>
              <w:t> </w:t>
            </w:r>
            <w:r>
              <w:rPr/>
              <w:t>infancia</w:t>
              <w:tab/>
              <w:t>11</w:t>
            </w:r>
          </w:hyperlink>
        </w:p>
        <w:p>
          <w:pPr>
            <w:pStyle w:val="TOC5"/>
            <w:tabs>
              <w:tab w:pos="8825" w:val="right" w:leader="none"/>
            </w:tabs>
          </w:pPr>
          <w:r>
            <w:rPr/>
            <w:t>3.3.-Prevención</w:t>
          </w:r>
          <w:r>
            <w:rPr>
              <w:spacing w:val="-1"/>
            </w:rPr>
            <w:t> </w:t>
          </w:r>
          <w:r>
            <w:rPr/>
            <w:t>de</w:t>
          </w:r>
          <w:r>
            <w:rPr>
              <w:spacing w:val="-1"/>
            </w:rPr>
            <w:t> </w:t>
          </w:r>
          <w:r>
            <w:rPr/>
            <w:t>caries</w:t>
            <w:tab/>
            <w:t>13</w:t>
          </w:r>
        </w:p>
        <w:p>
          <w:pPr>
            <w:tabs>
              <w:tab w:pos="9002" w:val="right" w:leader="none"/>
            </w:tabs>
            <w:spacing w:before="199"/>
            <w:ind w:left="1263" w:right="0" w:firstLine="0"/>
            <w:jc w:val="left"/>
            <w:rPr>
              <w:b/>
              <w:sz w:val="24"/>
            </w:rPr>
          </w:pPr>
          <w:hyperlink w:history="true" w:anchor="_TOC_250030">
            <w:r>
              <w:rPr>
                <w:b/>
                <w:sz w:val="24"/>
              </w:rPr>
              <w:t>3.3.1.- Prevención de la caries en la población</w:t>
            </w:r>
            <w:r>
              <w:rPr>
                <w:b/>
                <w:spacing w:val="-6"/>
                <w:sz w:val="24"/>
              </w:rPr>
              <w:t> </w:t>
            </w:r>
            <w:r>
              <w:rPr>
                <w:b/>
                <w:sz w:val="24"/>
              </w:rPr>
              <w:t>en</w:t>
            </w:r>
            <w:r>
              <w:rPr>
                <w:b/>
                <w:spacing w:val="-1"/>
                <w:sz w:val="24"/>
              </w:rPr>
              <w:t> </w:t>
            </w:r>
            <w:r>
              <w:rPr>
                <w:b/>
                <w:sz w:val="24"/>
              </w:rPr>
              <w:t>General</w:t>
              <w:tab/>
              <w:t>13</w:t>
            </w:r>
          </w:hyperlink>
        </w:p>
        <w:p>
          <w:pPr>
            <w:tabs>
              <w:tab w:pos="9000" w:val="right" w:leader="none"/>
            </w:tabs>
            <w:spacing w:before="281"/>
            <w:ind w:left="1313" w:right="0" w:firstLine="0"/>
            <w:jc w:val="left"/>
            <w:rPr>
              <w:b/>
              <w:sz w:val="24"/>
            </w:rPr>
          </w:pPr>
          <w:hyperlink w:history="true" w:anchor="_TOC_250029">
            <w:r>
              <w:rPr>
                <w:b/>
                <w:sz w:val="24"/>
              </w:rPr>
              <w:t>3.3.2.- Prevención de la caries en la</w:t>
            </w:r>
            <w:r>
              <w:rPr>
                <w:b/>
                <w:spacing w:val="-9"/>
                <w:sz w:val="24"/>
              </w:rPr>
              <w:t> </w:t>
            </w:r>
            <w:r>
              <w:rPr>
                <w:b/>
                <w:sz w:val="24"/>
              </w:rPr>
              <w:t>primera</w:t>
            </w:r>
            <w:r>
              <w:rPr>
                <w:b/>
                <w:spacing w:val="66"/>
                <w:sz w:val="24"/>
              </w:rPr>
              <w:t> </w:t>
            </w:r>
            <w:r>
              <w:rPr>
                <w:b/>
                <w:sz w:val="24"/>
              </w:rPr>
              <w:t>infancia</w:t>
              <w:tab/>
              <w:t>14</w:t>
            </w:r>
          </w:hyperlink>
        </w:p>
        <w:p>
          <w:pPr>
            <w:pStyle w:val="TOC5"/>
            <w:tabs>
              <w:tab w:pos="8825" w:val="right" w:leader="none"/>
            </w:tabs>
            <w:spacing w:before="278"/>
          </w:pPr>
          <w:r>
            <w:rPr/>
            <w:t>3.4.- Medidas preventivas de</w:t>
          </w:r>
          <w:r>
            <w:rPr>
              <w:spacing w:val="-2"/>
            </w:rPr>
            <w:t> </w:t>
          </w:r>
          <w:r>
            <w:rPr/>
            <w:t>la</w:t>
          </w:r>
          <w:r>
            <w:rPr>
              <w:spacing w:val="-1"/>
            </w:rPr>
            <w:t> </w:t>
          </w:r>
          <w:r>
            <w:rPr/>
            <w:t>caries</w:t>
            <w:tab/>
            <w:t>14</w:t>
          </w:r>
        </w:p>
        <w:p>
          <w:pPr>
            <w:pStyle w:val="TOC9"/>
            <w:tabs>
              <w:tab w:pos="8997" w:val="right" w:leader="none"/>
            </w:tabs>
            <w:spacing w:before="283"/>
          </w:pPr>
          <w:hyperlink w:history="true" w:anchor="_TOC_250028">
            <w:r>
              <w:rPr/>
              <w:t>3.4.1.- Medidas preventivas generales para la</w:t>
            </w:r>
            <w:r>
              <w:rPr>
                <w:spacing w:val="-6"/>
              </w:rPr>
              <w:t> </w:t>
            </w:r>
            <w:r>
              <w:rPr/>
              <w:t>Caries</w:t>
            </w:r>
            <w:r>
              <w:rPr>
                <w:spacing w:val="-1"/>
              </w:rPr>
              <w:t> </w:t>
            </w:r>
            <w:r>
              <w:rPr/>
              <w:t>dental</w:t>
              <w:tab/>
              <w:t>15</w:t>
            </w:r>
          </w:hyperlink>
        </w:p>
        <w:p>
          <w:pPr>
            <w:pStyle w:val="TOC9"/>
            <w:tabs>
              <w:tab w:pos="9002" w:val="right" w:leader="none"/>
            </w:tabs>
            <w:spacing w:before="240"/>
            <w:ind w:left="1222"/>
          </w:pPr>
          <w:hyperlink w:history="true" w:anchor="_TOC_250027">
            <w:r>
              <w:rPr/>
              <w:t>3.4.2.- Flúor como medida preventiva de la</w:t>
            </w:r>
            <w:r>
              <w:rPr>
                <w:spacing w:val="-5"/>
              </w:rPr>
              <w:t> </w:t>
            </w:r>
            <w:r>
              <w:rPr/>
              <w:t>caries</w:t>
            </w:r>
            <w:r>
              <w:rPr>
                <w:spacing w:val="-1"/>
              </w:rPr>
              <w:t> </w:t>
            </w:r>
            <w:r>
              <w:rPr/>
              <w:t>dental</w:t>
              <w:tab/>
              <w:t>15</w:t>
            </w:r>
          </w:hyperlink>
        </w:p>
        <w:p>
          <w:pPr>
            <w:pStyle w:val="TOC9"/>
            <w:tabs>
              <w:tab w:pos="9002" w:val="right" w:leader="none"/>
            </w:tabs>
            <w:spacing w:before="242"/>
            <w:ind w:left="1234"/>
          </w:pPr>
          <w:hyperlink w:history="true" w:anchor="_TOC_250026">
            <w:r>
              <w:rPr/>
              <w:t>3.4.3.- Clorhexidina como medida preventiva de la</w:t>
            </w:r>
            <w:r>
              <w:rPr>
                <w:spacing w:val="-6"/>
              </w:rPr>
              <w:t> </w:t>
            </w:r>
            <w:r>
              <w:rPr/>
              <w:t>caries</w:t>
            </w:r>
            <w:r>
              <w:rPr>
                <w:spacing w:val="-4"/>
              </w:rPr>
              <w:t> </w:t>
            </w:r>
            <w:r>
              <w:rPr/>
              <w:t>dental</w:t>
              <w:tab/>
              <w:t>17</w:t>
            </w:r>
          </w:hyperlink>
        </w:p>
        <w:p>
          <w:pPr>
            <w:pStyle w:val="TOC9"/>
            <w:tabs>
              <w:tab w:pos="9002" w:val="right" w:leader="none"/>
            </w:tabs>
            <w:spacing w:before="317"/>
            <w:ind w:left="1234"/>
          </w:pPr>
          <w:hyperlink w:history="true" w:anchor="_TOC_250025">
            <w:r>
              <w:rPr/>
              <w:t>3.4.4.- Dieta como medida preventiva de la</w:t>
            </w:r>
            <w:r>
              <w:rPr>
                <w:spacing w:val="-2"/>
              </w:rPr>
              <w:t> </w:t>
            </w:r>
            <w:r>
              <w:rPr/>
              <w:t>caries</w:t>
            </w:r>
            <w:r>
              <w:rPr>
                <w:spacing w:val="1"/>
              </w:rPr>
              <w:t> </w:t>
            </w:r>
            <w:r>
              <w:rPr/>
              <w:t>dental</w:t>
              <w:tab/>
              <w:t>21</w:t>
            </w:r>
          </w:hyperlink>
        </w:p>
        <w:p>
          <w:pPr>
            <w:pStyle w:val="TOC4"/>
            <w:tabs>
              <w:tab w:pos="8825" w:val="right" w:leader="none"/>
            </w:tabs>
            <w:spacing w:before="283"/>
          </w:pPr>
          <w:hyperlink w:history="true" w:anchor="_TOC_250024">
            <w:r>
              <w:rPr/>
              <w:t>4.- Planteamiento</w:t>
            </w:r>
            <w:r>
              <w:rPr>
                <w:spacing w:val="-2"/>
              </w:rPr>
              <w:t> </w:t>
            </w:r>
            <w:r>
              <w:rPr/>
              <w:t>del</w:t>
            </w:r>
            <w:r>
              <w:rPr>
                <w:spacing w:val="-1"/>
              </w:rPr>
              <w:t> </w:t>
            </w:r>
            <w:r>
              <w:rPr/>
              <w:t>problema</w:t>
              <w:tab/>
              <w:t>23</w:t>
            </w:r>
          </w:hyperlink>
        </w:p>
        <w:p>
          <w:pPr>
            <w:pStyle w:val="TOC4"/>
            <w:tabs>
              <w:tab w:pos="8825" w:val="right" w:leader="none"/>
            </w:tabs>
            <w:spacing w:before="201"/>
          </w:pPr>
          <w:hyperlink w:history="true" w:anchor="_TOC_250023">
            <w:r>
              <w:rPr/>
              <w:t>5.-</w:t>
            </w:r>
            <w:r>
              <w:rPr>
                <w:spacing w:val="-2"/>
              </w:rPr>
              <w:t> </w:t>
            </w:r>
            <w:r>
              <w:rPr/>
              <w:t>Justificación</w:t>
              <w:tab/>
              <w:t>25</w:t>
            </w:r>
          </w:hyperlink>
        </w:p>
        <w:p>
          <w:pPr>
            <w:pStyle w:val="TOC3"/>
            <w:tabs>
              <w:tab w:pos="8820" w:val="right" w:leader="none"/>
            </w:tabs>
            <w:ind w:left="376"/>
          </w:pPr>
          <w:hyperlink w:history="true" w:anchor="_TOC_250022">
            <w:r>
              <w:rPr/>
              <w:t>6.-</w:t>
            </w:r>
            <w:r>
              <w:rPr>
                <w:spacing w:val="-2"/>
              </w:rPr>
              <w:t> </w:t>
            </w:r>
            <w:r>
              <w:rPr/>
              <w:t>Objetivos</w:t>
              <w:tab/>
              <w:t>27</w:t>
            </w:r>
          </w:hyperlink>
        </w:p>
        <w:p>
          <w:pPr>
            <w:pStyle w:val="TOC4"/>
            <w:tabs>
              <w:tab w:pos="8820" w:val="right" w:leader="none"/>
            </w:tabs>
            <w:ind w:left="390"/>
          </w:pPr>
          <w:hyperlink w:history="true" w:anchor="_TOC_250021">
            <w:r>
              <w:rPr/>
              <w:t>7.-</w:t>
            </w:r>
            <w:r>
              <w:rPr>
                <w:spacing w:val="66"/>
              </w:rPr>
              <w:t> </w:t>
            </w:r>
            <w:r>
              <w:rPr/>
              <w:t>Hipótesis</w:t>
              <w:tab/>
              <w:t>29</w:t>
            </w:r>
          </w:hyperlink>
        </w:p>
        <w:p>
          <w:pPr>
            <w:pStyle w:val="TOC3"/>
            <w:tabs>
              <w:tab w:pos="8825" w:val="right" w:leader="none"/>
            </w:tabs>
            <w:spacing w:before="201"/>
          </w:pPr>
          <w:hyperlink w:history="true" w:anchor="_TOC_250020">
            <w:r>
              <w:rPr/>
              <w:t>8.-</w:t>
            </w:r>
            <w:r>
              <w:rPr>
                <w:spacing w:val="-2"/>
              </w:rPr>
              <w:t> </w:t>
            </w:r>
            <w:r>
              <w:rPr/>
              <w:t>Diseño</w:t>
            </w:r>
            <w:r>
              <w:rPr>
                <w:spacing w:val="-1"/>
              </w:rPr>
              <w:t> </w:t>
            </w:r>
            <w:r>
              <w:rPr/>
              <w:t>metodológico</w:t>
              <w:tab/>
              <w:t>31</w:t>
            </w:r>
          </w:hyperlink>
        </w:p>
        <w:p>
          <w:pPr>
            <w:pStyle w:val="TOC6"/>
            <w:numPr>
              <w:ilvl w:val="1"/>
              <w:numId w:val="1"/>
            </w:numPr>
            <w:tabs>
              <w:tab w:pos="1031" w:val="left" w:leader="none"/>
              <w:tab w:pos="8673" w:val="left" w:leader="none"/>
            </w:tabs>
            <w:spacing w:line="240" w:lineRule="auto" w:before="267" w:after="0"/>
            <w:ind w:left="1030" w:right="0" w:hanging="400"/>
            <w:jc w:val="left"/>
          </w:pPr>
          <w:hyperlink w:history="true" w:anchor="_TOC_250019">
            <w:r>
              <w:rPr/>
              <w:t>Tipo</w:t>
            </w:r>
            <w:r>
              <w:rPr>
                <w:spacing w:val="-1"/>
              </w:rPr>
              <w:t> </w:t>
            </w:r>
            <w:r>
              <w:rPr/>
              <w:t>de</w:t>
            </w:r>
            <w:r>
              <w:rPr>
                <w:spacing w:val="-2"/>
              </w:rPr>
              <w:t> </w:t>
            </w:r>
            <w:r>
              <w:rPr/>
              <w:t>estudio</w:t>
              <w:tab/>
              <w:t>32</w:t>
            </w:r>
          </w:hyperlink>
        </w:p>
        <w:p>
          <w:pPr>
            <w:pStyle w:val="TOC6"/>
            <w:numPr>
              <w:ilvl w:val="1"/>
              <w:numId w:val="1"/>
            </w:numPr>
            <w:tabs>
              <w:tab w:pos="1031" w:val="left" w:leader="none"/>
              <w:tab w:pos="8647" w:val="left" w:leader="none"/>
            </w:tabs>
            <w:spacing w:line="240" w:lineRule="auto" w:before="242" w:after="0"/>
            <w:ind w:left="1030" w:right="0" w:hanging="400"/>
            <w:jc w:val="left"/>
          </w:pPr>
          <w:hyperlink w:history="true" w:anchor="_TOC_250018">
            <w:r>
              <w:rPr/>
              <w:t>Población</w:t>
            </w:r>
            <w:r>
              <w:rPr>
                <w:spacing w:val="-3"/>
              </w:rPr>
              <w:t> </w:t>
            </w:r>
            <w:r>
              <w:rPr/>
              <w:t>universo</w:t>
              <w:tab/>
              <w:t>32</w:t>
            </w:r>
          </w:hyperlink>
        </w:p>
        <w:p>
          <w:pPr>
            <w:pStyle w:val="TOC6"/>
            <w:numPr>
              <w:ilvl w:val="1"/>
              <w:numId w:val="1"/>
            </w:numPr>
            <w:tabs>
              <w:tab w:pos="1031" w:val="left" w:leader="none"/>
              <w:tab w:pos="8633" w:val="left" w:leader="none"/>
            </w:tabs>
            <w:spacing w:line="240" w:lineRule="auto" w:before="240" w:after="0"/>
            <w:ind w:left="1030" w:right="0" w:hanging="400"/>
            <w:jc w:val="left"/>
          </w:pPr>
          <w:hyperlink w:history="true" w:anchor="_TOC_250017">
            <w:r>
              <w:rPr/>
              <w:t>Muestreo</w:t>
              <w:tab/>
              <w:t>32</w:t>
            </w:r>
          </w:hyperlink>
        </w:p>
        <w:p>
          <w:pPr>
            <w:pStyle w:val="TOC7"/>
            <w:tabs>
              <w:tab w:pos="8649" w:val="left" w:leader="none"/>
            </w:tabs>
          </w:pPr>
          <w:hyperlink w:history="true" w:anchor="_TOC_250016">
            <w:r>
              <w:rPr/>
              <w:t>8.3.1.-Tamaño de</w:t>
            </w:r>
            <w:r>
              <w:rPr>
                <w:spacing w:val="-1"/>
              </w:rPr>
              <w:t> </w:t>
            </w:r>
            <w:r>
              <w:rPr/>
              <w:t>la</w:t>
            </w:r>
            <w:r>
              <w:rPr>
                <w:spacing w:val="-3"/>
              </w:rPr>
              <w:t> </w:t>
            </w:r>
            <w:r>
              <w:rPr/>
              <w:t>muestra</w:t>
              <w:tab/>
              <w:t>32</w:t>
            </w:r>
          </w:hyperlink>
        </w:p>
        <w:p>
          <w:pPr>
            <w:pStyle w:val="TOC7"/>
            <w:tabs>
              <w:tab w:pos="8645" w:val="left" w:leader="none"/>
            </w:tabs>
            <w:spacing w:before="240"/>
          </w:pPr>
          <w:hyperlink w:history="true" w:anchor="_TOC_250015">
            <w:r>
              <w:rPr/>
              <w:t>8.3.2.-Tipo</w:t>
            </w:r>
            <w:r>
              <w:rPr>
                <w:spacing w:val="-3"/>
              </w:rPr>
              <w:t> </w:t>
            </w:r>
            <w:r>
              <w:rPr/>
              <w:t>de</w:t>
            </w:r>
            <w:r>
              <w:rPr>
                <w:spacing w:val="-3"/>
              </w:rPr>
              <w:t> </w:t>
            </w:r>
            <w:r>
              <w:rPr/>
              <w:t>muestreo</w:t>
              <w:tab/>
              <w:t>33</w:t>
            </w:r>
          </w:hyperlink>
        </w:p>
        <w:p>
          <w:pPr>
            <w:pStyle w:val="TOC7"/>
            <w:tabs>
              <w:tab w:pos="8606" w:val="left" w:leader="none"/>
            </w:tabs>
          </w:pPr>
          <w:hyperlink w:history="true" w:anchor="_TOC_250014">
            <w:r>
              <w:rPr/>
              <w:t>8.3.3.-Selección de los Elementos</w:t>
            </w:r>
            <w:r>
              <w:rPr>
                <w:spacing w:val="-13"/>
              </w:rPr>
              <w:t> </w:t>
            </w:r>
            <w:r>
              <w:rPr/>
              <w:t>de</w:t>
            </w:r>
            <w:r>
              <w:rPr>
                <w:spacing w:val="-2"/>
              </w:rPr>
              <w:t> </w:t>
            </w:r>
            <w:r>
              <w:rPr/>
              <w:t>Observación</w:t>
              <w:tab/>
              <w:t>33</w:t>
            </w:r>
          </w:hyperlink>
        </w:p>
        <w:p>
          <w:pPr>
            <w:pStyle w:val="TOC6"/>
            <w:tabs>
              <w:tab w:pos="8633" w:val="left" w:leader="none"/>
            </w:tabs>
            <w:spacing w:before="240"/>
          </w:pPr>
          <w:hyperlink w:history="true" w:anchor="_TOC_250013">
            <w:r>
              <w:rPr/>
              <w:t>8.4.- Criterios</w:t>
            </w:r>
            <w:r>
              <w:rPr>
                <w:spacing w:val="-4"/>
              </w:rPr>
              <w:t> </w:t>
            </w:r>
            <w:r>
              <w:rPr/>
              <w:t>del</w:t>
            </w:r>
            <w:r>
              <w:rPr>
                <w:spacing w:val="-2"/>
              </w:rPr>
              <w:t> </w:t>
            </w:r>
            <w:r>
              <w:rPr/>
              <w:t>estudio</w:t>
              <w:tab/>
              <w:t>33</w:t>
            </w:r>
          </w:hyperlink>
        </w:p>
        <w:p>
          <w:pPr>
            <w:pStyle w:val="TOC6"/>
            <w:tabs>
              <w:tab w:pos="8647" w:val="left" w:leader="none"/>
            </w:tabs>
          </w:pPr>
          <w:hyperlink w:history="true" w:anchor="_TOC_250012">
            <w:r>
              <w:rPr/>
              <w:t>8.5.-Variables</w:t>
              <w:tab/>
              <w:t>34</w:t>
            </w:r>
          </w:hyperlink>
        </w:p>
        <w:p>
          <w:pPr>
            <w:pStyle w:val="TOC6"/>
            <w:tabs>
              <w:tab w:pos="8621" w:val="left" w:leader="none"/>
            </w:tabs>
          </w:pPr>
          <w:hyperlink w:history="true" w:anchor="_TOC_250011">
            <w:r>
              <w:rPr/>
              <w:t>8.6.- Materiales</w:t>
            </w:r>
            <w:r>
              <w:rPr>
                <w:spacing w:val="-1"/>
              </w:rPr>
              <w:t> </w:t>
            </w:r>
            <w:r>
              <w:rPr/>
              <w:t>y</w:t>
            </w:r>
            <w:r>
              <w:rPr>
                <w:spacing w:val="-6"/>
              </w:rPr>
              <w:t> </w:t>
            </w:r>
            <w:r>
              <w:rPr/>
              <w:t>método</w:t>
              <w:tab/>
              <w:t>35</w:t>
            </w:r>
          </w:hyperlink>
        </w:p>
        <w:p>
          <w:pPr>
            <w:pStyle w:val="TOC8"/>
            <w:tabs>
              <w:tab w:pos="8621" w:val="left" w:leader="none"/>
            </w:tabs>
            <w:spacing w:before="240"/>
          </w:pPr>
          <w:hyperlink w:history="true" w:anchor="_TOC_250010">
            <w:r>
              <w:rPr/>
              <w:t>8.6.1.-</w:t>
            </w:r>
            <w:r>
              <w:rPr>
                <w:spacing w:val="-2"/>
              </w:rPr>
              <w:t> </w:t>
            </w:r>
            <w:r>
              <w:rPr/>
              <w:t>Materiales</w:t>
              <w:tab/>
              <w:t>35</w:t>
            </w:r>
          </w:hyperlink>
        </w:p>
        <w:p>
          <w:pPr>
            <w:pStyle w:val="TOC8"/>
            <w:tabs>
              <w:tab w:pos="8635" w:val="left" w:leader="none"/>
            </w:tabs>
            <w:spacing w:before="199"/>
          </w:pPr>
          <w:hyperlink w:history="true" w:anchor="_TOC_250009">
            <w:r>
              <w:rPr/>
              <w:t>8.6.2.-Método</w:t>
              <w:tab/>
              <w:t>36</w:t>
            </w:r>
          </w:hyperlink>
        </w:p>
        <w:p>
          <w:pPr>
            <w:tabs>
              <w:tab w:pos="8647" w:val="left" w:leader="none"/>
            </w:tabs>
            <w:spacing w:before="201"/>
            <w:ind w:left="1830" w:right="0" w:firstLine="0"/>
            <w:jc w:val="left"/>
            <w:rPr>
              <w:b/>
              <w:sz w:val="24"/>
            </w:rPr>
          </w:pPr>
          <w:r>
            <w:rPr>
              <w:b/>
              <w:sz w:val="24"/>
            </w:rPr>
            <w:t>8.6.2.1.- Recolección de los datos</w:t>
          </w:r>
          <w:r>
            <w:rPr>
              <w:b/>
              <w:spacing w:val="-10"/>
              <w:sz w:val="24"/>
            </w:rPr>
            <w:t> </w:t>
          </w:r>
          <w:r>
            <w:rPr>
              <w:b/>
              <w:sz w:val="24"/>
            </w:rPr>
            <w:t>del</w:t>
          </w:r>
          <w:r>
            <w:rPr>
              <w:b/>
              <w:spacing w:val="-1"/>
              <w:sz w:val="24"/>
            </w:rPr>
            <w:t> </w:t>
          </w:r>
          <w:r>
            <w:rPr>
              <w:b/>
              <w:sz w:val="24"/>
            </w:rPr>
            <w:t>paciente</w:t>
            <w:tab/>
            <w:t>36</w:t>
          </w:r>
        </w:p>
        <w:p>
          <w:pPr>
            <w:tabs>
              <w:tab w:pos="8594" w:val="left" w:leader="none"/>
            </w:tabs>
            <w:spacing w:before="199"/>
            <w:ind w:left="1830" w:right="0" w:firstLine="0"/>
            <w:jc w:val="left"/>
            <w:rPr>
              <w:b/>
              <w:sz w:val="24"/>
            </w:rPr>
          </w:pPr>
          <w:r>
            <w:rPr>
              <w:b/>
              <w:sz w:val="24"/>
            </w:rPr>
            <w:t>8.6.2.2.- Estimación del</w:t>
          </w:r>
          <w:r>
            <w:rPr>
              <w:b/>
              <w:spacing w:val="-8"/>
              <w:sz w:val="24"/>
            </w:rPr>
            <w:t> </w:t>
          </w:r>
          <w:r>
            <w:rPr>
              <w:b/>
              <w:sz w:val="24"/>
            </w:rPr>
            <w:t>pH</w:t>
          </w:r>
          <w:r>
            <w:rPr>
              <w:b/>
              <w:spacing w:val="-2"/>
              <w:sz w:val="24"/>
            </w:rPr>
            <w:t> </w:t>
          </w:r>
          <w:r>
            <w:rPr>
              <w:b/>
              <w:sz w:val="24"/>
            </w:rPr>
            <w:t>saliva</w:t>
            <w:tab/>
            <w:t>36</w:t>
          </w:r>
        </w:p>
        <w:p>
          <w:pPr>
            <w:tabs>
              <w:tab w:pos="8621" w:val="left" w:leader="none"/>
            </w:tabs>
            <w:spacing w:before="199"/>
            <w:ind w:left="1830" w:right="0" w:firstLine="0"/>
            <w:jc w:val="left"/>
            <w:rPr>
              <w:b/>
              <w:sz w:val="24"/>
            </w:rPr>
          </w:pPr>
          <w:r>
            <w:rPr>
              <w:b/>
              <w:sz w:val="24"/>
            </w:rPr>
            <w:t>8.6.2.3.- Determinación del grado</w:t>
          </w:r>
          <w:r>
            <w:rPr>
              <w:b/>
              <w:spacing w:val="-10"/>
              <w:sz w:val="24"/>
            </w:rPr>
            <w:t> </w:t>
          </w:r>
          <w:r>
            <w:rPr>
              <w:b/>
              <w:sz w:val="24"/>
            </w:rPr>
            <w:t>de desmineralización</w:t>
            <w:tab/>
            <w:t>37</w:t>
          </w:r>
        </w:p>
        <w:p>
          <w:pPr>
            <w:tabs>
              <w:tab w:pos="8633" w:val="left" w:leader="none"/>
            </w:tabs>
            <w:spacing w:before="201"/>
            <w:ind w:left="2831" w:right="0" w:firstLine="0"/>
            <w:jc w:val="left"/>
            <w:rPr>
              <w:b/>
              <w:sz w:val="24"/>
            </w:rPr>
          </w:pPr>
          <w:r>
            <w:rPr>
              <w:b/>
              <w:sz w:val="24"/>
            </w:rPr>
            <w:t>Dental</w:t>
            <w:tab/>
            <w:t>37</w:t>
          </w:r>
        </w:p>
        <w:p>
          <w:pPr>
            <w:tabs>
              <w:tab w:pos="8635" w:val="left" w:leader="none"/>
            </w:tabs>
            <w:spacing w:before="199"/>
            <w:ind w:left="1830" w:right="0" w:firstLine="0"/>
            <w:jc w:val="left"/>
            <w:rPr>
              <w:b/>
              <w:sz w:val="24"/>
            </w:rPr>
          </w:pPr>
          <w:hyperlink w:history="true" w:anchor="_TOC_250008">
            <w:r>
              <w:rPr>
                <w:b/>
                <w:sz w:val="24"/>
              </w:rPr>
              <w:t>8.6.2.4.-Muestreo</w:t>
            </w:r>
            <w:r>
              <w:rPr>
                <w:b/>
                <w:spacing w:val="-3"/>
                <w:sz w:val="24"/>
              </w:rPr>
              <w:t> </w:t>
            </w:r>
            <w:r>
              <w:rPr>
                <w:b/>
                <w:sz w:val="24"/>
              </w:rPr>
              <w:t>microbiológico</w:t>
              <w:tab/>
              <w:t>38</w:t>
            </w:r>
          </w:hyperlink>
        </w:p>
        <w:p>
          <w:pPr>
            <w:tabs>
              <w:tab w:pos="8621" w:val="left" w:leader="none"/>
            </w:tabs>
            <w:spacing w:before="199"/>
            <w:ind w:left="1830" w:right="0" w:firstLine="0"/>
            <w:jc w:val="left"/>
            <w:rPr>
              <w:b/>
              <w:sz w:val="24"/>
            </w:rPr>
          </w:pPr>
          <w:r>
            <w:rPr>
              <w:b/>
              <w:sz w:val="24"/>
            </w:rPr>
            <w:t>8.6.2.5.- Aplicación de las</w:t>
          </w:r>
          <w:r>
            <w:rPr>
              <w:b/>
              <w:spacing w:val="-8"/>
              <w:sz w:val="24"/>
            </w:rPr>
            <w:t> </w:t>
          </w:r>
          <w:r>
            <w:rPr>
              <w:b/>
              <w:sz w:val="24"/>
            </w:rPr>
            <w:t>variables</w:t>
          </w:r>
          <w:r>
            <w:rPr>
              <w:b/>
              <w:spacing w:val="-3"/>
              <w:sz w:val="24"/>
            </w:rPr>
            <w:t> </w:t>
          </w:r>
          <w:r>
            <w:rPr>
              <w:b/>
              <w:sz w:val="24"/>
            </w:rPr>
            <w:t>tratamiento</w:t>
            <w:tab/>
            <w:t>40</w:t>
          </w:r>
        </w:p>
        <w:p>
          <w:pPr>
            <w:tabs>
              <w:tab w:pos="8621" w:val="left" w:leader="none"/>
            </w:tabs>
            <w:spacing w:before="201"/>
            <w:ind w:left="1830" w:right="0" w:firstLine="0"/>
            <w:jc w:val="left"/>
            <w:rPr>
              <w:b/>
              <w:sz w:val="24"/>
            </w:rPr>
          </w:pPr>
          <w:r>
            <w:rPr>
              <w:b/>
              <w:sz w:val="24"/>
            </w:rPr>
            <w:t>8.6.2.5.1.- Aplicación</w:t>
          </w:r>
          <w:r>
            <w:rPr>
              <w:b/>
              <w:spacing w:val="-3"/>
              <w:sz w:val="24"/>
            </w:rPr>
            <w:t> </w:t>
          </w:r>
          <w:r>
            <w:rPr>
              <w:b/>
              <w:sz w:val="24"/>
            </w:rPr>
            <w:t>de</w:t>
          </w:r>
          <w:r>
            <w:rPr>
              <w:b/>
              <w:spacing w:val="-3"/>
              <w:sz w:val="24"/>
            </w:rPr>
            <w:t> </w:t>
          </w:r>
          <w:r>
            <w:rPr>
              <w:b/>
              <w:sz w:val="24"/>
            </w:rPr>
            <w:t>clorhexidina</w:t>
            <w:tab/>
            <w:t>40</w:t>
          </w:r>
        </w:p>
        <w:p>
          <w:pPr>
            <w:tabs>
              <w:tab w:pos="8647" w:val="left" w:leader="none"/>
            </w:tabs>
            <w:spacing w:before="199"/>
            <w:ind w:left="1830" w:right="0" w:firstLine="0"/>
            <w:jc w:val="left"/>
            <w:rPr>
              <w:b/>
              <w:sz w:val="24"/>
            </w:rPr>
          </w:pPr>
          <w:r>
            <w:rPr>
              <w:b/>
              <w:sz w:val="24"/>
            </w:rPr>
            <w:t>8.6.2.5.2.- Aplicación de Fluoruro</w:t>
          </w:r>
          <w:r>
            <w:rPr>
              <w:b/>
              <w:spacing w:val="-5"/>
              <w:sz w:val="24"/>
            </w:rPr>
            <w:t> </w:t>
          </w:r>
          <w:r>
            <w:rPr>
              <w:b/>
              <w:sz w:val="24"/>
            </w:rPr>
            <w:t>de</w:t>
          </w:r>
          <w:r>
            <w:rPr>
              <w:b/>
              <w:spacing w:val="-2"/>
              <w:sz w:val="24"/>
            </w:rPr>
            <w:t> </w:t>
          </w:r>
          <w:r>
            <w:rPr>
              <w:b/>
              <w:sz w:val="24"/>
            </w:rPr>
            <w:t>sodio</w:t>
            <w:tab/>
            <w:t>41</w:t>
          </w:r>
        </w:p>
        <w:p>
          <w:pPr>
            <w:pStyle w:val="Heading6"/>
            <w:numPr>
              <w:ilvl w:val="2"/>
              <w:numId w:val="2"/>
            </w:numPr>
            <w:tabs>
              <w:tab w:pos="2432" w:val="left" w:leader="none"/>
              <w:tab w:pos="8635" w:val="left" w:leader="none"/>
            </w:tabs>
            <w:spacing w:line="240" w:lineRule="auto" w:before="199" w:after="0"/>
            <w:ind w:left="2431" w:right="0" w:hanging="601"/>
            <w:jc w:val="left"/>
          </w:pPr>
          <w:r>
            <w:rPr/>
            <w:t>Procesamiento y análisis de</w:t>
          </w:r>
          <w:r>
            <w:rPr>
              <w:spacing w:val="-12"/>
            </w:rPr>
            <w:t> </w:t>
          </w:r>
          <w:r>
            <w:rPr/>
            <w:t>los</w:t>
          </w:r>
          <w:r>
            <w:rPr>
              <w:spacing w:val="-1"/>
            </w:rPr>
            <w:t> </w:t>
          </w:r>
          <w:r>
            <w:rPr/>
            <w:t>datos</w:t>
            <w:tab/>
            <w:t>42</w:t>
          </w:r>
        </w:p>
        <w:p>
          <w:pPr>
            <w:pStyle w:val="TOC2"/>
            <w:tabs>
              <w:tab w:pos="8673" w:val="left" w:leader="none"/>
            </w:tabs>
            <w:spacing w:before="202"/>
          </w:pPr>
          <w:hyperlink w:history="true" w:anchor="_TOC_250007">
            <w:r>
              <w:rPr/>
              <w:t>9.-</w:t>
            </w:r>
            <w:r>
              <w:rPr>
                <w:spacing w:val="-2"/>
              </w:rPr>
              <w:t> </w:t>
            </w:r>
            <w:r>
              <w:rPr/>
              <w:t>Resultados</w:t>
              <w:tab/>
              <w:t>43</w:t>
            </w:r>
          </w:hyperlink>
        </w:p>
        <w:p>
          <w:pPr>
            <w:pStyle w:val="TOC6"/>
            <w:tabs>
              <w:tab w:pos="8676" w:val="left" w:leader="none"/>
            </w:tabs>
            <w:spacing w:line="412" w:lineRule="auto" w:before="199"/>
            <w:ind w:left="1162" w:right="237" w:hanging="533"/>
          </w:pPr>
          <w:hyperlink w:history="true" w:anchor="_TOC_250006">
            <w:r>
              <w:rPr/>
              <w:t>9.1.- Publicación de artículo “Medio de cultivo selectivo para el aislamiento de</w:t>
            </w:r>
            <w:r>
              <w:rPr>
                <w:spacing w:val="-3"/>
              </w:rPr>
              <w:t> </w:t>
            </w:r>
            <w:r>
              <w:rPr>
                <w:i/>
              </w:rPr>
              <w:t>Streptococcus</w:t>
            </w:r>
            <w:r>
              <w:rPr>
                <w:i/>
                <w:spacing w:val="-1"/>
              </w:rPr>
              <w:t> </w:t>
            </w:r>
            <w:r>
              <w:rPr>
                <w:i/>
              </w:rPr>
              <w:t>mutans</w:t>
            </w:r>
            <w:r>
              <w:rPr/>
              <w:t>”</w:t>
              <w:tab/>
            </w:r>
            <w:r>
              <w:rPr>
                <w:spacing w:val="-1"/>
              </w:rPr>
              <w:t>45</w:t>
            </w:r>
          </w:hyperlink>
        </w:p>
        <w:p>
          <w:pPr>
            <w:pStyle w:val="TOC6"/>
            <w:spacing w:line="412" w:lineRule="auto" w:before="8"/>
            <w:ind w:left="1165" w:right="636" w:hanging="536"/>
          </w:pPr>
          <w:r>
            <w:rPr/>
            <w:t>9.2.- Articulo enviado a publicación “Fluoruro de Sodio y Clorhexidina en la prevención d caries en niños de la</w:t>
          </w:r>
        </w:p>
        <w:p>
          <w:pPr>
            <w:pStyle w:val="TOC8"/>
            <w:tabs>
              <w:tab w:pos="8621" w:val="left" w:leader="none"/>
            </w:tabs>
          </w:pPr>
          <w:r>
            <w:rPr/>
            <w:t>Primera infancia”</w:t>
            <w:tab/>
            <w:t>46</w:t>
          </w:r>
        </w:p>
        <w:p>
          <w:pPr>
            <w:pStyle w:val="TOC6"/>
            <w:tabs>
              <w:tab w:pos="8460" w:val="left" w:leader="none"/>
            </w:tabs>
            <w:spacing w:before="267"/>
            <w:ind w:left="630"/>
          </w:pPr>
          <w:hyperlink w:history="true" w:anchor="_TOC_250005">
            <w:r>
              <w:rPr/>
              <w:t>9.3.-</w:t>
            </w:r>
            <w:r>
              <w:rPr>
                <w:spacing w:val="-3"/>
              </w:rPr>
              <w:t> </w:t>
            </w:r>
            <w:r>
              <w:rPr/>
              <w:t>Resultados</w:t>
            </w:r>
            <w:r>
              <w:rPr>
                <w:spacing w:val="-4"/>
              </w:rPr>
              <w:t> </w:t>
            </w:r>
            <w:r>
              <w:rPr/>
              <w:t>generales</w:t>
              <w:tab/>
              <w:t>47</w:t>
            </w:r>
          </w:hyperlink>
        </w:p>
        <w:p>
          <w:pPr>
            <w:pStyle w:val="TOC2"/>
            <w:tabs>
              <w:tab w:pos="8472" w:val="left" w:leader="none"/>
            </w:tabs>
          </w:pPr>
          <w:hyperlink w:history="true" w:anchor="_TOC_250004">
            <w:r>
              <w:rPr/>
              <w:t>10.-</w:t>
            </w:r>
            <w:r>
              <w:rPr>
                <w:spacing w:val="-2"/>
              </w:rPr>
              <w:t> </w:t>
            </w:r>
            <w:r>
              <w:rPr/>
              <w:t>Tablas</w:t>
              <w:tab/>
              <w:t>48</w:t>
            </w:r>
          </w:hyperlink>
        </w:p>
        <w:p>
          <w:pPr>
            <w:pStyle w:val="TOC2"/>
            <w:tabs>
              <w:tab w:pos="8457" w:val="left" w:leader="none"/>
            </w:tabs>
            <w:spacing w:before="201"/>
          </w:pPr>
          <w:hyperlink w:history="true" w:anchor="_TOC_250003">
            <w:r>
              <w:rPr/>
              <w:t>11.-</w:t>
            </w:r>
            <w:r>
              <w:rPr>
                <w:spacing w:val="62"/>
              </w:rPr>
              <w:t> </w:t>
            </w:r>
            <w:r>
              <w:rPr/>
              <w:t>Discusión</w:t>
              <w:tab/>
              <w:t>53</w:t>
            </w:r>
          </w:hyperlink>
        </w:p>
        <w:p>
          <w:pPr>
            <w:pStyle w:val="TOC2"/>
            <w:tabs>
              <w:tab w:pos="8486" w:val="left" w:leader="none"/>
            </w:tabs>
          </w:pPr>
          <w:hyperlink w:history="true" w:anchor="_TOC_250002">
            <w:r>
              <w:rPr/>
              <w:t>12.-</w:t>
            </w:r>
            <w:r>
              <w:rPr>
                <w:spacing w:val="-3"/>
              </w:rPr>
              <w:t> </w:t>
            </w:r>
            <w:r>
              <w:rPr/>
              <w:t>Conclusiones</w:t>
              <w:tab/>
              <w:t>56</w:t>
            </w:r>
          </w:hyperlink>
        </w:p>
        <w:p>
          <w:pPr>
            <w:pStyle w:val="TOC2"/>
            <w:tabs>
              <w:tab w:pos="8498" w:val="left" w:leader="none"/>
            </w:tabs>
          </w:pPr>
          <w:hyperlink w:history="true" w:anchor="_TOC_250001">
            <w:r>
              <w:rPr/>
              <w:t>13.-</w:t>
            </w:r>
            <w:r>
              <w:rPr>
                <w:spacing w:val="-2"/>
              </w:rPr>
              <w:t> </w:t>
            </w:r>
            <w:r>
              <w:rPr/>
              <w:t>Bibliografía</w:t>
              <w:tab/>
              <w:t>58</w:t>
            </w:r>
          </w:hyperlink>
        </w:p>
        <w:p>
          <w:pPr>
            <w:pStyle w:val="TOC2"/>
            <w:tabs>
              <w:tab w:pos="8513" w:val="left" w:leader="none"/>
            </w:tabs>
            <w:spacing w:before="201"/>
          </w:pPr>
          <w:hyperlink w:history="true" w:anchor="_TOC_250000">
            <w:r>
              <w:rPr/>
              <w:t>14.-</w:t>
            </w:r>
            <w:r>
              <w:rPr>
                <w:spacing w:val="-1"/>
              </w:rPr>
              <w:t> </w:t>
            </w:r>
            <w:r>
              <w:rPr/>
              <w:t>Anexos</w:t>
              <w:tab/>
              <w:t>64</w:t>
            </w:r>
          </w:hyperlink>
        </w:p>
      </w:sdtContent>
    </w:sdt>
    <w:p>
      <w:pPr>
        <w:spacing w:after="0"/>
        <w:sectPr>
          <w:type w:val="continuous"/>
          <w:pgSz w:w="12240" w:h="15840"/>
          <w:pgMar w:top="1548" w:bottom="1456" w:left="1540" w:right="1520"/>
        </w:sectPr>
      </w:pPr>
    </w:p>
    <w:p>
      <w:pPr>
        <w:pStyle w:val="BodyText"/>
        <w:spacing w:before="1"/>
        <w:rPr>
          <w:b/>
          <w:sz w:val="23"/>
        </w:rPr>
      </w:pPr>
    </w:p>
    <w:p>
      <w:pPr>
        <w:spacing w:before="0"/>
        <w:ind w:left="219" w:right="243" w:firstLine="0"/>
        <w:jc w:val="center"/>
        <w:rPr>
          <w:b/>
          <w:sz w:val="28"/>
        </w:rPr>
      </w:pPr>
      <w:r>
        <w:rPr>
          <w:b/>
          <w:sz w:val="28"/>
        </w:rPr>
        <w:t>INDICE DE FIGURAS</w:t>
      </w:r>
    </w:p>
    <w:p>
      <w:pPr>
        <w:pStyle w:val="BodyText"/>
        <w:rPr>
          <w:b/>
          <w:sz w:val="28"/>
        </w:rPr>
      </w:pPr>
    </w:p>
    <w:p>
      <w:pPr>
        <w:pStyle w:val="BodyText"/>
        <w:rPr>
          <w:b/>
          <w:sz w:val="28"/>
        </w:rPr>
      </w:pPr>
    </w:p>
    <w:p>
      <w:pPr>
        <w:tabs>
          <w:tab w:pos="7565" w:val="left" w:leader="none"/>
        </w:tabs>
        <w:spacing w:before="175"/>
        <w:ind w:left="162" w:right="0" w:firstLine="0"/>
        <w:jc w:val="left"/>
        <w:rPr>
          <w:b/>
          <w:sz w:val="24"/>
        </w:rPr>
      </w:pPr>
      <w:r>
        <w:rPr>
          <w:b/>
          <w:sz w:val="24"/>
        </w:rPr>
        <w:t>Figura</w:t>
        <w:tab/>
        <w:t>Página</w:t>
      </w:r>
    </w:p>
    <w:p>
      <w:pPr>
        <w:pStyle w:val="BodyText"/>
        <w:rPr>
          <w:b/>
        </w:rPr>
      </w:pPr>
    </w:p>
    <w:p>
      <w:pPr>
        <w:pStyle w:val="BodyText"/>
        <w:rPr>
          <w:b/>
        </w:rPr>
      </w:pPr>
    </w:p>
    <w:p>
      <w:pPr>
        <w:tabs>
          <w:tab w:pos="8018" w:val="left" w:leader="none"/>
        </w:tabs>
        <w:spacing w:before="206"/>
        <w:ind w:left="162" w:right="0" w:firstLine="0"/>
        <w:jc w:val="left"/>
        <w:rPr>
          <w:b/>
          <w:sz w:val="24"/>
        </w:rPr>
      </w:pPr>
      <w:r>
        <w:rPr>
          <w:b/>
          <w:sz w:val="24"/>
        </w:rPr>
        <w:t>Figura 8.1  </w:t>
      </w:r>
      <w:r>
        <w:rPr>
          <w:sz w:val="24"/>
        </w:rPr>
        <w:t>Determinación de</w:t>
      </w:r>
      <w:r>
        <w:rPr>
          <w:spacing w:val="-4"/>
          <w:sz w:val="24"/>
        </w:rPr>
        <w:t> </w:t>
      </w:r>
      <w:r>
        <w:rPr>
          <w:sz w:val="24"/>
        </w:rPr>
        <w:t>pH</w:t>
      </w:r>
      <w:r>
        <w:rPr>
          <w:spacing w:val="-2"/>
          <w:sz w:val="24"/>
        </w:rPr>
        <w:t> </w:t>
      </w:r>
      <w:r>
        <w:rPr>
          <w:sz w:val="24"/>
        </w:rPr>
        <w:t>salival</w:t>
      </w:r>
      <w:r>
        <w:rPr>
          <w:b/>
          <w:sz w:val="24"/>
        </w:rPr>
        <w:tab/>
        <w:t>37</w:t>
      </w:r>
    </w:p>
    <w:p>
      <w:pPr>
        <w:pStyle w:val="BodyText"/>
        <w:rPr>
          <w:b/>
        </w:rPr>
      </w:pPr>
    </w:p>
    <w:p>
      <w:pPr>
        <w:pStyle w:val="BodyText"/>
        <w:rPr>
          <w:b/>
        </w:rPr>
      </w:pPr>
    </w:p>
    <w:p>
      <w:pPr>
        <w:tabs>
          <w:tab w:pos="8021" w:val="left" w:leader="none"/>
        </w:tabs>
        <w:spacing w:before="209"/>
        <w:ind w:left="162" w:right="0" w:firstLine="0"/>
        <w:jc w:val="left"/>
        <w:rPr>
          <w:b/>
          <w:sz w:val="24"/>
        </w:rPr>
      </w:pPr>
      <w:r>
        <w:rPr>
          <w:b/>
          <w:sz w:val="24"/>
        </w:rPr>
        <w:t>Figura 8.2  </w:t>
      </w:r>
      <w:r>
        <w:rPr>
          <w:sz w:val="24"/>
        </w:rPr>
        <w:t>Determinación de</w:t>
      </w:r>
      <w:r>
        <w:rPr>
          <w:spacing w:val="-6"/>
          <w:sz w:val="24"/>
        </w:rPr>
        <w:t> </w:t>
      </w:r>
      <w:r>
        <w:rPr>
          <w:sz w:val="24"/>
        </w:rPr>
        <w:t>desmineralización</w:t>
      </w:r>
      <w:r>
        <w:rPr>
          <w:spacing w:val="-1"/>
          <w:sz w:val="24"/>
        </w:rPr>
        <w:t> </w:t>
      </w:r>
      <w:r>
        <w:rPr>
          <w:sz w:val="24"/>
        </w:rPr>
        <w:t>dental</w:t>
      </w:r>
      <w:r>
        <w:rPr>
          <w:b/>
          <w:sz w:val="24"/>
        </w:rPr>
        <w:tab/>
        <w:t>37</w:t>
      </w:r>
    </w:p>
    <w:p>
      <w:pPr>
        <w:pStyle w:val="BodyText"/>
        <w:rPr>
          <w:b/>
        </w:rPr>
      </w:pPr>
    </w:p>
    <w:p>
      <w:pPr>
        <w:pStyle w:val="BodyText"/>
        <w:rPr>
          <w:b/>
        </w:rPr>
      </w:pPr>
    </w:p>
    <w:p>
      <w:pPr>
        <w:tabs>
          <w:tab w:pos="7977" w:val="left" w:leader="none"/>
        </w:tabs>
        <w:spacing w:before="206"/>
        <w:ind w:left="162" w:right="0" w:firstLine="0"/>
        <w:jc w:val="left"/>
        <w:rPr>
          <w:b/>
          <w:sz w:val="24"/>
        </w:rPr>
      </w:pPr>
      <w:r>
        <w:rPr>
          <w:b/>
          <w:sz w:val="24"/>
        </w:rPr>
        <w:t>Figura 8.3  </w:t>
      </w:r>
      <w:r>
        <w:rPr>
          <w:sz w:val="24"/>
        </w:rPr>
        <w:t>Toma</w:t>
      </w:r>
      <w:r>
        <w:rPr>
          <w:spacing w:val="-4"/>
          <w:sz w:val="24"/>
        </w:rPr>
        <w:t> </w:t>
      </w:r>
      <w:r>
        <w:rPr>
          <w:sz w:val="24"/>
        </w:rPr>
        <w:t>de</w:t>
      </w:r>
      <w:r>
        <w:rPr>
          <w:spacing w:val="-5"/>
          <w:sz w:val="24"/>
        </w:rPr>
        <w:t> </w:t>
      </w:r>
      <w:r>
        <w:rPr>
          <w:sz w:val="24"/>
        </w:rPr>
        <w:t>muestra</w:t>
      </w:r>
      <w:r>
        <w:rPr>
          <w:b/>
          <w:sz w:val="24"/>
        </w:rPr>
        <w:tab/>
        <w:t>38</w:t>
      </w:r>
    </w:p>
    <w:p>
      <w:pPr>
        <w:pStyle w:val="BodyText"/>
        <w:rPr>
          <w:b/>
        </w:rPr>
      </w:pPr>
    </w:p>
    <w:p>
      <w:pPr>
        <w:pStyle w:val="BodyText"/>
        <w:rPr>
          <w:b/>
        </w:rPr>
      </w:pPr>
    </w:p>
    <w:p>
      <w:pPr>
        <w:tabs>
          <w:tab w:pos="8023" w:val="left" w:leader="none"/>
        </w:tabs>
        <w:spacing w:before="206"/>
        <w:ind w:left="162" w:right="0" w:firstLine="0"/>
        <w:jc w:val="left"/>
        <w:rPr>
          <w:b/>
          <w:sz w:val="24"/>
        </w:rPr>
      </w:pPr>
      <w:r>
        <w:rPr>
          <w:b/>
          <w:sz w:val="24"/>
        </w:rPr>
        <w:t>Figura 8.4  </w:t>
      </w:r>
      <w:r>
        <w:rPr>
          <w:sz w:val="24"/>
        </w:rPr>
        <w:t>Aplicación de Clorhexidina y Fluoruro</w:t>
      </w:r>
      <w:r>
        <w:rPr>
          <w:spacing w:val="-10"/>
          <w:sz w:val="24"/>
        </w:rPr>
        <w:t> </w:t>
      </w:r>
      <w:r>
        <w:rPr>
          <w:sz w:val="24"/>
        </w:rPr>
        <w:t>de</w:t>
      </w:r>
      <w:r>
        <w:rPr>
          <w:spacing w:val="-3"/>
          <w:sz w:val="24"/>
        </w:rPr>
        <w:t> </w:t>
      </w:r>
      <w:r>
        <w:rPr>
          <w:sz w:val="24"/>
        </w:rPr>
        <w:t>Sodio</w:t>
      </w:r>
      <w:r>
        <w:rPr>
          <w:b/>
          <w:sz w:val="24"/>
        </w:rPr>
        <w:tab/>
        <w:t>41</w:t>
      </w:r>
    </w:p>
    <w:p>
      <w:pPr>
        <w:spacing w:after="0"/>
        <w:jc w:val="left"/>
        <w:rPr>
          <w:sz w:val="24"/>
        </w:rPr>
        <w:sectPr>
          <w:pgSz w:w="12240" w:h="15840"/>
          <w:pgMar w:header="729" w:footer="0" w:top="1540" w:bottom="280" w:left="1540" w:right="1520"/>
        </w:sectPr>
      </w:pPr>
    </w:p>
    <w:p>
      <w:pPr>
        <w:pStyle w:val="BodyText"/>
        <w:spacing w:before="5"/>
        <w:rPr>
          <w:b/>
          <w:sz w:val="17"/>
        </w:rPr>
      </w:pPr>
    </w:p>
    <w:p>
      <w:pPr>
        <w:pStyle w:val="Heading4"/>
        <w:ind w:left="219" w:right="235"/>
        <w:jc w:val="center"/>
      </w:pPr>
      <w:r>
        <w:rPr/>
        <w:t>INDICE DE TABLAS</w:t>
      </w:r>
    </w:p>
    <w:p>
      <w:pPr>
        <w:pStyle w:val="BodyText"/>
        <w:rPr>
          <w:b/>
          <w:sz w:val="28"/>
        </w:rPr>
      </w:pPr>
    </w:p>
    <w:p>
      <w:pPr>
        <w:pStyle w:val="BodyText"/>
        <w:rPr>
          <w:b/>
          <w:sz w:val="28"/>
        </w:rPr>
      </w:pPr>
    </w:p>
    <w:p>
      <w:pPr>
        <w:pStyle w:val="Heading6"/>
        <w:tabs>
          <w:tab w:pos="7857" w:val="left" w:leader="none"/>
        </w:tabs>
        <w:spacing w:before="175"/>
        <w:ind w:left="162"/>
      </w:pPr>
      <w:r>
        <w:rPr/>
        <w:t>Tabla</w:t>
        <w:tab/>
        <w:t>Página</w:t>
      </w:r>
    </w:p>
    <w:p>
      <w:pPr>
        <w:pStyle w:val="BodyText"/>
        <w:rPr>
          <w:b/>
        </w:rPr>
      </w:pPr>
    </w:p>
    <w:p>
      <w:pPr>
        <w:pStyle w:val="BodyText"/>
        <w:rPr>
          <w:b/>
        </w:rPr>
      </w:pPr>
    </w:p>
    <w:p>
      <w:pPr>
        <w:pStyle w:val="BodyText"/>
        <w:spacing w:line="412" w:lineRule="auto" w:before="165"/>
        <w:ind w:left="162" w:right="2674"/>
      </w:pPr>
      <w:r>
        <w:rPr>
          <w:b/>
        </w:rPr>
        <w:t>Tabla 10. 1</w:t>
      </w:r>
      <w:r>
        <w:rPr/>
        <w:t>. Medidas descriptivas de niños de 0 a 3 años, de Estancias infantiles de la ciudad  de Toluca Estado</w:t>
      </w:r>
    </w:p>
    <w:p>
      <w:pPr>
        <w:pStyle w:val="BodyText"/>
        <w:tabs>
          <w:tab w:pos="8328" w:val="left" w:leader="none"/>
        </w:tabs>
        <w:spacing w:before="9"/>
        <w:ind w:left="162"/>
        <w:rPr>
          <w:b/>
        </w:rPr>
      </w:pPr>
      <w:r>
        <w:rPr/>
        <w:t>de México;</w:t>
      </w:r>
      <w:r>
        <w:rPr>
          <w:spacing w:val="-3"/>
        </w:rPr>
        <w:t> </w:t>
      </w:r>
      <w:r>
        <w:rPr/>
        <w:t>año</w:t>
      </w:r>
      <w:r>
        <w:rPr>
          <w:spacing w:val="-2"/>
        </w:rPr>
        <w:t> </w:t>
      </w:r>
      <w:r>
        <w:rPr/>
        <w:t>2012</w:t>
      </w:r>
      <w:r>
        <w:rPr>
          <w:b/>
        </w:rPr>
        <w:tab/>
        <w:t>49</w:t>
      </w:r>
    </w:p>
    <w:p>
      <w:pPr>
        <w:pStyle w:val="BodyText"/>
        <w:spacing w:line="360" w:lineRule="auto" w:before="614"/>
        <w:ind w:left="162" w:right="2674"/>
      </w:pPr>
      <w:r>
        <w:rPr>
          <w:b/>
        </w:rPr>
        <w:t>Tabla 10. 2. </w:t>
      </w:r>
      <w:r>
        <w:rPr/>
        <w:t>Diferencia de medias de pH salival, de niños de estancias infantiles, de la ciudad de Toluca, Estado</w:t>
      </w:r>
    </w:p>
    <w:p>
      <w:pPr>
        <w:tabs>
          <w:tab w:pos="8328" w:val="left" w:leader="none"/>
        </w:tabs>
        <w:spacing w:before="2"/>
        <w:ind w:left="162" w:right="0" w:firstLine="0"/>
        <w:jc w:val="left"/>
        <w:rPr>
          <w:b/>
          <w:sz w:val="24"/>
        </w:rPr>
      </w:pPr>
      <w:r>
        <w:rPr>
          <w:sz w:val="24"/>
        </w:rPr>
        <w:t>de</w:t>
      </w:r>
      <w:r>
        <w:rPr>
          <w:spacing w:val="-1"/>
          <w:sz w:val="24"/>
        </w:rPr>
        <w:t> </w:t>
      </w:r>
      <w:r>
        <w:rPr>
          <w:sz w:val="24"/>
        </w:rPr>
        <w:t>México.</w:t>
      </w:r>
      <w:r>
        <w:rPr>
          <w:b/>
          <w:sz w:val="24"/>
        </w:rPr>
        <w:tab/>
        <w:t>50</w:t>
      </w:r>
    </w:p>
    <w:p>
      <w:pPr>
        <w:spacing w:before="552"/>
        <w:ind w:left="162" w:right="0" w:firstLine="0"/>
        <w:jc w:val="left"/>
        <w:rPr>
          <w:sz w:val="24"/>
        </w:rPr>
      </w:pPr>
      <w:r>
        <w:rPr>
          <w:b/>
          <w:sz w:val="24"/>
        </w:rPr>
        <w:t>Tabla 10. 3. </w:t>
      </w:r>
      <w:r>
        <w:rPr>
          <w:sz w:val="24"/>
        </w:rPr>
        <w:t>Diferencia de  medias de unidades formadoras</w:t>
      </w:r>
    </w:p>
    <w:p>
      <w:pPr>
        <w:tabs>
          <w:tab w:pos="8289" w:val="left" w:leader="none"/>
        </w:tabs>
        <w:spacing w:before="0"/>
        <w:ind w:left="162" w:right="0" w:firstLine="0"/>
        <w:jc w:val="left"/>
        <w:rPr>
          <w:b/>
          <w:sz w:val="24"/>
        </w:rPr>
      </w:pPr>
      <w:r>
        <w:rPr>
          <w:sz w:val="24"/>
        </w:rPr>
        <w:t>de colonias de </w:t>
      </w:r>
      <w:r>
        <w:rPr>
          <w:i/>
          <w:sz w:val="24"/>
        </w:rPr>
        <w:t>Streptococcus mutans</w:t>
      </w:r>
      <w:r>
        <w:rPr>
          <w:i/>
          <w:spacing w:val="-10"/>
          <w:sz w:val="24"/>
        </w:rPr>
        <w:t> </w:t>
      </w:r>
      <w:r>
        <w:rPr>
          <w:sz w:val="24"/>
        </w:rPr>
        <w:t>entre</w:t>
      </w:r>
      <w:r>
        <w:rPr>
          <w:spacing w:val="-4"/>
          <w:sz w:val="24"/>
        </w:rPr>
        <w:t> </w:t>
      </w:r>
      <w:r>
        <w:rPr>
          <w:sz w:val="24"/>
        </w:rPr>
        <w:t>etapas.</w:t>
      </w:r>
      <w:r>
        <w:rPr>
          <w:b/>
          <w:sz w:val="24"/>
        </w:rPr>
        <w:tab/>
        <w:t>50</w:t>
      </w:r>
    </w:p>
    <w:p>
      <w:pPr>
        <w:spacing w:before="677"/>
        <w:ind w:left="162" w:right="0" w:firstLine="0"/>
        <w:jc w:val="left"/>
        <w:rPr>
          <w:sz w:val="24"/>
        </w:rPr>
      </w:pPr>
      <w:r>
        <w:rPr>
          <w:b/>
          <w:sz w:val="24"/>
        </w:rPr>
        <w:t>Tabla 10. 4. </w:t>
      </w:r>
      <w:r>
        <w:rPr>
          <w:sz w:val="24"/>
        </w:rPr>
        <w:t>Diferencia de medias de Unidades formadoras</w:t>
      </w:r>
    </w:p>
    <w:p>
      <w:pPr>
        <w:tabs>
          <w:tab w:pos="8299" w:val="left" w:leader="none"/>
        </w:tabs>
        <w:spacing w:before="38"/>
        <w:ind w:left="162" w:right="0" w:firstLine="0"/>
        <w:jc w:val="left"/>
        <w:rPr>
          <w:b/>
          <w:sz w:val="24"/>
        </w:rPr>
      </w:pPr>
      <w:r>
        <w:rPr>
          <w:sz w:val="24"/>
        </w:rPr>
        <w:t>de colonias de </w:t>
      </w:r>
      <w:r>
        <w:rPr>
          <w:i/>
          <w:sz w:val="24"/>
        </w:rPr>
        <w:t>Streptococcus mutans</w:t>
      </w:r>
      <w:r>
        <w:rPr>
          <w:i/>
          <w:spacing w:val="58"/>
          <w:sz w:val="24"/>
        </w:rPr>
        <w:t> </w:t>
      </w:r>
      <w:r>
        <w:rPr>
          <w:sz w:val="24"/>
        </w:rPr>
        <w:t>entre</w:t>
      </w:r>
      <w:r>
        <w:rPr>
          <w:spacing w:val="-5"/>
          <w:sz w:val="24"/>
        </w:rPr>
        <w:t> </w:t>
      </w:r>
      <w:r>
        <w:rPr>
          <w:sz w:val="24"/>
        </w:rPr>
        <w:t>grupos.</w:t>
      </w:r>
      <w:r>
        <w:rPr>
          <w:b/>
          <w:sz w:val="24"/>
        </w:rPr>
        <w:tab/>
        <w:t>51</w:t>
      </w:r>
    </w:p>
    <w:p>
      <w:pPr>
        <w:tabs>
          <w:tab w:pos="8261" w:val="left" w:leader="none"/>
        </w:tabs>
        <w:spacing w:before="679"/>
        <w:ind w:left="162" w:right="0" w:firstLine="0"/>
        <w:jc w:val="left"/>
        <w:rPr>
          <w:b/>
          <w:sz w:val="24"/>
        </w:rPr>
      </w:pPr>
      <w:r>
        <w:rPr>
          <w:b/>
          <w:sz w:val="24"/>
        </w:rPr>
        <w:t>Tabla 10. 5.  </w:t>
      </w:r>
      <w:r>
        <w:rPr>
          <w:sz w:val="24"/>
        </w:rPr>
        <w:t>Modelo de Regresión</w:t>
      </w:r>
      <w:r>
        <w:rPr>
          <w:spacing w:val="-12"/>
          <w:sz w:val="24"/>
        </w:rPr>
        <w:t> </w:t>
      </w:r>
      <w:r>
        <w:rPr>
          <w:sz w:val="24"/>
        </w:rPr>
        <w:t>lineal</w:t>
      </w:r>
      <w:r>
        <w:rPr>
          <w:spacing w:val="-2"/>
          <w:sz w:val="24"/>
        </w:rPr>
        <w:t> </w:t>
      </w:r>
      <w:r>
        <w:rPr>
          <w:sz w:val="24"/>
        </w:rPr>
        <w:t>múltiple.</w:t>
      </w:r>
      <w:r>
        <w:rPr>
          <w:b/>
          <w:sz w:val="24"/>
        </w:rPr>
        <w:tab/>
        <w:t>52</w:t>
      </w:r>
    </w:p>
    <w:p>
      <w:pPr>
        <w:spacing w:after="0"/>
        <w:jc w:val="left"/>
        <w:rPr>
          <w:sz w:val="24"/>
        </w:rPr>
        <w:sectPr>
          <w:pgSz w:w="12240" w:h="15840"/>
          <w:pgMar w:header="729" w:footer="0" w:top="1540" w:bottom="280" w:left="1540" w:right="1520"/>
        </w:sect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spacing w:before="11"/>
        <w:rPr>
          <w:b/>
          <w:sz w:val="35"/>
        </w:rPr>
      </w:pPr>
    </w:p>
    <w:p>
      <w:pPr>
        <w:pStyle w:val="Heading1"/>
        <w:numPr>
          <w:ilvl w:val="3"/>
          <w:numId w:val="2"/>
        </w:numPr>
        <w:tabs>
          <w:tab w:pos="3985" w:val="left" w:leader="none"/>
        </w:tabs>
        <w:spacing w:line="240" w:lineRule="auto" w:before="0" w:after="0"/>
        <w:ind w:left="3984" w:right="0" w:hanging="488"/>
        <w:jc w:val="left"/>
      </w:pPr>
      <w:bookmarkStart w:name="_TOC_250039" w:id="1"/>
      <w:bookmarkEnd w:id="1"/>
      <w:r>
        <w:rPr/>
        <w:t>RESUMEN</w:t>
      </w:r>
    </w:p>
    <w:p>
      <w:pPr>
        <w:spacing w:after="0" w:line="240" w:lineRule="auto"/>
        <w:jc w:val="left"/>
        <w:sectPr>
          <w:headerReference w:type="default" r:id="rId8"/>
          <w:footerReference w:type="default" r:id="rId9"/>
          <w:pgSz w:w="12240" w:h="15840"/>
          <w:pgMar w:header="729" w:footer="1003" w:top="1180" w:bottom="1200" w:left="1540" w:right="1020"/>
          <w:pgNumType w:start="1"/>
        </w:sectPr>
      </w:pPr>
    </w:p>
    <w:p>
      <w:pPr>
        <w:pStyle w:val="BodyText"/>
        <w:spacing w:before="2"/>
        <w:rPr>
          <w:b/>
          <w:sz w:val="13"/>
        </w:rPr>
      </w:pPr>
    </w:p>
    <w:p>
      <w:pPr>
        <w:pStyle w:val="BodyText"/>
        <w:spacing w:line="276" w:lineRule="auto" w:before="69"/>
        <w:ind w:left="162" w:right="158"/>
        <w:jc w:val="both"/>
      </w:pPr>
      <w:r>
        <w:rPr>
          <w:b/>
        </w:rPr>
        <w:t>Introducción</w:t>
      </w:r>
      <w:r>
        <w:rPr/>
        <w:t>: La caries dental, es una de las enfermedades de mayor prevalencia en el mundo, 95% de la población la ha padecido; sin embargo, existen escasos estudios realizados sobre esta enfermedad en la primera</w:t>
      </w:r>
      <w:r>
        <w:rPr>
          <w:spacing w:val="-24"/>
        </w:rPr>
        <w:t> </w:t>
      </w:r>
      <w:r>
        <w:rPr/>
        <w:t>infancia.</w:t>
      </w:r>
    </w:p>
    <w:p>
      <w:pPr>
        <w:pStyle w:val="BodyText"/>
        <w:spacing w:line="273" w:lineRule="auto" w:before="104"/>
        <w:ind w:left="162" w:right="164"/>
        <w:jc w:val="both"/>
      </w:pPr>
      <w:r>
        <w:rPr>
          <w:b/>
        </w:rPr>
        <w:t>Objetivo: </w:t>
      </w:r>
      <w:r>
        <w:rPr/>
        <w:t>Conocer si la aplicación de Fluoruro de sodio en gel al 0.02 % y clorhexidina en gel al 2% es efectiva en la prevención de caries dental en niños de la primera infancia, y disminuye o no la cuenta de </w:t>
      </w:r>
      <w:r>
        <w:rPr>
          <w:i/>
        </w:rPr>
        <w:t>Streptococcus mutans</w:t>
      </w:r>
      <w:r>
        <w:rPr/>
        <w:t>.</w:t>
      </w:r>
    </w:p>
    <w:p>
      <w:pPr>
        <w:pStyle w:val="BodyText"/>
        <w:spacing w:line="276" w:lineRule="auto" w:before="207"/>
        <w:ind w:left="162" w:right="167"/>
        <w:jc w:val="both"/>
      </w:pPr>
      <w:r>
        <w:rPr>
          <w:b/>
        </w:rPr>
        <w:t>Hipótesis: </w:t>
      </w:r>
      <w:r>
        <w:rPr/>
        <w:t>La alternativa  de  tratamiento   más   efectiva en   la   prevención   de  caries dental en  niños  de  la  primera  infancia, es la aplicación de fluoruro de sodio  en  gel al .02% y Clorhexidina en gel al</w:t>
      </w:r>
      <w:r>
        <w:rPr>
          <w:spacing w:val="-14"/>
        </w:rPr>
        <w:t> </w:t>
      </w:r>
      <w:r>
        <w:rPr/>
        <w:t>2%.</w:t>
      </w:r>
    </w:p>
    <w:p>
      <w:pPr>
        <w:pStyle w:val="BodyText"/>
        <w:spacing w:line="276" w:lineRule="auto" w:before="202"/>
        <w:ind w:left="162" w:right="158"/>
        <w:jc w:val="both"/>
      </w:pPr>
      <w:r>
        <w:rPr>
          <w:b/>
        </w:rPr>
        <w:t>Materiales y método </w:t>
      </w:r>
      <w:r>
        <w:rPr/>
        <w:t>1) Se obtuvieron muestras de saliva de 196 niños entre 0 y 3 años de edad para análisis microbiológicos, y estimación de la desmineralización dental, realizando mediciones basales y posteriormente a los tres meses de aplicadas las variables tratamiento, las cuales fueron: Clorhexidina en gel al 2 % y Fluoruro de sodio en gel al 0.02 %. 2) Se realizó un análisis comparativo entre las mediciones basales y las obtenidas a los tres meses, con apoyo del software SPSS versión 19 aplicando una prueba t</w:t>
      </w:r>
      <w:r>
        <w:rPr>
          <w:spacing w:val="-9"/>
        </w:rPr>
        <w:t> </w:t>
      </w:r>
      <w:r>
        <w:rPr/>
        <w:t>pareada.</w:t>
      </w:r>
    </w:p>
    <w:p>
      <w:pPr>
        <w:pStyle w:val="BodyText"/>
        <w:spacing w:line="276" w:lineRule="auto" w:before="202"/>
        <w:ind w:left="162" w:right="156"/>
        <w:jc w:val="both"/>
      </w:pPr>
      <w:r>
        <w:rPr>
          <w:b/>
        </w:rPr>
        <w:t>Resultados: </w:t>
      </w:r>
      <w:r>
        <w:rPr/>
        <w:t>De las mediciones realizadas, se encontraron diferencias  estadísticamente significativas entre las mediciones basales y las tomadas tres meses después: las cuentas microbiológicas (p=0.002), y en la desmineralización en los siguientes órganos dentarios: a(p=0.004), b(p=0.000), c(p=0.000), d(p=0.000), e(p=0.000), h(p=0.016), i(p=0.010), m(p=0.022), n(p=0.021), o(p=0.021), y</w:t>
      </w:r>
      <w:r>
        <w:rPr>
          <w:spacing w:val="-30"/>
        </w:rPr>
        <w:t> </w:t>
      </w:r>
      <w:r>
        <w:rPr/>
        <w:t>q(p=0.010).</w:t>
      </w:r>
    </w:p>
    <w:p>
      <w:pPr>
        <w:pStyle w:val="BodyText"/>
        <w:spacing w:line="276" w:lineRule="auto" w:before="200"/>
        <w:ind w:left="162" w:right="162"/>
        <w:jc w:val="both"/>
      </w:pPr>
      <w:r>
        <w:rPr>
          <w:b/>
        </w:rPr>
        <w:t>Conclusión: </w:t>
      </w:r>
      <w:r>
        <w:rPr/>
        <w:t>Los resultados obtenidos mostraron que el Fluoruro de sodio en gel al 0.02% y la Clorhexidina en gel al 2 % disminuyeron el número de colonias de </w:t>
      </w:r>
      <w:r>
        <w:rPr>
          <w:i/>
        </w:rPr>
        <w:t>Streptococcus mutans </w:t>
      </w:r>
      <w:r>
        <w:rPr/>
        <w:t>en la boca de infantes, además de disminuir la  desmineralización de los órganos</w:t>
      </w:r>
      <w:r>
        <w:rPr>
          <w:spacing w:val="-17"/>
        </w:rPr>
        <w:t> </w:t>
      </w:r>
      <w:r>
        <w:rPr/>
        <w:t>dentarios.</w:t>
      </w:r>
    </w:p>
    <w:p>
      <w:pPr>
        <w:spacing w:after="0" w:line="276" w:lineRule="auto"/>
        <w:jc w:val="both"/>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1"/>
        <w:numPr>
          <w:ilvl w:val="3"/>
          <w:numId w:val="2"/>
        </w:numPr>
        <w:tabs>
          <w:tab w:pos="3374" w:val="left" w:leader="none"/>
        </w:tabs>
        <w:spacing w:line="240" w:lineRule="auto" w:before="43" w:after="0"/>
        <w:ind w:left="3373" w:right="0" w:hanging="489"/>
        <w:jc w:val="left"/>
      </w:pPr>
      <w:bookmarkStart w:name="_TOC_250038" w:id="2"/>
      <w:bookmarkEnd w:id="2"/>
      <w:r>
        <w:rPr/>
        <w:t>INTRODUCCIÓN</w:t>
      </w:r>
    </w:p>
    <w:p>
      <w:pPr>
        <w:spacing w:after="0" w:line="240" w:lineRule="auto"/>
        <w:jc w:val="left"/>
        <w:sectPr>
          <w:pgSz w:w="12240" w:h="15840"/>
          <w:pgMar w:header="729" w:footer="1003" w:top="1180" w:bottom="1200" w:left="1540" w:right="1020"/>
        </w:sectPr>
      </w:pPr>
    </w:p>
    <w:p>
      <w:pPr>
        <w:pStyle w:val="BodyText"/>
        <w:spacing w:before="2"/>
        <w:rPr>
          <w:b/>
          <w:sz w:val="13"/>
        </w:rPr>
      </w:pPr>
    </w:p>
    <w:p>
      <w:pPr>
        <w:pStyle w:val="BodyText"/>
        <w:spacing w:line="276" w:lineRule="auto" w:before="69"/>
        <w:ind w:left="162" w:right="158"/>
        <w:jc w:val="both"/>
        <w:rPr>
          <w:sz w:val="13"/>
        </w:rPr>
      </w:pPr>
      <w:r>
        <w:rPr/>
        <w:t>La caries dental, es la enfermedad crónica más común en infantes, cinco veces más común que el asma, siete veces más común que la fiebre y catorce veces más que la bronquitis crónica. </w:t>
      </w:r>
      <w:r>
        <w:rPr>
          <w:position w:val="10"/>
          <w:sz w:val="13"/>
        </w:rPr>
        <w:t>10</w:t>
      </w:r>
    </w:p>
    <w:p>
      <w:pPr>
        <w:pStyle w:val="BodyText"/>
        <w:spacing w:line="276" w:lineRule="auto" w:before="199"/>
        <w:ind w:left="162" w:right="157"/>
        <w:jc w:val="both"/>
        <w:rPr>
          <w:sz w:val="13"/>
        </w:rPr>
      </w:pPr>
      <w:r>
        <w:rPr/>
        <w:t>En los niños, la caries se debe a una combinación de factores que incluyen en la colonización de los dientes por bacterias cariogénicas, en especial el </w:t>
      </w:r>
      <w:r>
        <w:rPr>
          <w:i/>
        </w:rPr>
        <w:t>Streptococcus </w:t>
      </w:r>
      <w:r>
        <w:rPr>
          <w:i/>
        </w:rPr>
        <w:t>mutans</w:t>
      </w:r>
      <w:r>
        <w:rPr/>
        <w:t>, el tipo de alimento, la frecuencia de exposición a dichas bacterias y la susceptibilidad del diente. La caries de la infancia temprana (Early Childhood caries) es un término relativamente nuevo que engloba todos los tipos de caries que ocurren en la dentición decidua de los niños. Así mismo, esta enfermedad ha sido considerada una enfermedad de la civilización moderna. La literatura reporta que la incidencia de caries de infancia temprana es del 70 %, con aumento en poblaciones de riesgo social.</w:t>
      </w:r>
      <w:r>
        <w:rPr>
          <w:position w:val="10"/>
          <w:sz w:val="13"/>
        </w:rPr>
        <w:t>16</w:t>
      </w:r>
    </w:p>
    <w:p>
      <w:pPr>
        <w:pStyle w:val="BodyText"/>
        <w:spacing w:line="276" w:lineRule="auto" w:before="202"/>
        <w:ind w:left="162" w:right="156"/>
        <w:jc w:val="both"/>
        <w:rPr>
          <w:sz w:val="13"/>
        </w:rPr>
      </w:pPr>
      <w:r>
        <w:rPr/>
        <w:t>El periodo de vida desde la concepción hasta los tres años de edad es sin duda el más contundente con respecto al crecimiento y desarrollo. Desde el punto de vista dental, el niño que es totalmente edéntulo al nacer, tiene ya, hacia los tres años de edad una dentición primaria completa, constituida por 20 piezas. En su primer año de vida, el  niño es un paciente muy deseable desde el punto de vista preventivo, ya que cualquier acción que se realice a favor de la prevención tendrá un efecto de por</w:t>
      </w:r>
      <w:r>
        <w:rPr>
          <w:spacing w:val="-21"/>
        </w:rPr>
        <w:t> </w:t>
      </w:r>
      <w:r>
        <w:rPr/>
        <w:t>vida.</w:t>
      </w:r>
      <w:r>
        <w:rPr>
          <w:position w:val="10"/>
          <w:sz w:val="13"/>
        </w:rPr>
        <w:t>29</w:t>
      </w:r>
    </w:p>
    <w:p>
      <w:pPr>
        <w:pStyle w:val="BodyText"/>
        <w:spacing w:line="276" w:lineRule="auto" w:before="199"/>
        <w:ind w:left="162" w:right="163"/>
        <w:jc w:val="both"/>
        <w:rPr>
          <w:sz w:val="13"/>
        </w:rPr>
      </w:pPr>
      <w:r>
        <w:rPr/>
        <w:t>Las lesiones cariosas de las coronas inician en la superficie externa del diente por la desmineralización, debido a los ácidos orgánicos producidos por las bacterias que fermentan los depósitos orgánicos de la dieta. Con la destrucción secundaria de la proteína de los dientes y la pérdida progresiva del mineral del diente por la acción bacteriana continua se forman cavidades, las cuales destruyen el diente conduciendo frecuentemente a infecciones serias de la pulpa y de los tejidos circundantes.</w:t>
      </w:r>
      <w:r>
        <w:rPr>
          <w:position w:val="10"/>
          <w:sz w:val="13"/>
        </w:rPr>
        <w:t>6</w:t>
      </w:r>
    </w:p>
    <w:p>
      <w:pPr>
        <w:pStyle w:val="BodyText"/>
        <w:spacing w:line="276" w:lineRule="auto" w:before="199"/>
        <w:ind w:left="162" w:right="158" w:firstLine="67"/>
        <w:jc w:val="both"/>
      </w:pPr>
      <w:r>
        <w:rPr/>
        <w:t>Para evitar su aparición es necesario adoptar medidas preventivas, y tratar la enfermedad.</w:t>
      </w:r>
    </w:p>
    <w:p>
      <w:pPr>
        <w:pStyle w:val="BodyText"/>
        <w:spacing w:line="276" w:lineRule="auto" w:before="202"/>
        <w:ind w:left="162" w:right="162"/>
        <w:jc w:val="both"/>
        <w:rPr>
          <w:sz w:val="13"/>
        </w:rPr>
      </w:pPr>
      <w:r>
        <w:rPr/>
        <w:t>Al ser la caries una enfermedad multifactorial, su prevención se debe basar en cada uno de los factores etiológicos para poder lograr: a) Aumentar la resistencia del huésped, b) Reducir la presencia de microrganismos, c) Modificar los cambios dietéticos, y d) Limitar la permanencia de alimentos cariogénicos en la</w:t>
      </w:r>
      <w:r>
        <w:rPr>
          <w:spacing w:val="-24"/>
        </w:rPr>
        <w:t> </w:t>
      </w:r>
      <w:r>
        <w:rPr/>
        <w:t>boca.</w:t>
      </w:r>
      <w:r>
        <w:rPr>
          <w:position w:val="10"/>
          <w:sz w:val="13"/>
        </w:rPr>
        <w:t>22</w:t>
      </w:r>
    </w:p>
    <w:p>
      <w:pPr>
        <w:pStyle w:val="BodyText"/>
        <w:spacing w:line="268" w:lineRule="auto" w:before="200"/>
        <w:ind w:left="162" w:right="160"/>
        <w:jc w:val="both"/>
        <w:rPr>
          <w:sz w:val="16"/>
        </w:rPr>
      </w:pPr>
      <w:r>
        <w:rPr/>
        <w:t>El tratamiento con flúor ha sido la principal estrategia para la prevención de la caries.  La investigación epidemiológica y de laboratorio sobre el mecanismo de acción del  flúor en la prevención de la caries indica que el efecto predominante del flúor es tópico, lo cual ocurre principalmente al estimular la remineralización de las lesiones incipientes y la reducción de la desmineralización del esmalte</w:t>
      </w:r>
      <w:r>
        <w:rPr>
          <w:spacing w:val="-11"/>
        </w:rPr>
        <w:t> </w:t>
      </w:r>
      <w:r>
        <w:rPr/>
        <w:t>sano.</w:t>
      </w:r>
      <w:r>
        <w:rPr>
          <w:position w:val="11"/>
          <w:sz w:val="16"/>
        </w:rPr>
        <w:t>22</w:t>
      </w:r>
    </w:p>
    <w:p>
      <w:pPr>
        <w:spacing w:after="0" w:line="268" w:lineRule="auto"/>
        <w:jc w:val="both"/>
        <w:rPr>
          <w:sz w:val="16"/>
        </w:rPr>
        <w:sectPr>
          <w:pgSz w:w="12240" w:h="15840"/>
          <w:pgMar w:header="729" w:footer="1003" w:top="1180" w:bottom="1200" w:left="1540" w:right="1020"/>
        </w:sectPr>
      </w:pPr>
    </w:p>
    <w:p>
      <w:pPr>
        <w:pStyle w:val="BodyText"/>
        <w:spacing w:before="2"/>
        <w:rPr>
          <w:sz w:val="13"/>
        </w:rPr>
      </w:pPr>
    </w:p>
    <w:p>
      <w:pPr>
        <w:pStyle w:val="BodyText"/>
        <w:spacing w:line="276" w:lineRule="auto" w:before="69"/>
        <w:ind w:left="162" w:right="161"/>
        <w:jc w:val="both"/>
        <w:rPr>
          <w:sz w:val="13"/>
        </w:rPr>
      </w:pPr>
      <w:r>
        <w:rPr/>
        <w:t>Varios estudios identifican al flúor como un agente anticaries efectivo. Cuando se utiliza de manera adecuada, puede reducir entre un 40-56 % la caries incipiente, un 36 % la caries de fisuras y en un 66 % las de superficies lisas.</w:t>
      </w:r>
      <w:r>
        <w:rPr>
          <w:position w:val="10"/>
          <w:sz w:val="13"/>
        </w:rPr>
        <w:t>34</w:t>
      </w:r>
    </w:p>
    <w:p>
      <w:pPr>
        <w:pStyle w:val="BodyText"/>
        <w:spacing w:line="271" w:lineRule="auto" w:before="199"/>
        <w:ind w:left="162" w:right="160"/>
        <w:jc w:val="both"/>
      </w:pPr>
      <w:r>
        <w:rPr/>
        <w:t>Además del flúor, varias sustancias se han evaluado como candidatos posibles, pero ningún agente antimicrobiano ha recibido tanta atención experimental como la clorhexidina, la cual es un potente antiséptico del grupo de las biguanidas con carga positiva, con una gran sustantividad, uniéndose a las moléculas negativas y alterando la permeabilidad de la membrana de la célula bacteriana. Es un eficaz y rápido agente bactericida sobre microorganismos positivos y</w:t>
      </w:r>
      <w:r>
        <w:rPr>
          <w:spacing w:val="-22"/>
        </w:rPr>
        <w:t> </w:t>
      </w:r>
      <w:r>
        <w:rPr/>
        <w:t>negativos</w:t>
      </w:r>
      <w:r>
        <w:rPr>
          <w:position w:val="11"/>
          <w:sz w:val="16"/>
        </w:rPr>
        <w:t>27</w:t>
      </w:r>
      <w:r>
        <w:rPr/>
        <w:t>.</w:t>
      </w:r>
    </w:p>
    <w:p>
      <w:pPr>
        <w:pStyle w:val="BodyText"/>
        <w:spacing w:before="198"/>
        <w:ind w:left="162" w:right="159"/>
        <w:jc w:val="both"/>
      </w:pPr>
      <w:r>
        <w:rPr/>
        <w:t>El tratamiento conjunto de clorhexidina y flúor han demostrado gran eficacia en el control de la caries, comprobando el marcado endurecimiento de la superficie del esmalte cuando el flúor es acompañado con la clorhexidina.( Ogaard </w:t>
      </w:r>
      <w:r>
        <w:rPr>
          <w:i/>
        </w:rPr>
        <w:t>et al </w:t>
      </w:r>
      <w:r>
        <w:rPr/>
        <w:t>., 1994, Wallman </w:t>
      </w:r>
      <w:r>
        <w:rPr>
          <w:i/>
        </w:rPr>
        <w:t>et al</w:t>
      </w:r>
      <w:r>
        <w:rPr/>
        <w:t>., 1994, Guitellman </w:t>
      </w:r>
      <w:r>
        <w:rPr>
          <w:i/>
        </w:rPr>
        <w:t>et al</w:t>
      </w:r>
      <w:r>
        <w:rPr/>
        <w:t>., 1999).</w:t>
      </w:r>
    </w:p>
    <w:p>
      <w:pPr>
        <w:pStyle w:val="BodyText"/>
        <w:spacing w:before="4"/>
      </w:pPr>
    </w:p>
    <w:p>
      <w:pPr>
        <w:pStyle w:val="BodyText"/>
        <w:spacing w:line="276" w:lineRule="auto" w:before="1"/>
        <w:ind w:left="162" w:right="155"/>
        <w:jc w:val="both"/>
      </w:pPr>
      <w:r>
        <w:rPr/>
        <w:t>En esta investigación, se evaluó la efectividad del Fluoruro de Sodio en gel al 0.02% y la clorhexidina al 2 % en la prevención de caries, en niños de la primera infancia; así como el efecto de dichas sustancias en el número </w:t>
      </w:r>
      <w:r>
        <w:rPr>
          <w:spacing w:val="2"/>
        </w:rPr>
        <w:t>de </w:t>
      </w:r>
      <w:r>
        <w:rPr/>
        <w:t>cuentas bacterianas de </w:t>
      </w:r>
      <w:r>
        <w:rPr>
          <w:i/>
        </w:rPr>
        <w:t>Streptococcus</w:t>
      </w:r>
      <w:r>
        <w:rPr>
          <w:i/>
          <w:spacing w:val="-5"/>
        </w:rPr>
        <w:t> </w:t>
      </w:r>
      <w:r>
        <w:rPr>
          <w:i/>
        </w:rPr>
        <w:t>mutans</w:t>
      </w:r>
      <w:r>
        <w:rPr/>
        <w:t>.</w:t>
      </w:r>
    </w:p>
    <w:p>
      <w:pPr>
        <w:spacing w:after="0" w:line="276" w:lineRule="auto"/>
        <w:jc w:val="both"/>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1"/>
        <w:numPr>
          <w:ilvl w:val="3"/>
          <w:numId w:val="2"/>
        </w:numPr>
        <w:tabs>
          <w:tab w:pos="3191" w:val="left" w:leader="none"/>
        </w:tabs>
        <w:spacing w:line="240" w:lineRule="auto" w:before="43" w:after="0"/>
        <w:ind w:left="3190" w:right="0" w:hanging="489"/>
        <w:jc w:val="left"/>
      </w:pPr>
      <w:bookmarkStart w:name="_TOC_250037" w:id="3"/>
      <w:r>
        <w:rPr/>
        <w:t>MARCO</w:t>
      </w:r>
      <w:r>
        <w:rPr>
          <w:spacing w:val="-5"/>
        </w:rPr>
        <w:t> </w:t>
      </w:r>
      <w:bookmarkEnd w:id="3"/>
      <w:r>
        <w:rPr/>
        <w:t>TEÓRICO</w:t>
      </w:r>
    </w:p>
    <w:p>
      <w:pPr>
        <w:spacing w:after="0" w:line="240" w:lineRule="auto"/>
        <w:jc w:val="left"/>
        <w:sectPr>
          <w:pgSz w:w="12240" w:h="15840"/>
          <w:pgMar w:header="729" w:footer="1003" w:top="1180" w:bottom="1200" w:left="1540" w:right="1020"/>
        </w:sectPr>
      </w:pPr>
    </w:p>
    <w:p>
      <w:pPr>
        <w:pStyle w:val="BodyText"/>
        <w:spacing w:before="5"/>
        <w:rPr>
          <w:b/>
          <w:sz w:val="13"/>
        </w:rPr>
      </w:pPr>
    </w:p>
    <w:p>
      <w:pPr>
        <w:pStyle w:val="Heading4"/>
        <w:numPr>
          <w:ilvl w:val="1"/>
          <w:numId w:val="3"/>
        </w:numPr>
        <w:tabs>
          <w:tab w:pos="633" w:val="left" w:leader="none"/>
        </w:tabs>
        <w:spacing w:line="240" w:lineRule="auto" w:before="65" w:after="0"/>
        <w:ind w:left="632" w:right="0" w:hanging="470"/>
        <w:jc w:val="both"/>
      </w:pPr>
      <w:bookmarkStart w:name="_TOC_250036" w:id="4"/>
      <w:r>
        <w:rPr/>
        <w:t>LA CARIES</w:t>
      </w:r>
      <w:r>
        <w:rPr>
          <w:spacing w:val="-13"/>
        </w:rPr>
        <w:t> </w:t>
      </w:r>
      <w:bookmarkEnd w:id="4"/>
      <w:r>
        <w:rPr/>
        <w:t>DENTAL</w:t>
      </w:r>
    </w:p>
    <w:p>
      <w:pPr>
        <w:pStyle w:val="ListParagraph"/>
        <w:numPr>
          <w:ilvl w:val="2"/>
          <w:numId w:val="3"/>
        </w:numPr>
        <w:tabs>
          <w:tab w:pos="866" w:val="left" w:leader="none"/>
        </w:tabs>
        <w:spacing w:line="240" w:lineRule="auto" w:before="249" w:after="0"/>
        <w:ind w:left="865" w:right="0" w:hanging="703"/>
        <w:jc w:val="both"/>
        <w:rPr>
          <w:b/>
          <w:sz w:val="28"/>
        </w:rPr>
      </w:pPr>
      <w:r>
        <w:rPr>
          <w:b/>
          <w:sz w:val="28"/>
        </w:rPr>
        <w:t>Generalidades de la Caries</w:t>
      </w:r>
      <w:r>
        <w:rPr>
          <w:b/>
          <w:spacing w:val="-18"/>
          <w:sz w:val="28"/>
        </w:rPr>
        <w:t> </w:t>
      </w:r>
      <w:r>
        <w:rPr>
          <w:b/>
          <w:sz w:val="28"/>
        </w:rPr>
        <w:t>dental</w:t>
      </w:r>
    </w:p>
    <w:p>
      <w:pPr>
        <w:pStyle w:val="BodyText"/>
        <w:spacing w:line="259" w:lineRule="auto" w:before="250"/>
        <w:ind w:left="162" w:right="160"/>
        <w:jc w:val="both"/>
        <w:rPr>
          <w:sz w:val="16"/>
        </w:rPr>
      </w:pPr>
      <w:r>
        <w:rPr/>
        <w:t>El término general de caries, (del latín declinar; significa podredumbre; descomposición seca) y se refiere en realidad a la destrucción progresiva, localizada en los dientes, predominantemente en las coronas.</w:t>
      </w:r>
      <w:r>
        <w:rPr>
          <w:position w:val="11"/>
          <w:sz w:val="16"/>
        </w:rPr>
        <w:t>1</w:t>
      </w:r>
    </w:p>
    <w:p>
      <w:pPr>
        <w:pStyle w:val="BodyText"/>
        <w:spacing w:line="261" w:lineRule="auto" w:before="218"/>
        <w:ind w:left="162" w:right="158"/>
        <w:jc w:val="both"/>
        <w:rPr>
          <w:sz w:val="16"/>
        </w:rPr>
      </w:pPr>
      <w:r>
        <w:rPr/>
        <w:t>La Organización Mundial de la Salud (OMS) ha definido la caries dental como un proceso localizado de origen multifactorial que se inicia después de la erupción dentaria, determinando el reblandecimiento del tejido duro del diente y evoluciona hasta la formación de una cavidad.</w:t>
      </w:r>
      <w:r>
        <w:rPr>
          <w:position w:val="11"/>
          <w:sz w:val="16"/>
        </w:rPr>
        <w:t>2 </w:t>
      </w:r>
      <w:r>
        <w:rPr/>
        <w:t>Además de ser una enfermedad trasmisible e irreversible que afecta a más del 90% de la población a nivel mundial.</w:t>
      </w:r>
      <w:r>
        <w:rPr>
          <w:spacing w:val="-12"/>
        </w:rPr>
        <w:t> </w:t>
      </w:r>
      <w:r>
        <w:rPr>
          <w:position w:val="11"/>
          <w:sz w:val="16"/>
        </w:rPr>
        <w:t>3</w:t>
      </w:r>
    </w:p>
    <w:p>
      <w:pPr>
        <w:pStyle w:val="BodyText"/>
        <w:spacing w:line="266" w:lineRule="auto" w:before="212"/>
        <w:ind w:left="162" w:right="164"/>
        <w:jc w:val="both"/>
        <w:rPr>
          <w:sz w:val="16"/>
        </w:rPr>
      </w:pPr>
      <w:r>
        <w:rPr/>
        <w:t>La caries dental es una enfermedad muy antigua, que no empezó a representar un problema importante sino hasta finales del siglo XIX, aumentando su prevalencia e incidencia a principios de nuestro siglo y convirtiéndose en un grave problema sanitario, sobre todo en los años 1950-60.</w:t>
      </w:r>
      <w:r>
        <w:rPr>
          <w:position w:val="11"/>
          <w:sz w:val="16"/>
        </w:rPr>
        <w:t>4</w:t>
      </w:r>
    </w:p>
    <w:p>
      <w:pPr>
        <w:pStyle w:val="BodyText"/>
        <w:spacing w:line="276" w:lineRule="auto" w:before="208"/>
        <w:ind w:left="162" w:right="157"/>
        <w:jc w:val="both"/>
      </w:pPr>
      <w:r>
        <w:rPr/>
        <w:t>Las lesiones cariosas de las coronas inician en la superficie externa del diente por la desmineralización debido a los ácidos orgánicos producidos por las bacterias que fermentan los depósitos orgánicos de la dieta. Con la destrucción secundaria de la proteína de los dientes y la pérdida progresiva del mineral del diente por la acción bacteriana continua, se forman cavidades, las cuales si no se atienden, destruyen la mayor parte del diente conduciendo frecuentemente a infecciones serias de la pulpa   y</w:t>
      </w:r>
    </w:p>
    <w:p>
      <w:pPr>
        <w:pStyle w:val="BodyText"/>
        <w:spacing w:line="277" w:lineRule="exact"/>
        <w:ind w:left="162"/>
        <w:jc w:val="both"/>
        <w:rPr>
          <w:sz w:val="16"/>
        </w:rPr>
      </w:pPr>
      <w:r>
        <w:rPr/>
        <w:t>de los tejidos circundantes. </w:t>
      </w:r>
      <w:r>
        <w:rPr>
          <w:position w:val="11"/>
          <w:sz w:val="16"/>
        </w:rPr>
        <w:t>5,6</w:t>
      </w:r>
    </w:p>
    <w:p>
      <w:pPr>
        <w:pStyle w:val="BodyText"/>
        <w:spacing w:line="266" w:lineRule="auto" w:before="242"/>
        <w:ind w:left="162" w:right="158"/>
        <w:rPr>
          <w:sz w:val="16"/>
        </w:rPr>
      </w:pPr>
      <w:r>
        <w:rPr/>
        <w:t>A pesar de existir tecnologías preventivas capaces de dominarlas, controlarlas y/o erradicarlas, la Odontología en Latinoamérica continúa usando tecnología curativa, costosa, compleja e ineficiente, y se sigue ofreciendo al 90% de la población la exodoncia como solución. </w:t>
      </w:r>
      <w:r>
        <w:rPr>
          <w:position w:val="11"/>
          <w:sz w:val="16"/>
        </w:rPr>
        <w:t>2</w:t>
      </w:r>
    </w:p>
    <w:p>
      <w:pPr>
        <w:pStyle w:val="BodyText"/>
        <w:spacing w:line="276" w:lineRule="auto" w:before="208"/>
        <w:ind w:left="162" w:right="159"/>
        <w:jc w:val="both"/>
        <w:rPr>
          <w:sz w:val="13"/>
        </w:rPr>
      </w:pPr>
      <w:r>
        <w:rPr/>
        <w:t>La caries constituye una importante fuente de dolor para el ser humano y es origen de grandes pérdidas económicas para la sociedad, unido a que los elevados costos de los servicios Odontológicos se han convertido en un bien de consumo cada vez más inaccesible a un gran sector de la población.</w:t>
      </w:r>
      <w:r>
        <w:rPr>
          <w:position w:val="10"/>
          <w:sz w:val="13"/>
        </w:rPr>
        <w:t>2</w:t>
      </w:r>
    </w:p>
    <w:p>
      <w:pPr>
        <w:spacing w:after="0" w:line="276" w:lineRule="auto"/>
        <w:jc w:val="both"/>
        <w:rPr>
          <w:sz w:val="13"/>
        </w:rPr>
        <w:sectPr>
          <w:pgSz w:w="12240" w:h="15840"/>
          <w:pgMar w:header="729" w:footer="1003" w:top="1180" w:bottom="1200" w:left="1540" w:right="1020"/>
        </w:sectPr>
      </w:pPr>
    </w:p>
    <w:p>
      <w:pPr>
        <w:pStyle w:val="BodyText"/>
        <w:spacing w:before="5"/>
        <w:rPr>
          <w:sz w:val="13"/>
        </w:rPr>
      </w:pPr>
    </w:p>
    <w:p>
      <w:pPr>
        <w:pStyle w:val="Heading4"/>
        <w:numPr>
          <w:ilvl w:val="2"/>
          <w:numId w:val="3"/>
        </w:numPr>
        <w:tabs>
          <w:tab w:pos="765" w:val="left" w:leader="none"/>
        </w:tabs>
        <w:spacing w:line="240" w:lineRule="auto" w:before="65" w:after="0"/>
        <w:ind w:left="764" w:right="0" w:hanging="602"/>
        <w:jc w:val="both"/>
        <w:rPr>
          <w:sz w:val="24"/>
        </w:rPr>
      </w:pPr>
      <w:bookmarkStart w:name="_TOC_250035" w:id="5"/>
      <w:r>
        <w:rPr/>
        <w:t>Generalidades de la caries a nivel</w:t>
      </w:r>
      <w:r>
        <w:rPr>
          <w:spacing w:val="-21"/>
        </w:rPr>
        <w:t> </w:t>
      </w:r>
      <w:bookmarkEnd w:id="5"/>
      <w:r>
        <w:rPr/>
        <w:t>mundial</w:t>
      </w:r>
    </w:p>
    <w:p>
      <w:pPr>
        <w:pStyle w:val="BodyText"/>
        <w:spacing w:before="11"/>
        <w:rPr>
          <w:b/>
          <w:sz w:val="21"/>
        </w:rPr>
      </w:pPr>
    </w:p>
    <w:p>
      <w:pPr>
        <w:pStyle w:val="BodyText"/>
        <w:spacing w:line="276" w:lineRule="exact"/>
        <w:ind w:left="162" w:right="159"/>
        <w:jc w:val="both"/>
        <w:rPr>
          <w:sz w:val="16"/>
        </w:rPr>
      </w:pPr>
      <w:r>
        <w:rPr/>
        <w:t>La caries dental es una enfermedad que afecta millones de personas en todas las sociedades desarrolladas y en gran número de países en desarrollo, se sabe que ésta aumenta significativamente con la edad y continúa siendo un problema de salud pública</w:t>
      </w:r>
      <w:r>
        <w:rPr>
          <w:sz w:val="16"/>
        </w:rPr>
        <w:t>.</w:t>
      </w:r>
      <w:r>
        <w:rPr>
          <w:position w:val="11"/>
          <w:sz w:val="16"/>
        </w:rPr>
        <w:t>7</w:t>
      </w:r>
    </w:p>
    <w:p>
      <w:pPr>
        <w:pStyle w:val="BodyText"/>
      </w:pPr>
    </w:p>
    <w:p>
      <w:pPr>
        <w:pStyle w:val="BodyText"/>
        <w:spacing w:line="276" w:lineRule="exact"/>
        <w:ind w:left="162" w:right="158"/>
        <w:jc w:val="both"/>
        <w:rPr>
          <w:sz w:val="16"/>
        </w:rPr>
      </w:pPr>
      <w:r>
        <w:rPr/>
        <w:t>De acuerdo con el estudio epidemiológico nacional realizado en 1986 por el Ministerio de Salud (Brasil), el índice CPO-D a los 12 años presentó un valor de 6,6, lo que reflejaba una prevalencia muy alta considerando la escala de la Organización Mundial de la Salud (OMS). Diez años después, en 1996, un nuevo estudio nacional indicó que ese índice había declinado a 3.0, demostrando un descenso de 7,3% al año y en el último estudio realizado en 2003 ese índice descendió a 2.8.</w:t>
      </w:r>
      <w:r>
        <w:rPr>
          <w:position w:val="11"/>
          <w:sz w:val="16"/>
        </w:rPr>
        <w:t>7</w:t>
      </w:r>
    </w:p>
    <w:p>
      <w:pPr>
        <w:pStyle w:val="BodyText"/>
      </w:pPr>
    </w:p>
    <w:p>
      <w:pPr>
        <w:pStyle w:val="BodyText"/>
        <w:spacing w:line="276" w:lineRule="exact"/>
        <w:ind w:left="162" w:right="158"/>
        <w:jc w:val="both"/>
        <w:rPr>
          <w:sz w:val="16"/>
        </w:rPr>
      </w:pPr>
      <w:r>
        <w:rPr/>
        <w:t>Estos resultados demuestran la necesidad continua de estrategias preventivas  efectivas para estos grupos etarios, aunque sea en países que han experimentado una disminución substancial en los índices de caries. En general, los niveles de caries dental varían entre y dentro de los diferentes países, sin embargo, los niños de nivel socio-económico más bajo tienen niveles de caries más altos que aquellos de los grupos de nivel socio-económico más alto y estas diferencias se hacen presentes en los países desarrollados y en</w:t>
      </w:r>
      <w:r>
        <w:rPr>
          <w:spacing w:val="-10"/>
        </w:rPr>
        <w:t> </w:t>
      </w:r>
      <w:r>
        <w:rPr/>
        <w:t>desarrollo.</w:t>
      </w:r>
      <w:r>
        <w:rPr>
          <w:position w:val="11"/>
          <w:sz w:val="16"/>
        </w:rPr>
        <w:t>7</w:t>
      </w:r>
    </w:p>
    <w:p>
      <w:pPr>
        <w:pStyle w:val="BodyText"/>
        <w:rPr>
          <w:sz w:val="28"/>
        </w:rPr>
      </w:pPr>
    </w:p>
    <w:p>
      <w:pPr>
        <w:pStyle w:val="Heading4"/>
        <w:numPr>
          <w:ilvl w:val="2"/>
          <w:numId w:val="3"/>
        </w:numPr>
        <w:tabs>
          <w:tab w:pos="765" w:val="left" w:leader="none"/>
        </w:tabs>
        <w:spacing w:line="240" w:lineRule="auto" w:before="226" w:after="0"/>
        <w:ind w:left="764" w:right="0" w:hanging="602"/>
        <w:jc w:val="both"/>
        <w:rPr>
          <w:sz w:val="24"/>
        </w:rPr>
      </w:pPr>
      <w:bookmarkStart w:name="_TOC_250034" w:id="6"/>
      <w:r>
        <w:rPr/>
        <w:t>Generalidades de la caries en</w:t>
      </w:r>
      <w:r>
        <w:rPr>
          <w:spacing w:val="-14"/>
        </w:rPr>
        <w:t> </w:t>
      </w:r>
      <w:bookmarkEnd w:id="6"/>
      <w:r>
        <w:rPr/>
        <w:t>México</w:t>
      </w:r>
    </w:p>
    <w:p>
      <w:pPr>
        <w:pStyle w:val="BodyText"/>
        <w:spacing w:before="3"/>
        <w:rPr>
          <w:b/>
          <w:sz w:val="28"/>
        </w:rPr>
      </w:pPr>
    </w:p>
    <w:p>
      <w:pPr>
        <w:pStyle w:val="BodyText"/>
        <w:spacing w:line="276" w:lineRule="exact"/>
        <w:ind w:left="162" w:right="157"/>
        <w:jc w:val="both"/>
      </w:pPr>
      <w:r>
        <w:rPr/>
        <w:t>En México solamente contamos con información limitada sobre la magnitud de los principales problemas bucales. Esfuerzos aislados han permitido esbozar los rasgos generales de los problemas más importantes.</w:t>
      </w:r>
      <w:r>
        <w:rPr>
          <w:position w:val="11"/>
          <w:sz w:val="16"/>
        </w:rPr>
        <w:t>8 </w:t>
      </w:r>
      <w:r>
        <w:rPr/>
        <w:t>En una encuesta realizada por la Secretaría de Salud en 1980 en el Distrito Federal se pudo observar que 95.5% de los niños entre 6 a14 años de edad padecía de caries dental. Entre 1987-1989, la Secretaría de Salud realizó el levantamiento de índices de caries en diversos Estados de la República, integrando la línea basal de caries para el Programa de Fluoración de la Sal de Mesa, observando que el índice de caries fue mayor a 3 en la mayoría de los estados.</w:t>
      </w:r>
      <w:r>
        <w:rPr>
          <w:position w:val="11"/>
          <w:sz w:val="16"/>
        </w:rPr>
        <w:t>9 </w:t>
      </w:r>
      <w:r>
        <w:rPr/>
        <w:t>Diversos estudios epidemiológicos realizados recientemente indican que la prevalencia de caries en niños de México se encuentra entre 70% y 85% en  la dentición permanente a los 12 años, y de 50% en la dentición temporal de los niños de 6 años, dependiendo de la población de que se trate, según resultados parciales de   la</w:t>
      </w:r>
    </w:p>
    <w:p>
      <w:pPr>
        <w:pStyle w:val="BodyText"/>
        <w:spacing w:line="276" w:lineRule="exact"/>
        <w:ind w:left="162" w:right="160"/>
        <w:jc w:val="both"/>
        <w:rPr>
          <w:sz w:val="16"/>
        </w:rPr>
      </w:pPr>
      <w:r>
        <w:rPr/>
        <w:t>Primera Encuesta Nacional de Caries y Fluorosis Dental 1996-2000, la prevalencia de caries en niños de 6 años es 61.8% y el promedio de CPOD a los doce años es 2.23.</w:t>
      </w:r>
      <w:r>
        <w:rPr>
          <w:position w:val="11"/>
          <w:sz w:val="16"/>
        </w:rPr>
        <w:t>10</w:t>
      </w:r>
    </w:p>
    <w:p>
      <w:pPr>
        <w:pStyle w:val="BodyText"/>
      </w:pPr>
    </w:p>
    <w:p>
      <w:pPr>
        <w:pStyle w:val="BodyText"/>
        <w:spacing w:line="276" w:lineRule="exact"/>
        <w:ind w:left="162" w:right="165"/>
        <w:jc w:val="both"/>
        <w:rPr>
          <w:sz w:val="16"/>
        </w:rPr>
      </w:pPr>
      <w:r>
        <w:rPr/>
        <w:t>La prevalencia de caries es alta en México y en gran número de países. En este sentido, la población inscrita en estancias infantiles ha sido poco estudiada a nivel mundial, porque existen escasos reportes que identifiquen la frecuencia de esta enfermedad en la misma.</w:t>
      </w:r>
      <w:r>
        <w:rPr>
          <w:position w:val="11"/>
          <w:sz w:val="16"/>
        </w:rPr>
        <w:t>11</w:t>
      </w:r>
    </w:p>
    <w:p>
      <w:pPr>
        <w:spacing w:after="0" w:line="276" w:lineRule="exact"/>
        <w:jc w:val="both"/>
        <w:rPr>
          <w:sz w:val="16"/>
        </w:rPr>
        <w:sectPr>
          <w:pgSz w:w="12240" w:h="15840"/>
          <w:pgMar w:header="729" w:footer="1003" w:top="1180" w:bottom="1200" w:left="1540" w:right="1020"/>
        </w:sectPr>
      </w:pPr>
    </w:p>
    <w:p>
      <w:pPr>
        <w:pStyle w:val="BodyText"/>
        <w:rPr>
          <w:sz w:val="13"/>
        </w:rPr>
      </w:pPr>
    </w:p>
    <w:p>
      <w:pPr>
        <w:pStyle w:val="BodyText"/>
        <w:spacing w:line="232" w:lineRule="auto" w:before="76"/>
        <w:ind w:left="162" w:right="163"/>
        <w:jc w:val="both"/>
        <w:rPr>
          <w:sz w:val="16"/>
        </w:rPr>
      </w:pPr>
      <w:r>
        <w:rPr/>
        <w:t>Quizá por el hecho de que poseen dentición temporal se le ha concedido menos importancia que a la población que cuenta con dientes permanentes, sin embargo, habría que considerar que los dientes deciduos además de ser la guía oclusal, constituyen un factor elemental para los permanentes, puesto que su estado de salud o enfermedad repercutirá finalmente en los definitivos.</w:t>
      </w:r>
      <w:r>
        <w:rPr>
          <w:position w:val="11"/>
          <w:sz w:val="16"/>
        </w:rPr>
        <w:t>11</w:t>
      </w:r>
    </w:p>
    <w:p>
      <w:pPr>
        <w:pStyle w:val="BodyText"/>
        <w:rPr>
          <w:sz w:val="28"/>
        </w:rPr>
      </w:pPr>
    </w:p>
    <w:p>
      <w:pPr>
        <w:pStyle w:val="BodyText"/>
        <w:spacing w:before="4"/>
      </w:pPr>
    </w:p>
    <w:p>
      <w:pPr>
        <w:pStyle w:val="Heading4"/>
        <w:numPr>
          <w:ilvl w:val="1"/>
          <w:numId w:val="3"/>
        </w:numPr>
        <w:tabs>
          <w:tab w:pos="633" w:val="left" w:leader="none"/>
        </w:tabs>
        <w:spacing w:line="240" w:lineRule="auto" w:before="0" w:after="0"/>
        <w:ind w:left="632" w:right="0" w:hanging="470"/>
        <w:jc w:val="both"/>
      </w:pPr>
      <w:bookmarkStart w:name="_TOC_250033" w:id="7"/>
      <w:r>
        <w:rPr>
          <w:spacing w:val="-3"/>
        </w:rPr>
        <w:t>CAUSAS </w:t>
      </w:r>
      <w:r>
        <w:rPr/>
        <w:t>DE LA</w:t>
      </w:r>
      <w:r>
        <w:rPr>
          <w:spacing w:val="6"/>
        </w:rPr>
        <w:t> </w:t>
      </w:r>
      <w:bookmarkEnd w:id="7"/>
      <w:r>
        <w:rPr/>
        <w:t>CARIES</w:t>
      </w:r>
    </w:p>
    <w:p>
      <w:pPr>
        <w:pStyle w:val="BodyText"/>
        <w:spacing w:before="2"/>
        <w:rPr>
          <w:b/>
        </w:rPr>
      </w:pPr>
    </w:p>
    <w:p>
      <w:pPr>
        <w:pStyle w:val="Heading4"/>
        <w:numPr>
          <w:ilvl w:val="2"/>
          <w:numId w:val="3"/>
        </w:numPr>
        <w:tabs>
          <w:tab w:pos="866" w:val="left" w:leader="none"/>
        </w:tabs>
        <w:spacing w:line="240" w:lineRule="auto" w:before="0" w:after="0"/>
        <w:ind w:left="865" w:right="0" w:hanging="703"/>
        <w:jc w:val="both"/>
      </w:pPr>
      <w:bookmarkStart w:name="_TOC_250032" w:id="8"/>
      <w:r>
        <w:rPr/>
        <w:t>Causas de la caries en la población en</w:t>
      </w:r>
      <w:r>
        <w:rPr>
          <w:spacing w:val="-21"/>
        </w:rPr>
        <w:t> </w:t>
      </w:r>
      <w:bookmarkEnd w:id="8"/>
      <w:r>
        <w:rPr/>
        <w:t>general</w:t>
      </w:r>
    </w:p>
    <w:p>
      <w:pPr>
        <w:pStyle w:val="BodyText"/>
        <w:spacing w:before="3"/>
        <w:rPr>
          <w:b/>
        </w:rPr>
      </w:pPr>
    </w:p>
    <w:p>
      <w:pPr>
        <w:pStyle w:val="BodyText"/>
        <w:ind w:left="162" w:right="158"/>
        <w:jc w:val="both"/>
      </w:pPr>
      <w:r>
        <w:rPr/>
        <w:t>Actualmente, se sabe que la caries corresponde a una enfermedad infecciosa, transmisible, producida por la concurrencia de bacterias específicas, un huésped cuya resistencia es menos que óptima y un ambiente adecuado, como es la cavidad oral. La conjunción de estos factores favorece la acidificación local del medio, lo que produce degradación de los hidratos de carbono de la dieta, a su vez seguida de la destrucción progresiva del material mineralizado y proteico del diente. A menos que este proceso</w:t>
      </w:r>
    </w:p>
    <w:p>
      <w:pPr>
        <w:pStyle w:val="BodyText"/>
        <w:spacing w:line="276" w:lineRule="exact" w:before="4"/>
        <w:ind w:left="162" w:right="169"/>
        <w:jc w:val="both"/>
        <w:rPr>
          <w:sz w:val="16"/>
        </w:rPr>
      </w:pPr>
      <w:r>
        <w:rPr/>
        <w:t>sea detenido con una terapia específica, puede llevar a la pérdida total de la corona dentaria. </w:t>
      </w:r>
      <w:r>
        <w:rPr>
          <w:position w:val="11"/>
          <w:sz w:val="16"/>
        </w:rPr>
        <w:t>1,12</w:t>
      </w:r>
    </w:p>
    <w:p>
      <w:pPr>
        <w:pStyle w:val="BodyText"/>
      </w:pPr>
    </w:p>
    <w:p>
      <w:pPr>
        <w:pStyle w:val="BodyText"/>
        <w:ind w:left="162" w:right="157"/>
        <w:jc w:val="both"/>
      </w:pPr>
      <w:r>
        <w:rPr/>
        <w:t>La presencia de microorganismos capaces de producir ácido suficiente para descalcificar la estructura del diente es necesaria para este proceso. En los últimos años se ha implicado al </w:t>
      </w:r>
      <w:r>
        <w:rPr>
          <w:i/>
        </w:rPr>
        <w:t>Streptococcus mutans </w:t>
      </w:r>
      <w:r>
        <w:rPr/>
        <w:t>(SM) como el principal y más virulento microorganismo responsable de la caries dental. Existen otros microorganismos como el</w:t>
      </w:r>
      <w:r>
        <w:rPr>
          <w:spacing w:val="35"/>
        </w:rPr>
        <w:t> </w:t>
      </w:r>
      <w:r>
        <w:rPr/>
        <w:t>Lactobacillus,</w:t>
      </w:r>
      <w:r>
        <w:rPr>
          <w:spacing w:val="36"/>
        </w:rPr>
        <w:t> </w:t>
      </w:r>
      <w:r>
        <w:rPr/>
        <w:t>Actinomyces</w:t>
      </w:r>
      <w:r>
        <w:rPr>
          <w:spacing w:val="36"/>
        </w:rPr>
        <w:t> </w:t>
      </w:r>
      <w:r>
        <w:rPr/>
        <w:t>y</w:t>
      </w:r>
      <w:r>
        <w:rPr>
          <w:spacing w:val="37"/>
        </w:rPr>
        <w:t> </w:t>
      </w:r>
      <w:r>
        <w:rPr/>
        <w:t>otros</w:t>
      </w:r>
      <w:r>
        <w:rPr>
          <w:spacing w:val="34"/>
        </w:rPr>
        <w:t> </w:t>
      </w:r>
      <w:r>
        <w:rPr/>
        <w:t>tipos</w:t>
      </w:r>
      <w:r>
        <w:rPr>
          <w:spacing w:val="31"/>
        </w:rPr>
        <w:t> </w:t>
      </w:r>
      <w:r>
        <w:rPr/>
        <w:t>de</w:t>
      </w:r>
      <w:r>
        <w:rPr>
          <w:spacing w:val="34"/>
        </w:rPr>
        <w:t> </w:t>
      </w:r>
      <w:r>
        <w:rPr/>
        <w:t>Estreptococos</w:t>
      </w:r>
      <w:r>
        <w:rPr>
          <w:spacing w:val="37"/>
        </w:rPr>
        <w:t> </w:t>
      </w:r>
      <w:r>
        <w:rPr/>
        <w:t>que</w:t>
      </w:r>
      <w:r>
        <w:rPr>
          <w:spacing w:val="34"/>
        </w:rPr>
        <w:t> </w:t>
      </w:r>
      <w:r>
        <w:rPr/>
        <w:t>también</w:t>
      </w:r>
      <w:r>
        <w:rPr>
          <w:spacing w:val="34"/>
        </w:rPr>
        <w:t> </w:t>
      </w:r>
      <w:r>
        <w:rPr/>
        <w:t>participan,</w:t>
      </w:r>
    </w:p>
    <w:p>
      <w:pPr>
        <w:pStyle w:val="BodyText"/>
        <w:spacing w:line="276" w:lineRule="exact"/>
        <w:ind w:left="162"/>
        <w:jc w:val="both"/>
        <w:rPr>
          <w:sz w:val="16"/>
        </w:rPr>
      </w:pPr>
      <w:r>
        <w:rPr/>
        <w:t>pero su rol es de menor importancia.</w:t>
      </w:r>
      <w:r>
        <w:rPr>
          <w:position w:val="11"/>
          <w:sz w:val="16"/>
        </w:rPr>
        <w:t>12</w:t>
      </w:r>
    </w:p>
    <w:p>
      <w:pPr>
        <w:pStyle w:val="BodyText"/>
        <w:spacing w:before="2"/>
      </w:pPr>
    </w:p>
    <w:p>
      <w:pPr>
        <w:pStyle w:val="BodyText"/>
        <w:ind w:left="162"/>
        <w:jc w:val="both"/>
      </w:pPr>
      <w:r>
        <w:rPr/>
        <w:t>Los factores de riesgo para la aparición de caries son:</w:t>
      </w:r>
    </w:p>
    <w:p>
      <w:pPr>
        <w:pStyle w:val="BodyText"/>
        <w:spacing w:before="3"/>
      </w:pPr>
    </w:p>
    <w:p>
      <w:pPr>
        <w:pStyle w:val="ListParagraph"/>
        <w:numPr>
          <w:ilvl w:val="3"/>
          <w:numId w:val="3"/>
        </w:numPr>
        <w:tabs>
          <w:tab w:pos="882" w:val="left" w:leader="none"/>
        </w:tabs>
        <w:spacing w:line="240" w:lineRule="auto" w:before="0" w:after="0"/>
        <w:ind w:left="882" w:right="159" w:hanging="360"/>
        <w:jc w:val="both"/>
        <w:rPr>
          <w:sz w:val="24"/>
        </w:rPr>
      </w:pPr>
      <w:r>
        <w:rPr>
          <w:sz w:val="24"/>
        </w:rPr>
        <w:t>Alto grado de infección por </w:t>
      </w:r>
      <w:r>
        <w:rPr>
          <w:i/>
          <w:sz w:val="24"/>
        </w:rPr>
        <w:t>Streptococcus mutans </w:t>
      </w:r>
      <w:r>
        <w:rPr>
          <w:sz w:val="24"/>
        </w:rPr>
        <w:t>el cual es el microorganismo más relacionado con el inicio de la actividad de caries. La interpretación se realiza por densidad de crecimiento en UFC/mL de saliva: bajo riesgo &lt; 100,000 UFC/mL y alto riesgo &gt; 1,000, 000</w:t>
      </w:r>
      <w:r>
        <w:rPr>
          <w:spacing w:val="-9"/>
          <w:sz w:val="24"/>
        </w:rPr>
        <w:t> </w:t>
      </w:r>
      <w:r>
        <w:rPr>
          <w:sz w:val="24"/>
        </w:rPr>
        <w:t>UFC/mL.</w:t>
      </w:r>
    </w:p>
    <w:p>
      <w:pPr>
        <w:pStyle w:val="ListParagraph"/>
        <w:numPr>
          <w:ilvl w:val="3"/>
          <w:numId w:val="3"/>
        </w:numPr>
        <w:tabs>
          <w:tab w:pos="950" w:val="left" w:leader="none"/>
        </w:tabs>
        <w:spacing w:line="240" w:lineRule="auto" w:before="0" w:after="0"/>
        <w:ind w:left="882" w:right="161" w:hanging="360"/>
        <w:jc w:val="both"/>
        <w:rPr>
          <w:sz w:val="24"/>
        </w:rPr>
      </w:pPr>
      <w:r>
        <w:rPr>
          <w:sz w:val="24"/>
        </w:rPr>
        <w:t>Alto grado de infección por Lactobacilos: Relacionados con la progresión de la lesión cariosa y con la elevada ingestión de carbohidratos. Los resultados se interpretan como unidades formadoras de colonia por milímetros de saliva (UFC/mL): bajo riesgo &lt; 1000 UFC/ml y alto riesgo &gt; 10,000</w:t>
      </w:r>
      <w:r>
        <w:rPr>
          <w:spacing w:val="-14"/>
          <w:sz w:val="24"/>
        </w:rPr>
        <w:t> </w:t>
      </w:r>
      <w:r>
        <w:rPr>
          <w:sz w:val="24"/>
        </w:rPr>
        <w:t>UFC/mL.</w:t>
      </w:r>
    </w:p>
    <w:p>
      <w:pPr>
        <w:pStyle w:val="ListParagraph"/>
        <w:numPr>
          <w:ilvl w:val="3"/>
          <w:numId w:val="3"/>
        </w:numPr>
        <w:tabs>
          <w:tab w:pos="882" w:val="left" w:leader="none"/>
        </w:tabs>
        <w:spacing w:line="240" w:lineRule="auto" w:before="0" w:after="0"/>
        <w:ind w:left="882" w:right="163" w:hanging="360"/>
        <w:jc w:val="both"/>
        <w:rPr>
          <w:sz w:val="24"/>
        </w:rPr>
      </w:pPr>
      <w:r>
        <w:rPr>
          <w:sz w:val="24"/>
        </w:rPr>
        <w:t>Experiencia anterior de caries, en personas no afectadas por caries, tiene mayor probabilidad a seguir desarrollando la enfermedad y aumentar riesgos de severidad de las</w:t>
      </w:r>
      <w:r>
        <w:rPr>
          <w:spacing w:val="-11"/>
          <w:sz w:val="24"/>
        </w:rPr>
        <w:t> </w:t>
      </w:r>
      <w:r>
        <w:rPr>
          <w:sz w:val="24"/>
        </w:rPr>
        <w:t>lesiones.</w:t>
      </w:r>
    </w:p>
    <w:p>
      <w:pPr>
        <w:pStyle w:val="ListParagraph"/>
        <w:numPr>
          <w:ilvl w:val="3"/>
          <w:numId w:val="3"/>
        </w:numPr>
        <w:tabs>
          <w:tab w:pos="882" w:val="left" w:leader="none"/>
        </w:tabs>
        <w:spacing w:line="240" w:lineRule="auto" w:before="0" w:after="0"/>
        <w:ind w:left="882" w:right="158" w:hanging="360"/>
        <w:jc w:val="both"/>
        <w:rPr>
          <w:sz w:val="24"/>
        </w:rPr>
      </w:pPr>
      <w:r>
        <w:rPr>
          <w:sz w:val="24"/>
        </w:rPr>
        <w:t>Deficiente resistencia del esmalte al ataque ácido que favorece el proceso de desmineralización y progreso de la</w:t>
      </w:r>
      <w:r>
        <w:rPr>
          <w:spacing w:val="-11"/>
          <w:sz w:val="24"/>
        </w:rPr>
        <w:t> </w:t>
      </w:r>
      <w:r>
        <w:rPr>
          <w:sz w:val="24"/>
        </w:rPr>
        <w:t>caries.</w:t>
      </w:r>
    </w:p>
    <w:p>
      <w:pPr>
        <w:pStyle w:val="ListParagraph"/>
        <w:numPr>
          <w:ilvl w:val="3"/>
          <w:numId w:val="3"/>
        </w:numPr>
        <w:tabs>
          <w:tab w:pos="882" w:val="left" w:leader="none"/>
        </w:tabs>
        <w:spacing w:line="240" w:lineRule="auto" w:before="0" w:after="0"/>
        <w:ind w:left="882" w:right="158" w:hanging="360"/>
        <w:jc w:val="both"/>
        <w:rPr>
          <w:sz w:val="24"/>
        </w:rPr>
      </w:pPr>
      <w:r>
        <w:rPr>
          <w:sz w:val="24"/>
        </w:rPr>
        <w:t>Deficiente capacidad de mineralización: cuando está afectada la capacidad de incorporación mineral a un diente recién brotado o la capacidad de reincorporación mineral al esmalte desmineralizado, la desmineralización progresa y se favorece el proceso de</w:t>
      </w:r>
      <w:r>
        <w:rPr>
          <w:spacing w:val="-12"/>
          <w:sz w:val="24"/>
        </w:rPr>
        <w:t> </w:t>
      </w:r>
      <w:r>
        <w:rPr>
          <w:sz w:val="24"/>
        </w:rPr>
        <w:t>caries.</w:t>
      </w:r>
    </w:p>
    <w:p>
      <w:pPr>
        <w:spacing w:after="0" w:line="240" w:lineRule="auto"/>
        <w:jc w:val="both"/>
        <w:rPr>
          <w:sz w:val="24"/>
        </w:rPr>
        <w:sectPr>
          <w:pgSz w:w="12240" w:h="15840"/>
          <w:pgMar w:header="729" w:footer="1003" w:top="1180" w:bottom="1200" w:left="1540" w:right="1020"/>
        </w:sectPr>
      </w:pPr>
    </w:p>
    <w:p>
      <w:pPr>
        <w:pStyle w:val="BodyText"/>
        <w:spacing w:before="2"/>
        <w:rPr>
          <w:sz w:val="14"/>
        </w:rPr>
      </w:pPr>
    </w:p>
    <w:p>
      <w:pPr>
        <w:pStyle w:val="ListParagraph"/>
        <w:numPr>
          <w:ilvl w:val="3"/>
          <w:numId w:val="3"/>
        </w:numPr>
        <w:tabs>
          <w:tab w:pos="882" w:val="left" w:leader="none"/>
        </w:tabs>
        <w:spacing w:line="240" w:lineRule="auto" w:before="56" w:after="0"/>
        <w:ind w:left="882" w:right="163" w:hanging="360"/>
        <w:jc w:val="both"/>
        <w:rPr>
          <w:sz w:val="24"/>
        </w:rPr>
      </w:pPr>
      <w:r>
        <w:rPr>
          <w:sz w:val="24"/>
        </w:rPr>
        <w:t>Dieta cariogénica es uno de los principales factores promotores de caries. Se deben considerar varios factores: contenido de azúcar, características físicas del alimento, solubilidad, retención, capacidad para estimular el flujo salival y cambios químicos en la saliva, la textura, la frecuencia y horario de su consumo y tiempo de permanencia en la</w:t>
      </w:r>
      <w:r>
        <w:rPr>
          <w:spacing w:val="-19"/>
          <w:sz w:val="24"/>
        </w:rPr>
        <w:t> </w:t>
      </w:r>
      <w:r>
        <w:rPr>
          <w:sz w:val="24"/>
        </w:rPr>
        <w:t>boca.</w:t>
      </w:r>
    </w:p>
    <w:p>
      <w:pPr>
        <w:pStyle w:val="ListParagraph"/>
        <w:numPr>
          <w:ilvl w:val="3"/>
          <w:numId w:val="3"/>
        </w:numPr>
        <w:tabs>
          <w:tab w:pos="882" w:val="left" w:leader="none"/>
        </w:tabs>
        <w:spacing w:line="240" w:lineRule="auto" w:before="0" w:after="0"/>
        <w:ind w:left="882" w:right="163" w:hanging="360"/>
        <w:jc w:val="both"/>
        <w:rPr>
          <w:sz w:val="24"/>
        </w:rPr>
      </w:pPr>
      <w:r>
        <w:rPr>
          <w:sz w:val="24"/>
        </w:rPr>
        <w:t>Mala higiene bucal: permite la acumulación de la placa dentobacteriana, lo cual reduce el coeficiente de difusión de los ácidos formados por los microorganismos fermentadores facilitando el proceso de fermentación y la elevación del riesgo a</w:t>
      </w:r>
      <w:r>
        <w:rPr>
          <w:spacing w:val="-9"/>
          <w:sz w:val="24"/>
        </w:rPr>
        <w:t> </w:t>
      </w:r>
      <w:r>
        <w:rPr>
          <w:sz w:val="24"/>
        </w:rPr>
        <w:t>caries.</w:t>
      </w:r>
    </w:p>
    <w:p>
      <w:pPr>
        <w:pStyle w:val="ListParagraph"/>
        <w:numPr>
          <w:ilvl w:val="3"/>
          <w:numId w:val="3"/>
        </w:numPr>
        <w:tabs>
          <w:tab w:pos="950" w:val="left" w:leader="none"/>
        </w:tabs>
        <w:spacing w:line="240" w:lineRule="auto" w:before="0" w:after="0"/>
        <w:ind w:left="882" w:right="164" w:hanging="360"/>
        <w:jc w:val="both"/>
        <w:rPr>
          <w:sz w:val="24"/>
        </w:rPr>
      </w:pPr>
      <w:r>
        <w:rPr>
          <w:sz w:val="24"/>
        </w:rPr>
        <w:t>Baja capacidad buffer salival: la baja capacidad salival para detener la caída del PH y restablecerlo incrementa la posibilidad de desmineralización de los tejidos dentales (capacidad tampón) Valores normales de PH de saliva estimulada normal: 5.75 a 6.75, bajo: &lt;</w:t>
      </w:r>
      <w:r>
        <w:rPr>
          <w:spacing w:val="-9"/>
          <w:sz w:val="24"/>
        </w:rPr>
        <w:t> </w:t>
      </w:r>
      <w:r>
        <w:rPr>
          <w:sz w:val="24"/>
        </w:rPr>
        <w:t>4.</w:t>
      </w:r>
    </w:p>
    <w:p>
      <w:pPr>
        <w:pStyle w:val="ListParagraph"/>
        <w:numPr>
          <w:ilvl w:val="3"/>
          <w:numId w:val="3"/>
        </w:numPr>
        <w:tabs>
          <w:tab w:pos="882" w:val="left" w:leader="none"/>
        </w:tabs>
        <w:spacing w:line="240" w:lineRule="auto" w:before="1" w:after="0"/>
        <w:ind w:left="882" w:right="160" w:hanging="360"/>
        <w:jc w:val="both"/>
        <w:rPr>
          <w:sz w:val="24"/>
        </w:rPr>
      </w:pPr>
      <w:r>
        <w:rPr>
          <w:sz w:val="24"/>
        </w:rPr>
        <w:t>Flujo salival escaso: La xerostomía está asociada a disminución de las funciones protectoras de la saliva, lo que promueve la desmineralización, aumento del número de microorganismos cariogénicos e incremento del riesgo a caries dental.</w:t>
      </w:r>
    </w:p>
    <w:p>
      <w:pPr>
        <w:pStyle w:val="ListParagraph"/>
        <w:numPr>
          <w:ilvl w:val="3"/>
          <w:numId w:val="3"/>
        </w:numPr>
        <w:tabs>
          <w:tab w:pos="882" w:val="left" w:leader="none"/>
        </w:tabs>
        <w:spacing w:line="240" w:lineRule="auto" w:before="0" w:after="0"/>
        <w:ind w:left="882" w:right="166" w:hanging="360"/>
        <w:jc w:val="both"/>
        <w:rPr>
          <w:sz w:val="24"/>
        </w:rPr>
      </w:pPr>
      <w:r>
        <w:rPr>
          <w:sz w:val="24"/>
        </w:rPr>
        <w:t>Viscosidad salival: La saliva viscosa es menos efectiva en el despeje de los carbohidratos, favoreciendo la</w:t>
      </w:r>
      <w:r>
        <w:rPr>
          <w:spacing w:val="-10"/>
          <w:sz w:val="24"/>
        </w:rPr>
        <w:t> </w:t>
      </w:r>
      <w:r>
        <w:rPr>
          <w:sz w:val="24"/>
        </w:rPr>
        <w:t>desmineralización.</w:t>
      </w:r>
    </w:p>
    <w:p>
      <w:pPr>
        <w:pStyle w:val="ListParagraph"/>
        <w:numPr>
          <w:ilvl w:val="3"/>
          <w:numId w:val="3"/>
        </w:numPr>
        <w:tabs>
          <w:tab w:pos="882" w:val="left" w:leader="none"/>
        </w:tabs>
        <w:spacing w:line="240" w:lineRule="auto" w:before="0" w:after="0"/>
        <w:ind w:left="882" w:right="158" w:hanging="360"/>
        <w:jc w:val="both"/>
        <w:rPr>
          <w:sz w:val="24"/>
        </w:rPr>
      </w:pPr>
      <w:r>
        <w:rPr>
          <w:sz w:val="24"/>
        </w:rPr>
        <w:t>Apiñamiento dentario moderado y severo: Dificultad para realizar correcta fisioterapia bucal, acumulación de placa dentobacteriana; y además el uso de aparatología ortodóntica y protésica, factores que favorecen la desmineralización.</w:t>
      </w:r>
    </w:p>
    <w:p>
      <w:pPr>
        <w:pStyle w:val="ListParagraph"/>
        <w:numPr>
          <w:ilvl w:val="3"/>
          <w:numId w:val="3"/>
        </w:numPr>
        <w:tabs>
          <w:tab w:pos="882" w:val="left" w:leader="none"/>
        </w:tabs>
        <w:spacing w:line="274" w:lineRule="exact" w:before="22" w:after="0"/>
        <w:ind w:left="882" w:right="165" w:hanging="360"/>
        <w:jc w:val="both"/>
        <w:rPr>
          <w:sz w:val="24"/>
        </w:rPr>
      </w:pPr>
      <w:r>
        <w:rPr>
          <w:sz w:val="24"/>
        </w:rPr>
        <w:t>Anomalías u opacidades del esmalte: favorecen la acumulación de placa dentobacteriana con el aumento de desmineralización y del riesgo de</w:t>
      </w:r>
      <w:r>
        <w:rPr>
          <w:spacing w:val="-29"/>
          <w:sz w:val="24"/>
        </w:rPr>
        <w:t> </w:t>
      </w:r>
      <w:r>
        <w:rPr>
          <w:sz w:val="24"/>
        </w:rPr>
        <w:t>caries.</w:t>
      </w:r>
    </w:p>
    <w:p>
      <w:pPr>
        <w:pStyle w:val="ListParagraph"/>
        <w:numPr>
          <w:ilvl w:val="3"/>
          <w:numId w:val="3"/>
        </w:numPr>
        <w:tabs>
          <w:tab w:pos="950" w:val="left" w:leader="none"/>
        </w:tabs>
        <w:spacing w:line="276" w:lineRule="exact" w:before="17" w:after="0"/>
        <w:ind w:left="882" w:right="161" w:hanging="360"/>
        <w:jc w:val="both"/>
        <w:rPr>
          <w:sz w:val="24"/>
        </w:rPr>
      </w:pPr>
      <w:r>
        <w:rPr>
          <w:sz w:val="24"/>
        </w:rPr>
        <w:t>Recesión gingival: Las personas que presentan enfermedad periodontal o secuelas de esta, tiene mayor riesgo a caries radicular. La recesión gingival al dejar expuesta la unión cemento – esmalte, crea condiciones para la acumulación de la bio-película</w:t>
      </w:r>
      <w:r>
        <w:rPr>
          <w:spacing w:val="-9"/>
          <w:sz w:val="24"/>
        </w:rPr>
        <w:t> </w:t>
      </w:r>
      <w:r>
        <w:rPr>
          <w:sz w:val="24"/>
        </w:rPr>
        <w:t>dental.</w:t>
      </w:r>
    </w:p>
    <w:p>
      <w:pPr>
        <w:pStyle w:val="ListParagraph"/>
        <w:numPr>
          <w:ilvl w:val="3"/>
          <w:numId w:val="3"/>
        </w:numPr>
        <w:tabs>
          <w:tab w:pos="882" w:val="left" w:leader="none"/>
        </w:tabs>
        <w:spacing w:line="276" w:lineRule="exact" w:before="16" w:after="0"/>
        <w:ind w:left="882" w:right="163" w:hanging="360"/>
        <w:jc w:val="both"/>
        <w:rPr>
          <w:sz w:val="24"/>
        </w:rPr>
      </w:pPr>
      <w:r>
        <w:rPr>
          <w:sz w:val="24"/>
        </w:rPr>
        <w:t>Factores sociales: El bajo nivel de ingresos, escaso nivel de instrucción, bajo nivel de conocimientos en educación para la salud, inadecuadas políticas de servicio de salud, costumbres dietéticas no saludables, familias numerosas; se asocian a mayor probabilidad de</w:t>
      </w:r>
      <w:r>
        <w:rPr>
          <w:spacing w:val="-14"/>
          <w:sz w:val="24"/>
        </w:rPr>
        <w:t> </w:t>
      </w:r>
      <w:r>
        <w:rPr>
          <w:sz w:val="24"/>
        </w:rPr>
        <w:t>caries.</w:t>
      </w:r>
    </w:p>
    <w:p>
      <w:pPr>
        <w:pStyle w:val="ListParagraph"/>
        <w:numPr>
          <w:ilvl w:val="3"/>
          <w:numId w:val="3"/>
        </w:numPr>
        <w:tabs>
          <w:tab w:pos="882" w:val="left" w:leader="none"/>
        </w:tabs>
        <w:spacing w:line="240" w:lineRule="auto" w:before="0" w:after="0"/>
        <w:ind w:left="882" w:right="164" w:hanging="360"/>
        <w:jc w:val="both"/>
        <w:rPr>
          <w:sz w:val="24"/>
        </w:rPr>
      </w:pPr>
      <w:r>
        <w:rPr>
          <w:sz w:val="24"/>
        </w:rPr>
        <w:t>Bajo peso al nacer: Estudios realizados con niños mal nutridos fetales desde el nacimiento hasta edades de 6 – 8 años de vida, demuestran la influencia de este factor en la incidencia de caries dental, así como en las anomalías de textura dentaria. La desnutrición es un factor de riesgo de caries dental porque tal riesgo se condiciona a las erosiones adamantinas, que se desarrollan en los órganos dentarios de los pacientes desnutridos como una consecuencia de los reiterados episodios de acidez en el medio</w:t>
      </w:r>
      <w:r>
        <w:rPr>
          <w:spacing w:val="-12"/>
          <w:sz w:val="24"/>
        </w:rPr>
        <w:t> </w:t>
      </w:r>
      <w:r>
        <w:rPr>
          <w:sz w:val="24"/>
        </w:rPr>
        <w:t>bucal.</w:t>
      </w:r>
    </w:p>
    <w:p>
      <w:pPr>
        <w:pStyle w:val="ListParagraph"/>
        <w:numPr>
          <w:ilvl w:val="3"/>
          <w:numId w:val="3"/>
        </w:numPr>
        <w:tabs>
          <w:tab w:pos="882" w:val="left" w:leader="none"/>
        </w:tabs>
        <w:spacing w:line="240" w:lineRule="auto" w:before="0" w:after="0"/>
        <w:ind w:left="882" w:right="165" w:hanging="360"/>
        <w:jc w:val="both"/>
        <w:rPr>
          <w:sz w:val="24"/>
        </w:rPr>
      </w:pPr>
      <w:r>
        <w:rPr>
          <w:sz w:val="24"/>
        </w:rPr>
        <w:t>Enfermedades sistémicas: Un buen estado de salud general es indicativo de  bajo riesgo, por el contrario hay determinadas enfermedades que al reducir el flujo salival, implican un riesgo elevado de caries dental. Entre ellas el síndrome de Sjögren y otras enfermedades como: diabetes mellitus, enfermedades de colágeno y la anemia</w:t>
      </w:r>
      <w:r>
        <w:rPr>
          <w:spacing w:val="-5"/>
          <w:sz w:val="24"/>
        </w:rPr>
        <w:t> </w:t>
      </w:r>
      <w:r>
        <w:rPr>
          <w:sz w:val="24"/>
        </w:rPr>
        <w:t>perniciosa.</w:t>
      </w:r>
    </w:p>
    <w:p>
      <w:pPr>
        <w:spacing w:after="0" w:line="240" w:lineRule="auto"/>
        <w:jc w:val="both"/>
        <w:rPr>
          <w:sz w:val="24"/>
        </w:rPr>
        <w:sectPr>
          <w:footerReference w:type="default" r:id="rId10"/>
          <w:pgSz w:w="12240" w:h="15840"/>
          <w:pgMar w:footer="1003" w:header="729" w:top="1180" w:bottom="1200" w:left="1540" w:right="1020"/>
        </w:sectPr>
      </w:pPr>
    </w:p>
    <w:p>
      <w:pPr>
        <w:pStyle w:val="BodyText"/>
        <w:rPr>
          <w:sz w:val="13"/>
        </w:rPr>
      </w:pPr>
    </w:p>
    <w:p>
      <w:pPr>
        <w:pStyle w:val="BodyText"/>
        <w:spacing w:before="69"/>
        <w:ind w:left="162" w:right="167"/>
        <w:jc w:val="both"/>
      </w:pPr>
      <w:r>
        <w:rPr/>
        <w:t>Otras enfermedades como: pacientes epilépticos, con hipertiroidismo e hipotiroidismo, con parálisis cerebral y discapacitados físicos y/o mentales; constituyen pacientes con alto riesgo a la caries dental.</w:t>
      </w:r>
    </w:p>
    <w:p>
      <w:pPr>
        <w:pStyle w:val="BodyText"/>
        <w:spacing w:before="5"/>
      </w:pPr>
    </w:p>
    <w:p>
      <w:pPr>
        <w:pStyle w:val="ListParagraph"/>
        <w:numPr>
          <w:ilvl w:val="3"/>
          <w:numId w:val="3"/>
        </w:numPr>
        <w:tabs>
          <w:tab w:pos="882" w:val="left" w:leader="none"/>
        </w:tabs>
        <w:spacing w:line="240" w:lineRule="auto" w:before="0" w:after="0"/>
        <w:ind w:left="882" w:right="160" w:hanging="360"/>
        <w:jc w:val="both"/>
        <w:rPr>
          <w:sz w:val="24"/>
        </w:rPr>
      </w:pPr>
      <w:r>
        <w:rPr>
          <w:sz w:val="24"/>
        </w:rPr>
        <w:t>Personas sometidas a radioterapia: aunque no es una enfermedad, si o más  bien una secuela del tratamiento del cáncer, es importante saber si el paciente ha sido irradiado en la cabeza o el cuello, ya que puede producir atrofia de las glándulas salivales con la aparición de xerostomía y caries</w:t>
      </w:r>
      <w:r>
        <w:rPr>
          <w:spacing w:val="-19"/>
          <w:sz w:val="24"/>
        </w:rPr>
        <w:t> </w:t>
      </w:r>
      <w:r>
        <w:rPr>
          <w:sz w:val="24"/>
        </w:rPr>
        <w:t>rampante.</w:t>
      </w:r>
    </w:p>
    <w:p>
      <w:pPr>
        <w:pStyle w:val="ListParagraph"/>
        <w:numPr>
          <w:ilvl w:val="3"/>
          <w:numId w:val="3"/>
        </w:numPr>
        <w:tabs>
          <w:tab w:pos="882" w:val="left" w:leader="none"/>
        </w:tabs>
        <w:spacing w:line="240" w:lineRule="auto" w:before="0" w:after="0"/>
        <w:ind w:left="882" w:right="165" w:hanging="360"/>
        <w:jc w:val="both"/>
        <w:rPr>
          <w:sz w:val="24"/>
        </w:rPr>
      </w:pPr>
      <w:r>
        <w:rPr>
          <w:sz w:val="24"/>
        </w:rPr>
        <w:t>Medicación: Existen dos grupos de medicamentos cuya ingesta durante</w:t>
      </w:r>
      <w:r>
        <w:rPr>
          <w:spacing w:val="-27"/>
          <w:sz w:val="24"/>
        </w:rPr>
        <w:t> </w:t>
      </w:r>
      <w:r>
        <w:rPr>
          <w:sz w:val="24"/>
        </w:rPr>
        <w:t>periodos prolongados de tiempo implica un alto riesgo de caries: medicamentos que reducen el flujo salival (sedantes anticolinérgicos, neurolépticos, antihistamínicos derivados de L-dopa y antihipertensivos); y medicamentos que por el alto contenido en hidratos de carbonos</w:t>
      </w:r>
      <w:r>
        <w:rPr>
          <w:spacing w:val="-13"/>
          <w:sz w:val="24"/>
        </w:rPr>
        <w:t> </w:t>
      </w:r>
      <w:r>
        <w:rPr>
          <w:sz w:val="24"/>
        </w:rPr>
        <w:t>(antitusígenos).</w:t>
      </w:r>
    </w:p>
    <w:p>
      <w:pPr>
        <w:pStyle w:val="ListParagraph"/>
        <w:numPr>
          <w:ilvl w:val="3"/>
          <w:numId w:val="3"/>
        </w:numPr>
        <w:tabs>
          <w:tab w:pos="882" w:val="left" w:leader="none"/>
        </w:tabs>
        <w:spacing w:line="240" w:lineRule="auto" w:before="1" w:after="0"/>
        <w:ind w:left="882" w:right="158" w:hanging="360"/>
        <w:jc w:val="both"/>
        <w:rPr>
          <w:sz w:val="24"/>
        </w:rPr>
      </w:pPr>
      <w:r>
        <w:rPr>
          <w:sz w:val="24"/>
        </w:rPr>
        <w:t>Otros hábitos: La lactancia con biberón que desarrolla lesiones cariosas por la presencia en la boca durante periodos de tiempo prolongados en </w:t>
      </w:r>
      <w:r>
        <w:rPr>
          <w:spacing w:val="3"/>
          <w:sz w:val="24"/>
        </w:rPr>
        <w:t>las </w:t>
      </w:r>
      <w:r>
        <w:rPr>
          <w:sz w:val="24"/>
        </w:rPr>
        <w:t>horas de sueño, un biberón que contiene leche u otros líquidos azucarados.Otros factores bio-sociales:</w:t>
      </w:r>
    </w:p>
    <w:p>
      <w:pPr>
        <w:pStyle w:val="BodyText"/>
        <w:spacing w:before="4"/>
      </w:pPr>
    </w:p>
    <w:p>
      <w:pPr>
        <w:pStyle w:val="ListParagraph"/>
        <w:numPr>
          <w:ilvl w:val="4"/>
          <w:numId w:val="3"/>
        </w:numPr>
        <w:tabs>
          <w:tab w:pos="1602" w:val="left" w:leader="none"/>
        </w:tabs>
        <w:spacing w:line="240" w:lineRule="auto" w:before="1" w:after="0"/>
        <w:ind w:left="1602" w:right="158" w:hanging="360"/>
        <w:jc w:val="both"/>
        <w:rPr>
          <w:sz w:val="24"/>
        </w:rPr>
      </w:pPr>
      <w:r>
        <w:rPr>
          <w:sz w:val="24"/>
        </w:rPr>
        <w:t>Edad: hay tres grupos de edades en los que existe mayor susceptibilidad a la caries dental: 4 - 8 – para caries de dentición temporal 11-18 -- para caries de dentición permanente 55 – 65 – para caries de</w:t>
      </w:r>
      <w:r>
        <w:rPr>
          <w:spacing w:val="-25"/>
          <w:sz w:val="24"/>
        </w:rPr>
        <w:t> </w:t>
      </w:r>
      <w:r>
        <w:rPr>
          <w:sz w:val="24"/>
        </w:rPr>
        <w:t>raíz.)</w:t>
      </w:r>
    </w:p>
    <w:p>
      <w:pPr>
        <w:pStyle w:val="ListParagraph"/>
        <w:numPr>
          <w:ilvl w:val="4"/>
          <w:numId w:val="3"/>
        </w:numPr>
        <w:tabs>
          <w:tab w:pos="1602" w:val="left" w:leader="none"/>
        </w:tabs>
        <w:spacing w:line="240" w:lineRule="auto" w:before="0" w:after="0"/>
        <w:ind w:left="1602" w:right="165" w:hanging="360"/>
        <w:jc w:val="both"/>
        <w:rPr>
          <w:sz w:val="24"/>
        </w:rPr>
      </w:pPr>
      <w:r>
        <w:rPr>
          <w:sz w:val="24"/>
        </w:rPr>
        <w:t>Sexo: algunos estudios reflejan al sexo femenino más afectado con</w:t>
      </w:r>
      <w:r>
        <w:rPr>
          <w:spacing w:val="-25"/>
          <w:sz w:val="24"/>
        </w:rPr>
        <w:t> </w:t>
      </w:r>
      <w:r>
        <w:rPr>
          <w:sz w:val="24"/>
        </w:rPr>
        <w:t>mayor cantidad de dientes obturados y menor cantidad</w:t>
      </w:r>
      <w:r>
        <w:rPr>
          <w:spacing w:val="-22"/>
          <w:sz w:val="24"/>
        </w:rPr>
        <w:t> </w:t>
      </w:r>
      <w:r>
        <w:rPr>
          <w:sz w:val="24"/>
        </w:rPr>
        <w:t>perdidos.</w:t>
      </w:r>
    </w:p>
    <w:p>
      <w:pPr>
        <w:pStyle w:val="ListParagraph"/>
        <w:numPr>
          <w:ilvl w:val="4"/>
          <w:numId w:val="3"/>
        </w:numPr>
        <w:tabs>
          <w:tab w:pos="1602" w:val="left" w:leader="none"/>
        </w:tabs>
        <w:spacing w:line="276" w:lineRule="exact" w:before="4" w:after="0"/>
        <w:ind w:left="1602" w:right="158" w:hanging="360"/>
        <w:jc w:val="both"/>
        <w:rPr>
          <w:sz w:val="16"/>
        </w:rPr>
      </w:pPr>
      <w:r>
        <w:rPr>
          <w:sz w:val="24"/>
        </w:rPr>
        <w:t>Exposición al flúor: la inexistencia de terapias con flúor ya sea sistémica o tópica favorecen la aparición de la caries dental.</w:t>
      </w:r>
      <w:r>
        <w:rPr>
          <w:spacing w:val="-16"/>
          <w:sz w:val="24"/>
        </w:rPr>
        <w:t> </w:t>
      </w:r>
      <w:r>
        <w:rPr>
          <w:position w:val="11"/>
          <w:sz w:val="16"/>
        </w:rPr>
        <w:t>13,14</w:t>
      </w:r>
    </w:p>
    <w:p>
      <w:pPr>
        <w:pStyle w:val="BodyText"/>
        <w:spacing w:before="2"/>
      </w:pPr>
    </w:p>
    <w:p>
      <w:pPr>
        <w:pStyle w:val="BodyText"/>
        <w:spacing w:line="276" w:lineRule="exact" w:before="1"/>
        <w:ind w:left="162" w:right="160"/>
        <w:jc w:val="both"/>
        <w:rPr>
          <w:sz w:val="16"/>
        </w:rPr>
      </w:pPr>
      <w:r>
        <w:rPr/>
        <w:t>El cuerpo humano posee mecanismos de defensa que sirven para evitar y curar las enfermedades infecciosas de la cavidad bucal entre ellas la saliva. El flujo salival tiene una función limpiadora además que diluye y neutraliza los ácidos que producen las bacterias a partir de los carbohidratos de la dieta lo que se le llama capacidad buffer esto debido a la conjunción del fosfato y el bicarbonato. En la saliva también se encuentran anticuerpos como las inmunoglobulinas IgA, IgG y en menor cantidad IgM, la adherencia de algunos microorganismos de la cavidad oral puede inhibirse por las inmunoglobulinas que se coloca como recubrimiento de la pieza dentaria.</w:t>
      </w:r>
      <w:r>
        <w:rPr>
          <w:position w:val="11"/>
          <w:sz w:val="16"/>
        </w:rPr>
        <w:t>15</w:t>
      </w:r>
    </w:p>
    <w:p>
      <w:pPr>
        <w:pStyle w:val="BodyText"/>
        <w:spacing w:before="10"/>
        <w:rPr>
          <w:sz w:val="23"/>
        </w:rPr>
      </w:pPr>
    </w:p>
    <w:p>
      <w:pPr>
        <w:pStyle w:val="Heading4"/>
        <w:numPr>
          <w:ilvl w:val="2"/>
          <w:numId w:val="3"/>
        </w:numPr>
        <w:tabs>
          <w:tab w:pos="866" w:val="left" w:leader="none"/>
        </w:tabs>
        <w:spacing w:line="240" w:lineRule="auto" w:before="0" w:after="0"/>
        <w:ind w:left="865" w:right="0" w:hanging="703"/>
        <w:jc w:val="both"/>
      </w:pPr>
      <w:bookmarkStart w:name="_TOC_250031" w:id="9"/>
      <w:r>
        <w:rPr/>
        <w:t>Causas de la caries en la primera</w:t>
      </w:r>
      <w:r>
        <w:rPr>
          <w:spacing w:val="-17"/>
        </w:rPr>
        <w:t> </w:t>
      </w:r>
      <w:bookmarkEnd w:id="9"/>
      <w:r>
        <w:rPr/>
        <w:t>infancia</w:t>
      </w:r>
    </w:p>
    <w:p>
      <w:pPr>
        <w:pStyle w:val="BodyText"/>
        <w:spacing w:before="10"/>
        <w:rPr>
          <w:b/>
        </w:rPr>
      </w:pPr>
    </w:p>
    <w:p>
      <w:pPr>
        <w:pStyle w:val="BodyText"/>
        <w:spacing w:line="276" w:lineRule="exact" w:before="1"/>
        <w:ind w:left="162" w:right="157"/>
        <w:jc w:val="both"/>
        <w:rPr>
          <w:sz w:val="16"/>
        </w:rPr>
      </w:pPr>
      <w:r>
        <w:rPr/>
        <w:t>La caries dental es la enfermedad crónica más común en infantes, cinco veces más común que el asma, siete veces más común que la fiebre y catorce veces más que la bronquitis crónica. Así mismo esta enfermedad ha sido considerada una enfermedad  de la civilización moderna. La literatura reporta que la incidencia de caries de infancia temprana es de 70 %, con aumento en poblaciones de riesgo</w:t>
      </w:r>
      <w:r>
        <w:rPr>
          <w:spacing w:val="-19"/>
        </w:rPr>
        <w:t> </w:t>
      </w:r>
      <w:r>
        <w:rPr/>
        <w:t>social.</w:t>
      </w:r>
      <w:r>
        <w:rPr>
          <w:position w:val="11"/>
          <w:sz w:val="16"/>
        </w:rPr>
        <w:t>16</w:t>
      </w:r>
    </w:p>
    <w:p>
      <w:pPr>
        <w:pStyle w:val="BodyText"/>
        <w:spacing w:before="2"/>
      </w:pPr>
    </w:p>
    <w:p>
      <w:pPr>
        <w:pStyle w:val="BodyText"/>
        <w:spacing w:line="276" w:lineRule="exact"/>
        <w:ind w:left="162" w:right="158"/>
        <w:jc w:val="both"/>
        <w:rPr>
          <w:sz w:val="16"/>
        </w:rPr>
      </w:pPr>
      <w:r>
        <w:rPr/>
        <w:t>Caries de la Infancia Temprana (Early Childhood Caries) es un término relativamente nuevo que engloba todos los tipos de caries que ocurren en la dentición decidua de los niños hasta los 71 meses de edad.</w:t>
      </w:r>
      <w:r>
        <w:rPr>
          <w:position w:val="11"/>
          <w:sz w:val="16"/>
        </w:rPr>
        <w:t>16</w:t>
      </w:r>
    </w:p>
    <w:p>
      <w:pPr>
        <w:spacing w:after="0" w:line="276" w:lineRule="exact"/>
        <w:jc w:val="both"/>
        <w:rPr>
          <w:sz w:val="16"/>
        </w:rPr>
        <w:sectPr>
          <w:footerReference w:type="default" r:id="rId11"/>
          <w:pgSz w:w="12240" w:h="15840"/>
          <w:pgMar w:footer="1003" w:header="729" w:top="1180" w:bottom="1200" w:left="1540" w:right="1020"/>
          <w:pgNumType w:start="11"/>
        </w:sectPr>
      </w:pPr>
    </w:p>
    <w:p>
      <w:pPr>
        <w:pStyle w:val="BodyText"/>
        <w:rPr>
          <w:sz w:val="13"/>
        </w:rPr>
      </w:pPr>
    </w:p>
    <w:p>
      <w:pPr>
        <w:pStyle w:val="BodyText"/>
        <w:spacing w:before="69"/>
        <w:ind w:left="162" w:right="168"/>
        <w:jc w:val="both"/>
      </w:pPr>
      <w:r>
        <w:rPr/>
        <w:t>Las investigaciones que tratan la caries son en su mayoría unánimes en afirmar que la causa está relacionada con la dieta rica en carbohidratos fermentables, asociada a la falta de higiene oral.</w:t>
      </w:r>
    </w:p>
    <w:p>
      <w:pPr>
        <w:pStyle w:val="BodyText"/>
        <w:spacing w:before="9"/>
      </w:pPr>
    </w:p>
    <w:p>
      <w:pPr>
        <w:pStyle w:val="BodyText"/>
        <w:spacing w:line="276" w:lineRule="exact"/>
        <w:ind w:left="162" w:right="157"/>
        <w:jc w:val="both"/>
        <w:rPr>
          <w:sz w:val="16"/>
        </w:rPr>
      </w:pPr>
      <w:r>
        <w:rPr/>
        <w:t>El biofilm dentario es la primera etapa para la formación de las lesiones cariosas, luego de formada la película adquirida esta empieza a ser colonizada por microorganismos residentes en la cavidad bucal.</w:t>
      </w:r>
      <w:r>
        <w:rPr>
          <w:position w:val="11"/>
          <w:sz w:val="16"/>
        </w:rPr>
        <w:t>17</w:t>
      </w:r>
    </w:p>
    <w:p>
      <w:pPr>
        <w:pStyle w:val="BodyText"/>
        <w:spacing w:before="9"/>
        <w:rPr>
          <w:sz w:val="23"/>
        </w:rPr>
      </w:pPr>
    </w:p>
    <w:p>
      <w:pPr>
        <w:pStyle w:val="BodyText"/>
        <w:ind w:left="162" w:right="158"/>
        <w:jc w:val="both"/>
      </w:pPr>
      <w:r>
        <w:rPr/>
        <w:t>El </w:t>
      </w:r>
      <w:r>
        <w:rPr>
          <w:i/>
        </w:rPr>
        <w:t>Streptococcus mutans </w:t>
      </w:r>
      <w:r>
        <w:rPr/>
        <w:t>es uno de los organismos más relacionados con la caries dental por su capacidad de colonizar los dientes y producir polisacáridos intra y extracelulares que son altamente acídogenos y acidúricos que metabolizan glicoproteínas salivales, siendo       </w:t>
      </w:r>
      <w:r>
        <w:rPr>
          <w:spacing w:val="61"/>
        </w:rPr>
        <w:t> </w:t>
      </w:r>
      <w:r>
        <w:rPr/>
        <w:t>responsables principalmente de la fase inicial de la</w:t>
      </w:r>
    </w:p>
    <w:p>
      <w:pPr>
        <w:pStyle w:val="BodyText"/>
        <w:spacing w:line="276" w:lineRule="exact" w:before="4"/>
        <w:ind w:left="162" w:right="169"/>
        <w:jc w:val="both"/>
        <w:rPr>
          <w:sz w:val="16"/>
        </w:rPr>
      </w:pPr>
      <w:r>
        <w:rPr/>
        <w:t>lesión, estos microrganismos poseen capacidad de adherencia a la superficie dentaria asociándose al progreso de la lesión cariosa.</w:t>
      </w:r>
      <w:r>
        <w:rPr>
          <w:position w:val="11"/>
          <w:sz w:val="16"/>
        </w:rPr>
        <w:t>18</w:t>
      </w:r>
    </w:p>
    <w:p>
      <w:pPr>
        <w:pStyle w:val="BodyText"/>
        <w:spacing w:before="9"/>
        <w:rPr>
          <w:sz w:val="23"/>
        </w:rPr>
      </w:pPr>
    </w:p>
    <w:p>
      <w:pPr>
        <w:pStyle w:val="BodyText"/>
        <w:ind w:left="162" w:right="158"/>
        <w:jc w:val="both"/>
        <w:rPr>
          <w:sz w:val="16"/>
        </w:rPr>
      </w:pPr>
      <w:r>
        <w:rPr/>
        <w:t>Normalmente, el SM no se encuentra en la cavidad oral del recién nacido y sólo se detecta tras el inicio de la erupción de los dientes temporales .El SM es uno de los primeros microorganismos en adherirse a la placa bacteriana y multiplicarse allí. Estos microorganismos son capaces de producir ácidos y polisacáridos a partir de los carbohidratos que consume el individuo, lo que tiene importancia porque los polisacáridos les permiten adherirse a la placa bacteriana y el ácido es capaz de desmineralizar la capa de esmalte de la pieza dentaria, siendo esto último la primera etapa en la formación de la caries dental</w:t>
      </w:r>
      <w:r>
        <w:rPr>
          <w:sz w:val="28"/>
        </w:rPr>
        <w:t>.</w:t>
      </w:r>
      <w:r>
        <w:rPr>
          <w:position w:val="11"/>
          <w:sz w:val="16"/>
        </w:rPr>
        <w:t>19</w:t>
      </w:r>
    </w:p>
    <w:p>
      <w:pPr>
        <w:pStyle w:val="BodyText"/>
        <w:spacing w:before="1"/>
        <w:rPr>
          <w:sz w:val="25"/>
        </w:rPr>
      </w:pPr>
    </w:p>
    <w:p>
      <w:pPr>
        <w:pStyle w:val="BodyText"/>
        <w:spacing w:line="232" w:lineRule="auto"/>
        <w:ind w:left="162" w:right="166"/>
        <w:jc w:val="both"/>
        <w:rPr>
          <w:sz w:val="16"/>
        </w:rPr>
      </w:pPr>
      <w:r>
        <w:rPr/>
        <w:t>Por ser la caries una enfermedad infecciosa transmisible, para disminuir o retardar la colonización de la boca de los niños por las bacterias causantes de ella, el médico pediatra debe conocer los mecanismos por los cuales ocurre esta transmisión, esencialmente lo que dice relación con el traspaso de microorganismos desde la saliva de los adultos, en especial de las madres. </w:t>
      </w:r>
      <w:r>
        <w:rPr>
          <w:position w:val="11"/>
          <w:sz w:val="16"/>
        </w:rPr>
        <w:t>19</w:t>
      </w:r>
    </w:p>
    <w:p>
      <w:pPr>
        <w:pStyle w:val="BodyText"/>
        <w:spacing w:before="6"/>
      </w:pPr>
    </w:p>
    <w:p>
      <w:pPr>
        <w:pStyle w:val="BodyText"/>
        <w:ind w:left="162" w:right="157"/>
        <w:jc w:val="both"/>
      </w:pPr>
      <w:r>
        <w:rPr/>
        <w:t>El contagio de la boca del niño, por bacterias cariogénicas provenientes de la saliva de los adultos, especialmente la madre, se produce principalmente al erupcionar  las piezas dentarias. Existirían períodos críticos de susceptibilidad, por lo que se ha empleado el término "ventanas de infectividad" para graficar este momento, el que se produciría entre los 6 y los 24 meses y entre los 6 y 11 años del niño, coincidiendo con los períodos de aparición de las piezas dentarias en la boca. Se ha demostrado que mientras más precoz es la colonización de la boca del niño por las bacterias cariogénicas, mayor es el riesgo de tener caries en el corto plazo. En el estudio realizado por Mattos-Graner y colaboradores se investigó la posible transmisión horizontal del SM en niños que asisten a salas cunas de Brasil, cuyas edades fluctuaban entre los 12 y 30 meses. Al analizar las bacterias comprometidas, se encontró que varios niños de la misma sala cuna, tenían genotipos idénticos del SM,</w:t>
      </w:r>
      <w:r>
        <w:rPr>
          <w:spacing w:val="61"/>
        </w:rPr>
        <w:t> </w:t>
      </w:r>
      <w:r>
        <w:rPr/>
        <w:t>lo</w:t>
      </w:r>
    </w:p>
    <w:p>
      <w:pPr>
        <w:pStyle w:val="BodyText"/>
        <w:spacing w:line="276" w:lineRule="exact" w:before="4"/>
        <w:ind w:left="162" w:right="167"/>
        <w:jc w:val="both"/>
        <w:rPr>
          <w:sz w:val="16"/>
        </w:rPr>
      </w:pPr>
      <w:r>
        <w:rPr/>
        <w:t>que indicaría que la transmisión horizontal puede ser otra forma de adquisición del microorganismo. </w:t>
      </w:r>
      <w:r>
        <w:rPr>
          <w:position w:val="11"/>
          <w:sz w:val="16"/>
        </w:rPr>
        <w:t>14</w:t>
      </w:r>
    </w:p>
    <w:p>
      <w:pPr>
        <w:spacing w:after="0" w:line="276" w:lineRule="exact"/>
        <w:jc w:val="both"/>
        <w:rPr>
          <w:sz w:val="16"/>
        </w:rPr>
        <w:sectPr>
          <w:pgSz w:w="12240" w:h="15840"/>
          <w:pgMar w:header="729" w:footer="1003" w:top="1180" w:bottom="1200" w:left="1540" w:right="1020"/>
        </w:sectPr>
      </w:pPr>
    </w:p>
    <w:p>
      <w:pPr>
        <w:pStyle w:val="BodyText"/>
        <w:rPr>
          <w:sz w:val="13"/>
        </w:rPr>
      </w:pPr>
    </w:p>
    <w:p>
      <w:pPr>
        <w:pStyle w:val="BodyText"/>
        <w:spacing w:before="69"/>
        <w:ind w:left="162" w:right="157"/>
        <w:jc w:val="both"/>
      </w:pPr>
      <w:r>
        <w:rPr/>
        <w:t>Se observaron setenta y ocho niños de 4 años de edad, examinados con anterioridad por la presencia de </w:t>
      </w:r>
      <w:r>
        <w:rPr>
          <w:i/>
        </w:rPr>
        <w:t>Streptococos mutans </w:t>
      </w:r>
      <w:r>
        <w:rPr/>
        <w:t>en los intervalos de cuatro meses a partir de 15 meses de edad, para el registro de caries dental y muestreo salival. Las muestras  de la saliva eran analizadas en busca de estreptococos, incluyendo el estreptococo de la especie mutans y el </w:t>
      </w:r>
      <w:r>
        <w:rPr>
          <w:i/>
        </w:rPr>
        <w:t>Streptococcus sobrinus </w:t>
      </w:r>
      <w:r>
        <w:rPr/>
        <w:t>y lactobacilos. Los resultados demostraron que cuanto a más temprana edad era detectado el </w:t>
      </w:r>
      <w:r>
        <w:rPr>
          <w:i/>
        </w:rPr>
        <w:t>Streptococcus mutans </w:t>
      </w:r>
      <w:r>
        <w:rPr/>
        <w:t>más daño dental por caries se observaba en los niños. El 89 % de los niños  colonizados por </w:t>
      </w:r>
      <w:r>
        <w:rPr>
          <w:i/>
        </w:rPr>
        <w:t>Streptococcus mutans </w:t>
      </w:r>
      <w:r>
        <w:rPr/>
        <w:t>a los 2 años de edad habían experimentado caries y tenían (DFS de 5,0 ) comparados con el 25% de los niños de 4 años de edad no-colonizados por </w:t>
      </w:r>
      <w:r>
        <w:rPr>
          <w:i/>
        </w:rPr>
        <w:t>Streptococcus mutans </w:t>
      </w:r>
      <w:r>
        <w:rPr/>
        <w:t>que tenían (DFS de 0,3 ). El </w:t>
      </w:r>
      <w:r>
        <w:rPr>
          <w:i/>
        </w:rPr>
        <w:t>Streptococcus </w:t>
      </w:r>
      <w:r>
        <w:rPr>
          <w:i/>
        </w:rPr>
        <w:t>mutans </w:t>
      </w:r>
      <w:r>
        <w:rPr/>
        <w:t>era la especie predominante. El </w:t>
      </w:r>
      <w:r>
        <w:rPr>
          <w:i/>
        </w:rPr>
        <w:t>Streptococcus sobrinus </w:t>
      </w:r>
      <w:r>
        <w:rPr/>
        <w:t>fue encontrado generalmente conjuntamente con el </w:t>
      </w:r>
      <w:r>
        <w:rPr>
          <w:i/>
        </w:rPr>
        <w:t>Streptococcus mutans</w:t>
      </w:r>
      <w:r>
        <w:rPr/>
        <w:t>, excepto adentro 2 niños donde estaba la única especie </w:t>
      </w:r>
      <w:r>
        <w:rPr>
          <w:i/>
        </w:rPr>
        <w:t>Streptococcus sobrinus </w:t>
      </w:r>
      <w:r>
        <w:rPr/>
        <w:t>detectada. Más niños con especies múltiples tenían números más altos de </w:t>
      </w:r>
      <w:r>
        <w:rPr>
          <w:i/>
        </w:rPr>
        <w:t>Streptococcus mutans </w:t>
      </w:r>
      <w:r>
        <w:rPr/>
        <w:t>totales y de</w:t>
      </w:r>
      <w:r>
        <w:rPr>
          <w:spacing w:val="6"/>
        </w:rPr>
        <w:t> </w:t>
      </w:r>
      <w:r>
        <w:rPr/>
        <w:t>una</w:t>
      </w:r>
    </w:p>
    <w:p>
      <w:pPr>
        <w:pStyle w:val="BodyText"/>
        <w:spacing w:line="276" w:lineRule="exact"/>
        <w:ind w:left="162"/>
        <w:jc w:val="both"/>
        <w:rPr>
          <w:sz w:val="16"/>
        </w:rPr>
      </w:pPr>
      <w:r>
        <w:rPr/>
        <w:t>tendencia a un predominio más alto de caries que niños con solamente el </w:t>
      </w:r>
      <w:r>
        <w:rPr>
          <w:i/>
        </w:rPr>
        <w:t>S. mutans</w:t>
      </w:r>
      <w:r>
        <w:rPr/>
        <w:t>.</w:t>
      </w:r>
      <w:r>
        <w:rPr>
          <w:position w:val="11"/>
          <w:sz w:val="16"/>
        </w:rPr>
        <w:t>20</w:t>
      </w:r>
    </w:p>
    <w:p>
      <w:pPr>
        <w:pStyle w:val="BodyText"/>
        <w:rPr>
          <w:sz w:val="28"/>
        </w:rPr>
      </w:pPr>
    </w:p>
    <w:p>
      <w:pPr>
        <w:pStyle w:val="BodyText"/>
        <w:rPr>
          <w:sz w:val="28"/>
        </w:rPr>
      </w:pPr>
    </w:p>
    <w:p>
      <w:pPr>
        <w:pStyle w:val="Heading4"/>
        <w:numPr>
          <w:ilvl w:val="1"/>
          <w:numId w:val="3"/>
        </w:numPr>
        <w:tabs>
          <w:tab w:pos="630" w:val="left" w:leader="none"/>
        </w:tabs>
        <w:spacing w:line="240" w:lineRule="auto" w:before="237" w:after="0"/>
        <w:ind w:left="630" w:right="0" w:hanging="468"/>
        <w:jc w:val="both"/>
      </w:pPr>
      <w:r>
        <w:rPr/>
        <w:t>PREVENCIÓN DE LA</w:t>
      </w:r>
      <w:r>
        <w:rPr>
          <w:spacing w:val="-9"/>
        </w:rPr>
        <w:t> </w:t>
      </w:r>
      <w:r>
        <w:rPr/>
        <w:t>CARIES</w:t>
      </w:r>
    </w:p>
    <w:p>
      <w:pPr>
        <w:pStyle w:val="BodyText"/>
        <w:spacing w:before="10"/>
        <w:rPr>
          <w:b/>
          <w:sz w:val="27"/>
        </w:rPr>
      </w:pPr>
    </w:p>
    <w:p>
      <w:pPr>
        <w:pStyle w:val="Heading4"/>
        <w:numPr>
          <w:ilvl w:val="2"/>
          <w:numId w:val="3"/>
        </w:numPr>
        <w:tabs>
          <w:tab w:pos="866" w:val="left" w:leader="none"/>
        </w:tabs>
        <w:spacing w:line="240" w:lineRule="auto" w:before="0" w:after="0"/>
        <w:ind w:left="865" w:right="0" w:hanging="703"/>
        <w:jc w:val="both"/>
      </w:pPr>
      <w:bookmarkStart w:name="_TOC_250030" w:id="10"/>
      <w:r>
        <w:rPr/>
        <w:t>Prevención de la caries en la población en</w:t>
      </w:r>
      <w:r>
        <w:rPr>
          <w:spacing w:val="-24"/>
        </w:rPr>
        <w:t> </w:t>
      </w:r>
      <w:bookmarkEnd w:id="10"/>
      <w:r>
        <w:rPr/>
        <w:t>general</w:t>
      </w:r>
    </w:p>
    <w:p>
      <w:pPr>
        <w:pStyle w:val="BodyText"/>
        <w:spacing w:before="1"/>
        <w:rPr>
          <w:b/>
        </w:rPr>
      </w:pPr>
    </w:p>
    <w:p>
      <w:pPr>
        <w:pStyle w:val="BodyText"/>
        <w:ind w:left="162" w:right="156"/>
        <w:jc w:val="both"/>
      </w:pPr>
      <w:r>
        <w:rPr/>
        <w:t>Hoy en día la caries dental se mantiene dentro de las tres enfermedades más comunes en el mundo para evitar su aparición es necesario adoptar medidas preventivas, y de esta forma tratar la enfermedad, no los síntomas; esto se podría lograr suprimiendo los microorganismos que contribuyen especialmente en la formación de caries; como son el </w:t>
      </w:r>
      <w:r>
        <w:rPr>
          <w:i/>
        </w:rPr>
        <w:t>Streptococcus mutans</w:t>
      </w:r>
      <w:r>
        <w:rPr/>
        <w:t>(SM) y en ciertas circunstancias, el </w:t>
      </w:r>
      <w:r>
        <w:rPr>
          <w:i/>
        </w:rPr>
        <w:t>Lactobacillus </w:t>
      </w:r>
      <w:r>
        <w:rPr/>
        <w:t>(LB), presentes en la placa y en la saliva, no se ha encontrado una correlación igual entre </w:t>
      </w:r>
      <w:r>
        <w:rPr>
          <w:spacing w:val="46"/>
        </w:rPr>
        <w:t> </w:t>
      </w:r>
      <w:r>
        <w:rPr/>
        <w:t>la</w:t>
      </w:r>
    </w:p>
    <w:p>
      <w:pPr>
        <w:pStyle w:val="BodyText"/>
        <w:spacing w:line="276" w:lineRule="exact"/>
        <w:ind w:left="162"/>
        <w:jc w:val="both"/>
        <w:rPr>
          <w:sz w:val="16"/>
        </w:rPr>
      </w:pPr>
      <w:r>
        <w:rPr/>
        <w:t>prevalencia de caries y otras especies microbianas. </w:t>
      </w:r>
      <w:r>
        <w:rPr>
          <w:position w:val="11"/>
          <w:sz w:val="16"/>
        </w:rPr>
        <w:t>21</w:t>
      </w:r>
    </w:p>
    <w:p>
      <w:pPr>
        <w:pStyle w:val="BodyText"/>
        <w:rPr>
          <w:sz w:val="28"/>
        </w:rPr>
      </w:pPr>
    </w:p>
    <w:p>
      <w:pPr>
        <w:pStyle w:val="BodyText"/>
        <w:spacing w:line="266" w:lineRule="auto" w:before="199"/>
        <w:ind w:left="162" w:right="159"/>
        <w:jc w:val="both"/>
        <w:rPr>
          <w:sz w:val="16"/>
        </w:rPr>
      </w:pPr>
      <w:r>
        <w:rPr/>
        <w:t>Anteriormente existía una tendencia apenas notoria por  establecer  métodos preventivos en la práctica dental, en años más recientes se ha visto un cambio muy notable en la actitud y aceptación del público y de la profesión a la importancia del cuidado primario como parte integral de la odontología total.</w:t>
      </w:r>
      <w:r>
        <w:rPr>
          <w:position w:val="11"/>
          <w:sz w:val="16"/>
        </w:rPr>
        <w:t>4</w:t>
      </w:r>
    </w:p>
    <w:p>
      <w:pPr>
        <w:pStyle w:val="BodyText"/>
        <w:spacing w:before="3"/>
        <w:rPr>
          <w:sz w:val="25"/>
        </w:rPr>
      </w:pPr>
    </w:p>
    <w:p>
      <w:pPr>
        <w:pStyle w:val="BodyText"/>
        <w:spacing w:line="276" w:lineRule="exact"/>
        <w:ind w:left="162" w:right="156"/>
        <w:jc w:val="both"/>
        <w:rPr>
          <w:sz w:val="16"/>
        </w:rPr>
      </w:pPr>
      <w:r>
        <w:rPr/>
        <w:t>Las enfermedades de la cavidad oral, la caries y las enfermedades parodontales son  un importante problema de salud pública a raíz de su prevalencia, sus repercusiones sobre la salud y los costos sanitarios, si bien generalmente, por lo  localizado del daño y no por ocasionar mortalidad directa, durante mucho tiempo se han tratado desde un punto de vista individual y no como un problema</w:t>
      </w:r>
      <w:r>
        <w:rPr>
          <w:spacing w:val="-17"/>
        </w:rPr>
        <w:t> </w:t>
      </w:r>
      <w:r>
        <w:rPr/>
        <w:t>comunitario.</w:t>
      </w:r>
      <w:r>
        <w:rPr>
          <w:position w:val="11"/>
          <w:sz w:val="16"/>
        </w:rPr>
        <w:t>22</w:t>
      </w:r>
    </w:p>
    <w:p>
      <w:pPr>
        <w:pStyle w:val="BodyText"/>
        <w:spacing w:before="9"/>
        <w:rPr>
          <w:sz w:val="23"/>
        </w:rPr>
      </w:pPr>
    </w:p>
    <w:p>
      <w:pPr>
        <w:pStyle w:val="BodyText"/>
        <w:ind w:left="162" w:right="157"/>
        <w:jc w:val="both"/>
      </w:pPr>
      <w:r>
        <w:rPr/>
        <w:t>Son ya tradicionales los conceptos sobre prevención expuestos por Leavell y Clark El primer nivel de prevención corresponde a la promoción de salud de una forma general. Según estos principios, el mantenimiento de la salud bucal correspondería al   segundo</w:t>
      </w:r>
    </w:p>
    <w:p>
      <w:pPr>
        <w:spacing w:after="0"/>
        <w:jc w:val="both"/>
        <w:sectPr>
          <w:pgSz w:w="12240" w:h="15840"/>
          <w:pgMar w:header="729" w:footer="1003" w:top="1180" w:bottom="1200" w:left="1540" w:right="1020"/>
        </w:sectPr>
      </w:pPr>
    </w:p>
    <w:p>
      <w:pPr>
        <w:pStyle w:val="BodyText"/>
        <w:rPr>
          <w:sz w:val="13"/>
        </w:rPr>
      </w:pPr>
    </w:p>
    <w:p>
      <w:pPr>
        <w:pStyle w:val="BodyText"/>
        <w:spacing w:line="276" w:lineRule="exact" w:before="73"/>
        <w:ind w:left="162" w:right="165"/>
        <w:jc w:val="both"/>
        <w:rPr>
          <w:sz w:val="16"/>
        </w:rPr>
      </w:pPr>
      <w:r>
        <w:rPr/>
        <w:t>nivel de prevención, es decir, sería una protección específica frente a los elementos creadores de una patología Ambos niveles constituyen la prevención primaria.</w:t>
      </w:r>
      <w:r>
        <w:rPr>
          <w:position w:val="11"/>
          <w:sz w:val="16"/>
        </w:rPr>
        <w:t>23</w:t>
      </w:r>
    </w:p>
    <w:p>
      <w:pPr>
        <w:pStyle w:val="BodyText"/>
        <w:spacing w:before="4"/>
      </w:pPr>
    </w:p>
    <w:p>
      <w:pPr>
        <w:pStyle w:val="BodyText"/>
        <w:spacing w:line="276" w:lineRule="exact" w:before="1"/>
        <w:ind w:left="162" w:right="159"/>
        <w:jc w:val="both"/>
        <w:rPr>
          <w:sz w:val="16"/>
        </w:rPr>
      </w:pPr>
      <w:r>
        <w:rPr/>
        <w:t>El nivel primario o nivel de prevención primaria actúa durante el periodo prepatogénico de la enfermedad y, como tal está dirigido a eliminar o disminuir la cantidad o calidad  de los factores de riesgo presentes en la comunidad este tipo de prevención puede lograrse con la promoción de la salud y con la protección específica. La protección específica se refiere a aquellas medidas que en forma más directa evitan que las enfermedades prevenibles aparezcan. Si las acciones de prevención primaria no han sido aplicadas correctamente, existe una alta probabilidad de que un huésped susceptible reciba el estímulo nocivo e inicie el periodo patogénico y se deba recurrir al segundo nivel  de prevención para un tratamiento oportuno y</w:t>
      </w:r>
      <w:r>
        <w:rPr>
          <w:spacing w:val="-22"/>
        </w:rPr>
        <w:t> </w:t>
      </w:r>
      <w:r>
        <w:rPr/>
        <w:t>adecuado.</w:t>
      </w:r>
      <w:r>
        <w:rPr>
          <w:position w:val="11"/>
          <w:sz w:val="16"/>
        </w:rPr>
        <w:t>24</w:t>
      </w:r>
    </w:p>
    <w:p>
      <w:pPr>
        <w:pStyle w:val="BodyText"/>
        <w:rPr>
          <w:sz w:val="28"/>
        </w:rPr>
      </w:pPr>
    </w:p>
    <w:p>
      <w:pPr>
        <w:pStyle w:val="BodyText"/>
        <w:rPr>
          <w:sz w:val="28"/>
        </w:rPr>
      </w:pPr>
    </w:p>
    <w:p>
      <w:pPr>
        <w:pStyle w:val="Heading4"/>
        <w:numPr>
          <w:ilvl w:val="2"/>
          <w:numId w:val="3"/>
        </w:numPr>
        <w:tabs>
          <w:tab w:pos="866" w:val="left" w:leader="none"/>
        </w:tabs>
        <w:spacing w:line="240" w:lineRule="auto" w:before="186" w:after="0"/>
        <w:ind w:left="865" w:right="0" w:hanging="703"/>
        <w:jc w:val="both"/>
      </w:pPr>
      <w:bookmarkStart w:name="_TOC_250029" w:id="11"/>
      <w:r>
        <w:rPr/>
        <w:t>Prevención de la caries en la primera</w:t>
      </w:r>
      <w:r>
        <w:rPr>
          <w:spacing w:val="-25"/>
        </w:rPr>
        <w:t> </w:t>
      </w:r>
      <w:bookmarkEnd w:id="11"/>
      <w:r>
        <w:rPr/>
        <w:t>infancia</w:t>
      </w:r>
    </w:p>
    <w:p>
      <w:pPr>
        <w:pStyle w:val="BodyText"/>
        <w:spacing w:before="10"/>
        <w:rPr>
          <w:b/>
        </w:rPr>
      </w:pPr>
    </w:p>
    <w:p>
      <w:pPr>
        <w:pStyle w:val="BodyText"/>
        <w:spacing w:line="276" w:lineRule="exact"/>
        <w:ind w:left="162" w:right="157"/>
        <w:jc w:val="both"/>
        <w:rPr>
          <w:sz w:val="16"/>
        </w:rPr>
      </w:pPr>
      <w:r>
        <w:rPr/>
        <w:t>Sabemos que la salud bucal es muy importante para la salud general, crecimiento y desarrollo del niño y juega un rol preponderante en la nutrición, correcto lenguaje, desarrollo normal de la mandíbula, adecuada posición de los dientes permanentes, así también influye en la apariencia y autoestima del niño. Así pues, la salud bucal, contribuye significativamente en la salud general y calidad de vida del individuo.</w:t>
      </w:r>
      <w:r>
        <w:rPr>
          <w:position w:val="11"/>
          <w:sz w:val="16"/>
        </w:rPr>
        <w:t>16</w:t>
      </w:r>
    </w:p>
    <w:p>
      <w:pPr>
        <w:pStyle w:val="BodyText"/>
      </w:pPr>
    </w:p>
    <w:p>
      <w:pPr>
        <w:pStyle w:val="BodyText"/>
        <w:ind w:left="162" w:right="163"/>
        <w:jc w:val="both"/>
      </w:pPr>
      <w:r>
        <w:rPr/>
        <w:t>Datos estadísticos demuestran que menos de un niño entre cada cinco de los que reciben atención médica en la primera infancia, recibe atención odontológica. Por este motivo se priorizó la atención odontológica de niños de cero a un año de edad, por considerar que esta es la edad más oportuna para establecer la odontología que sea promotora  de  salud,  al  alcance  de  todos,  eficiente  y  de  bajo  costo,  sin  estar</w:t>
      </w:r>
    </w:p>
    <w:p>
      <w:pPr>
        <w:pStyle w:val="BodyText"/>
        <w:spacing w:line="276" w:lineRule="exact"/>
        <w:ind w:left="162"/>
        <w:jc w:val="both"/>
        <w:rPr>
          <w:sz w:val="16"/>
        </w:rPr>
      </w:pPr>
      <w:r>
        <w:rPr/>
        <w:t>condicionada por el aspecto físico, psicológico o neurológico del paciente.</w:t>
      </w:r>
      <w:r>
        <w:rPr>
          <w:position w:val="11"/>
          <w:sz w:val="16"/>
        </w:rPr>
        <w:t>25</w:t>
      </w:r>
    </w:p>
    <w:p>
      <w:pPr>
        <w:pStyle w:val="BodyText"/>
        <w:spacing w:before="4"/>
      </w:pPr>
    </w:p>
    <w:p>
      <w:pPr>
        <w:pStyle w:val="BodyText"/>
        <w:spacing w:line="266" w:lineRule="auto" w:before="1"/>
        <w:ind w:left="162" w:right="163"/>
        <w:jc w:val="both"/>
        <w:rPr>
          <w:sz w:val="16"/>
        </w:rPr>
      </w:pPr>
      <w:r>
        <w:rPr/>
        <w:t>El periodo de vida desde la concepción hasta los tres años de edad es sin duda el más contundente con respecto al crecimiento y desarrollo. Desde el punto de vista dental el niño que era totalmente edéntulo al nacer, tiene ya, hacia los tres años de edad una dentición primaria completa, constituida por 20 piezas.</w:t>
      </w:r>
      <w:r>
        <w:rPr>
          <w:position w:val="11"/>
          <w:sz w:val="16"/>
        </w:rPr>
        <w:t>26</w:t>
      </w:r>
    </w:p>
    <w:p>
      <w:pPr>
        <w:pStyle w:val="BodyText"/>
        <w:spacing w:line="276" w:lineRule="auto" w:before="208"/>
        <w:ind w:left="162" w:right="159"/>
        <w:jc w:val="both"/>
      </w:pPr>
      <w:r>
        <w:rPr/>
        <w:t>Si puede hacerse tanto para fomentar la salud odontológica con la aplicación de estrategias preventivas eficaces en el primer año de vida ¿Por qué no lo ha hecho la práctica odontológica? En primer lugar durante la mayor parte del siglo XX, la odontología no se orientaba hacia la prevención, sino al tratamiento. El odontólogo que no realizaba programas de prevención en su tratamiento, no tenía razón para verlos hasta que desarrollaba alguna enfermedad  con el tiempo.     Debido a la corta edad de</w:t>
      </w:r>
    </w:p>
    <w:p>
      <w:pPr>
        <w:pStyle w:val="BodyText"/>
        <w:spacing w:line="244" w:lineRule="auto"/>
        <w:ind w:left="162" w:right="168"/>
        <w:jc w:val="both"/>
        <w:rPr>
          <w:sz w:val="16"/>
        </w:rPr>
      </w:pPr>
      <w:r>
        <w:rPr/>
        <w:t>estos pacientes y al poco tiempo que los dientes permanecen en la cavidad bucal el odontólogo tenía poca oportunidad de intervenir antes de los 36 meses de edad.</w:t>
      </w:r>
      <w:r>
        <w:rPr>
          <w:position w:val="11"/>
          <w:sz w:val="16"/>
        </w:rPr>
        <w:t>26</w:t>
      </w:r>
    </w:p>
    <w:p>
      <w:pPr>
        <w:spacing w:after="0" w:line="244" w:lineRule="auto"/>
        <w:jc w:val="both"/>
        <w:rPr>
          <w:sz w:val="16"/>
        </w:rPr>
        <w:sectPr>
          <w:pgSz w:w="12240" w:h="15840"/>
          <w:pgMar w:header="729" w:footer="1003" w:top="1180" w:bottom="1200" w:left="1540" w:right="1020"/>
        </w:sectPr>
      </w:pPr>
    </w:p>
    <w:p>
      <w:pPr>
        <w:pStyle w:val="BodyText"/>
        <w:spacing w:before="2"/>
        <w:rPr>
          <w:sz w:val="13"/>
        </w:rPr>
      </w:pPr>
    </w:p>
    <w:p>
      <w:pPr>
        <w:pStyle w:val="BodyText"/>
        <w:spacing w:line="271" w:lineRule="auto" w:before="69"/>
        <w:ind w:left="162" w:right="160"/>
        <w:jc w:val="both"/>
        <w:rPr>
          <w:sz w:val="16"/>
        </w:rPr>
      </w:pPr>
      <w:r>
        <w:rPr/>
        <w:t>Por fortuna, la odontología moderna se orienta a la prevención, y la mayoría de los odontólogos actuales comprende sus obligaciones para prevenir enfermedades y buscar estrategias preventivas para buscar que se conserve la salud bucal en todos sus pacientes. En su primer año de vida, el niño es un paciente muy deseable desde el punto de vista preventivo, ya que cualquier acción que se realice a favor de la prevención tendrá un efecto de por</w:t>
      </w:r>
      <w:r>
        <w:rPr>
          <w:spacing w:val="-12"/>
        </w:rPr>
        <w:t> </w:t>
      </w:r>
      <w:r>
        <w:rPr/>
        <w:t>vida.</w:t>
      </w:r>
      <w:r>
        <w:rPr>
          <w:position w:val="11"/>
          <w:sz w:val="16"/>
        </w:rPr>
        <w:t>26</w:t>
      </w:r>
    </w:p>
    <w:p>
      <w:pPr>
        <w:pStyle w:val="BodyText"/>
        <w:rPr>
          <w:sz w:val="28"/>
        </w:rPr>
      </w:pPr>
    </w:p>
    <w:p>
      <w:pPr>
        <w:pStyle w:val="BodyText"/>
        <w:spacing w:before="11"/>
        <w:rPr>
          <w:sz w:val="38"/>
        </w:rPr>
      </w:pPr>
    </w:p>
    <w:p>
      <w:pPr>
        <w:pStyle w:val="Heading4"/>
        <w:numPr>
          <w:ilvl w:val="1"/>
          <w:numId w:val="4"/>
        </w:numPr>
        <w:tabs>
          <w:tab w:pos="630" w:val="left" w:leader="none"/>
        </w:tabs>
        <w:spacing w:line="240" w:lineRule="auto" w:before="0" w:after="0"/>
        <w:ind w:left="630" w:right="0" w:hanging="468"/>
        <w:jc w:val="both"/>
      </w:pPr>
      <w:r>
        <w:rPr/>
        <w:t>MEDIDAS PREVENTIVAS PARA LA CARIES</w:t>
      </w:r>
      <w:r>
        <w:rPr>
          <w:spacing w:val="-20"/>
        </w:rPr>
        <w:t> </w:t>
      </w:r>
      <w:r>
        <w:rPr/>
        <w:t>DENTAL</w:t>
      </w:r>
    </w:p>
    <w:p>
      <w:pPr>
        <w:pStyle w:val="Heading4"/>
        <w:numPr>
          <w:ilvl w:val="2"/>
          <w:numId w:val="4"/>
        </w:numPr>
        <w:tabs>
          <w:tab w:pos="863" w:val="left" w:leader="none"/>
        </w:tabs>
        <w:spacing w:line="240" w:lineRule="auto" w:before="247" w:after="0"/>
        <w:ind w:left="862" w:right="0" w:hanging="700"/>
        <w:jc w:val="both"/>
      </w:pPr>
      <w:bookmarkStart w:name="_TOC_250028" w:id="12"/>
      <w:r>
        <w:rPr/>
        <w:t>Medidas preventivas generales para la caries</w:t>
      </w:r>
      <w:r>
        <w:rPr>
          <w:spacing w:val="-20"/>
        </w:rPr>
        <w:t> </w:t>
      </w:r>
      <w:bookmarkEnd w:id="12"/>
      <w:r>
        <w:rPr/>
        <w:t>dental</w:t>
      </w:r>
    </w:p>
    <w:p>
      <w:pPr>
        <w:pStyle w:val="BodyText"/>
        <w:spacing w:line="276" w:lineRule="auto" w:before="249"/>
        <w:ind w:left="162" w:right="158"/>
        <w:jc w:val="both"/>
      </w:pPr>
      <w:r>
        <w:rPr/>
        <w:t>Los </w:t>
      </w:r>
      <w:r>
        <w:rPr>
          <w:i/>
        </w:rPr>
        <w:t>Streptococcus</w:t>
      </w:r>
      <w:r>
        <w:rPr/>
        <w:t>, particularmente el </w:t>
      </w:r>
      <w:r>
        <w:rPr>
          <w:i/>
        </w:rPr>
        <w:t>Streptococcus mutans </w:t>
      </w:r>
      <w:r>
        <w:rPr/>
        <w:t>se puede demostrar </w:t>
      </w:r>
      <w:r>
        <w:rPr>
          <w:spacing w:val="-2"/>
        </w:rPr>
        <w:t>que </w:t>
      </w:r>
      <w:r>
        <w:rPr/>
        <w:t>está asociado a la caries en seres humanos. Debido a su asociación con enfermedad dental, una evaluación de los números de los </w:t>
      </w:r>
      <w:r>
        <w:rPr>
          <w:i/>
        </w:rPr>
        <w:t>Streptococcus mutans </w:t>
      </w:r>
      <w:r>
        <w:rPr/>
        <w:t>organismos en placa   y   la   saliva   pueden   ayudar   en   la   diagnosis  de   la   actividad   de</w:t>
      </w:r>
      <w:r>
        <w:rPr>
          <w:spacing w:val="51"/>
        </w:rPr>
        <w:t> </w:t>
      </w:r>
      <w:r>
        <w:rPr/>
        <w:t>caries.</w:t>
      </w:r>
    </w:p>
    <w:p>
      <w:pPr>
        <w:pStyle w:val="BodyText"/>
        <w:spacing w:line="244" w:lineRule="auto"/>
        <w:ind w:left="162" w:right="165"/>
        <w:jc w:val="both"/>
        <w:rPr>
          <w:sz w:val="16"/>
        </w:rPr>
      </w:pPr>
      <w:r>
        <w:rPr/>
        <w:t>Conjuntamente con este concepto, el control y la prevención de la caries ha sido buscado reduciendo los números de las bacterias que colonizaban a un individuo.</w:t>
      </w:r>
      <w:r>
        <w:rPr>
          <w:position w:val="11"/>
          <w:sz w:val="16"/>
        </w:rPr>
        <w:t>27</w:t>
      </w:r>
    </w:p>
    <w:p>
      <w:pPr>
        <w:pStyle w:val="BodyText"/>
        <w:spacing w:line="276" w:lineRule="auto" w:before="236"/>
        <w:ind w:left="162" w:right="169"/>
        <w:jc w:val="both"/>
      </w:pPr>
      <w:r>
        <w:rPr/>
        <w:t>Al ser la caries una enfermedad multifactorial su prevención se debe basar en cada  uno de los factores etiológicos para</w:t>
      </w:r>
      <w:r>
        <w:rPr>
          <w:spacing w:val="-18"/>
        </w:rPr>
        <w:t> </w:t>
      </w:r>
      <w:r>
        <w:rPr/>
        <w:t>conseguir:</w:t>
      </w:r>
    </w:p>
    <w:p>
      <w:pPr>
        <w:pStyle w:val="ListParagraph"/>
        <w:numPr>
          <w:ilvl w:val="3"/>
          <w:numId w:val="4"/>
        </w:numPr>
        <w:tabs>
          <w:tab w:pos="881" w:val="left" w:leader="none"/>
          <w:tab w:pos="882" w:val="left" w:leader="none"/>
        </w:tabs>
        <w:spacing w:line="240" w:lineRule="auto" w:before="201" w:after="0"/>
        <w:ind w:left="882" w:right="0" w:hanging="360"/>
        <w:jc w:val="left"/>
        <w:rPr>
          <w:sz w:val="24"/>
        </w:rPr>
      </w:pPr>
      <w:r>
        <w:rPr>
          <w:sz w:val="24"/>
        </w:rPr>
        <w:t>Aumentar la resistencia del</w:t>
      </w:r>
      <w:r>
        <w:rPr>
          <w:spacing w:val="-16"/>
          <w:sz w:val="24"/>
        </w:rPr>
        <w:t> </w:t>
      </w:r>
      <w:r>
        <w:rPr>
          <w:sz w:val="24"/>
        </w:rPr>
        <w:t>huésped.</w:t>
      </w:r>
    </w:p>
    <w:p>
      <w:pPr>
        <w:pStyle w:val="ListParagraph"/>
        <w:numPr>
          <w:ilvl w:val="3"/>
          <w:numId w:val="4"/>
        </w:numPr>
        <w:tabs>
          <w:tab w:pos="881" w:val="left" w:leader="none"/>
          <w:tab w:pos="882" w:val="left" w:leader="none"/>
        </w:tabs>
        <w:spacing w:line="240" w:lineRule="auto" w:before="39" w:after="0"/>
        <w:ind w:left="882" w:right="0" w:hanging="360"/>
        <w:jc w:val="left"/>
        <w:rPr>
          <w:sz w:val="24"/>
        </w:rPr>
      </w:pPr>
      <w:r>
        <w:rPr>
          <w:sz w:val="24"/>
        </w:rPr>
        <w:t>Reducir la presencia de</w:t>
      </w:r>
      <w:r>
        <w:rPr>
          <w:spacing w:val="-9"/>
          <w:sz w:val="24"/>
        </w:rPr>
        <w:t> </w:t>
      </w:r>
      <w:r>
        <w:rPr>
          <w:sz w:val="24"/>
        </w:rPr>
        <w:t>microorganismos.</w:t>
      </w:r>
    </w:p>
    <w:p>
      <w:pPr>
        <w:pStyle w:val="ListParagraph"/>
        <w:numPr>
          <w:ilvl w:val="3"/>
          <w:numId w:val="4"/>
        </w:numPr>
        <w:tabs>
          <w:tab w:pos="881" w:val="left" w:leader="none"/>
          <w:tab w:pos="882" w:val="left" w:leader="none"/>
        </w:tabs>
        <w:spacing w:line="240" w:lineRule="auto" w:before="39" w:after="0"/>
        <w:ind w:left="882" w:right="0" w:hanging="360"/>
        <w:jc w:val="left"/>
        <w:rPr>
          <w:sz w:val="24"/>
        </w:rPr>
      </w:pPr>
      <w:r>
        <w:rPr>
          <w:sz w:val="24"/>
        </w:rPr>
        <w:t>Modificar los cambios</w:t>
      </w:r>
      <w:r>
        <w:rPr>
          <w:spacing w:val="-12"/>
          <w:sz w:val="24"/>
        </w:rPr>
        <w:t> </w:t>
      </w:r>
      <w:r>
        <w:rPr>
          <w:sz w:val="24"/>
        </w:rPr>
        <w:t>dietéticos.</w:t>
      </w:r>
    </w:p>
    <w:p>
      <w:pPr>
        <w:pStyle w:val="ListParagraph"/>
        <w:numPr>
          <w:ilvl w:val="3"/>
          <w:numId w:val="4"/>
        </w:numPr>
        <w:tabs>
          <w:tab w:pos="881" w:val="left" w:leader="none"/>
          <w:tab w:pos="882" w:val="left" w:leader="none"/>
        </w:tabs>
        <w:spacing w:line="240" w:lineRule="auto" w:before="20" w:after="0"/>
        <w:ind w:left="882" w:right="0" w:hanging="360"/>
        <w:jc w:val="left"/>
        <w:rPr>
          <w:sz w:val="16"/>
        </w:rPr>
      </w:pPr>
      <w:r>
        <w:rPr>
          <w:sz w:val="24"/>
        </w:rPr>
        <w:t>Limitar la permanencia de alimentos cariogénicos en la</w:t>
      </w:r>
      <w:r>
        <w:rPr>
          <w:spacing w:val="-20"/>
          <w:sz w:val="24"/>
        </w:rPr>
        <w:t> </w:t>
      </w:r>
      <w:r>
        <w:rPr>
          <w:sz w:val="24"/>
        </w:rPr>
        <w:t>boca</w:t>
      </w:r>
      <w:r>
        <w:rPr>
          <w:position w:val="11"/>
          <w:sz w:val="16"/>
        </w:rPr>
        <w:t>12</w:t>
      </w:r>
    </w:p>
    <w:p>
      <w:pPr>
        <w:pStyle w:val="BodyText"/>
        <w:rPr>
          <w:sz w:val="28"/>
        </w:rPr>
      </w:pPr>
    </w:p>
    <w:p>
      <w:pPr>
        <w:pStyle w:val="Heading4"/>
        <w:numPr>
          <w:ilvl w:val="2"/>
          <w:numId w:val="4"/>
        </w:numPr>
        <w:tabs>
          <w:tab w:pos="942" w:val="left" w:leader="none"/>
        </w:tabs>
        <w:spacing w:line="240" w:lineRule="auto" w:before="234" w:after="0"/>
        <w:ind w:left="942" w:right="0" w:hanging="780"/>
        <w:jc w:val="both"/>
      </w:pPr>
      <w:bookmarkStart w:name="_TOC_250027" w:id="13"/>
      <w:r>
        <w:rPr/>
        <w:t>Flúor como medida preventiva de la caries</w:t>
      </w:r>
      <w:r>
        <w:rPr>
          <w:spacing w:val="-20"/>
        </w:rPr>
        <w:t> </w:t>
      </w:r>
      <w:bookmarkEnd w:id="13"/>
      <w:r>
        <w:rPr/>
        <w:t>dental</w:t>
      </w:r>
    </w:p>
    <w:p>
      <w:pPr>
        <w:pStyle w:val="BodyText"/>
        <w:spacing w:line="268" w:lineRule="auto" w:before="250"/>
        <w:ind w:left="162" w:right="162"/>
        <w:jc w:val="both"/>
        <w:rPr>
          <w:sz w:val="16"/>
        </w:rPr>
      </w:pPr>
      <w:r>
        <w:rPr/>
        <w:t>El Flúor elemental es un gas altamente reactivo, amarillo – verdoso y por esa razón nunca ocurre solo en la naturaleza; en cambio, el ión fluoruro es común y ocurre en minerales unidos a metales para hacer sales de fluoruro binario, está demostrado que es esencial para el mantenimiento de la estructura y resistencia de huesos y dientes.</w:t>
      </w:r>
      <w:r>
        <w:rPr>
          <w:position w:val="11"/>
          <w:sz w:val="16"/>
        </w:rPr>
        <w:t>28,29</w:t>
      </w:r>
    </w:p>
    <w:p>
      <w:pPr>
        <w:pStyle w:val="BodyText"/>
        <w:spacing w:before="5"/>
        <w:rPr>
          <w:sz w:val="41"/>
        </w:rPr>
      </w:pPr>
    </w:p>
    <w:p>
      <w:pPr>
        <w:pStyle w:val="BodyText"/>
        <w:ind w:left="162" w:right="158"/>
        <w:jc w:val="both"/>
      </w:pPr>
      <w:r>
        <w:rPr/>
        <w:t>Al completar su estado de mineralización, el diente erupciona en la cavidad oral. Pero  la superficie adamantina es altamente porosa debido a la presencia de periquematías, espacios interprismáticos, fisuras y fosas, estos espacios son ocupados por proteínas, lípidos y agua. La superficie adamantina se encuentra en constante modificación por el contacto con el medio bucal. Después de la erupción, la superficie adamantina inmediatamente</w:t>
      </w:r>
      <w:r>
        <w:rPr>
          <w:spacing w:val="33"/>
        </w:rPr>
        <w:t> </w:t>
      </w:r>
      <w:r>
        <w:rPr/>
        <w:t>es</w:t>
      </w:r>
      <w:r>
        <w:rPr>
          <w:spacing w:val="35"/>
        </w:rPr>
        <w:t> </w:t>
      </w:r>
      <w:r>
        <w:rPr/>
        <w:t>cubierta</w:t>
      </w:r>
      <w:r>
        <w:rPr>
          <w:spacing w:val="35"/>
        </w:rPr>
        <w:t> </w:t>
      </w:r>
      <w:r>
        <w:rPr/>
        <w:t>por</w:t>
      </w:r>
      <w:r>
        <w:rPr>
          <w:spacing w:val="34"/>
        </w:rPr>
        <w:t> </w:t>
      </w:r>
      <w:r>
        <w:rPr/>
        <w:t>depósitos</w:t>
      </w:r>
      <w:r>
        <w:rPr>
          <w:spacing w:val="32"/>
        </w:rPr>
        <w:t> </w:t>
      </w:r>
      <w:r>
        <w:rPr/>
        <w:t>microbianos,</w:t>
      </w:r>
      <w:r>
        <w:rPr>
          <w:spacing w:val="35"/>
        </w:rPr>
        <w:t> </w:t>
      </w:r>
      <w:r>
        <w:rPr/>
        <w:t>cuyos</w:t>
      </w:r>
      <w:r>
        <w:rPr>
          <w:spacing w:val="35"/>
        </w:rPr>
        <w:t> </w:t>
      </w:r>
      <w:r>
        <w:rPr/>
        <w:t>productos</w:t>
      </w:r>
      <w:r>
        <w:rPr>
          <w:spacing w:val="35"/>
        </w:rPr>
        <w:t> </w:t>
      </w:r>
      <w:r>
        <w:rPr/>
        <w:t>metabólicos</w:t>
      </w:r>
    </w:p>
    <w:p>
      <w:pPr>
        <w:spacing w:after="0"/>
        <w:jc w:val="both"/>
        <w:sectPr>
          <w:pgSz w:w="12240" w:h="15840"/>
          <w:pgMar w:header="729" w:footer="1003" w:top="1180" w:bottom="1200" w:left="1540" w:right="1020"/>
        </w:sectPr>
      </w:pPr>
    </w:p>
    <w:p>
      <w:pPr>
        <w:pStyle w:val="BodyText"/>
        <w:rPr>
          <w:sz w:val="13"/>
        </w:rPr>
      </w:pPr>
    </w:p>
    <w:p>
      <w:pPr>
        <w:pStyle w:val="BodyText"/>
        <w:spacing w:line="276" w:lineRule="exact" w:before="73"/>
        <w:ind w:left="162" w:right="162"/>
        <w:jc w:val="both"/>
        <w:rPr>
          <w:sz w:val="16"/>
        </w:rPr>
      </w:pPr>
      <w:r>
        <w:rPr/>
        <w:t>ocasionan fenómenos de desmineralización seguidos por periodos de reposición mineral, cuando el pH de la interface entre microorganismos y diente retorna a la neutralidad. </w:t>
      </w:r>
      <w:r>
        <w:rPr>
          <w:position w:val="11"/>
          <w:sz w:val="16"/>
        </w:rPr>
        <w:t>30</w:t>
      </w:r>
    </w:p>
    <w:p>
      <w:pPr>
        <w:pStyle w:val="BodyText"/>
        <w:spacing w:before="7"/>
        <w:rPr>
          <w:sz w:val="23"/>
        </w:rPr>
      </w:pPr>
    </w:p>
    <w:p>
      <w:pPr>
        <w:pStyle w:val="BodyText"/>
        <w:ind w:left="162"/>
        <w:jc w:val="both"/>
      </w:pPr>
      <w:r>
        <w:rPr/>
        <w:t>Es así que, la superficie del esmalte debe considerarse como una estructura dinámica.</w:t>
      </w:r>
    </w:p>
    <w:p>
      <w:pPr>
        <w:pStyle w:val="BodyText"/>
      </w:pPr>
    </w:p>
    <w:p>
      <w:pPr>
        <w:pStyle w:val="BodyText"/>
        <w:ind w:left="162" w:right="156"/>
        <w:jc w:val="both"/>
      </w:pPr>
      <w:r>
        <w:rPr/>
        <w:t>La incorporación del fluoruro dentro del esmalte se realiza de dos formas: sistémica y tópica. Por muchos años se sostuvo que la incorporación de fluoruro dentro del cristal de apatita durante su desarrollo constituía el mecanismo de acción cariostática más importante y que esta incorporación aumentaba la resistencia ante el ataque ácido, luego de la erupción del diente. Pero, en la actualidad se comprobó que los mecanismos cariostáticos principales son la inhibición de la pérdida mineral en las superficies cristalinas y el aumento de la reconstrucción de los cristales de calcio y</w:t>
      </w:r>
    </w:p>
    <w:p>
      <w:pPr>
        <w:pStyle w:val="BodyText"/>
        <w:spacing w:line="277" w:lineRule="exact"/>
        <w:ind w:left="162"/>
        <w:jc w:val="both"/>
        <w:rPr>
          <w:sz w:val="16"/>
        </w:rPr>
      </w:pPr>
      <w:r>
        <w:rPr/>
        <w:t>fosfato, procesos de desmineralización- remineralización.</w:t>
      </w:r>
      <w:r>
        <w:rPr>
          <w:position w:val="11"/>
          <w:sz w:val="16"/>
        </w:rPr>
        <w:t>30</w:t>
      </w:r>
    </w:p>
    <w:p>
      <w:pPr>
        <w:pStyle w:val="BodyText"/>
        <w:spacing w:before="2"/>
      </w:pPr>
    </w:p>
    <w:p>
      <w:pPr>
        <w:pStyle w:val="BodyText"/>
        <w:spacing w:line="278" w:lineRule="auto"/>
        <w:ind w:left="162" w:right="168"/>
        <w:jc w:val="both"/>
      </w:pPr>
      <w:r>
        <w:rPr/>
        <w:t>Los mecanismos de acción a través del cual los fluoruros reducen la caries dental se definen de las siguientes maneras:</w:t>
      </w:r>
    </w:p>
    <w:p>
      <w:pPr>
        <w:pStyle w:val="BodyText"/>
        <w:spacing w:line="276" w:lineRule="auto" w:before="197"/>
        <w:ind w:left="162" w:right="161"/>
        <w:jc w:val="both"/>
      </w:pPr>
      <w:r>
        <w:rPr/>
        <w:t>Ejercen un efecto directo en el desarrollo del esmalte. Los fluoruros pueden desplazar los grupos hidroxilo para formar fluroapatita de calcio lo cual produce los siguientes efectos:</w:t>
      </w:r>
    </w:p>
    <w:p>
      <w:pPr>
        <w:pStyle w:val="ListParagraph"/>
        <w:numPr>
          <w:ilvl w:val="0"/>
          <w:numId w:val="5"/>
        </w:numPr>
        <w:tabs>
          <w:tab w:pos="1602" w:val="left" w:leader="none"/>
        </w:tabs>
        <w:spacing w:line="276" w:lineRule="auto" w:before="200" w:after="0"/>
        <w:ind w:left="1602" w:right="166" w:hanging="360"/>
        <w:jc w:val="both"/>
        <w:rPr>
          <w:sz w:val="24"/>
        </w:rPr>
      </w:pPr>
      <w:r>
        <w:rPr>
          <w:sz w:val="24"/>
        </w:rPr>
        <w:t>La fluoroapatita es más resistente a la acción de los ácidos que la hidroxiapatita.</w:t>
      </w:r>
    </w:p>
    <w:p>
      <w:pPr>
        <w:pStyle w:val="ListParagraph"/>
        <w:numPr>
          <w:ilvl w:val="0"/>
          <w:numId w:val="5"/>
        </w:numPr>
        <w:tabs>
          <w:tab w:pos="1602" w:val="left" w:leader="none"/>
        </w:tabs>
        <w:spacing w:line="240" w:lineRule="auto" w:before="3" w:after="0"/>
        <w:ind w:left="1602" w:right="0" w:hanging="360"/>
        <w:jc w:val="left"/>
        <w:rPr>
          <w:sz w:val="24"/>
        </w:rPr>
      </w:pPr>
      <w:r>
        <w:rPr>
          <w:sz w:val="24"/>
        </w:rPr>
        <w:t>Forman cristales de un mayor</w:t>
      </w:r>
      <w:r>
        <w:rPr>
          <w:spacing w:val="-12"/>
          <w:sz w:val="24"/>
        </w:rPr>
        <w:t> </w:t>
      </w:r>
      <w:r>
        <w:rPr>
          <w:sz w:val="24"/>
        </w:rPr>
        <w:t>tamaño.</w:t>
      </w:r>
    </w:p>
    <w:p>
      <w:pPr>
        <w:pStyle w:val="ListParagraph"/>
        <w:numPr>
          <w:ilvl w:val="0"/>
          <w:numId w:val="5"/>
        </w:numPr>
        <w:tabs>
          <w:tab w:pos="1602" w:val="left" w:leader="none"/>
        </w:tabs>
        <w:spacing w:line="276" w:lineRule="auto" w:before="41" w:after="0"/>
        <w:ind w:left="1602" w:right="167" w:hanging="360"/>
        <w:jc w:val="both"/>
        <w:rPr>
          <w:sz w:val="24"/>
        </w:rPr>
      </w:pPr>
      <w:r>
        <w:rPr>
          <w:sz w:val="24"/>
        </w:rPr>
        <w:t>El esmalte tiene un menor contenido de carbonato, lo que le reduce solubilidad.</w:t>
      </w:r>
    </w:p>
    <w:p>
      <w:pPr>
        <w:pStyle w:val="ListParagraph"/>
        <w:numPr>
          <w:ilvl w:val="0"/>
          <w:numId w:val="5"/>
        </w:numPr>
        <w:tabs>
          <w:tab w:pos="1602" w:val="left" w:leader="none"/>
        </w:tabs>
        <w:spacing w:line="261" w:lineRule="auto" w:before="0" w:after="0"/>
        <w:ind w:left="1602" w:right="158" w:hanging="360"/>
        <w:jc w:val="both"/>
        <w:rPr>
          <w:sz w:val="16"/>
        </w:rPr>
      </w:pPr>
      <w:r>
        <w:rPr>
          <w:sz w:val="24"/>
        </w:rPr>
        <w:t>Cuando el esmalte es atacado los fosfatos de calcio vuelven a  precipitarse y el flúor aumenta sus posibilidades de cristalizarse como apatita, favoreciendo la remineralización del</w:t>
      </w:r>
      <w:r>
        <w:rPr>
          <w:spacing w:val="-16"/>
          <w:sz w:val="24"/>
        </w:rPr>
        <w:t> </w:t>
      </w:r>
      <w:r>
        <w:rPr>
          <w:sz w:val="24"/>
        </w:rPr>
        <w:t>esmalte.</w:t>
      </w:r>
      <w:r>
        <w:rPr>
          <w:position w:val="11"/>
          <w:sz w:val="16"/>
        </w:rPr>
        <w:t>31</w:t>
      </w:r>
    </w:p>
    <w:p>
      <w:pPr>
        <w:pStyle w:val="BodyText"/>
        <w:spacing w:line="261" w:lineRule="auto" w:before="212"/>
        <w:ind w:left="162" w:right="157"/>
        <w:jc w:val="both"/>
        <w:rPr>
          <w:sz w:val="16"/>
        </w:rPr>
      </w:pPr>
      <w:r>
        <w:rPr/>
        <w:t>Se ha sugerido que los fluoruros reducen la tendencia de la superficie del esmalte a absorber proteínas, se esta manera la placa dentobacteriana no puede formarse tan rápidamente.</w:t>
      </w:r>
      <w:r>
        <w:rPr>
          <w:position w:val="11"/>
          <w:sz w:val="16"/>
        </w:rPr>
        <w:t>31</w:t>
      </w:r>
    </w:p>
    <w:p>
      <w:pPr>
        <w:pStyle w:val="BodyText"/>
        <w:spacing w:line="261" w:lineRule="auto" w:before="212"/>
        <w:ind w:left="162" w:right="160"/>
        <w:jc w:val="both"/>
        <w:rPr>
          <w:sz w:val="16"/>
        </w:rPr>
      </w:pPr>
      <w:r>
        <w:rPr/>
        <w:t>Cuando los fluoruros se aplican tópicamente, las concentraciones locales que alcanzan son muy altas, incorporándose a las placas bacterianas, alterando el metabolismo bacteriano inhibiendo la producción de ácidos.</w:t>
      </w:r>
      <w:r>
        <w:rPr>
          <w:position w:val="11"/>
          <w:sz w:val="16"/>
        </w:rPr>
        <w:t>31,32</w:t>
      </w:r>
    </w:p>
    <w:p>
      <w:pPr>
        <w:pStyle w:val="BodyText"/>
        <w:spacing w:line="261" w:lineRule="auto" w:before="212"/>
        <w:ind w:left="162" w:right="166"/>
        <w:jc w:val="both"/>
        <w:rPr>
          <w:sz w:val="16"/>
        </w:rPr>
      </w:pPr>
      <w:r>
        <w:rPr/>
        <w:t>Se considera que el efecto más importante del fluoruro es resultado de su acción en la interface diente/placa, mediante la estimulación de la remineralización de las lesiones incipientes de caries y la reducción de la solubilidad del esmalte dental.</w:t>
      </w:r>
      <w:r>
        <w:rPr>
          <w:position w:val="11"/>
          <w:sz w:val="16"/>
        </w:rPr>
        <w:t>33</w:t>
      </w:r>
    </w:p>
    <w:p>
      <w:pPr>
        <w:spacing w:after="0" w:line="261" w:lineRule="auto"/>
        <w:jc w:val="both"/>
        <w:rPr>
          <w:sz w:val="16"/>
        </w:rPr>
        <w:sectPr>
          <w:pgSz w:w="12240" w:h="15840"/>
          <w:pgMar w:header="729" w:footer="1003" w:top="1180" w:bottom="1200" w:left="1540" w:right="1020"/>
        </w:sectPr>
      </w:pPr>
    </w:p>
    <w:p>
      <w:pPr>
        <w:pStyle w:val="BodyText"/>
        <w:spacing w:before="2"/>
        <w:rPr>
          <w:sz w:val="13"/>
        </w:rPr>
      </w:pPr>
    </w:p>
    <w:p>
      <w:pPr>
        <w:pStyle w:val="BodyText"/>
        <w:spacing w:line="271" w:lineRule="auto" w:before="69"/>
        <w:ind w:left="162" w:right="160"/>
        <w:jc w:val="both"/>
        <w:rPr>
          <w:sz w:val="16"/>
        </w:rPr>
      </w:pPr>
      <w:r>
        <w:rPr/>
        <w:t>El tratamiento con flúor ha sido la principal estrategia para la prevención de caries desde que fueron introducidos los programas de fluoración del agua hace más de cinco décadas. La intensa investigación epidemiológica y de laboratorios sobre el mecanismo de acción del flúor en la prevención de caries indica que el efecto predominante del flúor es tópico, lo cual ocurre principalmente al estimular la remineralización de las lesiones incipientes y la reducción de la desmineralización del esmalte</w:t>
      </w:r>
      <w:r>
        <w:rPr>
          <w:spacing w:val="-14"/>
        </w:rPr>
        <w:t> </w:t>
      </w:r>
      <w:r>
        <w:rPr/>
        <w:t>sano.</w:t>
      </w:r>
      <w:r>
        <w:rPr>
          <w:position w:val="11"/>
          <w:sz w:val="16"/>
        </w:rPr>
        <w:t>7</w:t>
      </w:r>
    </w:p>
    <w:p>
      <w:pPr>
        <w:pStyle w:val="BodyText"/>
        <w:spacing w:before="7"/>
        <w:rPr>
          <w:sz w:val="27"/>
        </w:rPr>
      </w:pPr>
    </w:p>
    <w:p>
      <w:pPr>
        <w:pStyle w:val="BodyText"/>
        <w:spacing w:line="261" w:lineRule="auto"/>
        <w:ind w:left="162" w:right="160"/>
        <w:jc w:val="both"/>
        <w:rPr>
          <w:sz w:val="16"/>
        </w:rPr>
      </w:pPr>
      <w:r>
        <w:rPr/>
        <w:t>Varios estudios identifican al flúor como un agente anticaries efectivo. Cuando se utiliza de manera adecuada, puede reducir en un 40-56 % la caries incipiente, en un 36 % la caries de fisuras y en un 66 % las de superficies lisas.</w:t>
      </w:r>
      <w:r>
        <w:rPr>
          <w:position w:val="11"/>
          <w:sz w:val="16"/>
        </w:rPr>
        <w:t>28</w:t>
      </w:r>
    </w:p>
    <w:p>
      <w:pPr>
        <w:pStyle w:val="BodyText"/>
        <w:spacing w:before="8"/>
        <w:rPr>
          <w:sz w:val="28"/>
        </w:rPr>
      </w:pPr>
    </w:p>
    <w:p>
      <w:pPr>
        <w:pStyle w:val="BodyText"/>
        <w:spacing w:line="276" w:lineRule="auto"/>
        <w:ind w:left="162" w:right="157"/>
        <w:jc w:val="both"/>
      </w:pPr>
      <w:r>
        <w:rPr/>
        <w:t>Las investigaciones realizadas sobre fluoruros desde 1940, han sugerido que la caries puede inhibirse casi completamente mediante su aplicación. No solamente actúa como agente preventivo, sino que es también, un medio terapéutico para lesiones activas. Actúan sobre los tejidos mineralizados variando su concentración, de acuerdo a la ingesta y duración de la exposición de fluoruros, al estadío de desarrollo, tasa de crecimiento, vascularidad, porosidad, tipo y área superficial del tejido, como de los cristales.</w:t>
      </w:r>
    </w:p>
    <w:p>
      <w:pPr>
        <w:pStyle w:val="BodyText"/>
        <w:spacing w:before="9"/>
        <w:rPr>
          <w:sz w:val="27"/>
        </w:rPr>
      </w:pPr>
    </w:p>
    <w:p>
      <w:pPr>
        <w:pStyle w:val="BodyText"/>
        <w:spacing w:line="276" w:lineRule="auto"/>
        <w:ind w:left="162" w:right="162"/>
        <w:jc w:val="both"/>
      </w:pPr>
      <w:r>
        <w:rPr/>
        <w:t>No existe un programa recomendable con fluoruros y para racionalizar su uso, se  deben tomar en cuenta factores como los: Condicionantes sociales, hábitos de vida, sistemas de atención de salud bucal, historia pasada de caries, estado de higiene bucal y dieta. Si se mantienen constantes los factores mencionados anteriormente, el método de elección será el que posea mayor efecto preventivo. Luego, se comprobó que la incorporación del fluoruro a la estructura adamantina puede ocurrir durante los períodos de mineralización, el preeruptivo y período</w:t>
      </w:r>
      <w:r>
        <w:rPr>
          <w:spacing w:val="-17"/>
        </w:rPr>
        <w:t> </w:t>
      </w:r>
      <w:r>
        <w:rPr/>
        <w:t>posteruptivo.</w:t>
      </w:r>
    </w:p>
    <w:p>
      <w:pPr>
        <w:pStyle w:val="BodyText"/>
        <w:spacing w:before="9"/>
        <w:rPr>
          <w:sz w:val="27"/>
        </w:rPr>
      </w:pPr>
    </w:p>
    <w:p>
      <w:pPr>
        <w:pStyle w:val="BodyText"/>
        <w:spacing w:line="276" w:lineRule="auto"/>
        <w:ind w:left="162" w:right="162"/>
        <w:jc w:val="both"/>
      </w:pPr>
      <w:r>
        <w:rPr/>
        <w:t>Desde el punto de vista de los mecanismos de acción, aplicaciones frecuentes de fluoruros en bajas concentraciones inhibirán la desmineralización y aumentarían la remineralización, gracias a la presencia de niveles del ión suficientes en cada momento de descenso del pH. Los fluoruros tópicos de alta concentración proveerán un almacenaje de fluoruro que será liberado durante un tiempo prolongado, de manera</w:t>
      </w:r>
    </w:p>
    <w:p>
      <w:pPr>
        <w:pStyle w:val="BodyText"/>
        <w:spacing w:line="277" w:lineRule="exact"/>
        <w:ind w:left="162"/>
        <w:jc w:val="both"/>
        <w:rPr>
          <w:sz w:val="16"/>
        </w:rPr>
      </w:pPr>
      <w:r>
        <w:rPr/>
        <w:t>que estará también disponible en caso de variaciones de pH.</w:t>
      </w:r>
      <w:r>
        <w:rPr>
          <w:position w:val="11"/>
          <w:sz w:val="16"/>
        </w:rPr>
        <w:t>30</w:t>
      </w:r>
    </w:p>
    <w:p>
      <w:pPr>
        <w:pStyle w:val="BodyText"/>
        <w:rPr>
          <w:sz w:val="28"/>
        </w:rPr>
      </w:pPr>
    </w:p>
    <w:p>
      <w:pPr>
        <w:pStyle w:val="Heading4"/>
        <w:numPr>
          <w:ilvl w:val="2"/>
          <w:numId w:val="4"/>
        </w:numPr>
        <w:tabs>
          <w:tab w:pos="866" w:val="left" w:leader="none"/>
        </w:tabs>
        <w:spacing w:line="240" w:lineRule="auto" w:before="235" w:after="0"/>
        <w:ind w:left="865" w:right="0" w:hanging="703"/>
        <w:jc w:val="both"/>
      </w:pPr>
      <w:bookmarkStart w:name="_TOC_250026" w:id="14"/>
      <w:r>
        <w:rPr/>
        <w:t>Clorhexidina como medida preventiva de la caries</w:t>
      </w:r>
      <w:r>
        <w:rPr>
          <w:spacing w:val="-24"/>
        </w:rPr>
        <w:t> </w:t>
      </w:r>
      <w:bookmarkEnd w:id="14"/>
      <w:r>
        <w:rPr/>
        <w:t>dental</w:t>
      </w:r>
    </w:p>
    <w:p>
      <w:pPr>
        <w:pStyle w:val="BodyText"/>
        <w:spacing w:line="276" w:lineRule="auto" w:before="248"/>
        <w:ind w:left="162" w:right="167"/>
        <w:jc w:val="both"/>
      </w:pPr>
      <w:r>
        <w:rPr/>
        <w:t>Los agentes quimioterapéuticos se han considerado como método potencial para la prevención de la caries dental. Varias sustancias se han evaluado como candidatos posibles, pero ningún agente antimicrobiano, a excepción del fluoruro, ha recibido tanta atención experimental como la clorhexidina.</w:t>
      </w:r>
    </w:p>
    <w:p>
      <w:pPr>
        <w:spacing w:after="0" w:line="276" w:lineRule="auto"/>
        <w:jc w:val="both"/>
        <w:sectPr>
          <w:pgSz w:w="12240" w:h="15840"/>
          <w:pgMar w:header="729" w:footer="1003" w:top="1180" w:bottom="1200" w:left="1540" w:right="1020"/>
        </w:sectPr>
      </w:pPr>
    </w:p>
    <w:p>
      <w:pPr>
        <w:pStyle w:val="BodyText"/>
        <w:spacing w:before="2"/>
        <w:rPr>
          <w:sz w:val="13"/>
        </w:rPr>
      </w:pPr>
    </w:p>
    <w:p>
      <w:pPr>
        <w:pStyle w:val="BodyText"/>
        <w:spacing w:line="271" w:lineRule="auto" w:before="69"/>
        <w:ind w:left="162" w:right="159"/>
        <w:jc w:val="both"/>
        <w:rPr>
          <w:sz w:val="16"/>
        </w:rPr>
      </w:pPr>
      <w:r>
        <w:rPr/>
        <w:t>La Clorhexidina es un potente antiséptico del grupo de las biguanidas con carga positiva, con una gran sustantividad se une a moléculas negativas y actúa alterando la permeabilidad de la membrana de la célula bacteriana. Es un eficaz y rápido agente bactericida sobre microorganismos positivos y negativo. En la mucosa oral penetra ilimitadamente adhiriéndose a las glucoproteínas, liberándose gradualmente y se une con las proteínas libres salivales.</w:t>
      </w:r>
      <w:r>
        <w:rPr>
          <w:position w:val="11"/>
          <w:sz w:val="16"/>
        </w:rPr>
        <w:t>34, 35</w:t>
      </w:r>
    </w:p>
    <w:p>
      <w:pPr>
        <w:pStyle w:val="BodyText"/>
        <w:spacing w:before="3"/>
      </w:pPr>
    </w:p>
    <w:p>
      <w:pPr>
        <w:pStyle w:val="BodyText"/>
        <w:spacing w:line="276" w:lineRule="auto"/>
        <w:ind w:left="162" w:right="156"/>
        <w:jc w:val="both"/>
      </w:pPr>
      <w:r>
        <w:rPr/>
        <w:t>El mejor efecto clínico se obtiene cuando se tratan personas con alta colonización de </w:t>
      </w:r>
      <w:r>
        <w:rPr>
          <w:i/>
        </w:rPr>
        <w:t>Streptococcus mutans</w:t>
      </w:r>
      <w:r>
        <w:rPr/>
        <w:t>. En niños con más de 2,5 x 10 los </w:t>
      </w:r>
      <w:r>
        <w:rPr>
          <w:i/>
        </w:rPr>
        <w:t>Streptococcus mutans </w:t>
      </w:r>
      <w:r>
        <w:rPr/>
        <w:t>por mLde saliva, en tratamiento supervisado con el gel de CHX cada tercer mes,  reducirán</w:t>
      </w:r>
    </w:p>
    <w:p>
      <w:pPr>
        <w:pStyle w:val="BodyText"/>
        <w:spacing w:line="242" w:lineRule="auto"/>
        <w:ind w:left="162" w:right="168"/>
        <w:jc w:val="both"/>
        <w:rPr>
          <w:sz w:val="16"/>
        </w:rPr>
      </w:pPr>
      <w:r>
        <w:rPr/>
        <w:t>la incidencia de caries. El tratamiento de clorhexidina también dará lugar a una progresión más lenta de las lesiones proximales.</w:t>
      </w:r>
      <w:r>
        <w:rPr>
          <w:position w:val="11"/>
          <w:sz w:val="16"/>
        </w:rPr>
        <w:t>36</w:t>
      </w:r>
    </w:p>
    <w:p>
      <w:pPr>
        <w:pStyle w:val="BodyText"/>
        <w:spacing w:before="10"/>
        <w:rPr>
          <w:sz w:val="27"/>
        </w:rPr>
      </w:pPr>
    </w:p>
    <w:p>
      <w:pPr>
        <w:pStyle w:val="BodyText"/>
        <w:spacing w:line="261" w:lineRule="auto"/>
        <w:ind w:left="162" w:right="159"/>
        <w:jc w:val="both"/>
        <w:rPr>
          <w:sz w:val="16"/>
        </w:rPr>
      </w:pPr>
      <w:r>
        <w:rPr/>
        <w:t>El alcohol incrementa su actividad y la presencia de materia orgánica la disminuye. Una gran ventaja de este antiséptico es su difícil absorción a través de piel y tracto gastrointestinal.</w:t>
      </w:r>
      <w:r>
        <w:rPr>
          <w:position w:val="11"/>
          <w:sz w:val="16"/>
        </w:rPr>
        <w:t>34</w:t>
      </w:r>
    </w:p>
    <w:p>
      <w:pPr>
        <w:pStyle w:val="BodyText"/>
        <w:spacing w:line="276" w:lineRule="auto" w:before="212"/>
        <w:ind w:left="162" w:right="156"/>
        <w:jc w:val="both"/>
      </w:pPr>
      <w:r>
        <w:rPr/>
        <w:t>La clorhexidina (CHX), es un agente con alta especificidad contra SM, es usada en el tratamiento de la enfermedad periodontal, infecciones dermatológicas, heridas cutáneas, infecciones oftálmicas y de vías aéreas superiores. En altas concentraciones tiene un efecto bactericida inmediato y en bajas concentraciones, un efecto bacteriostático. El potencial patógeno del SM en la etiología de la caries dental está bien documentado. Luego la supresión de SM es un factor predominante en la prevención de la caries dental. Si el SM se establece tempranamente en la boca del niño éste desarrollará una gran cantidad de caries en sus dientes temporales; la diferencia en el índice de superficies cariadas y obturadas, entre un niño que  </w:t>
      </w:r>
      <w:r>
        <w:rPr>
          <w:spacing w:val="5"/>
        </w:rPr>
        <w:t> </w:t>
      </w:r>
      <w:r>
        <w:rPr/>
        <w:t>presente</w:t>
      </w:r>
    </w:p>
    <w:p>
      <w:pPr>
        <w:pStyle w:val="BodyText"/>
        <w:spacing w:line="244" w:lineRule="auto" w:before="3"/>
        <w:ind w:left="162" w:right="164"/>
        <w:jc w:val="both"/>
        <w:rPr>
          <w:sz w:val="16"/>
        </w:rPr>
      </w:pPr>
      <w:r>
        <w:rPr/>
        <w:t>SM antes de los dos años de edad y la de otro que no lo tenga hasta los cuatro años es de 10.6 y de 0.3 respectivamente.</w:t>
      </w:r>
      <w:r>
        <w:rPr>
          <w:position w:val="11"/>
          <w:sz w:val="16"/>
        </w:rPr>
        <w:t>24</w:t>
      </w:r>
    </w:p>
    <w:p>
      <w:pPr>
        <w:pStyle w:val="BodyText"/>
        <w:spacing w:line="247" w:lineRule="auto" w:before="234"/>
        <w:ind w:left="162" w:right="166"/>
        <w:jc w:val="both"/>
        <w:rPr>
          <w:sz w:val="16"/>
        </w:rPr>
      </w:pPr>
      <w:r>
        <w:rPr/>
        <w:t>La Clorhexidina se une a la hidroxiapatita y tejidos blandos, cambiando su campo eléctrico para competir con las bacterias.</w:t>
      </w:r>
      <w:r>
        <w:rPr>
          <w:position w:val="11"/>
          <w:sz w:val="16"/>
        </w:rPr>
        <w:t>33</w:t>
      </w:r>
    </w:p>
    <w:p>
      <w:pPr>
        <w:pStyle w:val="BodyText"/>
        <w:spacing w:line="276" w:lineRule="auto" w:before="231"/>
        <w:ind w:left="162" w:right="158"/>
        <w:jc w:val="both"/>
      </w:pPr>
      <w:r>
        <w:rPr/>
        <w:t>Una vez que la clorhexidina de une al organismo, su membrana celular se vuelve permeable. En altas concentraciones de clorhexidina provoca la precipitación de las proteínas citoplásmicas. Gracias a sus propiedades catiónicas la clorhexidina se une electroestáticamente a la hidroxiapatita de los dientes, a la película adquirida, a la placa y a la mucosa bucal. Esta sustentatividad de la clorhexidina significa que los depósitos de clorhexidina se forman en la boca y posteriormente el fármaco los libera lentamente,</w:t>
      </w:r>
    </w:p>
    <w:p>
      <w:pPr>
        <w:pStyle w:val="BodyText"/>
        <w:spacing w:line="279" w:lineRule="exact"/>
        <w:ind w:left="162"/>
        <w:jc w:val="both"/>
        <w:rPr>
          <w:sz w:val="16"/>
        </w:rPr>
      </w:pPr>
      <w:r>
        <w:rPr/>
        <w:t>para prevenir así  durante horas la formación de la placa.</w:t>
      </w:r>
      <w:r>
        <w:rPr>
          <w:position w:val="11"/>
          <w:sz w:val="16"/>
        </w:rPr>
        <w:t>37</w:t>
      </w:r>
    </w:p>
    <w:p>
      <w:pPr>
        <w:pStyle w:val="BodyText"/>
        <w:spacing w:before="240"/>
        <w:ind w:left="162"/>
        <w:jc w:val="both"/>
      </w:pPr>
      <w:r>
        <w:rPr/>
        <w:t>En   niños   la   aplicación   de   clorhexidina   a   contribuido   a   reducir   la   cuenta de</w:t>
      </w:r>
    </w:p>
    <w:p>
      <w:pPr>
        <w:spacing w:before="3"/>
        <w:ind w:left="162" w:right="0" w:firstLine="0"/>
        <w:jc w:val="both"/>
        <w:rPr>
          <w:sz w:val="16"/>
        </w:rPr>
      </w:pPr>
      <w:r>
        <w:rPr>
          <w:i/>
          <w:sz w:val="24"/>
        </w:rPr>
        <w:t>Streptococcus mutans </w:t>
      </w:r>
      <w:r>
        <w:rPr>
          <w:sz w:val="24"/>
        </w:rPr>
        <w:t>hasta por tres meses, sin efectos adversos.</w:t>
      </w:r>
      <w:r>
        <w:rPr>
          <w:position w:val="11"/>
          <w:sz w:val="16"/>
        </w:rPr>
        <w:t>38</w:t>
      </w:r>
    </w:p>
    <w:p>
      <w:pPr>
        <w:spacing w:after="0"/>
        <w:jc w:val="both"/>
        <w:rPr>
          <w:sz w:val="16"/>
        </w:rPr>
        <w:sectPr>
          <w:pgSz w:w="12240" w:h="15840"/>
          <w:pgMar w:header="729" w:footer="1003" w:top="1180" w:bottom="1200" w:left="1540" w:right="1020"/>
        </w:sectPr>
      </w:pPr>
    </w:p>
    <w:p>
      <w:pPr>
        <w:pStyle w:val="BodyText"/>
        <w:spacing w:before="2"/>
        <w:rPr>
          <w:sz w:val="13"/>
        </w:rPr>
      </w:pPr>
    </w:p>
    <w:p>
      <w:pPr>
        <w:pStyle w:val="BodyText"/>
        <w:spacing w:line="276" w:lineRule="auto" w:before="69"/>
        <w:ind w:left="162" w:right="158"/>
        <w:jc w:val="both"/>
      </w:pPr>
      <w:r>
        <w:rPr/>
        <w:t>El tratamiento conjunto de clorhexidina y flúor han demostrado gran eficacia en el control de caries. Diversos estudios &lt;in vitro&gt; y compararon el comportamiento del flúor sólo, con el flúor asociado con propanol y clorhexidina, hallándose que a determinadas concentraciones, se reduce el contenido de potasio celular y su capacidad de fermentación. Observándose el incremento del fósforo bacterial tomado por el esmalte. Debido a la naturaleza química de estos compuestos, actúan de acuerdo a sus propiedades, alterando la superficie de las bacterias y al combinarse producen mayor desorganización en la superficie, produciendo mayor reducción en la solubilidad del esmalte; observando en este último estudio el marcado endurecimiento de la superficie</w:t>
      </w:r>
    </w:p>
    <w:p>
      <w:pPr>
        <w:pStyle w:val="BodyText"/>
        <w:spacing w:line="244" w:lineRule="auto" w:before="3"/>
        <w:ind w:left="162" w:right="158"/>
        <w:jc w:val="both"/>
        <w:rPr>
          <w:sz w:val="16"/>
        </w:rPr>
      </w:pPr>
      <w:r>
        <w:rPr/>
        <w:t>del esmalte cuando el flúor es acompañado con la clorhexidina, al realizarse la incubación de la bacteria con el esmalte reblandecido por un tiempo prolongado. </w:t>
      </w:r>
      <w:r>
        <w:rPr>
          <w:position w:val="11"/>
          <w:sz w:val="16"/>
        </w:rPr>
        <w:t>43-44-51</w:t>
      </w:r>
    </w:p>
    <w:p>
      <w:pPr>
        <w:pStyle w:val="BodyText"/>
        <w:spacing w:line="276" w:lineRule="auto" w:before="234"/>
        <w:ind w:left="162" w:right="158"/>
        <w:jc w:val="both"/>
      </w:pPr>
      <w:r>
        <w:rPr/>
        <w:t>García- Godoy F. y col., en 1990, en un estudio clínico a doble ciego, cuando se utilizó una pasta dental con fluoruro de sodio , triclosán y copolímero (PVM/MA) después de 2,5 meses, observó una marcada disminución en la formación de placa, principalmente donde se había formado mayor cantidad de placa y en los sitios de enfermedad más severa (Índice de Severidad de Placa),mientras el grupo que usó el dentífrico    placebo</w:t>
      </w:r>
    </w:p>
    <w:p>
      <w:pPr>
        <w:pStyle w:val="BodyText"/>
        <w:spacing w:line="244" w:lineRule="auto" w:before="3"/>
        <w:ind w:left="162" w:right="158"/>
        <w:jc w:val="both"/>
        <w:rPr>
          <w:sz w:val="16"/>
        </w:rPr>
      </w:pPr>
      <w:r>
        <w:rPr/>
        <w:t>(sólo con fluoruro de sodio) tuvo puntuaciones muy bajas cuando se compararon con sus valores basales.</w:t>
      </w:r>
      <w:r>
        <w:rPr>
          <w:position w:val="11"/>
          <w:sz w:val="16"/>
        </w:rPr>
        <w:t>39,40</w:t>
      </w:r>
    </w:p>
    <w:p>
      <w:pPr>
        <w:pStyle w:val="BodyText"/>
        <w:spacing w:before="6"/>
        <w:rPr>
          <w:sz w:val="30"/>
        </w:rPr>
      </w:pPr>
    </w:p>
    <w:p>
      <w:pPr>
        <w:pStyle w:val="BodyText"/>
        <w:spacing w:line="268" w:lineRule="auto"/>
        <w:ind w:left="162" w:right="157"/>
        <w:jc w:val="both"/>
        <w:rPr>
          <w:sz w:val="16"/>
        </w:rPr>
      </w:pPr>
      <w:r>
        <w:rPr/>
        <w:t>Sandhan HJ y col. en 1992, demostraron el efecto benéfico al aplicar clorhexidina al10% y 20% ( Chlorzoin ® ) en barniz, en niños sometidos al tratamiento ortodóntico. Se logró buena aceptación y fue efectiva la supresión de los niveles de </w:t>
      </w:r>
      <w:r>
        <w:rPr>
          <w:i/>
        </w:rPr>
        <w:t>Streptococcus </w:t>
      </w:r>
      <w:r>
        <w:rPr>
          <w:i/>
        </w:rPr>
        <w:t>mutans </w:t>
      </w:r>
      <w:r>
        <w:rPr/>
        <w:t>orales por un exceso y largos periodo de 7 meses, asimismo se observó que la reducción bacteriana ocurrió a los pocos meses de empezado el</w:t>
      </w:r>
      <w:r>
        <w:rPr>
          <w:spacing w:val="-24"/>
        </w:rPr>
        <w:t> </w:t>
      </w:r>
      <w:r>
        <w:rPr/>
        <w:t>tratamiento.</w:t>
      </w:r>
      <w:r>
        <w:rPr>
          <w:position w:val="11"/>
          <w:sz w:val="16"/>
        </w:rPr>
        <w:t>41,42</w:t>
      </w:r>
    </w:p>
    <w:p>
      <w:pPr>
        <w:pStyle w:val="BodyText"/>
        <w:spacing w:before="1"/>
        <w:rPr>
          <w:sz w:val="28"/>
        </w:rPr>
      </w:pPr>
    </w:p>
    <w:p>
      <w:pPr>
        <w:pStyle w:val="BodyText"/>
        <w:spacing w:line="268" w:lineRule="auto"/>
        <w:ind w:left="162" w:right="157"/>
        <w:jc w:val="both"/>
        <w:rPr>
          <w:sz w:val="16"/>
        </w:rPr>
      </w:pPr>
      <w:r>
        <w:rPr/>
        <w:t>Luoma H en 1992, comparó las diferentes presentaciones de clorhexidina con o sin flúor, cuyos resultados revelaron que el barniz de clorhexidina ha sido prometedor, especialmente por el corto tiempo de uso que puede ser suficiente para reducir el número de </w:t>
      </w:r>
      <w:r>
        <w:rPr>
          <w:i/>
        </w:rPr>
        <w:t>Streptococcus mutans</w:t>
      </w:r>
      <w:r>
        <w:rPr/>
        <w:t>, además los efectos simultáneos contrarios para caries y gingivitis con el uso de clorhexidina en barniz no han sido reportados. </w:t>
      </w:r>
      <w:r>
        <w:rPr>
          <w:position w:val="11"/>
          <w:sz w:val="16"/>
        </w:rPr>
        <w:t>43</w:t>
      </w:r>
    </w:p>
    <w:p>
      <w:pPr>
        <w:pStyle w:val="BodyText"/>
        <w:spacing w:before="10"/>
        <w:rPr>
          <w:sz w:val="27"/>
        </w:rPr>
      </w:pPr>
    </w:p>
    <w:p>
      <w:pPr>
        <w:pStyle w:val="BodyText"/>
        <w:spacing w:line="276" w:lineRule="auto"/>
        <w:ind w:left="162" w:right="157"/>
        <w:jc w:val="both"/>
      </w:pPr>
      <w:r>
        <w:rPr/>
        <w:t>Petersson LG y col. en 1994, basado en un estudio anterior sobre los diferentes modos de aplicación utilizando barniz fluorado (Duraphat ®) donde reportó diferencias a favor del esquema de tratamiento intensivo (tres veces a la semana, una vez al año) en la remineralización de manchas blancas, disminución tanto de la progresión de caries como del riesgo de caries, en vez del tratamiento standard (2 veces al año), siguiendo un programa supervisado de promoción de la salud. Por lo que, basado en  este estudio, Petersson demostró en su nueva investigación las ventajas económicas (costo-beneficio) que ofrecía  el tratamiento  intensivo, favoreciendo  la prevención    de</w:t>
      </w:r>
    </w:p>
    <w:p>
      <w:pPr>
        <w:spacing w:after="0" w:line="276" w:lineRule="auto"/>
        <w:jc w:val="both"/>
        <w:sectPr>
          <w:pgSz w:w="12240" w:h="15840"/>
          <w:pgMar w:header="729" w:footer="1003" w:top="1180" w:bottom="1200" w:left="1540" w:right="1020"/>
        </w:sectPr>
      </w:pPr>
    </w:p>
    <w:p>
      <w:pPr>
        <w:pStyle w:val="BodyText"/>
        <w:spacing w:before="2"/>
        <w:rPr>
          <w:sz w:val="13"/>
        </w:rPr>
      </w:pPr>
    </w:p>
    <w:p>
      <w:pPr>
        <w:pStyle w:val="BodyText"/>
        <w:spacing w:line="247" w:lineRule="auto" w:before="69"/>
        <w:ind w:left="162" w:right="163"/>
        <w:jc w:val="both"/>
        <w:rPr>
          <w:sz w:val="16"/>
        </w:rPr>
      </w:pPr>
      <w:r>
        <w:rPr/>
        <w:t>nuevas lesiones así como la desaceleración de la progresión de caries  en </w:t>
      </w:r>
      <w:r>
        <w:rPr>
          <w:position w:val="-10"/>
        </w:rPr>
        <w:t>general.</w:t>
      </w:r>
      <w:r>
        <w:rPr>
          <w:sz w:val="16"/>
        </w:rPr>
        <w:t>44,45,46</w:t>
      </w:r>
    </w:p>
    <w:p>
      <w:pPr>
        <w:pStyle w:val="BodyText"/>
        <w:spacing w:before="3"/>
        <w:rPr>
          <w:sz w:val="30"/>
        </w:rPr>
      </w:pPr>
    </w:p>
    <w:p>
      <w:pPr>
        <w:pStyle w:val="BodyText"/>
        <w:spacing w:line="276" w:lineRule="auto" w:before="1"/>
        <w:ind w:left="162" w:right="157"/>
        <w:jc w:val="both"/>
        <w:rPr>
          <w:sz w:val="16"/>
        </w:rPr>
      </w:pPr>
      <w:r>
        <w:rPr/>
        <w:t>Giertsen E y col. en 1995, estudió los efectos de la asociación de clorhexidina y flúor, ambos mezclados, mediante la realización de enjuagatorios, sobre laviabilidad, potencial acidogénico y perfil glicolítico de la placa dental, encontrándose que esta combinación redujo la caída significativa de pH, cuando se comparó con el grupo que uso sólo enjuagatorios de FNa.</w:t>
      </w:r>
      <w:r>
        <w:rPr>
          <w:sz w:val="16"/>
        </w:rPr>
        <w:t>47</w:t>
      </w:r>
    </w:p>
    <w:p>
      <w:pPr>
        <w:pStyle w:val="BodyText"/>
        <w:spacing w:before="9"/>
        <w:rPr>
          <w:sz w:val="27"/>
        </w:rPr>
      </w:pPr>
    </w:p>
    <w:p>
      <w:pPr>
        <w:pStyle w:val="BodyText"/>
        <w:spacing w:line="276" w:lineRule="auto"/>
        <w:ind w:left="162" w:right="159"/>
        <w:jc w:val="both"/>
      </w:pPr>
      <w:r>
        <w:rPr/>
        <w:t>Bratthall y col. en 1995, explicó que los barnices de clorhexidina controla los niveles de </w:t>
      </w:r>
      <w:r>
        <w:rPr>
          <w:i/>
        </w:rPr>
        <w:t>Streptococcus mutans</w:t>
      </w:r>
      <w:r>
        <w:rPr/>
        <w:t>, ese efecto supresor se debía probablemente al prolongado tiempo de contacto y desprendimiento del agente hasta después de tres meses de aplicado, incluso la superficie dental pudo estar libre de esta bacteria cuando finalizó la maduración posteruptiva en las molares erupcionadas, además estas piezas no desarrollaron caries por el lapso de dos años, siendo útil para lar educción de caries de</w:t>
      </w:r>
    </w:p>
    <w:p>
      <w:pPr>
        <w:pStyle w:val="BodyText"/>
        <w:spacing w:line="277" w:lineRule="exact"/>
        <w:ind w:left="162"/>
        <w:jc w:val="both"/>
        <w:rPr>
          <w:sz w:val="16"/>
        </w:rPr>
      </w:pPr>
      <w:r>
        <w:rPr/>
        <w:t>fosas y fisuras.</w:t>
      </w:r>
      <w:r>
        <w:rPr>
          <w:position w:val="11"/>
          <w:sz w:val="16"/>
        </w:rPr>
        <w:t>48</w:t>
      </w:r>
    </w:p>
    <w:p>
      <w:pPr>
        <w:pStyle w:val="BodyText"/>
        <w:spacing w:before="41"/>
        <w:ind w:left="162"/>
        <w:jc w:val="both"/>
      </w:pPr>
      <w:r>
        <w:rPr>
          <w:w w:val="100"/>
        </w:rPr>
        <w:t>.</w:t>
      </w:r>
    </w:p>
    <w:p>
      <w:pPr>
        <w:pStyle w:val="BodyText"/>
        <w:spacing w:line="268" w:lineRule="auto" w:before="41"/>
        <w:ind w:left="162" w:right="157"/>
        <w:jc w:val="both"/>
        <w:rPr>
          <w:sz w:val="16"/>
        </w:rPr>
      </w:pPr>
      <w:r>
        <w:rPr/>
        <w:t>Guitellman I y col., en 1999, comparó la efectividad de dos barnices fluorados sobre manchas blancas, revelando cambios clínicos al 15 avo y 30 avo día de aplicación con los respectivos barnices. A lo que, concluyó que la aplicación de los barnices fluorados era recomendable para la remineralización de las manchas blancas, demostrado por su efectividad terapéutica.</w:t>
      </w:r>
      <w:r>
        <w:rPr>
          <w:position w:val="11"/>
          <w:sz w:val="16"/>
        </w:rPr>
        <w:t>49</w:t>
      </w:r>
    </w:p>
    <w:p>
      <w:pPr>
        <w:pStyle w:val="BodyText"/>
        <w:spacing w:before="1"/>
        <w:rPr>
          <w:sz w:val="28"/>
        </w:rPr>
      </w:pPr>
    </w:p>
    <w:p>
      <w:pPr>
        <w:pStyle w:val="BodyText"/>
        <w:ind w:left="162"/>
        <w:jc w:val="both"/>
      </w:pPr>
      <w:r>
        <w:rPr/>
        <w:t>Bradshaw DJ y col. en el 2002, demostró una evidencia importante, en un estudio</w:t>
      </w:r>
    </w:p>
    <w:p>
      <w:pPr>
        <w:pStyle w:val="BodyText"/>
        <w:spacing w:line="261" w:lineRule="auto" w:before="41"/>
        <w:ind w:left="162" w:right="159"/>
        <w:jc w:val="both"/>
        <w:rPr>
          <w:sz w:val="16"/>
        </w:rPr>
      </w:pPr>
      <w:r>
        <w:rPr/>
        <w:t>(in Vitro), que el flúor puede ejercer acción directa (antimicrobiana) sobre los </w:t>
      </w:r>
      <w:r>
        <w:rPr>
          <w:i/>
        </w:rPr>
        <w:t>Streptococcus mutans </w:t>
      </w:r>
      <w:r>
        <w:rPr/>
        <w:t>y un efecto indirecto para prevenir el desarrollo de favorables bajas de pH del medio en el biofilm de la placa para bacterias cariogénicas. </w:t>
      </w:r>
      <w:r>
        <w:rPr>
          <w:position w:val="11"/>
          <w:sz w:val="16"/>
        </w:rPr>
        <w:t>49</w:t>
      </w:r>
    </w:p>
    <w:p>
      <w:pPr>
        <w:pStyle w:val="BodyText"/>
        <w:spacing w:before="8"/>
        <w:rPr>
          <w:sz w:val="28"/>
        </w:rPr>
      </w:pPr>
    </w:p>
    <w:p>
      <w:pPr>
        <w:pStyle w:val="BodyText"/>
        <w:spacing w:line="266" w:lineRule="auto"/>
        <w:ind w:left="162" w:right="157"/>
        <w:jc w:val="both"/>
        <w:rPr>
          <w:sz w:val="16"/>
        </w:rPr>
      </w:pPr>
      <w:r>
        <w:rPr/>
        <w:t>Araujo AMPG y col. en el 2002, comprobaron en escolares el efecto positivo de la clorhexidina en barniz (Cervitec ®) en la reducción de formación de placa y en el desarrollo caries dental de fosas y fisuras de molares en erupción, considerándolo como una alternativa de tratamiento preventivo.</w:t>
      </w:r>
      <w:r>
        <w:rPr>
          <w:spacing w:val="-13"/>
        </w:rPr>
        <w:t> </w:t>
      </w:r>
      <w:r>
        <w:rPr>
          <w:position w:val="11"/>
          <w:sz w:val="16"/>
        </w:rPr>
        <w:t>50</w:t>
      </w:r>
    </w:p>
    <w:p>
      <w:pPr>
        <w:pStyle w:val="BodyText"/>
        <w:spacing w:before="2"/>
        <w:rPr>
          <w:sz w:val="28"/>
        </w:rPr>
      </w:pPr>
    </w:p>
    <w:p>
      <w:pPr>
        <w:pStyle w:val="BodyText"/>
        <w:spacing w:line="276" w:lineRule="auto"/>
        <w:ind w:left="162" w:right="156"/>
        <w:jc w:val="both"/>
      </w:pPr>
      <w:r>
        <w:rPr/>
        <w:t>Gispert E. y col en el 2003, presentó los resultados de sus investigaciones sobre la mixtura de clorhexidina y fluoruros en sus diferentes tipos de presentación, obteniendo mejores resultados con el barniz, siendo aplicada a los pacientes preescolares de tres y cuatro años de edad, sobre la infección por </w:t>
      </w:r>
      <w:r>
        <w:rPr>
          <w:i/>
        </w:rPr>
        <w:t>Streptococcus mutans </w:t>
      </w:r>
      <w:r>
        <w:rPr/>
        <w:t>(actividad cariogénica) cuyo esquema de tratamiento se registró 3-4veces/ año.    Concluyéndose</w:t>
      </w:r>
    </w:p>
    <w:p>
      <w:pPr>
        <w:pStyle w:val="BodyText"/>
        <w:spacing w:line="247" w:lineRule="auto"/>
        <w:ind w:left="162" w:right="161"/>
        <w:jc w:val="both"/>
        <w:rPr>
          <w:sz w:val="16"/>
        </w:rPr>
      </w:pPr>
      <w:r>
        <w:rPr/>
        <w:t>que un programa de salud, debe abarcar a individuos de menor edad y con menor frecuencia de aplicación al año. </w:t>
      </w:r>
      <w:r>
        <w:rPr>
          <w:position w:val="11"/>
          <w:sz w:val="16"/>
        </w:rPr>
        <w:t>51</w:t>
      </w:r>
    </w:p>
    <w:p>
      <w:pPr>
        <w:spacing w:after="0" w:line="247" w:lineRule="auto"/>
        <w:jc w:val="both"/>
        <w:rPr>
          <w:sz w:val="16"/>
        </w:rPr>
        <w:sectPr>
          <w:footerReference w:type="default" r:id="rId12"/>
          <w:pgSz w:w="12240" w:h="15840"/>
          <w:pgMar w:footer="1003" w:header="729" w:top="1180" w:bottom="1200" w:left="1540" w:right="1020"/>
        </w:sectPr>
      </w:pPr>
    </w:p>
    <w:p>
      <w:pPr>
        <w:pStyle w:val="BodyText"/>
        <w:spacing w:before="5"/>
        <w:rPr>
          <w:sz w:val="13"/>
        </w:rPr>
      </w:pPr>
    </w:p>
    <w:p>
      <w:pPr>
        <w:pStyle w:val="Heading4"/>
        <w:numPr>
          <w:ilvl w:val="2"/>
          <w:numId w:val="4"/>
        </w:numPr>
        <w:tabs>
          <w:tab w:pos="866" w:val="left" w:leader="none"/>
        </w:tabs>
        <w:spacing w:line="240" w:lineRule="auto" w:before="65" w:after="0"/>
        <w:ind w:left="865" w:right="0" w:hanging="703"/>
        <w:jc w:val="both"/>
      </w:pPr>
      <w:bookmarkStart w:name="_TOC_250025" w:id="15"/>
      <w:r>
        <w:rPr/>
        <w:t>Dieta como medida preventiva de la caries</w:t>
      </w:r>
      <w:r>
        <w:rPr>
          <w:spacing w:val="-21"/>
        </w:rPr>
        <w:t> </w:t>
      </w:r>
      <w:bookmarkEnd w:id="15"/>
      <w:r>
        <w:rPr/>
        <w:t>dental</w:t>
      </w:r>
    </w:p>
    <w:p>
      <w:pPr>
        <w:pStyle w:val="BodyText"/>
        <w:spacing w:before="5"/>
        <w:rPr>
          <w:b/>
        </w:rPr>
      </w:pPr>
    </w:p>
    <w:p>
      <w:pPr>
        <w:pStyle w:val="BodyText"/>
        <w:spacing w:line="276" w:lineRule="auto" w:before="1"/>
        <w:ind w:left="162" w:right="161"/>
        <w:jc w:val="both"/>
      </w:pPr>
      <w:r>
        <w:rPr/>
        <w:t>Existen suficientes evidencias que los azúcares son los principales elementos de la dieta diaria que influyen en la prevalencia y el avance de las lesiones de caries. La sacarosa se considera el azúcar mas cariogénico, no solo porque su metabolismo produce  ácidos, sino porque  el Streptococcus mutans lo utiliza  para producir   glucan,</w:t>
      </w:r>
    </w:p>
    <w:p>
      <w:pPr>
        <w:pStyle w:val="BodyText"/>
        <w:spacing w:line="242" w:lineRule="auto"/>
        <w:ind w:left="162" w:right="169"/>
        <w:jc w:val="both"/>
        <w:rPr>
          <w:sz w:val="16"/>
        </w:rPr>
      </w:pPr>
      <w:r>
        <w:rPr/>
        <w:t>polisacárido extracelular que le permite a la bacteria adherirse firmemente al diente, inhibiendo las propiedades de difusión de la placa.</w:t>
      </w:r>
      <w:r>
        <w:rPr>
          <w:position w:val="11"/>
          <w:sz w:val="16"/>
        </w:rPr>
        <w:t>52</w:t>
      </w:r>
    </w:p>
    <w:p>
      <w:pPr>
        <w:pStyle w:val="BodyText"/>
        <w:spacing w:before="10"/>
        <w:rPr>
          <w:sz w:val="27"/>
        </w:rPr>
      </w:pPr>
    </w:p>
    <w:p>
      <w:pPr>
        <w:pStyle w:val="BodyText"/>
        <w:spacing w:line="276" w:lineRule="auto"/>
        <w:ind w:left="162" w:right="163"/>
        <w:jc w:val="both"/>
        <w:rPr>
          <w:sz w:val="16"/>
        </w:rPr>
      </w:pPr>
      <w:r>
        <w:rPr/>
        <w:t>La intensidad de las caries en niños preescolares se debe en parte, a la frecuencia en el consumo de azúcar. Una alta frecuencia en el consumo de azúcares favorece la formación de ácidos por las bacterias cariogénicas, los cuales desmineralizan la estructura dentaria dependiendo del descenso absoluto del pH y del tiempo que este pH se mantenga por debajo del nivel</w:t>
      </w:r>
      <w:r>
        <w:rPr>
          <w:spacing w:val="-11"/>
        </w:rPr>
        <w:t> </w:t>
      </w:r>
      <w:r>
        <w:rPr/>
        <w:t>crítico.</w:t>
      </w:r>
      <w:r>
        <w:rPr>
          <w:sz w:val="16"/>
        </w:rPr>
        <w:t>52</w:t>
      </w:r>
    </w:p>
    <w:p>
      <w:pPr>
        <w:pStyle w:val="BodyText"/>
        <w:spacing w:before="7"/>
      </w:pPr>
    </w:p>
    <w:p>
      <w:pPr>
        <w:pStyle w:val="BodyText"/>
        <w:spacing w:line="276" w:lineRule="auto" w:before="1"/>
        <w:ind w:left="162" w:right="159"/>
        <w:jc w:val="both"/>
      </w:pPr>
      <w:r>
        <w:rPr/>
        <w:t>La enfermedad dental en niños ha sido atribuida a una higiene bucal deficiente y a una dieta inadecuada. En los niños preescolares, la caries se debe a una combinación de factores que incluyen la colonización de los dientes por bacterias cariogénicas, en especial el Streptococcus mutans, el tipo de alimento, la frecuencia de exposición a dichas bacterias y la susceptibilidad del diente. El riesgo de caries es mayor si los azúcares son consumidos en una alta frecuencia y de forma que sean retenidos en boca por largos períodos de tiempo. Factores como la retención de los alimentos, la</w:t>
      </w:r>
    </w:p>
    <w:p>
      <w:pPr>
        <w:pStyle w:val="BodyText"/>
        <w:spacing w:line="242" w:lineRule="auto" w:before="1"/>
        <w:ind w:left="162" w:right="168"/>
        <w:jc w:val="both"/>
        <w:rPr>
          <w:sz w:val="16"/>
        </w:rPr>
      </w:pPr>
      <w:r>
        <w:rPr/>
        <w:t>hora del día en la cual son consumidos y la frecuencia de ingestión son determinantes de su potencial cariogénico.</w:t>
      </w:r>
      <w:r>
        <w:rPr>
          <w:position w:val="11"/>
          <w:sz w:val="16"/>
        </w:rPr>
        <w:t>52</w:t>
      </w:r>
    </w:p>
    <w:p>
      <w:pPr>
        <w:pStyle w:val="BodyText"/>
        <w:spacing w:before="10"/>
        <w:rPr>
          <w:sz w:val="27"/>
        </w:rPr>
      </w:pPr>
    </w:p>
    <w:p>
      <w:pPr>
        <w:pStyle w:val="BodyText"/>
        <w:spacing w:line="276" w:lineRule="auto"/>
        <w:ind w:left="162" w:right="159"/>
        <w:jc w:val="both"/>
      </w:pPr>
      <w:r>
        <w:rPr/>
        <w:t>Se define dieta cariogénica a aquella de consistencia blanda, con alto contenido de hidratos de carbono, especialmente azúcares fermentables como la sacarosa, que se deposita con facilidad en las superficies dentarias retentivas. Los carbohidratos son   la</w:t>
      </w:r>
    </w:p>
    <w:p>
      <w:pPr>
        <w:pStyle w:val="BodyText"/>
        <w:spacing w:line="242" w:lineRule="auto" w:before="3"/>
        <w:ind w:left="162" w:right="168"/>
        <w:jc w:val="both"/>
        <w:rPr>
          <w:sz w:val="16"/>
        </w:rPr>
      </w:pPr>
      <w:r>
        <w:rPr/>
        <w:t>principal fuente de energía de las bacterias bucales, específicamente las que están directamente envueltas en el descenso del pH.</w:t>
      </w:r>
      <w:r>
        <w:rPr>
          <w:position w:val="11"/>
          <w:sz w:val="16"/>
        </w:rPr>
        <w:t>52</w:t>
      </w:r>
    </w:p>
    <w:p>
      <w:pPr>
        <w:pStyle w:val="BodyText"/>
        <w:spacing w:before="10"/>
        <w:rPr>
          <w:sz w:val="27"/>
        </w:rPr>
      </w:pPr>
    </w:p>
    <w:p>
      <w:pPr>
        <w:pStyle w:val="BodyText"/>
        <w:spacing w:line="266" w:lineRule="auto"/>
        <w:ind w:left="162" w:right="165"/>
        <w:jc w:val="both"/>
        <w:rPr>
          <w:sz w:val="16"/>
        </w:rPr>
      </w:pPr>
      <w:r>
        <w:rPr/>
        <w:t>La evaluación de los hábitos dietéticos es importante, particularmente en aquellos niños susceptibles a desarrollar caries dental. Debido a que la caries es una enfermedad multifactorial, los datos de la dieta complementan la historia clínica utilizada para recopilar los factores de riesgo presentes.</w:t>
      </w:r>
      <w:r>
        <w:rPr>
          <w:position w:val="11"/>
          <w:sz w:val="16"/>
        </w:rPr>
        <w:t>52</w:t>
      </w:r>
    </w:p>
    <w:p>
      <w:pPr>
        <w:pStyle w:val="BodyText"/>
        <w:spacing w:before="2"/>
        <w:rPr>
          <w:sz w:val="28"/>
        </w:rPr>
      </w:pPr>
    </w:p>
    <w:p>
      <w:pPr>
        <w:pStyle w:val="BodyText"/>
        <w:spacing w:line="268" w:lineRule="auto"/>
        <w:ind w:left="162" w:right="161"/>
        <w:jc w:val="both"/>
        <w:rPr>
          <w:sz w:val="16"/>
        </w:rPr>
      </w:pPr>
      <w:r>
        <w:rPr/>
        <w:t>Mantener una adecuada salud bucodental en niños es de suma importancia ya que no solo es in problema dental pues la boca no es un entidad aislada; no tenerla puede causar problemas de vías respiratorias, nutricionales, cognitivos e incluso psicológicos, así como de repercusión en el crecimiento y desarrollo de los maxilares y de la oclusión dental.</w:t>
      </w:r>
      <w:r>
        <w:rPr>
          <w:position w:val="11"/>
          <w:sz w:val="16"/>
        </w:rPr>
        <w:t>53</w:t>
      </w:r>
    </w:p>
    <w:p>
      <w:pPr>
        <w:spacing w:after="0" w:line="268" w:lineRule="auto"/>
        <w:jc w:val="both"/>
        <w:rPr>
          <w:sz w:val="16"/>
        </w:rPr>
        <w:sectPr>
          <w:footerReference w:type="default" r:id="rId13"/>
          <w:pgSz w:w="12240" w:h="15840"/>
          <w:pgMar w:footer="1003" w:header="729" w:top="1180" w:bottom="1200" w:left="1540" w:right="1020"/>
          <w:pgNumType w:start="21"/>
        </w:sectPr>
      </w:pPr>
    </w:p>
    <w:p>
      <w:pPr>
        <w:pStyle w:val="BodyText"/>
        <w:spacing w:before="5"/>
        <w:rPr>
          <w:sz w:val="13"/>
        </w:rPr>
      </w:pPr>
    </w:p>
    <w:p>
      <w:pPr>
        <w:pStyle w:val="Heading4"/>
        <w:numPr>
          <w:ilvl w:val="1"/>
          <w:numId w:val="4"/>
        </w:numPr>
        <w:tabs>
          <w:tab w:pos="690" w:val="left" w:leader="none"/>
        </w:tabs>
        <w:spacing w:line="240" w:lineRule="auto" w:before="65" w:after="0"/>
        <w:ind w:left="689" w:right="0" w:hanging="467"/>
        <w:jc w:val="both"/>
      </w:pPr>
      <w:r>
        <w:rPr/>
        <w:t>ESTANCIAS INFANTILES DEL DIF</w:t>
      </w:r>
      <w:r>
        <w:rPr>
          <w:spacing w:val="-15"/>
        </w:rPr>
        <w:t> </w:t>
      </w:r>
      <w:r>
        <w:rPr/>
        <w:t>TOLUCA</w:t>
      </w:r>
    </w:p>
    <w:p>
      <w:pPr>
        <w:pStyle w:val="BodyText"/>
        <w:spacing w:line="276" w:lineRule="auto" w:before="250"/>
        <w:ind w:left="222" w:right="217"/>
        <w:jc w:val="both"/>
      </w:pPr>
      <w:r>
        <w:rPr/>
        <w:t>En el DIF de Toluca, fortalecer el pleno desarrollo emocional, físico e intelectual de los hijos de las madres trabajadoras, así como su integridad a través de la prestación del servicio asistencial y educativo a sus pequeños que comprenden edades de tres meses a tres años once meses, es el principal objetivo, contribuyendo con ello a mejorar la calidad de vida de sus familias.</w:t>
      </w:r>
    </w:p>
    <w:p>
      <w:pPr>
        <w:pStyle w:val="BodyText"/>
        <w:spacing w:before="202"/>
        <w:ind w:left="222"/>
        <w:jc w:val="both"/>
      </w:pPr>
      <w:r>
        <w:rPr/>
        <w:t>Actualmente el DIF Toluca cuenta con siete estancias infantiles.</w:t>
      </w:r>
    </w:p>
    <w:p>
      <w:pPr>
        <w:pStyle w:val="BodyText"/>
        <w:rPr>
          <w:sz w:val="20"/>
        </w:rPr>
      </w:pPr>
    </w:p>
    <w:p>
      <w:pPr>
        <w:pStyle w:val="BodyText"/>
        <w:rPr>
          <w:sz w:val="2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9"/>
        <w:gridCol w:w="7074"/>
      </w:tblGrid>
      <w:tr>
        <w:trPr>
          <w:trHeight w:val="656" w:hRule="exact"/>
        </w:trPr>
        <w:tc>
          <w:tcPr>
            <w:tcW w:w="2499" w:type="dxa"/>
          </w:tcPr>
          <w:p>
            <w:pPr>
              <w:pStyle w:val="TableParagraph"/>
              <w:ind w:left="683" w:right="341" w:hanging="329"/>
              <w:rPr>
                <w:b/>
                <w:sz w:val="28"/>
              </w:rPr>
            </w:pPr>
            <w:r>
              <w:rPr>
                <w:b/>
                <w:sz w:val="28"/>
              </w:rPr>
              <w:t>Nombre de la estancia</w:t>
            </w:r>
          </w:p>
        </w:tc>
        <w:tc>
          <w:tcPr>
            <w:tcW w:w="7074" w:type="dxa"/>
          </w:tcPr>
          <w:p>
            <w:pPr>
              <w:pStyle w:val="TableParagraph"/>
              <w:spacing w:line="319" w:lineRule="exact"/>
              <w:ind w:left="2874" w:right="2874"/>
              <w:jc w:val="center"/>
              <w:rPr>
                <w:b/>
                <w:sz w:val="28"/>
              </w:rPr>
            </w:pPr>
            <w:r>
              <w:rPr>
                <w:b/>
                <w:sz w:val="28"/>
              </w:rPr>
              <w:t>Dirección</w:t>
            </w:r>
          </w:p>
        </w:tc>
      </w:tr>
      <w:tr>
        <w:trPr>
          <w:trHeight w:val="562" w:hRule="exact"/>
        </w:trPr>
        <w:tc>
          <w:tcPr>
            <w:tcW w:w="2499" w:type="dxa"/>
          </w:tcPr>
          <w:p>
            <w:pPr>
              <w:pStyle w:val="TableParagraph"/>
              <w:ind w:right="125"/>
              <w:rPr>
                <w:sz w:val="24"/>
              </w:rPr>
            </w:pPr>
            <w:r>
              <w:rPr>
                <w:sz w:val="24"/>
              </w:rPr>
              <w:t>Luisa Isabel Campos de Jiménez Cantú</w:t>
            </w:r>
          </w:p>
        </w:tc>
        <w:tc>
          <w:tcPr>
            <w:tcW w:w="7074" w:type="dxa"/>
          </w:tcPr>
          <w:p>
            <w:pPr>
              <w:pStyle w:val="TableParagraph"/>
              <w:spacing w:line="272" w:lineRule="exact"/>
              <w:rPr>
                <w:sz w:val="24"/>
              </w:rPr>
            </w:pPr>
            <w:r>
              <w:rPr>
                <w:sz w:val="24"/>
              </w:rPr>
              <w:t>Presa de la amistad, No. 141, Col. Valle Verde.</w:t>
            </w:r>
          </w:p>
        </w:tc>
      </w:tr>
      <w:tr>
        <w:trPr>
          <w:trHeight w:val="562" w:hRule="exact"/>
        </w:trPr>
        <w:tc>
          <w:tcPr>
            <w:tcW w:w="2499" w:type="dxa"/>
          </w:tcPr>
          <w:p>
            <w:pPr>
              <w:pStyle w:val="TableParagraph"/>
              <w:ind w:right="472"/>
              <w:rPr>
                <w:sz w:val="24"/>
              </w:rPr>
            </w:pPr>
            <w:r>
              <w:rPr>
                <w:sz w:val="24"/>
              </w:rPr>
              <w:t>Carmen Maza del Mazo</w:t>
            </w:r>
          </w:p>
        </w:tc>
        <w:tc>
          <w:tcPr>
            <w:tcW w:w="7074" w:type="dxa"/>
          </w:tcPr>
          <w:p>
            <w:pPr>
              <w:pStyle w:val="TableParagraph"/>
              <w:spacing w:line="272" w:lineRule="exact"/>
              <w:rPr>
                <w:sz w:val="24"/>
              </w:rPr>
            </w:pPr>
            <w:r>
              <w:rPr>
                <w:sz w:val="24"/>
              </w:rPr>
              <w:t>Paseo Tollocán, No. 1101, Barrio la Teresona.</w:t>
            </w:r>
          </w:p>
        </w:tc>
      </w:tr>
      <w:tr>
        <w:trPr>
          <w:trHeight w:val="562" w:hRule="exact"/>
        </w:trPr>
        <w:tc>
          <w:tcPr>
            <w:tcW w:w="2499" w:type="dxa"/>
          </w:tcPr>
          <w:p>
            <w:pPr>
              <w:pStyle w:val="TableParagraph"/>
              <w:spacing w:line="272" w:lineRule="exact"/>
              <w:rPr>
                <w:sz w:val="24"/>
              </w:rPr>
            </w:pPr>
            <w:r>
              <w:rPr>
                <w:sz w:val="24"/>
              </w:rPr>
              <w:t>Lechuga de Pichardo</w:t>
            </w:r>
          </w:p>
        </w:tc>
        <w:tc>
          <w:tcPr>
            <w:tcW w:w="7074" w:type="dxa"/>
          </w:tcPr>
          <w:p>
            <w:pPr>
              <w:pStyle w:val="TableParagraph"/>
              <w:rPr>
                <w:sz w:val="24"/>
              </w:rPr>
            </w:pPr>
            <w:r>
              <w:rPr>
                <w:sz w:val="24"/>
              </w:rPr>
              <w:t>Julieta Laguna de las flores esq. Laguna madre, Col. Nueva Oxtotitlán.</w:t>
            </w:r>
          </w:p>
        </w:tc>
      </w:tr>
      <w:tr>
        <w:trPr>
          <w:trHeight w:val="562" w:hRule="exact"/>
        </w:trPr>
        <w:tc>
          <w:tcPr>
            <w:tcW w:w="2499" w:type="dxa"/>
          </w:tcPr>
          <w:p>
            <w:pPr>
              <w:pStyle w:val="TableParagraph"/>
              <w:spacing w:line="272" w:lineRule="exact"/>
              <w:ind w:right="341"/>
              <w:rPr>
                <w:sz w:val="24"/>
              </w:rPr>
            </w:pPr>
            <w:r>
              <w:rPr>
                <w:sz w:val="24"/>
              </w:rPr>
              <w:t>Paseos del Valle</w:t>
            </w:r>
          </w:p>
        </w:tc>
        <w:tc>
          <w:tcPr>
            <w:tcW w:w="7074" w:type="dxa"/>
          </w:tcPr>
          <w:p>
            <w:pPr>
              <w:pStyle w:val="TableParagraph"/>
              <w:ind w:right="578"/>
              <w:rPr>
                <w:sz w:val="24"/>
              </w:rPr>
            </w:pPr>
            <w:r>
              <w:rPr>
                <w:sz w:val="24"/>
              </w:rPr>
              <w:t>Paseo de los remedios, s/n, Col. Aztecas Fracc. Paseos del Valle, 3a sección.</w:t>
            </w:r>
          </w:p>
        </w:tc>
      </w:tr>
      <w:tr>
        <w:trPr>
          <w:trHeight w:val="610" w:hRule="exact"/>
        </w:trPr>
        <w:tc>
          <w:tcPr>
            <w:tcW w:w="2499" w:type="dxa"/>
          </w:tcPr>
          <w:p>
            <w:pPr>
              <w:pStyle w:val="TableParagraph"/>
              <w:ind w:right="352"/>
              <w:rPr>
                <w:sz w:val="24"/>
              </w:rPr>
            </w:pPr>
            <w:r>
              <w:rPr>
                <w:sz w:val="24"/>
              </w:rPr>
              <w:t>Carmen Rodriguez de Ozuna</w:t>
            </w:r>
          </w:p>
        </w:tc>
        <w:tc>
          <w:tcPr>
            <w:tcW w:w="7074" w:type="dxa"/>
          </w:tcPr>
          <w:p>
            <w:pPr>
              <w:pStyle w:val="TableParagraph"/>
              <w:rPr>
                <w:sz w:val="24"/>
              </w:rPr>
            </w:pPr>
            <w:r>
              <w:rPr>
                <w:sz w:val="24"/>
              </w:rPr>
              <w:t>Calzada de las arboledas, esq. camino de los huertos, Fracc. Jardines de la Crespa.</w:t>
            </w:r>
          </w:p>
        </w:tc>
      </w:tr>
      <w:tr>
        <w:trPr>
          <w:trHeight w:val="612" w:hRule="exact"/>
        </w:trPr>
        <w:tc>
          <w:tcPr>
            <w:tcW w:w="2499" w:type="dxa"/>
          </w:tcPr>
          <w:p>
            <w:pPr>
              <w:pStyle w:val="TableParagraph"/>
              <w:spacing w:line="274" w:lineRule="exact"/>
              <w:ind w:right="341"/>
              <w:rPr>
                <w:sz w:val="24"/>
              </w:rPr>
            </w:pPr>
            <w:r>
              <w:rPr>
                <w:sz w:val="24"/>
              </w:rPr>
              <w:t>Guadalupe Rhon</w:t>
            </w:r>
          </w:p>
        </w:tc>
        <w:tc>
          <w:tcPr>
            <w:tcW w:w="7074" w:type="dxa"/>
          </w:tcPr>
          <w:p>
            <w:pPr>
              <w:pStyle w:val="TableParagraph"/>
              <w:spacing w:line="274" w:lineRule="exact"/>
              <w:rPr>
                <w:sz w:val="24"/>
              </w:rPr>
            </w:pPr>
            <w:r>
              <w:rPr>
                <w:sz w:val="24"/>
              </w:rPr>
              <w:t>Av. 18 de marzo, No. 1112, Col. Sor Juana Inés.</w:t>
            </w:r>
          </w:p>
        </w:tc>
      </w:tr>
      <w:tr>
        <w:trPr>
          <w:trHeight w:val="614" w:hRule="exact"/>
        </w:trPr>
        <w:tc>
          <w:tcPr>
            <w:tcW w:w="2499" w:type="dxa"/>
          </w:tcPr>
          <w:p>
            <w:pPr>
              <w:pStyle w:val="TableParagraph"/>
              <w:ind w:right="591"/>
              <w:rPr>
                <w:sz w:val="24"/>
              </w:rPr>
            </w:pPr>
            <w:r>
              <w:rPr>
                <w:sz w:val="24"/>
              </w:rPr>
              <w:t>Antonia Nava de Catalán</w:t>
            </w:r>
          </w:p>
        </w:tc>
        <w:tc>
          <w:tcPr>
            <w:tcW w:w="7074" w:type="dxa"/>
          </w:tcPr>
          <w:p>
            <w:pPr>
              <w:pStyle w:val="TableParagraph"/>
              <w:spacing w:line="272" w:lineRule="exact"/>
              <w:rPr>
                <w:sz w:val="24"/>
              </w:rPr>
            </w:pPr>
            <w:r>
              <w:rPr>
                <w:sz w:val="24"/>
              </w:rPr>
              <w:t>Libertad, No. 100, Tlachaloya, 1a sección.</w:t>
            </w:r>
          </w:p>
        </w:tc>
      </w:tr>
    </w:tbl>
    <w:p>
      <w:pPr>
        <w:spacing w:after="0" w:line="272" w:lineRule="exact"/>
        <w:rPr>
          <w:sz w:val="24"/>
        </w:rPr>
        <w:sectPr>
          <w:pgSz w:w="12240" w:h="15840"/>
          <w:pgMar w:header="729" w:footer="1003" w:top="1180" w:bottom="1200" w:left="14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1"/>
        <w:numPr>
          <w:ilvl w:val="3"/>
          <w:numId w:val="2"/>
        </w:numPr>
        <w:tabs>
          <w:tab w:pos="1442" w:val="left" w:leader="none"/>
        </w:tabs>
        <w:spacing w:line="240" w:lineRule="auto" w:before="43" w:after="0"/>
        <w:ind w:left="1441" w:right="0" w:hanging="490"/>
        <w:jc w:val="left"/>
      </w:pPr>
      <w:bookmarkStart w:name="_TOC_250024" w:id="16"/>
      <w:r>
        <w:rPr/>
        <w:t>PLANTEAMIENTO DEL</w:t>
      </w:r>
      <w:r>
        <w:rPr>
          <w:spacing w:val="-8"/>
        </w:rPr>
        <w:t> </w:t>
      </w:r>
      <w:bookmarkEnd w:id="16"/>
      <w:r>
        <w:rPr/>
        <w:t>PROBLEMA</w:t>
      </w:r>
    </w:p>
    <w:p>
      <w:pPr>
        <w:spacing w:after="0" w:line="240" w:lineRule="auto"/>
        <w:jc w:val="left"/>
        <w:sectPr>
          <w:pgSz w:w="12240" w:h="15840"/>
          <w:pgMar w:header="729" w:footer="1003" w:top="1180" w:bottom="1200" w:left="1540" w:right="1020"/>
        </w:sectPr>
      </w:pPr>
    </w:p>
    <w:p>
      <w:pPr>
        <w:pStyle w:val="BodyText"/>
        <w:spacing w:before="2"/>
        <w:rPr>
          <w:b/>
          <w:sz w:val="13"/>
        </w:rPr>
      </w:pPr>
    </w:p>
    <w:p>
      <w:pPr>
        <w:pStyle w:val="BodyText"/>
        <w:spacing w:line="276" w:lineRule="auto" w:before="69"/>
        <w:ind w:left="162" w:right="157"/>
        <w:jc w:val="both"/>
      </w:pPr>
      <w:r>
        <w:rPr/>
        <w:t>La caries dental, es catalogada por la Organización Mundial de la Salud como una de las enfermedades de mayor prevalencia, ocupando el tercer lugar a nivel mundial. Se estima que el 90-95% de la población la ha padecido, lo que se traduce en un problema de Salud Pública. La caries es, la enfermedad más extendida en el planeta y una de las causas más importantes de incapacidad laboral y escolar; además de ser una causal  de  dolor  para  el  ser  humano  y    origen  de  grandes  pérdidas  económicas  </w:t>
      </w:r>
      <w:r>
        <w:rPr>
          <w:spacing w:val="2"/>
        </w:rPr>
        <w:t>para</w:t>
      </w:r>
      <w:r>
        <w:rPr>
          <w:spacing w:val="63"/>
        </w:rPr>
        <w:t> </w:t>
      </w:r>
      <w:r>
        <w:rPr/>
        <w:t>la</w:t>
      </w:r>
    </w:p>
    <w:p>
      <w:pPr>
        <w:pStyle w:val="BodyText"/>
        <w:spacing w:line="242" w:lineRule="auto"/>
        <w:ind w:left="162" w:right="161"/>
        <w:jc w:val="both"/>
      </w:pPr>
      <w:r>
        <w:rPr/>
        <w:t>sociedad. La caries afecta a un 90 % de la población mexicana y el Estado de México ocupa el primer lugar en con un 98%</w:t>
      </w:r>
      <w:r>
        <w:rPr>
          <w:position w:val="11"/>
          <w:sz w:val="16"/>
        </w:rPr>
        <w:t>54</w:t>
      </w:r>
      <w:r>
        <w:rPr/>
        <w:t>.</w:t>
      </w:r>
    </w:p>
    <w:p>
      <w:pPr>
        <w:pStyle w:val="BodyText"/>
        <w:spacing w:line="268" w:lineRule="auto" w:before="141"/>
        <w:ind w:left="162" w:right="157"/>
        <w:jc w:val="both"/>
      </w:pPr>
      <w:r>
        <w:rPr/>
        <w:t>El riesgo de contraer esta enfermedad se inicia desde la primera infancia y se potencializa con la edad. Estadísticas recientes revelan que el 57% de los niños de 3 años ya están afectados, dicho porcentaje se eleva al 80% en niños de seis años y al 95% en los adultos</w:t>
      </w:r>
      <w:r>
        <w:rPr>
          <w:position w:val="11"/>
          <w:sz w:val="16"/>
        </w:rPr>
        <w:t>11 </w:t>
      </w:r>
      <w:r>
        <w:rPr>
          <w:sz w:val="16"/>
        </w:rPr>
        <w:t>, </w:t>
      </w:r>
      <w:r>
        <w:rPr/>
        <w:t>siendo entonces la enfermedad crónica más común en infantes, cinco veces más común que el asma, siete veces más que la fiebre y catorce veces más que la bronquitis crónica.</w:t>
      </w:r>
    </w:p>
    <w:p>
      <w:pPr>
        <w:pStyle w:val="BodyText"/>
        <w:spacing w:line="276" w:lineRule="auto" w:before="112"/>
        <w:ind w:left="162" w:right="158"/>
        <w:jc w:val="both"/>
      </w:pPr>
      <w:r>
        <w:rPr/>
        <w:t>La salud bucal es muy importante para la salud general, crecimiento y desarrollo del niño y juega un rol preponderante en la nutrición, correcto lenguaje, desarrollo normal de la mandíbula, adecuada posición de los dientes permanentes; así como también influye en la apariencia y autoestima del infante.</w:t>
      </w:r>
    </w:p>
    <w:p>
      <w:pPr>
        <w:pStyle w:val="BodyText"/>
        <w:spacing w:line="276" w:lineRule="auto" w:before="69"/>
        <w:ind w:left="162" w:right="160"/>
        <w:jc w:val="both"/>
      </w:pPr>
      <w:r>
        <w:rPr/>
        <w:pict>
          <v:shape style="position:absolute;margin-left:426.790009pt;margin-top:9.938965pt;width:2.25pt;height:8.0500pt;mso-position-horizontal-relative:page;mso-position-vertical-relative:paragraph;z-index:-102352" type="#_x0000_t202" filled="false" stroked="false">
            <v:textbox inset="0,0,0,0">
              <w:txbxContent>
                <w:p>
                  <w:pPr>
                    <w:spacing w:line="161" w:lineRule="exact" w:before="0"/>
                    <w:ind w:left="0" w:right="0" w:firstLine="0"/>
                    <w:jc w:val="left"/>
                    <w:rPr>
                      <w:sz w:val="16"/>
                    </w:rPr>
                  </w:pPr>
                  <w:r>
                    <w:rPr>
                      <w:w w:val="100"/>
                      <w:sz w:val="16"/>
                    </w:rPr>
                    <w:t>,</w:t>
                  </w:r>
                </w:p>
              </w:txbxContent>
            </v:textbox>
            <w10:wrap type="none"/>
          </v:shape>
        </w:pict>
      </w:r>
      <w:r>
        <w:rPr/>
        <w:t>La Caries en la población infantil ha sido poco estudiada </w:t>
      </w:r>
      <w:r>
        <w:rPr>
          <w:position w:val="11"/>
          <w:sz w:val="16"/>
        </w:rPr>
        <w:t>11  </w:t>
      </w:r>
      <w:r>
        <w:rPr/>
        <w:t>no obstante  que en  muchas ocasiones este grupo etario se encuentra concentrado  en estancias y sujetos  a un entorno común la mayor parte del día, lo cual sumado a los escasos programas preventivos en salud bucal los ubica en un grupo de alto riesgo para presentar la enfermedad, surgiendo así la necesidad de realizar estudios en este grupo de</w:t>
      </w:r>
      <w:r>
        <w:rPr>
          <w:spacing w:val="-27"/>
        </w:rPr>
        <w:t> </w:t>
      </w:r>
      <w:r>
        <w:rPr/>
        <w:t>edad.</w:t>
      </w:r>
    </w:p>
    <w:p>
      <w:pPr>
        <w:pStyle w:val="BodyText"/>
        <w:spacing w:line="276" w:lineRule="auto" w:before="104"/>
        <w:ind w:left="162" w:right="168"/>
        <w:jc w:val="both"/>
      </w:pPr>
      <w:r>
        <w:rPr/>
        <w:t>La ciudad de Toluca, Estado de México no escapa a esta problemática, donde es importante no dejar de considerar que existen alternativas de posible solución, como la preventiva, siendo el motivo del presente estudio.</w:t>
      </w:r>
    </w:p>
    <w:p>
      <w:pPr>
        <w:pStyle w:val="BodyText"/>
        <w:spacing w:line="266" w:lineRule="auto" w:before="202"/>
        <w:ind w:left="162" w:right="160"/>
        <w:jc w:val="both"/>
      </w:pPr>
      <w:r>
        <w:rPr/>
        <w:t>Existen protocolos preventivos específicos para el control de caries, como la aplicación de fluoruro y clorhexidina que ejercen una barrera de protección específica para esta enfermedad </w:t>
      </w:r>
      <w:r>
        <w:rPr>
          <w:position w:val="11"/>
          <w:sz w:val="16"/>
        </w:rPr>
        <w:t>55-60</w:t>
      </w:r>
      <w:r>
        <w:rPr/>
        <w:t>, sin embargo no existen estudios de estos elementos en forma conjunta, ni en este grupo de edad (menores de 3 años).</w:t>
      </w:r>
    </w:p>
    <w:p>
      <w:pPr>
        <w:spacing w:line="276" w:lineRule="auto" w:before="211"/>
        <w:ind w:left="162" w:right="157" w:firstLine="0"/>
        <w:jc w:val="both"/>
        <w:rPr>
          <w:i/>
          <w:sz w:val="24"/>
        </w:rPr>
      </w:pPr>
      <w:r>
        <w:rPr>
          <w:sz w:val="24"/>
        </w:rPr>
        <w:t>Por lo que el presente esfuerzo fue encaminado a conocer si, </w:t>
      </w:r>
      <w:r>
        <w:rPr>
          <w:i/>
          <w:sz w:val="24"/>
        </w:rPr>
        <w:t>¿Es  efectiva  la </w:t>
      </w:r>
      <w:r>
        <w:rPr>
          <w:i/>
          <w:sz w:val="24"/>
        </w:rPr>
        <w:t>aplicación de Fluoruro de Sodio en gel al 0.02 % y clorhexidina en gel al 2% en la prevención de la caries dental en niños menores de tres años, en estancias infantiles  de la ciudad de Toluca, Estado de México en el</w:t>
      </w:r>
      <w:r>
        <w:rPr>
          <w:i/>
          <w:spacing w:val="47"/>
          <w:sz w:val="24"/>
        </w:rPr>
        <w:t> </w:t>
      </w:r>
      <w:r>
        <w:rPr>
          <w:i/>
          <w:sz w:val="24"/>
        </w:rPr>
        <w:t>2012?.</w:t>
      </w:r>
    </w:p>
    <w:p>
      <w:pPr>
        <w:spacing w:after="0" w:line="276" w:lineRule="auto"/>
        <w:jc w:val="both"/>
        <w:rPr>
          <w:sz w:val="24"/>
        </w:rPr>
        <w:sectPr>
          <w:pgSz w:w="12240" w:h="15840"/>
          <w:pgMar w:header="729" w:footer="1003" w:top="1180" w:bottom="1200" w:left="1540" w:right="10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23"/>
        </w:rPr>
      </w:pPr>
    </w:p>
    <w:p>
      <w:pPr>
        <w:pStyle w:val="Heading1"/>
        <w:numPr>
          <w:ilvl w:val="3"/>
          <w:numId w:val="2"/>
        </w:numPr>
        <w:tabs>
          <w:tab w:pos="3397" w:val="left" w:leader="none"/>
        </w:tabs>
        <w:spacing w:line="240" w:lineRule="auto" w:before="44" w:after="0"/>
        <w:ind w:left="3396" w:right="0" w:hanging="488"/>
        <w:jc w:val="left"/>
      </w:pPr>
      <w:bookmarkStart w:name="_TOC_250023" w:id="17"/>
      <w:bookmarkEnd w:id="17"/>
      <w:r>
        <w:rPr/>
        <w:t>JUSTIFICACIÓN</w:t>
      </w:r>
    </w:p>
    <w:p>
      <w:pPr>
        <w:spacing w:after="0" w:line="240" w:lineRule="auto"/>
        <w:jc w:val="left"/>
        <w:sectPr>
          <w:pgSz w:w="12240" w:h="15840"/>
          <w:pgMar w:header="729" w:footer="1003" w:top="1180" w:bottom="1200" w:left="1540" w:right="1020"/>
        </w:sectPr>
      </w:pPr>
    </w:p>
    <w:p>
      <w:pPr>
        <w:pStyle w:val="BodyText"/>
        <w:spacing w:before="2"/>
        <w:rPr>
          <w:b/>
          <w:sz w:val="13"/>
        </w:rPr>
      </w:pPr>
    </w:p>
    <w:p>
      <w:pPr>
        <w:pStyle w:val="BodyText"/>
        <w:spacing w:line="276" w:lineRule="auto" w:before="69"/>
        <w:ind w:left="162" w:right="158"/>
        <w:jc w:val="both"/>
      </w:pPr>
      <w:r>
        <w:rPr/>
        <w:t>En México no se cuenta con un programa de salud bucal específico para la primera infancia, razón por la cual es importante que se intervenga al implementar un proyecto preventivo que se traduzca en la disminución del riesgo de caries en este grupo de edad.</w:t>
      </w:r>
    </w:p>
    <w:p>
      <w:pPr>
        <w:pStyle w:val="BodyText"/>
        <w:spacing w:line="276" w:lineRule="auto" w:before="202"/>
        <w:ind w:left="162" w:right="157"/>
        <w:jc w:val="both"/>
      </w:pPr>
      <w:r>
        <w:rPr/>
        <w:t>Si un niño no tiene un tratamiento preventivo odontológico en la primera infancia la probabilidad de incidencia de caries es del 8.7 % durante su primer año de vida y su posibilidad de prevención es del 100 %, mientras que si dejamos que la edad avance el mismo niño a los tres años el niño tendrá el 85 % de probabilidad de adquirir caries y  su prevención estará limitada. Por lo tanto a medida que aumenta la edad del infante la incidencia de caries aumenta y la probabilidad de prevención</w:t>
      </w:r>
      <w:r>
        <w:rPr>
          <w:spacing w:val="-29"/>
        </w:rPr>
        <w:t> </w:t>
      </w:r>
      <w:r>
        <w:rPr/>
        <w:t>disminuye.</w:t>
      </w:r>
    </w:p>
    <w:p>
      <w:pPr>
        <w:pStyle w:val="BodyText"/>
        <w:spacing w:line="278" w:lineRule="auto" w:before="200"/>
        <w:ind w:left="162" w:right="168"/>
        <w:jc w:val="both"/>
      </w:pPr>
      <w:r>
        <w:rPr/>
        <w:t>La magnitud del problema obliga a una gran inversión de recursos en tratamientos, que podrían evitarse si se aumentan las medidas preventivas.</w:t>
      </w:r>
    </w:p>
    <w:p>
      <w:pPr>
        <w:pStyle w:val="BodyText"/>
        <w:spacing w:line="276" w:lineRule="auto" w:before="197"/>
        <w:ind w:left="162" w:right="164"/>
        <w:jc w:val="both"/>
      </w:pPr>
      <w:r>
        <w:rPr/>
        <w:t>Es de primordial importancia buscar estrategias preventivas en la población infantil, en especial durante los primeros tres años de vida ya que los logros obtenidos tendrán efectos de por vida.</w:t>
      </w:r>
    </w:p>
    <w:p>
      <w:pPr>
        <w:pStyle w:val="BodyText"/>
        <w:spacing w:line="276" w:lineRule="auto" w:before="200"/>
        <w:ind w:left="162" w:right="164"/>
        <w:jc w:val="both"/>
      </w:pPr>
      <w:r>
        <w:rPr/>
        <w:t>Una de las alternativas de posible solución podría ser la aplicación de Fluoruro de  Sodio al 0.02% y clorhexidina al 2% de manera conjunta, motivo del presente estudio la cual reduciría  la presencia de caries en este grupo de</w:t>
      </w:r>
      <w:r>
        <w:rPr>
          <w:spacing w:val="-22"/>
        </w:rPr>
        <w:t> </w:t>
      </w:r>
      <w:r>
        <w:rPr/>
        <w:t>edad.</w:t>
      </w:r>
    </w:p>
    <w:p>
      <w:pPr>
        <w:pStyle w:val="BodyText"/>
        <w:spacing w:line="276" w:lineRule="auto" w:before="200"/>
        <w:ind w:left="162" w:right="156"/>
        <w:jc w:val="both"/>
      </w:pPr>
      <w:r>
        <w:rPr/>
        <w:t>Uno de los fines de este proyecto de investigación es contribuir al sistema de salud,  con un proyecto preventivo en salud bucal, siendo así la Ciudad de Toluca pionera en  el país en implementar la práctica odontológica en la primera infancia, al disminuir el índice de caries en la población de primera infancia en el Estado de</w:t>
      </w:r>
      <w:r>
        <w:rPr>
          <w:spacing w:val="-28"/>
        </w:rPr>
        <w:t> </w:t>
      </w:r>
      <w:r>
        <w:rPr/>
        <w:t>México.</w:t>
      </w:r>
    </w:p>
    <w:p>
      <w:pPr>
        <w:pStyle w:val="BodyText"/>
        <w:spacing w:line="276" w:lineRule="auto" w:before="202"/>
        <w:ind w:left="162" w:right="167"/>
        <w:jc w:val="both"/>
      </w:pPr>
      <w:r>
        <w:rPr/>
        <w:t>De demostrar su viabilidad no solamente se abatirá el costo monetario de la enfermedad, sino también de todas las repercusiones que de ella se derivan, lo que se traducirá en individuos más sanos y luego entonces con mejor bienestar.</w:t>
      </w:r>
    </w:p>
    <w:p>
      <w:pPr>
        <w:spacing w:after="0" w:line="276" w:lineRule="auto"/>
        <w:jc w:val="both"/>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3"/>
          <w:numId w:val="2"/>
        </w:numPr>
        <w:tabs>
          <w:tab w:pos="3825" w:val="left" w:leader="none"/>
        </w:tabs>
        <w:spacing w:line="240" w:lineRule="auto" w:before="176" w:after="0"/>
        <w:ind w:left="3824" w:right="0" w:hanging="489"/>
        <w:jc w:val="left"/>
      </w:pPr>
      <w:bookmarkStart w:name="_TOC_250022" w:id="18"/>
      <w:bookmarkEnd w:id="18"/>
      <w:r>
        <w:rPr/>
        <w:t>OBJETIVOS</w:t>
      </w:r>
    </w:p>
    <w:p>
      <w:pPr>
        <w:spacing w:after="0" w:line="240" w:lineRule="auto"/>
        <w:jc w:val="left"/>
        <w:sectPr>
          <w:pgSz w:w="12240" w:h="15840"/>
          <w:pgMar w:header="729" w:footer="1003" w:top="1180" w:bottom="1200" w:left="1540" w:right="1020"/>
        </w:sectPr>
      </w:pPr>
    </w:p>
    <w:p>
      <w:pPr>
        <w:pStyle w:val="BodyText"/>
        <w:spacing w:before="5"/>
        <w:rPr>
          <w:b/>
          <w:sz w:val="13"/>
        </w:rPr>
      </w:pPr>
    </w:p>
    <w:p>
      <w:pPr>
        <w:pStyle w:val="Heading4"/>
      </w:pPr>
      <w:r>
        <w:rPr/>
        <w:t>GENERAL</w:t>
      </w:r>
    </w:p>
    <w:p>
      <w:pPr>
        <w:pStyle w:val="BodyText"/>
        <w:spacing w:line="276" w:lineRule="auto" w:before="250"/>
        <w:ind w:left="162" w:right="159"/>
        <w:jc w:val="both"/>
      </w:pPr>
      <w:r>
        <w:rPr/>
        <w:t>Conocer si la aplicación de fluoruro de sodio en gel al 0.02 % y clorhexidina en gel al 2% es efectiva en la prevención de caries dental en niños de la primera infancia; año 2012.</w:t>
      </w:r>
    </w:p>
    <w:p>
      <w:pPr>
        <w:pStyle w:val="BodyText"/>
      </w:pPr>
    </w:p>
    <w:p>
      <w:pPr>
        <w:pStyle w:val="BodyText"/>
      </w:pPr>
    </w:p>
    <w:p>
      <w:pPr>
        <w:pStyle w:val="BodyText"/>
        <w:spacing w:before="10"/>
        <w:rPr>
          <w:sz w:val="18"/>
        </w:rPr>
      </w:pPr>
    </w:p>
    <w:p>
      <w:pPr>
        <w:pStyle w:val="Heading4"/>
        <w:spacing w:before="0"/>
      </w:pPr>
      <w:r>
        <w:rPr/>
        <w:t>ESPECÍFICOS</w:t>
      </w:r>
    </w:p>
    <w:p>
      <w:pPr>
        <w:pStyle w:val="ListParagraph"/>
        <w:numPr>
          <w:ilvl w:val="0"/>
          <w:numId w:val="6"/>
        </w:numPr>
        <w:tabs>
          <w:tab w:pos="882" w:val="left" w:leader="none"/>
        </w:tabs>
        <w:spacing w:line="278" w:lineRule="auto" w:before="248" w:after="0"/>
        <w:ind w:left="882" w:right="166" w:hanging="360"/>
        <w:jc w:val="left"/>
        <w:rPr>
          <w:sz w:val="24"/>
        </w:rPr>
      </w:pPr>
      <w:r>
        <w:rPr>
          <w:sz w:val="24"/>
        </w:rPr>
        <w:t>Definir las estancias infantiles en la Ciudad de Toluca, Estado de México donde sea viable la realización del</w:t>
      </w:r>
      <w:r>
        <w:rPr>
          <w:spacing w:val="-11"/>
          <w:sz w:val="24"/>
        </w:rPr>
        <w:t> </w:t>
      </w:r>
      <w:r>
        <w:rPr>
          <w:sz w:val="24"/>
        </w:rPr>
        <w:t>estudio</w:t>
      </w:r>
    </w:p>
    <w:p>
      <w:pPr>
        <w:pStyle w:val="BodyText"/>
        <w:spacing w:before="4"/>
        <w:rPr>
          <w:sz w:val="27"/>
        </w:rPr>
      </w:pPr>
    </w:p>
    <w:p>
      <w:pPr>
        <w:pStyle w:val="ListParagraph"/>
        <w:numPr>
          <w:ilvl w:val="0"/>
          <w:numId w:val="6"/>
        </w:numPr>
        <w:tabs>
          <w:tab w:pos="882" w:val="left" w:leader="none"/>
        </w:tabs>
        <w:spacing w:line="276" w:lineRule="auto" w:before="1" w:after="0"/>
        <w:ind w:left="882" w:right="167" w:hanging="360"/>
        <w:jc w:val="left"/>
        <w:rPr>
          <w:sz w:val="24"/>
        </w:rPr>
      </w:pPr>
      <w:r>
        <w:rPr>
          <w:sz w:val="24"/>
        </w:rPr>
        <w:t>Realizar el muestreo correspondiente acorde a las estancias infantiles de la Ciudad de</w:t>
      </w:r>
      <w:r>
        <w:rPr>
          <w:spacing w:val="-6"/>
          <w:sz w:val="24"/>
        </w:rPr>
        <w:t> </w:t>
      </w:r>
      <w:r>
        <w:rPr>
          <w:sz w:val="24"/>
        </w:rPr>
        <w:t>Toluca.</w:t>
      </w:r>
    </w:p>
    <w:p>
      <w:pPr>
        <w:pStyle w:val="BodyText"/>
      </w:pPr>
    </w:p>
    <w:p>
      <w:pPr>
        <w:pStyle w:val="BodyText"/>
        <w:spacing w:before="1"/>
        <w:rPr>
          <w:sz w:val="31"/>
        </w:rPr>
      </w:pPr>
    </w:p>
    <w:p>
      <w:pPr>
        <w:pStyle w:val="ListParagraph"/>
        <w:numPr>
          <w:ilvl w:val="0"/>
          <w:numId w:val="6"/>
        </w:numPr>
        <w:tabs>
          <w:tab w:pos="882" w:val="left" w:leader="none"/>
        </w:tabs>
        <w:spacing w:line="278" w:lineRule="auto" w:before="0" w:after="0"/>
        <w:ind w:left="882" w:right="156" w:hanging="360"/>
        <w:jc w:val="left"/>
        <w:rPr>
          <w:sz w:val="24"/>
        </w:rPr>
      </w:pPr>
      <w:r>
        <w:rPr>
          <w:sz w:val="24"/>
        </w:rPr>
        <w:t>Determinar en el cultivo inicial la presencia de </w:t>
      </w:r>
      <w:r>
        <w:rPr>
          <w:i/>
          <w:sz w:val="24"/>
        </w:rPr>
        <w:t>Streptococcus mutans </w:t>
      </w:r>
      <w:r>
        <w:rPr>
          <w:sz w:val="24"/>
        </w:rPr>
        <w:t>y el pH salival.</w:t>
      </w:r>
    </w:p>
    <w:p>
      <w:pPr>
        <w:pStyle w:val="BodyText"/>
        <w:spacing w:before="6"/>
        <w:rPr>
          <w:sz w:val="27"/>
        </w:rPr>
      </w:pPr>
    </w:p>
    <w:p>
      <w:pPr>
        <w:pStyle w:val="ListParagraph"/>
        <w:numPr>
          <w:ilvl w:val="0"/>
          <w:numId w:val="6"/>
        </w:numPr>
        <w:tabs>
          <w:tab w:pos="882" w:val="left" w:leader="none"/>
        </w:tabs>
        <w:spacing w:line="276" w:lineRule="auto" w:before="0" w:after="0"/>
        <w:ind w:left="882" w:right="159" w:hanging="360"/>
        <w:jc w:val="left"/>
        <w:rPr>
          <w:sz w:val="24"/>
        </w:rPr>
      </w:pPr>
      <w:r>
        <w:rPr>
          <w:sz w:val="24"/>
        </w:rPr>
        <w:t>Aplicar las soluciones de Fluoruro de Sodio en gel al 0.02% y Clorhexidina en  gel al 2% a los niños sujetos a</w:t>
      </w:r>
      <w:r>
        <w:rPr>
          <w:spacing w:val="-14"/>
          <w:sz w:val="24"/>
        </w:rPr>
        <w:t> </w:t>
      </w:r>
      <w:r>
        <w:rPr>
          <w:sz w:val="24"/>
        </w:rPr>
        <w:t>estudio.</w:t>
      </w:r>
    </w:p>
    <w:p>
      <w:pPr>
        <w:pStyle w:val="BodyText"/>
        <w:spacing w:before="4"/>
        <w:rPr>
          <w:sz w:val="27"/>
        </w:rPr>
      </w:pPr>
    </w:p>
    <w:p>
      <w:pPr>
        <w:pStyle w:val="ListParagraph"/>
        <w:numPr>
          <w:ilvl w:val="0"/>
          <w:numId w:val="6"/>
        </w:numPr>
        <w:tabs>
          <w:tab w:pos="882" w:val="left" w:leader="none"/>
        </w:tabs>
        <w:spacing w:line="278" w:lineRule="auto" w:before="1" w:after="0"/>
        <w:ind w:left="882" w:right="159" w:hanging="360"/>
        <w:jc w:val="left"/>
        <w:rPr>
          <w:sz w:val="24"/>
        </w:rPr>
      </w:pPr>
      <w:r>
        <w:rPr>
          <w:sz w:val="24"/>
        </w:rPr>
        <w:t>Determinar si hubo reducción en la cantidad de colonias de </w:t>
      </w:r>
      <w:r>
        <w:rPr>
          <w:i/>
          <w:sz w:val="24"/>
        </w:rPr>
        <w:t>Streptococcus </w:t>
      </w:r>
      <w:r>
        <w:rPr>
          <w:i/>
          <w:sz w:val="24"/>
        </w:rPr>
        <w:t>mutans </w:t>
      </w:r>
      <w:r>
        <w:rPr>
          <w:sz w:val="24"/>
        </w:rPr>
        <w:t>en la cavidad oral de los</w:t>
      </w:r>
      <w:r>
        <w:rPr>
          <w:spacing w:val="-14"/>
          <w:sz w:val="24"/>
        </w:rPr>
        <w:t> </w:t>
      </w:r>
      <w:r>
        <w:rPr>
          <w:sz w:val="24"/>
        </w:rPr>
        <w:t>infantes.</w:t>
      </w:r>
    </w:p>
    <w:p>
      <w:pPr>
        <w:pStyle w:val="BodyText"/>
        <w:spacing w:before="6"/>
        <w:rPr>
          <w:sz w:val="27"/>
        </w:rPr>
      </w:pPr>
    </w:p>
    <w:p>
      <w:pPr>
        <w:pStyle w:val="ListParagraph"/>
        <w:numPr>
          <w:ilvl w:val="0"/>
          <w:numId w:val="6"/>
        </w:numPr>
        <w:tabs>
          <w:tab w:pos="882" w:val="left" w:leader="none"/>
        </w:tabs>
        <w:spacing w:line="240" w:lineRule="auto" w:before="0" w:after="0"/>
        <w:ind w:left="882" w:right="0" w:hanging="360"/>
        <w:jc w:val="left"/>
        <w:rPr>
          <w:sz w:val="24"/>
        </w:rPr>
      </w:pPr>
      <w:r>
        <w:rPr>
          <w:sz w:val="24"/>
        </w:rPr>
        <w:t>Evaluar si la aplicación de Fluoruro de Sodio en gel al 0.02 % y</w:t>
      </w:r>
      <w:r>
        <w:rPr>
          <w:spacing w:val="-20"/>
          <w:sz w:val="24"/>
        </w:rPr>
        <w:t> </w:t>
      </w:r>
      <w:r>
        <w:rPr>
          <w:sz w:val="24"/>
        </w:rPr>
        <w:t>C</w:t>
      </w:r>
    </w:p>
    <w:p>
      <w:pPr>
        <w:pStyle w:val="BodyText"/>
        <w:spacing w:before="3"/>
        <w:rPr>
          <w:sz w:val="31"/>
        </w:rPr>
      </w:pPr>
    </w:p>
    <w:p>
      <w:pPr>
        <w:pStyle w:val="ListParagraph"/>
        <w:numPr>
          <w:ilvl w:val="0"/>
          <w:numId w:val="6"/>
        </w:numPr>
        <w:tabs>
          <w:tab w:pos="882" w:val="left" w:leader="none"/>
        </w:tabs>
        <w:spacing w:line="240" w:lineRule="auto" w:before="0" w:after="0"/>
        <w:ind w:left="882" w:right="0" w:hanging="360"/>
        <w:jc w:val="left"/>
        <w:rPr>
          <w:sz w:val="24"/>
        </w:rPr>
      </w:pPr>
      <w:r>
        <w:rPr>
          <w:sz w:val="24"/>
        </w:rPr>
        <w:t>Clorhexidina en gel al 2%, fue efectiva en la prevención de</w:t>
      </w:r>
      <w:r>
        <w:rPr>
          <w:spacing w:val="-17"/>
          <w:sz w:val="24"/>
        </w:rPr>
        <w:t> </w:t>
      </w:r>
      <w:r>
        <w:rPr>
          <w:sz w:val="24"/>
        </w:rPr>
        <w:t>caries.</w:t>
      </w:r>
    </w:p>
    <w:p>
      <w:pPr>
        <w:spacing w:after="0" w:line="240" w:lineRule="auto"/>
        <w:jc w:val="left"/>
        <w:rPr>
          <w:sz w:val="24"/>
        </w:rPr>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6"/>
        </w:numPr>
        <w:tabs>
          <w:tab w:pos="4161" w:val="left" w:leader="none"/>
        </w:tabs>
        <w:spacing w:line="240" w:lineRule="auto" w:before="176" w:after="0"/>
        <w:ind w:left="162" w:right="0" w:firstLine="3509"/>
        <w:jc w:val="left"/>
      </w:pPr>
      <w:bookmarkStart w:name="_TOC_250021" w:id="19"/>
      <w:bookmarkEnd w:id="19"/>
      <w:r>
        <w:rPr/>
        <w:t>HIPÓTESIS</w:t>
      </w:r>
    </w:p>
    <w:p>
      <w:pPr>
        <w:spacing w:after="0" w:line="240" w:lineRule="auto"/>
        <w:jc w:val="left"/>
        <w:sectPr>
          <w:pgSz w:w="12240" w:h="15840"/>
          <w:pgMar w:header="729" w:footer="1003" w:top="1180" w:bottom="1200" w:left="1540" w:right="1020"/>
        </w:sectPr>
      </w:pPr>
    </w:p>
    <w:p>
      <w:pPr>
        <w:pStyle w:val="BodyText"/>
        <w:spacing w:before="5"/>
        <w:rPr>
          <w:b/>
          <w:sz w:val="13"/>
        </w:rPr>
      </w:pPr>
    </w:p>
    <w:p>
      <w:pPr>
        <w:pStyle w:val="Heading4"/>
      </w:pPr>
      <w:r>
        <w:rPr/>
        <w:t>Hipótesis de trabajo</w:t>
      </w:r>
    </w:p>
    <w:p>
      <w:pPr>
        <w:pStyle w:val="BodyText"/>
        <w:spacing w:line="276" w:lineRule="auto" w:before="250"/>
        <w:ind w:left="162" w:right="159"/>
        <w:jc w:val="both"/>
      </w:pPr>
      <w:r>
        <w:rPr/>
        <w:t>Hi: La aplicación conjunta de Fluoruro de sodio al 0.02 % y clorhexidina al 2 % en niños menores de tres años, </w:t>
      </w:r>
      <w:r>
        <w:rPr>
          <w:u w:val="single"/>
        </w:rPr>
        <w:t>es </w:t>
      </w:r>
      <w:r>
        <w:rPr/>
        <w:t>efectiva en la prevención de la caries dental en estancias infantiles de la ciudad de Toluca, Estado de México en el</w:t>
      </w:r>
      <w:r>
        <w:rPr>
          <w:spacing w:val="50"/>
        </w:rPr>
        <w:t> </w:t>
      </w:r>
      <w:r>
        <w:rPr/>
        <w:t>2012.</w:t>
      </w:r>
    </w:p>
    <w:p>
      <w:pPr>
        <w:pStyle w:val="BodyText"/>
      </w:pPr>
    </w:p>
    <w:p>
      <w:pPr>
        <w:pStyle w:val="BodyText"/>
      </w:pPr>
    </w:p>
    <w:p>
      <w:pPr>
        <w:pStyle w:val="Heading4"/>
        <w:spacing w:before="164"/>
      </w:pPr>
      <w:r>
        <w:rPr/>
        <w:t>Hipótesis nula</w:t>
      </w:r>
    </w:p>
    <w:p>
      <w:pPr>
        <w:pStyle w:val="BodyText"/>
        <w:spacing w:line="276" w:lineRule="auto" w:before="248"/>
        <w:ind w:left="162" w:right="163"/>
        <w:jc w:val="both"/>
      </w:pPr>
      <w:r>
        <w:rPr/>
        <w:t>Ho: La aplicación conjunta de Fluoruro de sodio al 0.02 % y clorhexidina al 2 % en niños menores de tres años, </w:t>
      </w:r>
      <w:r>
        <w:rPr>
          <w:u w:val="single"/>
        </w:rPr>
        <w:t>no </w:t>
      </w:r>
      <w:r>
        <w:rPr/>
        <w:t>es efectiva en la prevención de la caries dental en estancias infantiles de la ciudad de Toluca, Estado de México en el</w:t>
      </w:r>
      <w:r>
        <w:rPr>
          <w:spacing w:val="48"/>
        </w:rPr>
        <w:t> </w:t>
      </w:r>
      <w:r>
        <w:rPr/>
        <w:t>2012.</w:t>
      </w:r>
    </w:p>
    <w:p>
      <w:pPr>
        <w:spacing w:after="0" w:line="276" w:lineRule="auto"/>
        <w:jc w:val="both"/>
        <w:sectPr>
          <w:footerReference w:type="default" r:id="rId14"/>
          <w:pgSz w:w="12240" w:h="15840"/>
          <w:pgMar w:footer="1003" w:header="729"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6"/>
        </w:numPr>
        <w:tabs>
          <w:tab w:pos="1757" w:val="left" w:leader="none"/>
          <w:tab w:pos="1758" w:val="left" w:leader="none"/>
        </w:tabs>
        <w:spacing w:line="240" w:lineRule="auto" w:before="163" w:after="0"/>
        <w:ind w:left="1758" w:right="0" w:hanging="612"/>
        <w:jc w:val="left"/>
      </w:pPr>
      <w:bookmarkStart w:name="_TOC_250020" w:id="20"/>
      <w:r>
        <w:rPr/>
        <w:t>DISEÑO</w:t>
      </w:r>
      <w:r>
        <w:rPr>
          <w:spacing w:val="-6"/>
        </w:rPr>
        <w:t> </w:t>
      </w:r>
      <w:bookmarkEnd w:id="20"/>
      <w:r>
        <w:rPr/>
        <w:t>METODOLÓGICO</w:t>
      </w:r>
    </w:p>
    <w:p>
      <w:pPr>
        <w:spacing w:after="0" w:line="240" w:lineRule="auto"/>
        <w:jc w:val="left"/>
        <w:sectPr>
          <w:footerReference w:type="default" r:id="rId15"/>
          <w:pgSz w:w="12240" w:h="15840"/>
          <w:pgMar w:footer="1003" w:header="729" w:top="1180" w:bottom="1200" w:left="1540" w:right="1020"/>
          <w:pgNumType w:start="31"/>
        </w:sectPr>
      </w:pPr>
    </w:p>
    <w:p>
      <w:pPr>
        <w:pStyle w:val="BodyText"/>
        <w:spacing w:before="5"/>
        <w:rPr>
          <w:b/>
          <w:sz w:val="13"/>
        </w:rPr>
      </w:pPr>
    </w:p>
    <w:p>
      <w:pPr>
        <w:pStyle w:val="Heading4"/>
        <w:numPr>
          <w:ilvl w:val="1"/>
          <w:numId w:val="7"/>
        </w:numPr>
        <w:tabs>
          <w:tab w:pos="1073" w:val="left" w:leader="none"/>
        </w:tabs>
        <w:spacing w:line="240" w:lineRule="auto" w:before="65" w:after="0"/>
        <w:ind w:left="1072" w:right="0" w:hanging="470"/>
        <w:jc w:val="both"/>
      </w:pPr>
      <w:bookmarkStart w:name="_TOC_250019" w:id="21"/>
      <w:r>
        <w:rPr/>
        <w:t>Tipo de</w:t>
      </w:r>
      <w:r>
        <w:rPr>
          <w:spacing w:val="-11"/>
        </w:rPr>
        <w:t> </w:t>
      </w:r>
      <w:bookmarkEnd w:id="21"/>
      <w:r>
        <w:rPr/>
        <w:t>estudio</w:t>
      </w:r>
    </w:p>
    <w:p>
      <w:pPr>
        <w:pStyle w:val="BodyText"/>
        <w:spacing w:before="250"/>
        <w:ind w:left="669"/>
        <w:jc w:val="both"/>
      </w:pPr>
      <w:r>
        <w:rPr/>
        <w:t>Longitudinal, comparativo.</w:t>
      </w:r>
    </w:p>
    <w:p>
      <w:pPr>
        <w:pStyle w:val="BodyText"/>
      </w:pPr>
    </w:p>
    <w:p>
      <w:pPr>
        <w:pStyle w:val="BodyText"/>
      </w:pPr>
    </w:p>
    <w:p>
      <w:pPr>
        <w:pStyle w:val="BodyText"/>
        <w:spacing w:before="4"/>
        <w:rPr>
          <w:sz w:val="22"/>
        </w:rPr>
      </w:pPr>
    </w:p>
    <w:p>
      <w:pPr>
        <w:pStyle w:val="Heading4"/>
        <w:numPr>
          <w:ilvl w:val="1"/>
          <w:numId w:val="7"/>
        </w:numPr>
        <w:tabs>
          <w:tab w:pos="1070" w:val="left" w:leader="none"/>
        </w:tabs>
        <w:spacing w:line="240" w:lineRule="auto" w:before="0" w:after="0"/>
        <w:ind w:left="1070" w:right="0" w:hanging="468"/>
        <w:jc w:val="both"/>
      </w:pPr>
      <w:bookmarkStart w:name="_TOC_250018" w:id="22"/>
      <w:r>
        <w:rPr/>
        <w:t>Población</w:t>
      </w:r>
      <w:r>
        <w:rPr>
          <w:spacing w:val="-11"/>
        </w:rPr>
        <w:t> </w:t>
      </w:r>
      <w:bookmarkEnd w:id="22"/>
      <w:r>
        <w:rPr/>
        <w:t>universo</w:t>
      </w:r>
    </w:p>
    <w:p>
      <w:pPr>
        <w:pStyle w:val="BodyText"/>
        <w:spacing w:line="276" w:lineRule="auto" w:before="250"/>
        <w:ind w:left="602" w:right="159"/>
        <w:jc w:val="both"/>
      </w:pPr>
      <w:r>
        <w:rPr/>
        <w:t>El universo estuvo comprendido por 1556 niños, inscritos en el ciclo escolar 2011-2012 y que acudieron a las Estancias infantiles del Desarrollo integral de la familia (DIF), de la ciudad de Toluca,  Estado de</w:t>
      </w:r>
      <w:r>
        <w:rPr>
          <w:spacing w:val="-11"/>
        </w:rPr>
        <w:t> </w:t>
      </w:r>
      <w:r>
        <w:rPr/>
        <w:t>México.</w:t>
      </w:r>
    </w:p>
    <w:p>
      <w:pPr>
        <w:pStyle w:val="BodyText"/>
      </w:pPr>
    </w:p>
    <w:p>
      <w:pPr>
        <w:pStyle w:val="BodyText"/>
      </w:pPr>
    </w:p>
    <w:p>
      <w:pPr>
        <w:pStyle w:val="BodyText"/>
        <w:spacing w:before="11"/>
        <w:rPr>
          <w:sz w:val="18"/>
        </w:rPr>
      </w:pPr>
    </w:p>
    <w:p>
      <w:pPr>
        <w:pStyle w:val="Heading4"/>
        <w:numPr>
          <w:ilvl w:val="1"/>
          <w:numId w:val="7"/>
        </w:numPr>
        <w:tabs>
          <w:tab w:pos="1310" w:val="left" w:leader="none"/>
        </w:tabs>
        <w:spacing w:line="240" w:lineRule="auto" w:before="0" w:after="0"/>
        <w:ind w:left="1310" w:right="0" w:hanging="708"/>
        <w:jc w:val="both"/>
      </w:pPr>
      <w:bookmarkStart w:name="_TOC_250017" w:id="23"/>
      <w:bookmarkEnd w:id="23"/>
      <w:r>
        <w:rPr/>
        <w:t>Muestreo</w:t>
      </w:r>
    </w:p>
    <w:p>
      <w:pPr>
        <w:pStyle w:val="Heading6"/>
        <w:numPr>
          <w:ilvl w:val="2"/>
          <w:numId w:val="7"/>
        </w:numPr>
        <w:tabs>
          <w:tab w:pos="1138" w:val="left" w:leader="none"/>
        </w:tabs>
        <w:spacing w:line="240" w:lineRule="auto" w:before="250" w:after="0"/>
        <w:ind w:left="1137" w:right="0" w:hanging="535"/>
        <w:jc w:val="both"/>
      </w:pPr>
      <w:bookmarkStart w:name="_TOC_250016" w:id="24"/>
      <w:r>
        <w:rPr/>
        <w:t>Tamaño de la</w:t>
      </w:r>
      <w:r>
        <w:rPr>
          <w:spacing w:val="-7"/>
        </w:rPr>
        <w:t> </w:t>
      </w:r>
      <w:bookmarkEnd w:id="24"/>
      <w:r>
        <w:rPr/>
        <w:t>muestra</w:t>
      </w:r>
    </w:p>
    <w:p>
      <w:pPr>
        <w:pStyle w:val="BodyText"/>
        <w:rPr>
          <w:b/>
          <w:sz w:val="21"/>
        </w:rPr>
      </w:pPr>
    </w:p>
    <w:p>
      <w:pPr>
        <w:spacing w:line="276" w:lineRule="auto" w:before="1"/>
        <w:ind w:left="602" w:right="0" w:firstLine="0"/>
        <w:jc w:val="left"/>
        <w:rPr>
          <w:b/>
          <w:sz w:val="24"/>
        </w:rPr>
      </w:pPr>
      <w:r>
        <w:rPr>
          <w:b/>
          <w:sz w:val="24"/>
        </w:rPr>
        <w:t>Las muestras se tomaron de las Estancias infantiles del DIF Toluca de acuerdo al esquema siguiente:</w:t>
      </w:r>
    </w:p>
    <w:p>
      <w:pPr>
        <w:pStyle w:val="BodyText"/>
        <w:spacing w:before="6"/>
        <w:rPr>
          <w:b/>
          <w:sz w:val="20"/>
        </w:rPr>
      </w:pPr>
    </w:p>
    <w:p>
      <w:pPr>
        <w:tabs>
          <w:tab w:pos="1297" w:val="left" w:leader="none"/>
        </w:tabs>
        <w:spacing w:line="479" w:lineRule="exact" w:before="64"/>
        <w:ind w:left="374" w:right="0" w:firstLine="0"/>
        <w:jc w:val="center"/>
        <w:rPr>
          <w:rFonts w:ascii="Times New Roman" w:hAnsi="Times New Roman"/>
          <w:sz w:val="31"/>
        </w:rPr>
      </w:pPr>
      <w:r>
        <w:rPr/>
        <w:pict>
          <v:line style="position:absolute;mso-position-horizontal-relative:page;mso-position-vertical-relative:paragraph;z-index:-102040" from="313.39447pt,23.99098pt" to="368.180125pt,23.99098pt" stroked="true" strokeweight=".177358pt" strokecolor="#000000">
            <w10:wrap type="none"/>
          </v:line>
        </w:pict>
      </w:r>
      <w:r>
        <w:rPr>
          <w:rFonts w:ascii="Times New Roman" w:hAnsi="Times New Roman"/>
          <w:i/>
          <w:w w:val="105"/>
          <w:position w:val="-18"/>
          <w:sz w:val="31"/>
        </w:rPr>
        <w:t>n</w:t>
      </w:r>
      <w:r>
        <w:rPr>
          <w:rFonts w:ascii="Times New Roman" w:hAnsi="Times New Roman"/>
          <w:i/>
          <w:spacing w:val="-5"/>
          <w:w w:val="105"/>
          <w:position w:val="-18"/>
          <w:sz w:val="31"/>
        </w:rPr>
        <w:t> </w:t>
      </w:r>
      <w:r>
        <w:rPr>
          <w:rFonts w:ascii="Symbol" w:hAnsi="Symbol"/>
          <w:w w:val="105"/>
          <w:position w:val="-18"/>
          <w:sz w:val="31"/>
        </w:rPr>
        <w:t></w:t>
      </w:r>
      <w:r>
        <w:rPr>
          <w:rFonts w:ascii="Times New Roman" w:hAnsi="Times New Roman"/>
          <w:w w:val="105"/>
          <w:position w:val="-18"/>
          <w:sz w:val="31"/>
        </w:rPr>
        <w:tab/>
      </w:r>
      <w:r>
        <w:rPr>
          <w:rFonts w:ascii="Times New Roman" w:hAnsi="Times New Roman"/>
          <w:i/>
          <w:spacing w:val="-9"/>
          <w:w w:val="105"/>
          <w:sz w:val="31"/>
        </w:rPr>
        <w:t>n</w:t>
      </w:r>
      <w:r>
        <w:rPr>
          <w:rFonts w:ascii="Times New Roman" w:hAnsi="Times New Roman"/>
          <w:spacing w:val="-9"/>
          <w:w w:val="105"/>
          <w:sz w:val="31"/>
        </w:rPr>
        <w:t>´</w:t>
      </w:r>
    </w:p>
    <w:p>
      <w:pPr>
        <w:spacing w:line="311" w:lineRule="exact" w:before="0"/>
        <w:ind w:left="1229" w:right="0" w:firstLine="0"/>
        <w:jc w:val="center"/>
        <w:rPr>
          <w:rFonts w:ascii="Times New Roman" w:hAnsi="Times New Roman"/>
          <w:i/>
          <w:sz w:val="31"/>
        </w:rPr>
      </w:pPr>
      <w:r>
        <w:rPr>
          <w:rFonts w:ascii="Times New Roman" w:hAnsi="Times New Roman"/>
          <w:w w:val="105"/>
          <w:sz w:val="31"/>
        </w:rPr>
        <w:t>1</w:t>
      </w:r>
      <w:r>
        <w:rPr>
          <w:rFonts w:ascii="Times New Roman" w:hAnsi="Times New Roman"/>
          <w:spacing w:val="-54"/>
          <w:w w:val="105"/>
          <w:sz w:val="31"/>
        </w:rPr>
        <w:t> </w:t>
      </w:r>
      <w:r>
        <w:rPr>
          <w:rFonts w:ascii="Symbol" w:hAnsi="Symbol"/>
          <w:w w:val="105"/>
          <w:sz w:val="31"/>
        </w:rPr>
        <w:t></w:t>
      </w:r>
      <w:r>
        <w:rPr>
          <w:rFonts w:ascii="Times New Roman" w:hAnsi="Times New Roman"/>
          <w:w w:val="105"/>
          <w:sz w:val="31"/>
        </w:rPr>
        <w:t> </w:t>
      </w:r>
      <w:r>
        <w:rPr>
          <w:rFonts w:ascii="Times New Roman" w:hAnsi="Times New Roman"/>
          <w:i/>
          <w:spacing w:val="3"/>
          <w:w w:val="105"/>
          <w:sz w:val="31"/>
        </w:rPr>
        <w:t>n</w:t>
      </w:r>
      <w:r>
        <w:rPr>
          <w:rFonts w:ascii="Times New Roman" w:hAnsi="Times New Roman"/>
          <w:spacing w:val="3"/>
          <w:w w:val="105"/>
          <w:sz w:val="31"/>
        </w:rPr>
        <w:t>' </w:t>
      </w:r>
      <w:r>
        <w:rPr>
          <w:rFonts w:ascii="Times New Roman" w:hAnsi="Times New Roman"/>
          <w:w w:val="105"/>
          <w:sz w:val="31"/>
        </w:rPr>
        <w:t>/ </w:t>
      </w:r>
      <w:r>
        <w:rPr>
          <w:rFonts w:ascii="Times New Roman" w:hAnsi="Times New Roman"/>
          <w:i/>
          <w:w w:val="105"/>
          <w:sz w:val="31"/>
        </w:rPr>
        <w:t>N</w:t>
      </w:r>
    </w:p>
    <w:p>
      <w:pPr>
        <w:pStyle w:val="BodyText"/>
        <w:spacing w:before="10"/>
        <w:rPr>
          <w:rFonts w:ascii="Times New Roman"/>
          <w:i/>
          <w:sz w:val="29"/>
        </w:rPr>
      </w:pPr>
      <w:r>
        <w:rPr/>
        <w:pict>
          <v:group style="position:absolute;margin-left:60pt;margin-top:19.152122pt;width:493.1pt;height:41.4pt;mso-position-horizontal-relative:page;mso-position-vertical-relative:paragraph;z-index:1168;mso-wrap-distance-left:0;mso-wrap-distance-right:0" coordorigin="1200,383" coordsize="9862,828">
            <v:shape style="position:absolute;left:1200;top:383;width:9862;height:828" type="#_x0000_t75" stroked="false">
              <v:imagedata r:id="rId16" o:title=""/>
            </v:shape>
            <v:shape style="position:absolute;left:1680;top:411;width:954;height:792" type="#_x0000_t202" filled="false" stroked="false">
              <v:textbox inset="0,0,0,0">
                <w:txbxContent>
                  <w:p>
                    <w:pPr>
                      <w:spacing w:line="245" w:lineRule="exact" w:before="0"/>
                      <w:ind w:left="0" w:right="-13" w:firstLine="0"/>
                      <w:jc w:val="left"/>
                      <w:rPr>
                        <w:sz w:val="24"/>
                      </w:rPr>
                    </w:pPr>
                    <w:r>
                      <w:rPr>
                        <w:sz w:val="24"/>
                      </w:rPr>
                      <w:t>N=367</w:t>
                    </w:r>
                  </w:p>
                  <w:p>
                    <w:pPr>
                      <w:spacing w:before="0"/>
                      <w:ind w:left="0" w:right="-13" w:firstLine="0"/>
                      <w:jc w:val="left"/>
                      <w:rPr>
                        <w:sz w:val="24"/>
                      </w:rPr>
                    </w:pPr>
                    <w:r>
                      <w:rPr>
                        <w:sz w:val="24"/>
                      </w:rPr>
                      <w:t>p=.05</w:t>
                    </w:r>
                  </w:p>
                  <w:p>
                    <w:pPr>
                      <w:spacing w:line="271" w:lineRule="exact" w:before="0"/>
                      <w:ind w:left="0" w:right="-13" w:firstLine="0"/>
                      <w:jc w:val="left"/>
                      <w:rPr>
                        <w:sz w:val="24"/>
                      </w:rPr>
                    </w:pPr>
                    <w:r>
                      <w:rPr>
                        <w:spacing w:val="-1"/>
                        <w:sz w:val="24"/>
                      </w:rPr>
                      <w:t>1-p=0.95</w:t>
                    </w:r>
                  </w:p>
                </w:txbxContent>
              </v:textbox>
              <w10:wrap type="none"/>
            </v:shape>
            <v:shape style="position:absolute;left:4194;top:411;width:4417;height:240" type="#_x0000_t202" filled="false" stroked="false">
              <v:textbox inset="0,0,0,0">
                <w:txbxContent>
                  <w:p>
                    <w:pPr>
                      <w:spacing w:line="240" w:lineRule="exact" w:before="0"/>
                      <w:ind w:left="0" w:right="-19" w:firstLine="0"/>
                      <w:jc w:val="left"/>
                      <w:rPr>
                        <w:sz w:val="24"/>
                      </w:rPr>
                    </w:pPr>
                    <w:r>
                      <w:rPr>
                        <w:sz w:val="24"/>
                      </w:rPr>
                      <w:t>n´=1-p/ (p)² =  1-.5/(.05)² = .95/.0025=380</w:t>
                    </w:r>
                  </w:p>
                </w:txbxContent>
              </v:textbox>
              <w10:wrap type="none"/>
            </v:shape>
            <w10:wrap type="topAndBottom"/>
          </v:group>
        </w:pict>
      </w:r>
    </w:p>
    <w:p>
      <w:pPr>
        <w:spacing w:after="0"/>
        <w:rPr>
          <w:rFonts w:ascii="Times New Roman"/>
          <w:sz w:val="29"/>
        </w:rPr>
        <w:sectPr>
          <w:pgSz w:w="12240" w:h="15840"/>
          <w:pgMar w:header="729" w:footer="1003" w:top="1180" w:bottom="1200" w:left="1100" w:right="1020"/>
        </w:sectPr>
      </w:pPr>
    </w:p>
    <w:p>
      <w:pPr>
        <w:tabs>
          <w:tab w:pos="4013" w:val="left" w:leader="none"/>
        </w:tabs>
        <w:spacing w:line="480" w:lineRule="exact" w:before="47"/>
        <w:ind w:left="3085" w:right="0" w:firstLine="0"/>
        <w:jc w:val="left"/>
        <w:rPr>
          <w:rFonts w:ascii="Times New Roman" w:hAnsi="Times New Roman"/>
          <w:sz w:val="31"/>
        </w:rPr>
      </w:pPr>
      <w:r>
        <w:rPr>
          <w:rFonts w:ascii="Times New Roman" w:hAnsi="Times New Roman"/>
          <w:i/>
          <w:w w:val="105"/>
          <w:position w:val="-18"/>
          <w:sz w:val="31"/>
        </w:rPr>
        <w:t>n</w:t>
      </w:r>
      <w:r>
        <w:rPr>
          <w:rFonts w:ascii="Times New Roman" w:hAnsi="Times New Roman"/>
          <w:i/>
          <w:spacing w:val="-3"/>
          <w:w w:val="105"/>
          <w:position w:val="-18"/>
          <w:sz w:val="31"/>
        </w:rPr>
        <w:t> </w:t>
      </w:r>
      <w:r>
        <w:rPr>
          <w:rFonts w:ascii="Symbol" w:hAnsi="Symbol"/>
          <w:w w:val="105"/>
          <w:position w:val="-18"/>
          <w:sz w:val="31"/>
        </w:rPr>
        <w:t></w:t>
      </w:r>
      <w:r>
        <w:rPr>
          <w:rFonts w:ascii="Times New Roman" w:hAnsi="Times New Roman"/>
          <w:w w:val="105"/>
          <w:position w:val="-18"/>
          <w:sz w:val="31"/>
        </w:rPr>
        <w:tab/>
      </w:r>
      <w:r>
        <w:rPr>
          <w:rFonts w:ascii="Times New Roman" w:hAnsi="Times New Roman"/>
          <w:i/>
          <w:spacing w:val="-9"/>
          <w:w w:val="105"/>
          <w:sz w:val="31"/>
        </w:rPr>
        <w:t>n</w:t>
      </w:r>
      <w:r>
        <w:rPr>
          <w:rFonts w:ascii="Times New Roman" w:hAnsi="Times New Roman"/>
          <w:spacing w:val="-9"/>
          <w:w w:val="105"/>
          <w:sz w:val="31"/>
        </w:rPr>
        <w:t>´</w:t>
      </w:r>
    </w:p>
    <w:p>
      <w:pPr>
        <w:pStyle w:val="Heading3"/>
        <w:spacing w:line="312" w:lineRule="exact"/>
        <w:jc w:val="right"/>
        <w:rPr>
          <w:i/>
        </w:rPr>
      </w:pPr>
      <w:r>
        <w:rPr/>
        <w:pict>
          <v:line style="position:absolute;mso-position-horizontal-relative:page;mso-position-vertical-relative:paragraph;z-index:-101992" from="234.739075pt,-3.164703pt" to="289.812437pt,-3.164703pt" stroked="true" strokeweight=".178233pt" strokecolor="#000000">
            <w10:wrap type="none"/>
          </v:line>
        </w:pict>
      </w:r>
      <w:r>
        <w:rPr>
          <w:w w:val="105"/>
        </w:rPr>
        <w:t>1</w:t>
      </w:r>
      <w:r>
        <w:rPr>
          <w:spacing w:val="-52"/>
          <w:w w:val="105"/>
        </w:rPr>
        <w:t> </w:t>
      </w:r>
      <w:r>
        <w:rPr>
          <w:rFonts w:ascii="Symbol" w:hAnsi="Symbol"/>
          <w:w w:val="105"/>
        </w:rPr>
        <w:t></w:t>
      </w:r>
      <w:r>
        <w:rPr>
          <w:w w:val="105"/>
        </w:rPr>
        <w:t> </w:t>
      </w:r>
      <w:r>
        <w:rPr>
          <w:i/>
          <w:spacing w:val="3"/>
          <w:w w:val="105"/>
        </w:rPr>
        <w:t>n</w:t>
      </w:r>
      <w:r>
        <w:rPr>
          <w:spacing w:val="3"/>
          <w:w w:val="105"/>
        </w:rPr>
        <w:t>' </w:t>
      </w:r>
      <w:r>
        <w:rPr>
          <w:w w:val="105"/>
        </w:rPr>
        <w:t>/ </w:t>
      </w:r>
      <w:r>
        <w:rPr>
          <w:i/>
          <w:w w:val="105"/>
        </w:rPr>
        <w:t>N</w:t>
      </w:r>
    </w:p>
    <w:p>
      <w:pPr>
        <w:tabs>
          <w:tab w:pos="1601" w:val="left" w:leader="none"/>
          <w:tab w:pos="2233" w:val="left" w:leader="none"/>
        </w:tabs>
        <w:spacing w:line="409" w:lineRule="exact" w:before="183"/>
        <w:ind w:left="1213" w:right="0" w:firstLine="0"/>
        <w:jc w:val="left"/>
        <w:rPr>
          <w:rFonts w:ascii="Times New Roman" w:hAnsi="Times New Roman"/>
          <w:sz w:val="26"/>
        </w:rPr>
      </w:pPr>
      <w:r>
        <w:rPr/>
        <w:br w:type="column"/>
      </w:r>
      <w:r>
        <w:rPr>
          <w:rFonts w:ascii="Symbol" w:hAnsi="Symbol"/>
          <w:sz w:val="26"/>
        </w:rPr>
        <w:t></w:t>
      </w:r>
      <w:r>
        <w:rPr>
          <w:rFonts w:ascii="Times New Roman" w:hAnsi="Times New Roman"/>
          <w:sz w:val="26"/>
        </w:rPr>
        <w:tab/>
      </w:r>
      <w:r>
        <w:rPr>
          <w:rFonts w:ascii="Times New Roman" w:hAnsi="Times New Roman"/>
          <w:position w:val="16"/>
          <w:sz w:val="26"/>
        </w:rPr>
        <w:t>380</w:t>
        <w:tab/>
      </w:r>
      <w:r>
        <w:rPr>
          <w:rFonts w:ascii="Symbol" w:hAnsi="Symbol"/>
          <w:sz w:val="26"/>
        </w:rPr>
        <w:t></w:t>
      </w:r>
      <w:r>
        <w:rPr>
          <w:rFonts w:ascii="Times New Roman" w:hAnsi="Times New Roman"/>
          <w:spacing w:val="-22"/>
          <w:sz w:val="26"/>
        </w:rPr>
        <w:t> </w:t>
      </w:r>
      <w:r>
        <w:rPr>
          <w:rFonts w:ascii="Times New Roman" w:hAnsi="Times New Roman"/>
          <w:spacing w:val="-3"/>
          <w:sz w:val="26"/>
        </w:rPr>
        <w:t>196</w:t>
      </w:r>
    </w:p>
    <w:p>
      <w:pPr>
        <w:spacing w:line="248" w:lineRule="exact" w:before="0"/>
        <w:ind w:left="1438" w:right="0" w:firstLine="0"/>
        <w:jc w:val="left"/>
        <w:rPr>
          <w:rFonts w:ascii="Times New Roman"/>
          <w:sz w:val="26"/>
        </w:rPr>
      </w:pPr>
      <w:r>
        <w:rPr/>
        <w:pict>
          <v:line style="position:absolute;mso-position-horizontal-relative:page;mso-position-vertical-relative:paragraph;z-index:-102016" from="360.502167pt,-3.009477pt" to="397.40832pt,-3.009477pt" stroked="true" strokeweight=".146086pt" strokecolor="#000000">
            <w10:wrap type="none"/>
          </v:line>
        </w:pict>
      </w:r>
      <w:r>
        <w:rPr>
          <w:rFonts w:ascii="Times New Roman"/>
          <w:sz w:val="26"/>
        </w:rPr>
        <w:t>2.0354</w:t>
      </w:r>
    </w:p>
    <w:p>
      <w:pPr>
        <w:spacing w:after="0" w:line="248" w:lineRule="exact"/>
        <w:jc w:val="left"/>
        <w:rPr>
          <w:rFonts w:ascii="Times New Roman"/>
          <w:sz w:val="26"/>
        </w:rPr>
        <w:sectPr>
          <w:type w:val="continuous"/>
          <w:pgSz w:w="12240" w:h="15840"/>
          <w:pgMar w:top="1020" w:bottom="280" w:left="1100" w:right="1020"/>
          <w:cols w:num="2" w:equalWidth="0">
            <w:col w:w="4636" w:space="40"/>
            <w:col w:w="5444"/>
          </w:cols>
        </w:sectPr>
      </w:pPr>
    </w:p>
    <w:p>
      <w:pPr>
        <w:pStyle w:val="BodyText"/>
        <w:spacing w:before="9"/>
        <w:rPr>
          <w:rFonts w:ascii="Times New Roman"/>
          <w:sz w:val="15"/>
        </w:rPr>
      </w:pPr>
    </w:p>
    <w:p>
      <w:pPr>
        <w:pStyle w:val="BodyText"/>
        <w:ind w:left="606"/>
        <w:rPr>
          <w:rFonts w:ascii="Times New Roman"/>
          <w:sz w:val="20"/>
        </w:rPr>
      </w:pPr>
      <w:r>
        <w:rPr>
          <w:rFonts w:ascii="Times New Roman"/>
          <w:sz w:val="20"/>
        </w:rPr>
        <w:pict>
          <v:group style="width:386.4pt;height:141.75pt;mso-position-horizontal-relative:char;mso-position-vertical-relative:line" coordorigin="0,0" coordsize="7728,2835">
            <v:shape style="position:absolute;left:0;top:8;width:7728;height:2827" type="#_x0000_t75" stroked="false">
              <v:imagedata r:id="rId17" o:title=""/>
            </v:shape>
            <v:rect style="position:absolute;left:85;top:8;width:7560;height:2664" filled="true" fillcolor="#92d050" stroked="false">
              <v:fill opacity="10536f" type="solid"/>
            </v:rect>
            <v:shape style="position:absolute;left:3753;top:1113;width:2743;height:205" coordorigin="3753,1113" coordsize="2743,205" path="m3753,1112l3753,1249,6495,1249,6495,1317e" filled="false" stroked="true" strokeweight="2pt" strokecolor="#7a9345">
              <v:path arrowok="t"/>
            </v:shape>
            <v:shape style="position:absolute;left:3753;top:1113;width:1838;height:205" coordorigin="3753,1113" coordsize="1838,205" path="m3753,1112l3753,1249,5590,1249,5590,1317e" filled="false" stroked="true" strokeweight="2pt" strokecolor="#7a9345">
              <v:path arrowok="t"/>
            </v:shape>
            <v:shape style="position:absolute;left:3753;top:1113;width:933;height:205" coordorigin="3753,1113" coordsize="933,205" path="m3753,1112l3753,1249,4685,1249,4685,1317e" filled="false" stroked="true" strokeweight="2pt" strokecolor="#7a9345">
              <v:path arrowok="t"/>
            </v:shape>
            <v:shape style="position:absolute;left:3753;top:1113;width:28;height:205" coordorigin="3753,1113" coordsize="28,205" path="m3753,1112l3753,1249,3780,1249,3780,1317e" filled="false" stroked="true" strokeweight="2pt" strokecolor="#7a9345">
              <v:path arrowok="t"/>
            </v:shape>
            <v:shape style="position:absolute;left:2723;top:1113;width:878;height:205" coordorigin="2723,1113" coordsize="878,205" path="m3600,1112l3600,1249,2723,1249,2723,1317e" filled="false" stroked="true" strokeweight="2pt" strokecolor="#7a9345">
              <v:path arrowok="t"/>
            </v:shape>
            <v:shape style="position:absolute;left:1630;top:1113;width:1783;height:205" coordorigin="1630,1113" coordsize="1783,205" path="m3413,1112l3413,1249,1630,1249,1630,1317e" filled="false" stroked="true" strokeweight="2pt" strokecolor="#7a9345">
              <v:path arrowok="t"/>
            </v:shape>
            <v:shape style="position:absolute;left:538;top:1113;width:2688;height:205" coordorigin="538,1113" coordsize="2688,205" path="m3226,1112l3226,1249,538,1249,538,1317e" filled="false" stroked="true" strokeweight="2pt" strokecolor="#7a9345">
              <v:path arrowok="t"/>
            </v:shape>
            <v:shape style="position:absolute;left:3306;top:545;width:894;height:568" coordorigin="3306,545" coordsize="894,568" path="m4143,545l3363,545,3341,549,3323,562,3311,580,3306,602,3306,1056,3311,1078,3323,1096,3341,1108,3363,1113,4143,1113,4165,1108,4183,1096,4195,1078,4200,1056,4200,602,4195,580,4183,562,4165,549,4143,545xe" filled="true" fillcolor="#9bba58" stroked="false">
              <v:path arrowok="t"/>
              <v:fill type="solid"/>
            </v:shape>
            <v:shape style="position:absolute;left:3306;top:545;width:894;height:568" coordorigin="3306,545" coordsize="894,568" path="m3306,602l3311,580,3323,562,3341,549,3363,545,4143,545,4165,549,4183,562,4195,580,4200,602,4200,1056,4195,1078,4183,1096,4165,1108,4143,1113,3363,1113,3341,1108,3323,1096,3311,1078,3306,1056,3306,602xe" filled="false" stroked="true" strokeweight="2pt" strokecolor="#ffffff">
              <v:path arrowok="t"/>
            </v:shape>
            <v:shape style="position:absolute;left:3405;top:639;width:894;height:568" coordorigin="3405,639" coordsize="894,568" path="m4242,639l3462,639,3440,644,3422,656,3410,674,3405,696,3405,1150,3410,1172,3422,1190,3440,1202,3462,1207,4242,1207,4265,1202,4283,1190,4295,1172,4299,1150,4299,696,4295,674,4283,656,4265,644,4242,639xe" filled="true" fillcolor="#ffffff" stroked="false">
              <v:path arrowok="t"/>
              <v:fill opacity="59110f" type="solid"/>
            </v:shape>
            <v:shape style="position:absolute;left:3405;top:639;width:894;height:568" coordorigin="3405,639" coordsize="894,568" path="m3405,696l3410,674,3422,656,3440,644,3462,639,4242,639,4265,644,4283,656,4295,674,4299,696,4299,1150,4295,1172,4283,1190,4265,1202,4242,1207,3462,1207,3440,1202,3422,1190,3410,1172,3405,1150,3405,696xe" filled="false" stroked="true" strokeweight="2pt" strokecolor="#9bba58">
              <v:path arrowok="t"/>
            </v:shape>
            <v:shape style="position:absolute;left:91;top:1418;width:894;height:578" coordorigin="91,1418" coordsize="894,578" path="m927,1417l149,1417,126,1422,108,1434,96,1453,91,1475,91,1937,96,1960,108,1978,126,1990,149,1995,927,1995,950,1990,968,1978,980,1960,985,1937,985,1475,980,1453,968,1434,950,1422,927,1417xe" filled="true" fillcolor="#9bba58" stroked="false">
              <v:path arrowok="t"/>
              <v:fill type="solid"/>
            </v:shape>
            <v:shape style="position:absolute;left:91;top:1418;width:894;height:578" coordorigin="91,1418" coordsize="894,578" path="m91,1475l96,1453,108,1434,126,1422,149,1417,927,1417,950,1422,968,1434,980,1453,985,1475,985,1937,980,1960,968,1978,950,1990,927,1995,149,1995,126,1990,108,1978,96,1960,91,1937,91,1475xe" filled="false" stroked="true" strokeweight="2pt" strokecolor="#ffffff">
              <v:path arrowok="t"/>
            </v:shape>
            <v:shape style="position:absolute;left:191;top:1512;width:894;height:578" coordorigin="191,1512" coordsize="894,578" path="m1027,1512l248,1512,226,1516,207,1529,195,1547,191,1570,191,2031,195,2054,207,2072,226,2085,248,2089,1027,2089,1049,2085,1067,2072,1080,2054,1084,2031,1084,1570,1080,1547,1067,1529,1049,1516,1027,1512xe" filled="true" fillcolor="#ffffff" stroked="false">
              <v:path arrowok="t"/>
              <v:fill opacity="59110f" type="solid"/>
            </v:shape>
            <v:shape style="position:absolute;left:191;top:1512;width:894;height:578" coordorigin="191,1512" coordsize="894,578" path="m191,1570l195,1547,207,1529,226,1516,248,1512,1027,1512,1049,1516,1067,1529,1080,1547,1084,1570,1084,2031,1080,2054,1067,2072,1049,2085,1027,2089,248,2089,226,2085,207,2072,195,2054,191,2031,191,1570xe" filled="false" stroked="true" strokeweight="2pt" strokecolor="#9bba58">
              <v:path arrowok="t"/>
            </v:shape>
            <v:shape style="position:absolute;left:1184;top:1418;width:894;height:568" coordorigin="1184,1418" coordsize="894,568" path="m2020,1417l1240,1417,1218,1422,1200,1434,1188,1452,1184,1474,1184,1928,1188,1950,1200,1968,1218,1981,1240,1985,2020,1985,2043,1981,2061,1968,2073,1950,2077,1928,2077,1474,2073,1452,2061,1434,2043,1422,2020,1417xe" filled="true" fillcolor="#9bba58" stroked="false">
              <v:path arrowok="t"/>
              <v:fill type="solid"/>
            </v:shape>
            <v:shape style="position:absolute;left:1184;top:1418;width:894;height:568" coordorigin="1184,1418" coordsize="894,568" path="m1184,1474l1188,1452,1200,1434,1218,1422,1240,1417,2020,1417,2043,1422,2061,1434,2073,1452,2077,1474,2077,1928,2073,1950,2061,1968,2043,1981,2020,1985,1240,1985,1218,1981,1200,1968,1188,1950,1184,1928,1184,1474xe" filled="false" stroked="true" strokeweight="2pt" strokecolor="#ffffff">
              <v:path arrowok="t"/>
            </v:shape>
            <v:shape style="position:absolute;left:1283;top:1512;width:894;height:568" coordorigin="1283,1512" coordsize="894,568" path="m2120,1512l1340,1512,1317,1516,1299,1529,1287,1547,1283,1569,1283,2023,1287,2045,1299,2063,1317,2075,1340,2079,2120,2079,2142,2075,2160,2063,2172,2045,2177,2023,2177,1569,2172,1547,2160,1529,2142,1516,2120,1512xe" filled="true" fillcolor="#ffffff" stroked="false">
              <v:path arrowok="t"/>
              <v:fill opacity="59110f" type="solid"/>
            </v:shape>
            <v:shape style="position:absolute;left:1283;top:1512;width:894;height:568" coordorigin="1283,1512" coordsize="894,568" path="m1283,1569l1287,1547,1299,1529,1317,1516,1340,1512,2120,1512,2142,1516,2160,1529,2172,1547,2177,1569,2177,2023,2172,2045,2160,2063,2142,2075,2120,2079,1340,2079,1317,2075,1299,2063,1287,2045,1283,2023,1283,1569xe" filled="false" stroked="true" strokeweight="2pt" strokecolor="#9bba58">
              <v:path arrowok="t"/>
            </v:shape>
            <v:shape style="position:absolute;left:2276;top:1418;width:894;height:568" coordorigin="2276,1418" coordsize="894,568" path="m3113,1417l2333,1417,2310,1422,2292,1434,2280,1452,2276,1474,2276,1928,2280,1950,2292,1968,2310,1981,2333,1985,3113,1985,3135,1981,3153,1968,3165,1950,3170,1928,3170,1474,3165,1452,3153,1434,3135,1422,3113,1417xe" filled="true" fillcolor="#9bba58" stroked="false">
              <v:path arrowok="t"/>
              <v:fill type="solid"/>
            </v:shape>
            <v:shape style="position:absolute;left:2276;top:1418;width:894;height:568" coordorigin="2276,1418" coordsize="894,568" path="m2276,1474l2280,1452,2292,1434,2310,1422,2333,1417,3113,1417,3135,1422,3153,1434,3165,1452,3170,1474,3170,1928,3165,1950,3153,1968,3135,1981,3113,1985,2333,1985,2310,1981,2292,1968,2280,1950,2276,1928,2276,1474xe" filled="false" stroked="true" strokeweight="2pt" strokecolor="#ffffff">
              <v:path arrowok="t"/>
            </v:shape>
            <v:shape style="position:absolute;left:2375;top:1512;width:894;height:568" coordorigin="2375,1512" coordsize="894,568" path="m3212,1512l2432,1512,2410,1516,2392,1529,2380,1547,2375,1569,2375,2023,2380,2045,2392,2063,2410,2075,2432,2079,3212,2079,3234,2075,3252,2063,3264,2045,3269,2023,3269,1569,3264,1547,3252,1529,3234,1516,3212,1512xe" filled="true" fillcolor="#ffffff" stroked="false">
              <v:path arrowok="t"/>
              <v:fill opacity="59110f" type="solid"/>
            </v:shape>
            <v:shape style="position:absolute;left:2375;top:1512;width:894;height:568" coordorigin="2375,1512" coordsize="894,568" path="m2375,1569l2380,1547,2392,1529,2410,1516,2432,1512,3212,1512,3234,1516,3252,1529,3264,1547,3269,1569,3269,2023,3264,2045,3252,2063,3234,2075,3212,2079,2432,2079,2410,2075,2392,2063,2380,2045,2375,2023,2375,1569xe" filled="false" stroked="true" strokeweight="2pt" strokecolor="#9bba58">
              <v:path arrowok="t"/>
            </v:shape>
            <v:shape style="position:absolute;left:3368;top:1418;width:894;height:568" coordorigin="3368,1418" coordsize="894,568" path="m4205,1417l3425,1417,3403,1422,3385,1434,3373,1452,3368,1474,3368,1928,3373,1950,3385,1968,3403,1981,3425,1985,4205,1985,4227,1981,4245,1968,4257,1950,4262,1928,4262,1474,4257,1452,4245,1434,4227,1422,4205,1417xe" filled="true" fillcolor="#9bba58" stroked="false">
              <v:path arrowok="t"/>
              <v:fill type="solid"/>
            </v:shape>
            <v:shape style="position:absolute;left:3368;top:1418;width:894;height:568" coordorigin="3368,1418" coordsize="894,568" path="m3368,1474l3373,1452,3385,1434,3403,1422,3425,1417,4205,1417,4227,1422,4245,1434,4257,1452,4262,1474,4262,1928,4257,1950,4245,1968,4227,1981,4205,1985,3425,1985,3403,1981,3385,1968,3373,1950,3368,1928,3368,1474xe" filled="false" stroked="true" strokeweight="2pt" strokecolor="#ffffff">
              <v:path arrowok="t"/>
            </v:shape>
            <v:shape style="position:absolute;left:3467;top:1512;width:894;height:568" coordorigin="3467,1512" coordsize="894,568" path="m4304,1512l3524,1512,3502,1516,3484,1529,3472,1547,3467,1569,3467,2023,3472,2045,3484,2063,3502,2075,3524,2079,4304,2079,4326,2075,4344,2063,4357,2045,4361,2023,4361,1569,4357,1547,4344,1529,4326,1516,4304,1512xe" filled="true" fillcolor="#ffffff" stroked="false">
              <v:path arrowok="t"/>
              <v:fill opacity="59110f" type="solid"/>
            </v:shape>
            <v:shape style="position:absolute;left:3467;top:1512;width:894;height:568" coordorigin="3467,1512" coordsize="894,568" path="m3467,1569l3472,1547,3484,1529,3502,1516,3524,1512,4304,1512,4326,1516,4344,1529,4357,1547,4361,1569,4361,2023,4357,2045,4344,2063,4326,2075,4304,2079,3524,2079,3502,2075,3484,2063,3472,2045,3467,2023,3467,1569xe" filled="false" stroked="true" strokeweight="2.0pt" strokecolor="#9bba58">
              <v:path arrowok="t"/>
            </v:shape>
            <v:shape style="position:absolute;left:4460;top:1418;width:894;height:568" coordorigin="4460,1418" coordsize="894,568" path="m5297,1417l4517,1417,4495,1422,4477,1434,4465,1452,4460,1474,4460,1928,4465,1950,4477,1968,4495,1981,4517,1985,5297,1985,5319,1981,5337,1968,5350,1950,5354,1928,5354,1474,5350,1452,5337,1434,5319,1422,5297,1417xe" filled="true" fillcolor="#9bba58" stroked="false">
              <v:path arrowok="t"/>
              <v:fill type="solid"/>
            </v:shape>
            <v:shape style="position:absolute;left:4460;top:1418;width:894;height:568" coordorigin="4460,1418" coordsize="894,568" path="m4460,1474l4465,1452,4477,1434,4495,1422,4517,1417,5297,1417,5319,1422,5337,1434,5350,1452,5354,1474,5354,1928,5350,1950,5337,1968,5319,1981,5297,1985,4517,1985,4495,1981,4477,1968,4465,1950,4460,1928,4460,1474xe" filled="false" stroked="true" strokeweight="2pt" strokecolor="#ffffff">
              <v:path arrowok="t"/>
            </v:shape>
            <v:shape style="position:absolute;left:4560;top:1512;width:894;height:568" coordorigin="4560,1512" coordsize="894,568" path="m5397,1512l4616,1512,4594,1516,4576,1529,4564,1547,4560,1569,4560,2023,4564,2045,4576,2063,4594,2075,4616,2079,5397,2079,5419,2075,5437,2063,5449,2045,5453,2023,5453,1569,5449,1547,5437,1529,5419,1516,5397,1512xe" filled="true" fillcolor="#ffffff" stroked="false">
              <v:path arrowok="t"/>
              <v:fill opacity="59110f" type="solid"/>
            </v:shape>
            <v:shape style="position:absolute;left:4560;top:1512;width:894;height:568" coordorigin="4560,1512" coordsize="894,568" path="m4560,1569l4564,1547,4576,1529,4594,1516,4616,1512,5397,1512,5419,1516,5437,1529,5449,1547,5453,1569,5453,2023,5449,2045,5437,2063,5419,2075,5397,2079,4616,2079,4594,2075,4576,2063,4564,2045,4560,2023,4560,1569xe" filled="false" stroked="true" strokeweight="2pt" strokecolor="#9bba58">
              <v:path arrowok="t"/>
            </v:shape>
            <v:shape style="position:absolute;left:5553;top:1418;width:894;height:568" coordorigin="5553,1418" coordsize="894,568" path="m6390,1417l5609,1417,5587,1422,5569,1434,5557,1452,5553,1474,5553,1928,5557,1950,5569,1968,5587,1981,5609,1985,6390,1985,6412,1981,6430,1968,6442,1950,6446,1928,6446,1474,6442,1452,6430,1434,6412,1422,6390,1417xe" filled="true" fillcolor="#9bba58" stroked="false">
              <v:path arrowok="t"/>
              <v:fill type="solid"/>
            </v:shape>
            <v:shape style="position:absolute;left:5553;top:1418;width:894;height:568" coordorigin="5553,1418" coordsize="894,568" path="m5553,1474l5557,1452,5569,1434,5587,1422,5609,1417,6390,1417,6412,1422,6430,1434,6442,1452,6446,1474,6446,1928,6442,1950,6430,1968,6412,1981,6390,1985,5609,1985,5587,1981,5569,1968,5557,1950,5553,1928,5553,1474xe" filled="false" stroked="true" strokeweight="2pt" strokecolor="#ffffff">
              <v:path arrowok="t"/>
            </v:shape>
            <v:shape style="position:absolute;left:5652;top:1512;width:894;height:568" coordorigin="5652,1512" coordsize="894,568" path="m6489,1512l5709,1512,5687,1516,5669,1529,5656,1547,5652,1569,5652,2023,5656,2045,5669,2063,5687,2075,5709,2079,6489,2079,6511,2075,6529,2063,6541,2045,6546,2023,6546,1569,6541,1547,6529,1529,6511,1516,6489,1512xe" filled="true" fillcolor="#ffffff" stroked="false">
              <v:path arrowok="t"/>
              <v:fill opacity="59110f" type="solid"/>
            </v:shape>
            <v:shape style="position:absolute;left:5652;top:1512;width:894;height:568" coordorigin="5652,1512" coordsize="894,568" path="m5652,1569l5656,1547,5669,1529,5687,1516,5709,1512,6489,1512,6511,1516,6529,1529,6541,1547,6546,1569,6546,2023,6541,2045,6529,2063,6511,2075,6489,2079,5709,2079,5687,2075,5669,2063,5656,2045,5652,2023,5652,1569xe" filled="false" stroked="true" strokeweight="2.0pt" strokecolor="#9bba58">
              <v:path arrowok="t"/>
            </v:shape>
            <v:shape style="position:absolute;left:6645;top:1418;width:894;height:568" coordorigin="6645,1418" coordsize="894,568" path="m7482,1417l6702,1417,6680,1422,6662,1434,6649,1452,6645,1474,6645,1928,6649,1950,6662,1968,6680,1981,6702,1985,7482,1985,7504,1981,7522,1968,7534,1950,7539,1928,7539,1474,7534,1452,7522,1434,7504,1422,7482,1417xe" filled="true" fillcolor="#9bba58" stroked="false">
              <v:path arrowok="t"/>
              <v:fill type="solid"/>
            </v:shape>
            <v:shape style="position:absolute;left:6645;top:1418;width:894;height:568" coordorigin="6645,1418" coordsize="894,568" path="m6645,1474l6649,1452,6662,1434,6680,1422,6702,1417,7482,1417,7504,1422,7522,1434,7534,1452,7539,1474,7539,1928,7534,1950,7522,1968,7504,1981,7482,1985,6702,1985,6680,1981,6662,1968,6649,1950,6645,1928,6645,1474xe" filled="false" stroked="true" strokeweight="2pt" strokecolor="#ffffff">
              <v:path arrowok="t"/>
            </v:shape>
            <v:shape style="position:absolute;left:6744;top:1512;width:894;height:568" coordorigin="6744,1512" coordsize="894,568" path="m7581,1512l6801,1512,6779,1516,6761,1529,6749,1547,6744,1569,6744,2023,6749,2045,6761,2063,6779,2075,6801,2079,7581,2079,7603,2075,7621,2063,7634,2045,7638,2023,7638,1569,7634,1547,7621,1529,7603,1516,7581,1512xe" filled="true" fillcolor="#ffffff" stroked="false">
              <v:path arrowok="t"/>
              <v:fill opacity="59110f" type="solid"/>
            </v:shape>
            <v:shape style="position:absolute;left:6744;top:1512;width:894;height:568" coordorigin="6744,1512" coordsize="894,568" path="m6744,1569l6749,1547,6761,1529,6779,1516,6801,1512,7581,1512,7603,1516,7621,1529,7634,1547,7638,1569,7638,2023,7634,2045,7621,2063,7603,2075,7581,2079,6801,2079,6779,2075,6761,2063,6749,2045,6744,2023,6744,1569xe" filled="false" stroked="true" strokeweight="2pt" strokecolor="#9bba58">
              <v:path arrowok="t"/>
            </v:shape>
            <v:rect style="position:absolute;left:85;top:8;width:7560;height:2664" filled="false" stroked="true" strokeweight=".75pt" strokecolor="#c3d59b"/>
            <v:shape style="position:absolute;left:3731;top:848;width:245;height:161" type="#_x0000_t202" filled="false" stroked="false">
              <v:textbox inset="0,0,0,0">
                <w:txbxContent>
                  <w:p>
                    <w:pPr>
                      <w:spacing w:line="161" w:lineRule="exact" w:before="0"/>
                      <w:ind w:left="0" w:right="-19" w:firstLine="0"/>
                      <w:jc w:val="left"/>
                      <w:rPr>
                        <w:rFonts w:ascii="Calibri"/>
                        <w:b/>
                        <w:sz w:val="16"/>
                      </w:rPr>
                    </w:pPr>
                    <w:r>
                      <w:rPr>
                        <w:rFonts w:ascii="Calibri"/>
                        <w:b/>
                        <w:sz w:val="16"/>
                      </w:rPr>
                      <w:t>196</w:t>
                    </w:r>
                  </w:p>
                </w:txbxContent>
              </v:textbox>
              <w10:wrap type="none"/>
            </v:shape>
            <v:shape style="position:absolute;left:556;top:1604;width:181;height:406" type="#_x0000_t202" filled="false" stroked="false">
              <v:textbox inset="0,0,0,0">
                <w:txbxContent>
                  <w:p>
                    <w:pPr>
                      <w:spacing w:line="164" w:lineRule="exact" w:before="0"/>
                      <w:ind w:left="0" w:right="-2" w:firstLine="0"/>
                      <w:jc w:val="left"/>
                      <w:rPr>
                        <w:rFonts w:ascii="Calibri"/>
                        <w:b/>
                        <w:sz w:val="16"/>
                      </w:rPr>
                    </w:pPr>
                    <w:r>
                      <w:rPr>
                        <w:rFonts w:ascii="Calibri"/>
                        <w:b/>
                        <w:sz w:val="16"/>
                      </w:rPr>
                      <w:t>33</w:t>
                    </w:r>
                  </w:p>
                  <w:p>
                    <w:pPr>
                      <w:spacing w:line="193" w:lineRule="exact" w:before="49"/>
                      <w:ind w:left="19" w:right="-18" w:firstLine="0"/>
                      <w:jc w:val="left"/>
                      <w:rPr>
                        <w:rFonts w:ascii="Calibri"/>
                        <w:b/>
                        <w:sz w:val="16"/>
                      </w:rPr>
                    </w:pPr>
                    <w:r>
                      <w:rPr>
                        <w:rFonts w:ascii="Calibri"/>
                        <w:b/>
                        <w:sz w:val="16"/>
                      </w:rPr>
                      <w:t>E1</w:t>
                    </w:r>
                  </w:p>
                </w:txbxContent>
              </v:textbox>
              <w10:wrap type="none"/>
            </v:shape>
            <v:shape style="position:absolute;left:1648;top:1599;width:164;height:406" type="#_x0000_t202" filled="false" stroked="false">
              <v:textbox inset="0,0,0,0">
                <w:txbxContent>
                  <w:p>
                    <w:pPr>
                      <w:spacing w:line="164" w:lineRule="exact" w:before="0"/>
                      <w:ind w:left="0" w:right="-19" w:firstLine="0"/>
                      <w:jc w:val="left"/>
                      <w:rPr>
                        <w:rFonts w:ascii="Calibri"/>
                        <w:b/>
                        <w:sz w:val="16"/>
                      </w:rPr>
                    </w:pPr>
                    <w:r>
                      <w:rPr>
                        <w:rFonts w:ascii="Calibri"/>
                        <w:b/>
                        <w:sz w:val="16"/>
                      </w:rPr>
                      <w:t>33</w:t>
                    </w:r>
                  </w:p>
                  <w:p>
                    <w:pPr>
                      <w:spacing w:line="193" w:lineRule="exact" w:before="49"/>
                      <w:ind w:left="0" w:right="-16" w:firstLine="0"/>
                      <w:jc w:val="left"/>
                      <w:rPr>
                        <w:rFonts w:ascii="Calibri"/>
                        <w:b/>
                        <w:sz w:val="16"/>
                      </w:rPr>
                    </w:pPr>
                    <w:r>
                      <w:rPr>
                        <w:rFonts w:ascii="Calibri"/>
                        <w:b/>
                        <w:sz w:val="16"/>
                      </w:rPr>
                      <w:t>E2</w:t>
                    </w:r>
                  </w:p>
                </w:txbxContent>
              </v:textbox>
              <w10:wrap type="none"/>
            </v:shape>
            <v:shape style="position:absolute;left:2741;top:1599;width:164;height:406" type="#_x0000_t202" filled="false" stroked="false">
              <v:textbox inset="0,0,0,0">
                <w:txbxContent>
                  <w:p>
                    <w:pPr>
                      <w:spacing w:line="164" w:lineRule="exact" w:before="0"/>
                      <w:ind w:left="0" w:right="-19" w:firstLine="0"/>
                      <w:jc w:val="left"/>
                      <w:rPr>
                        <w:rFonts w:ascii="Calibri"/>
                        <w:b/>
                        <w:sz w:val="16"/>
                      </w:rPr>
                    </w:pPr>
                    <w:r>
                      <w:rPr>
                        <w:rFonts w:ascii="Calibri"/>
                        <w:b/>
                        <w:sz w:val="16"/>
                      </w:rPr>
                      <w:t>21</w:t>
                    </w:r>
                  </w:p>
                  <w:p>
                    <w:pPr>
                      <w:spacing w:line="193" w:lineRule="exact" w:before="49"/>
                      <w:ind w:left="0" w:right="-16" w:firstLine="0"/>
                      <w:jc w:val="left"/>
                      <w:rPr>
                        <w:rFonts w:ascii="Calibri"/>
                        <w:b/>
                        <w:sz w:val="16"/>
                      </w:rPr>
                    </w:pPr>
                    <w:r>
                      <w:rPr>
                        <w:rFonts w:ascii="Calibri"/>
                        <w:b/>
                        <w:sz w:val="16"/>
                      </w:rPr>
                      <w:t>E3</w:t>
                    </w:r>
                  </w:p>
                </w:txbxContent>
              </v:textbox>
              <w10:wrap type="none"/>
            </v:shape>
            <v:shape style="position:absolute;left:3833;top:1599;width:164;height:406" type="#_x0000_t202" filled="false" stroked="false">
              <v:textbox inset="0,0,0,0">
                <w:txbxContent>
                  <w:p>
                    <w:pPr>
                      <w:spacing w:line="164" w:lineRule="exact" w:before="0"/>
                      <w:ind w:left="0" w:right="-19" w:firstLine="0"/>
                      <w:jc w:val="left"/>
                      <w:rPr>
                        <w:rFonts w:ascii="Calibri"/>
                        <w:b/>
                        <w:sz w:val="16"/>
                      </w:rPr>
                    </w:pPr>
                    <w:r>
                      <w:rPr>
                        <w:rFonts w:ascii="Calibri"/>
                        <w:b/>
                        <w:sz w:val="16"/>
                      </w:rPr>
                      <w:t>31</w:t>
                    </w:r>
                  </w:p>
                  <w:p>
                    <w:pPr>
                      <w:spacing w:line="193" w:lineRule="exact" w:before="49"/>
                      <w:ind w:left="0" w:right="-16" w:firstLine="0"/>
                      <w:jc w:val="left"/>
                      <w:rPr>
                        <w:rFonts w:ascii="Calibri"/>
                        <w:b/>
                        <w:sz w:val="16"/>
                      </w:rPr>
                    </w:pPr>
                    <w:r>
                      <w:rPr>
                        <w:rFonts w:ascii="Calibri"/>
                        <w:b/>
                        <w:sz w:val="16"/>
                      </w:rPr>
                      <w:t>E4</w:t>
                    </w:r>
                  </w:p>
                </w:txbxContent>
              </v:textbox>
              <w10:wrap type="none"/>
            </v:shape>
            <v:shape style="position:absolute;left:4926;top:1599;width:164;height:406" type="#_x0000_t202" filled="false" stroked="false">
              <v:textbox inset="0,0,0,0">
                <w:txbxContent>
                  <w:p>
                    <w:pPr>
                      <w:spacing w:line="164" w:lineRule="exact" w:before="0"/>
                      <w:ind w:left="0" w:right="-19" w:firstLine="0"/>
                      <w:jc w:val="left"/>
                      <w:rPr>
                        <w:rFonts w:ascii="Calibri"/>
                        <w:b/>
                        <w:sz w:val="16"/>
                      </w:rPr>
                    </w:pPr>
                    <w:r>
                      <w:rPr>
                        <w:rFonts w:ascii="Calibri"/>
                        <w:b/>
                        <w:sz w:val="16"/>
                      </w:rPr>
                      <w:t>17</w:t>
                    </w:r>
                  </w:p>
                  <w:p>
                    <w:pPr>
                      <w:spacing w:line="193" w:lineRule="exact" w:before="49"/>
                      <w:ind w:left="0" w:right="-16" w:firstLine="0"/>
                      <w:jc w:val="left"/>
                      <w:rPr>
                        <w:rFonts w:ascii="Calibri"/>
                        <w:b/>
                        <w:sz w:val="16"/>
                      </w:rPr>
                    </w:pPr>
                    <w:r>
                      <w:rPr>
                        <w:rFonts w:ascii="Calibri"/>
                        <w:b/>
                        <w:sz w:val="16"/>
                      </w:rPr>
                      <w:t>E5</w:t>
                    </w:r>
                  </w:p>
                </w:txbxContent>
              </v:textbox>
              <w10:wrap type="none"/>
            </v:shape>
            <v:shape style="position:absolute;left:6018;top:1599;width:164;height:406" type="#_x0000_t202" filled="false" stroked="false">
              <v:textbox inset="0,0,0,0">
                <w:txbxContent>
                  <w:p>
                    <w:pPr>
                      <w:spacing w:line="164" w:lineRule="exact" w:before="0"/>
                      <w:ind w:left="0" w:right="-19" w:firstLine="0"/>
                      <w:jc w:val="left"/>
                      <w:rPr>
                        <w:rFonts w:ascii="Calibri"/>
                        <w:b/>
                        <w:sz w:val="16"/>
                      </w:rPr>
                    </w:pPr>
                    <w:r>
                      <w:rPr>
                        <w:rFonts w:ascii="Calibri"/>
                        <w:b/>
                        <w:sz w:val="16"/>
                      </w:rPr>
                      <w:t>27</w:t>
                    </w:r>
                  </w:p>
                  <w:p>
                    <w:pPr>
                      <w:spacing w:line="193" w:lineRule="exact" w:before="49"/>
                      <w:ind w:left="0" w:right="-16" w:firstLine="0"/>
                      <w:jc w:val="left"/>
                      <w:rPr>
                        <w:rFonts w:ascii="Calibri"/>
                        <w:b/>
                        <w:sz w:val="16"/>
                      </w:rPr>
                    </w:pPr>
                    <w:r>
                      <w:rPr>
                        <w:rFonts w:ascii="Calibri"/>
                        <w:b/>
                        <w:sz w:val="16"/>
                      </w:rPr>
                      <w:t>E6</w:t>
                    </w:r>
                  </w:p>
                </w:txbxContent>
              </v:textbox>
              <w10:wrap type="none"/>
            </v:shape>
            <v:shape style="position:absolute;left:7111;top:1599;width:164;height:406" type="#_x0000_t202" filled="false" stroked="false">
              <v:textbox inset="0,0,0,0">
                <w:txbxContent>
                  <w:p>
                    <w:pPr>
                      <w:spacing w:line="164" w:lineRule="exact" w:before="0"/>
                      <w:ind w:left="0" w:right="-19" w:firstLine="0"/>
                      <w:jc w:val="left"/>
                      <w:rPr>
                        <w:rFonts w:ascii="Calibri"/>
                        <w:b/>
                        <w:sz w:val="16"/>
                      </w:rPr>
                    </w:pPr>
                    <w:r>
                      <w:rPr>
                        <w:rFonts w:ascii="Calibri"/>
                        <w:b/>
                        <w:sz w:val="16"/>
                      </w:rPr>
                      <w:t>33</w:t>
                    </w:r>
                  </w:p>
                  <w:p>
                    <w:pPr>
                      <w:spacing w:line="193" w:lineRule="exact" w:before="49"/>
                      <w:ind w:left="0" w:right="-16" w:firstLine="0"/>
                      <w:jc w:val="left"/>
                      <w:rPr>
                        <w:rFonts w:ascii="Calibri"/>
                        <w:b/>
                        <w:sz w:val="16"/>
                      </w:rPr>
                    </w:pPr>
                    <w:r>
                      <w:rPr>
                        <w:rFonts w:ascii="Calibri"/>
                        <w:b/>
                        <w:sz w:val="16"/>
                      </w:rPr>
                      <w:t>E7</w:t>
                    </w:r>
                  </w:p>
                </w:txbxContent>
              </v:textbox>
              <w10:wrap type="none"/>
            </v:shape>
          </v:group>
        </w:pict>
      </w:r>
      <w:r>
        <w:rPr>
          <w:rFonts w:ascii="Times New Roman"/>
          <w:sz w:val="20"/>
        </w:rPr>
      </w:r>
    </w:p>
    <w:p>
      <w:pPr>
        <w:spacing w:after="0"/>
        <w:rPr>
          <w:rFonts w:ascii="Times New Roman"/>
          <w:sz w:val="20"/>
        </w:rPr>
        <w:sectPr>
          <w:type w:val="continuous"/>
          <w:pgSz w:w="12240" w:h="15840"/>
          <w:pgMar w:top="1020" w:bottom="280" w:left="1100" w:right="1020"/>
        </w:sectPr>
      </w:pPr>
    </w:p>
    <w:p>
      <w:pPr>
        <w:pStyle w:val="BodyText"/>
        <w:spacing w:before="5"/>
        <w:rPr>
          <w:rFonts w:ascii="Times New Roman"/>
          <w:sz w:val="13"/>
        </w:rPr>
      </w:pPr>
    </w:p>
    <w:p>
      <w:pPr>
        <w:pStyle w:val="ListParagraph"/>
        <w:numPr>
          <w:ilvl w:val="2"/>
          <w:numId w:val="7"/>
        </w:numPr>
        <w:tabs>
          <w:tab w:pos="942" w:val="left" w:leader="none"/>
        </w:tabs>
        <w:spacing w:line="240" w:lineRule="auto" w:before="65" w:after="0"/>
        <w:ind w:left="942" w:right="0" w:hanging="701"/>
        <w:jc w:val="left"/>
        <w:rPr>
          <w:b/>
          <w:sz w:val="28"/>
        </w:rPr>
      </w:pPr>
      <w:bookmarkStart w:name="_TOC_250015" w:id="25"/>
      <w:r>
        <w:rPr>
          <w:b/>
          <w:sz w:val="28"/>
        </w:rPr>
        <w:t>Tipo de</w:t>
      </w:r>
      <w:r>
        <w:rPr>
          <w:b/>
          <w:spacing w:val="-7"/>
          <w:sz w:val="28"/>
        </w:rPr>
        <w:t> </w:t>
      </w:r>
      <w:bookmarkEnd w:id="25"/>
      <w:r>
        <w:rPr>
          <w:b/>
          <w:sz w:val="28"/>
        </w:rPr>
        <w:t>muestreo</w:t>
      </w:r>
    </w:p>
    <w:p>
      <w:pPr>
        <w:pStyle w:val="BodyText"/>
        <w:spacing w:line="276" w:lineRule="auto" w:before="250"/>
        <w:ind w:left="162" w:right="158"/>
      </w:pPr>
      <w:r>
        <w:rPr/>
        <w:t>Probabilístico, por conglomerados, y con probabilidad proporcional al tamaño decada conglomerado.</w:t>
      </w:r>
    </w:p>
    <w:p>
      <w:pPr>
        <w:pStyle w:val="ListParagraph"/>
        <w:numPr>
          <w:ilvl w:val="2"/>
          <w:numId w:val="7"/>
        </w:numPr>
        <w:tabs>
          <w:tab w:pos="942" w:val="left" w:leader="none"/>
        </w:tabs>
        <w:spacing w:line="240" w:lineRule="auto" w:before="200" w:after="0"/>
        <w:ind w:left="942" w:right="0" w:hanging="780"/>
        <w:jc w:val="left"/>
        <w:rPr>
          <w:b/>
          <w:sz w:val="28"/>
        </w:rPr>
      </w:pPr>
      <w:bookmarkStart w:name="_TOC_250014" w:id="26"/>
      <w:r>
        <w:rPr>
          <w:b/>
          <w:sz w:val="28"/>
        </w:rPr>
        <w:t>Selección de los Elementos de</w:t>
      </w:r>
      <w:r>
        <w:rPr>
          <w:b/>
          <w:spacing w:val="-9"/>
          <w:sz w:val="28"/>
        </w:rPr>
        <w:t> </w:t>
      </w:r>
      <w:bookmarkEnd w:id="26"/>
      <w:r>
        <w:rPr>
          <w:b/>
          <w:sz w:val="28"/>
        </w:rPr>
        <w:t>Observación</w:t>
      </w:r>
    </w:p>
    <w:p>
      <w:pPr>
        <w:pStyle w:val="BodyText"/>
        <w:tabs>
          <w:tab w:pos="4214" w:val="left" w:leader="none"/>
        </w:tabs>
        <w:spacing w:line="278" w:lineRule="auto" w:before="248"/>
        <w:ind w:left="162" w:right="158"/>
      </w:pPr>
      <w:r>
        <w:rPr/>
        <w:t>La  selección  de  los</w:t>
      </w:r>
      <w:r>
        <w:rPr>
          <w:spacing w:val="7"/>
        </w:rPr>
        <w:t> </w:t>
      </w:r>
      <w:r>
        <w:rPr/>
        <w:t>elementos</w:t>
      </w:r>
      <w:r>
        <w:rPr>
          <w:spacing w:val="49"/>
        </w:rPr>
        <w:t> </w:t>
      </w:r>
      <w:r>
        <w:rPr/>
        <w:t>de</w:t>
        <w:tab/>
        <w:t>observación, fue en función de los    </w:t>
      </w:r>
      <w:r>
        <w:rPr>
          <w:spacing w:val="36"/>
        </w:rPr>
        <w:t> </w:t>
      </w:r>
      <w:r>
        <w:rPr/>
        <w:t>criterios</w:t>
      </w:r>
      <w:r>
        <w:rPr>
          <w:spacing w:val="50"/>
        </w:rPr>
        <w:t> </w:t>
      </w:r>
      <w:r>
        <w:rPr/>
        <w:t>del</w:t>
      </w:r>
      <w:r>
        <w:rPr>
          <w:w w:val="99"/>
        </w:rPr>
        <w:t> </w:t>
      </w:r>
      <w:r>
        <w:rPr/>
        <w:t>estudio.</w:t>
      </w:r>
    </w:p>
    <w:p>
      <w:pPr>
        <w:pStyle w:val="Heading6"/>
        <w:numPr>
          <w:ilvl w:val="1"/>
          <w:numId w:val="7"/>
        </w:numPr>
        <w:tabs>
          <w:tab w:pos="565" w:val="left" w:leader="none"/>
        </w:tabs>
        <w:spacing w:line="240" w:lineRule="auto" w:before="197" w:after="0"/>
        <w:ind w:left="564" w:right="0" w:hanging="402"/>
        <w:jc w:val="left"/>
      </w:pPr>
      <w:bookmarkStart w:name="_TOC_250013" w:id="27"/>
      <w:r>
        <w:rPr/>
        <w:t>Criterios del</w:t>
      </w:r>
      <w:r>
        <w:rPr>
          <w:spacing w:val="-7"/>
        </w:rPr>
        <w:t> </w:t>
      </w:r>
      <w:bookmarkEnd w:id="27"/>
      <w:r>
        <w:rPr/>
        <w:t>estudio</w:t>
      </w:r>
    </w:p>
    <w:p>
      <w:pPr>
        <w:pStyle w:val="BodyText"/>
        <w:rPr>
          <w:b/>
          <w:sz w:val="21"/>
        </w:rPr>
      </w:pPr>
    </w:p>
    <w:p>
      <w:pPr>
        <w:pStyle w:val="ListParagraph"/>
        <w:numPr>
          <w:ilvl w:val="0"/>
          <w:numId w:val="8"/>
        </w:numPr>
        <w:tabs>
          <w:tab w:pos="309" w:val="left" w:leader="none"/>
        </w:tabs>
        <w:spacing w:line="240" w:lineRule="auto" w:before="1" w:after="0"/>
        <w:ind w:left="308" w:right="0" w:hanging="146"/>
        <w:jc w:val="left"/>
        <w:rPr>
          <w:b/>
          <w:sz w:val="24"/>
        </w:rPr>
      </w:pPr>
      <w:r>
        <w:rPr>
          <w:b/>
          <w:sz w:val="24"/>
        </w:rPr>
        <w:t>Criterios de</w:t>
      </w:r>
      <w:r>
        <w:rPr>
          <w:b/>
          <w:spacing w:val="-5"/>
          <w:sz w:val="24"/>
        </w:rPr>
        <w:t> </w:t>
      </w:r>
      <w:r>
        <w:rPr>
          <w:b/>
          <w:sz w:val="24"/>
        </w:rPr>
        <w:t>inclusión</w:t>
      </w:r>
    </w:p>
    <w:p>
      <w:pPr>
        <w:pStyle w:val="BodyText"/>
        <w:spacing w:before="8"/>
        <w:rPr>
          <w:b/>
          <w:sz w:val="20"/>
        </w:rPr>
      </w:pPr>
    </w:p>
    <w:p>
      <w:pPr>
        <w:pStyle w:val="ListParagraph"/>
        <w:numPr>
          <w:ilvl w:val="1"/>
          <w:numId w:val="8"/>
        </w:numPr>
        <w:tabs>
          <w:tab w:pos="881" w:val="left" w:leader="none"/>
          <w:tab w:pos="882" w:val="left" w:leader="none"/>
        </w:tabs>
        <w:spacing w:line="240" w:lineRule="auto" w:before="1" w:after="0"/>
        <w:ind w:left="882" w:right="0" w:hanging="360"/>
        <w:jc w:val="left"/>
        <w:rPr>
          <w:sz w:val="24"/>
        </w:rPr>
      </w:pPr>
      <w:r>
        <w:rPr>
          <w:sz w:val="24"/>
        </w:rPr>
        <w:t>Niños de cero a tres años de</w:t>
      </w:r>
      <w:r>
        <w:rPr>
          <w:spacing w:val="-8"/>
          <w:sz w:val="24"/>
        </w:rPr>
        <w:t> </w:t>
      </w:r>
      <w:r>
        <w:rPr>
          <w:sz w:val="24"/>
        </w:rPr>
        <w:t>edad</w:t>
      </w:r>
    </w:p>
    <w:p>
      <w:pPr>
        <w:pStyle w:val="ListParagraph"/>
        <w:numPr>
          <w:ilvl w:val="1"/>
          <w:numId w:val="8"/>
        </w:numPr>
        <w:tabs>
          <w:tab w:pos="881" w:val="left" w:leader="none"/>
          <w:tab w:pos="882" w:val="left" w:leader="none"/>
        </w:tabs>
        <w:spacing w:line="240" w:lineRule="auto" w:before="39" w:after="0"/>
        <w:ind w:left="882" w:right="0" w:hanging="360"/>
        <w:jc w:val="left"/>
        <w:rPr>
          <w:sz w:val="24"/>
        </w:rPr>
      </w:pPr>
      <w:r>
        <w:rPr>
          <w:sz w:val="24"/>
        </w:rPr>
        <w:t>Sin enfermedades</w:t>
      </w:r>
      <w:r>
        <w:rPr>
          <w:spacing w:val="-10"/>
          <w:sz w:val="24"/>
        </w:rPr>
        <w:t> </w:t>
      </w:r>
      <w:r>
        <w:rPr>
          <w:sz w:val="24"/>
        </w:rPr>
        <w:t>sistémicas</w:t>
      </w:r>
    </w:p>
    <w:p>
      <w:pPr>
        <w:pStyle w:val="ListParagraph"/>
        <w:numPr>
          <w:ilvl w:val="1"/>
          <w:numId w:val="8"/>
        </w:numPr>
        <w:tabs>
          <w:tab w:pos="881" w:val="left" w:leader="none"/>
          <w:tab w:pos="882" w:val="left" w:leader="none"/>
        </w:tabs>
        <w:spacing w:line="240" w:lineRule="auto" w:before="39" w:after="0"/>
        <w:ind w:left="882" w:right="0" w:hanging="360"/>
        <w:jc w:val="left"/>
        <w:rPr>
          <w:sz w:val="24"/>
        </w:rPr>
      </w:pPr>
      <w:r>
        <w:rPr>
          <w:sz w:val="24"/>
        </w:rPr>
        <w:t>Libres de</w:t>
      </w:r>
      <w:r>
        <w:rPr>
          <w:spacing w:val="-3"/>
          <w:sz w:val="24"/>
        </w:rPr>
        <w:t> </w:t>
      </w:r>
      <w:r>
        <w:rPr>
          <w:sz w:val="24"/>
        </w:rPr>
        <w:t>caries</w:t>
      </w:r>
    </w:p>
    <w:p>
      <w:pPr>
        <w:pStyle w:val="ListParagraph"/>
        <w:numPr>
          <w:ilvl w:val="1"/>
          <w:numId w:val="8"/>
        </w:numPr>
        <w:tabs>
          <w:tab w:pos="881" w:val="left" w:leader="none"/>
          <w:tab w:pos="882" w:val="left" w:leader="none"/>
        </w:tabs>
        <w:spacing w:line="240" w:lineRule="auto" w:before="39" w:after="0"/>
        <w:ind w:left="882" w:right="0" w:hanging="360"/>
        <w:jc w:val="left"/>
        <w:rPr>
          <w:sz w:val="24"/>
        </w:rPr>
      </w:pPr>
      <w:r>
        <w:rPr>
          <w:sz w:val="24"/>
        </w:rPr>
        <w:t>Aceptación para participar en el</w:t>
      </w:r>
      <w:r>
        <w:rPr>
          <w:spacing w:val="-15"/>
          <w:sz w:val="24"/>
        </w:rPr>
        <w:t> </w:t>
      </w:r>
      <w:r>
        <w:rPr>
          <w:sz w:val="24"/>
        </w:rPr>
        <w:t>estudio</w:t>
      </w:r>
    </w:p>
    <w:p>
      <w:pPr>
        <w:pStyle w:val="ListParagraph"/>
        <w:numPr>
          <w:ilvl w:val="1"/>
          <w:numId w:val="8"/>
        </w:numPr>
        <w:tabs>
          <w:tab w:pos="881" w:val="left" w:leader="none"/>
          <w:tab w:pos="882" w:val="left" w:leader="none"/>
        </w:tabs>
        <w:spacing w:line="273" w:lineRule="auto" w:before="39" w:after="0"/>
        <w:ind w:left="882" w:right="164" w:hanging="360"/>
        <w:jc w:val="left"/>
        <w:rPr>
          <w:sz w:val="24"/>
        </w:rPr>
      </w:pPr>
      <w:r>
        <w:rPr>
          <w:sz w:val="24"/>
        </w:rPr>
        <w:t>Niños que se alimentaron en base al menú establecido en las guarderías participantes en el</w:t>
      </w:r>
      <w:r>
        <w:rPr>
          <w:spacing w:val="-10"/>
          <w:sz w:val="24"/>
        </w:rPr>
        <w:t> </w:t>
      </w:r>
      <w:r>
        <w:rPr>
          <w:sz w:val="24"/>
        </w:rPr>
        <w:t>estudio.</w:t>
      </w:r>
    </w:p>
    <w:p>
      <w:pPr>
        <w:pStyle w:val="Heading6"/>
        <w:numPr>
          <w:ilvl w:val="0"/>
          <w:numId w:val="8"/>
        </w:numPr>
        <w:tabs>
          <w:tab w:pos="309" w:val="left" w:leader="none"/>
        </w:tabs>
        <w:spacing w:line="240" w:lineRule="auto" w:before="205" w:after="0"/>
        <w:ind w:left="308" w:right="0" w:hanging="146"/>
        <w:jc w:val="left"/>
      </w:pPr>
      <w:r>
        <w:rPr/>
        <w:t>Criterios de no</w:t>
      </w:r>
      <w:r>
        <w:rPr>
          <w:spacing w:val="-1"/>
        </w:rPr>
        <w:t> </w:t>
      </w:r>
      <w:r>
        <w:rPr/>
        <w:t>inclusión</w:t>
      </w:r>
    </w:p>
    <w:p>
      <w:pPr>
        <w:pStyle w:val="BodyText"/>
        <w:spacing w:before="10"/>
        <w:rPr>
          <w:b/>
          <w:sz w:val="20"/>
        </w:rPr>
      </w:pPr>
    </w:p>
    <w:p>
      <w:pPr>
        <w:pStyle w:val="ListParagraph"/>
        <w:numPr>
          <w:ilvl w:val="0"/>
          <w:numId w:val="9"/>
        </w:numPr>
        <w:tabs>
          <w:tab w:pos="881" w:val="left" w:leader="none"/>
          <w:tab w:pos="882" w:val="left" w:leader="none"/>
        </w:tabs>
        <w:spacing w:line="240" w:lineRule="auto" w:before="0" w:after="0"/>
        <w:ind w:left="882" w:right="0" w:hanging="360"/>
        <w:jc w:val="left"/>
        <w:rPr>
          <w:sz w:val="24"/>
        </w:rPr>
      </w:pPr>
      <w:r>
        <w:rPr>
          <w:sz w:val="24"/>
        </w:rPr>
        <w:t>Niños con  alguna enfermedad</w:t>
      </w:r>
      <w:r>
        <w:rPr>
          <w:spacing w:val="55"/>
          <w:sz w:val="24"/>
        </w:rPr>
        <w:t> </w:t>
      </w:r>
      <w:r>
        <w:rPr>
          <w:sz w:val="24"/>
        </w:rPr>
        <w:t>sistémica</w:t>
      </w:r>
    </w:p>
    <w:p>
      <w:pPr>
        <w:pStyle w:val="ListParagraph"/>
        <w:numPr>
          <w:ilvl w:val="0"/>
          <w:numId w:val="9"/>
        </w:numPr>
        <w:tabs>
          <w:tab w:pos="881" w:val="left" w:leader="none"/>
          <w:tab w:pos="882" w:val="left" w:leader="none"/>
        </w:tabs>
        <w:spacing w:line="240" w:lineRule="auto" w:before="43" w:after="0"/>
        <w:ind w:left="882" w:right="0" w:hanging="360"/>
        <w:jc w:val="left"/>
        <w:rPr>
          <w:sz w:val="24"/>
        </w:rPr>
      </w:pPr>
      <w:r>
        <w:rPr>
          <w:sz w:val="24"/>
        </w:rPr>
        <w:t>Niños con</w:t>
      </w:r>
      <w:r>
        <w:rPr>
          <w:spacing w:val="-4"/>
          <w:sz w:val="24"/>
        </w:rPr>
        <w:t> </w:t>
      </w:r>
      <w:r>
        <w:rPr>
          <w:sz w:val="24"/>
        </w:rPr>
        <w:t>caries</w:t>
      </w:r>
    </w:p>
    <w:p>
      <w:pPr>
        <w:pStyle w:val="ListParagraph"/>
        <w:numPr>
          <w:ilvl w:val="0"/>
          <w:numId w:val="9"/>
        </w:numPr>
        <w:tabs>
          <w:tab w:pos="881" w:val="left" w:leader="none"/>
          <w:tab w:pos="882" w:val="left" w:leader="none"/>
        </w:tabs>
        <w:spacing w:line="240" w:lineRule="auto" w:before="41" w:after="0"/>
        <w:ind w:left="882" w:right="0" w:hanging="360"/>
        <w:jc w:val="left"/>
        <w:rPr>
          <w:sz w:val="24"/>
        </w:rPr>
      </w:pPr>
      <w:r>
        <w:rPr>
          <w:sz w:val="24"/>
        </w:rPr>
        <w:t>Niños bajo algún tratamiento</w:t>
      </w:r>
      <w:r>
        <w:rPr>
          <w:spacing w:val="-8"/>
          <w:sz w:val="24"/>
        </w:rPr>
        <w:t> </w:t>
      </w:r>
      <w:r>
        <w:rPr>
          <w:sz w:val="24"/>
        </w:rPr>
        <w:t>médico</w:t>
      </w:r>
    </w:p>
    <w:p>
      <w:pPr>
        <w:pStyle w:val="ListParagraph"/>
        <w:numPr>
          <w:ilvl w:val="0"/>
          <w:numId w:val="9"/>
        </w:numPr>
        <w:tabs>
          <w:tab w:pos="881" w:val="left" w:leader="none"/>
          <w:tab w:pos="882" w:val="left" w:leader="none"/>
        </w:tabs>
        <w:spacing w:line="276" w:lineRule="auto" w:before="41" w:after="0"/>
        <w:ind w:left="882" w:right="159" w:hanging="360"/>
        <w:jc w:val="left"/>
        <w:rPr>
          <w:sz w:val="24"/>
        </w:rPr>
      </w:pPr>
      <w:r>
        <w:rPr>
          <w:sz w:val="24"/>
        </w:rPr>
        <w:t>Niños bajo otro régimen alimenticio, que no fuera el establecido en las  guarderías del Desarrollo Integral de la Familia del Estado de</w:t>
      </w:r>
      <w:r>
        <w:rPr>
          <w:spacing w:val="-23"/>
          <w:sz w:val="24"/>
        </w:rPr>
        <w:t> </w:t>
      </w:r>
      <w:r>
        <w:rPr>
          <w:sz w:val="24"/>
        </w:rPr>
        <w:t>México.</w:t>
      </w:r>
    </w:p>
    <w:p>
      <w:pPr>
        <w:pStyle w:val="Heading6"/>
        <w:numPr>
          <w:ilvl w:val="0"/>
          <w:numId w:val="8"/>
        </w:numPr>
        <w:tabs>
          <w:tab w:pos="309" w:val="left" w:leader="none"/>
        </w:tabs>
        <w:spacing w:line="240" w:lineRule="auto" w:before="202" w:after="0"/>
        <w:ind w:left="308" w:right="0" w:hanging="146"/>
        <w:jc w:val="left"/>
      </w:pPr>
      <w:r>
        <w:rPr/>
        <w:t>Criterios de</w:t>
      </w:r>
      <w:r>
        <w:rPr>
          <w:spacing w:val="-4"/>
        </w:rPr>
        <w:t> </w:t>
      </w:r>
      <w:r>
        <w:rPr/>
        <w:t>exclusión</w:t>
      </w:r>
    </w:p>
    <w:p>
      <w:pPr>
        <w:pStyle w:val="BodyText"/>
        <w:rPr>
          <w:b/>
          <w:sz w:val="21"/>
        </w:rPr>
      </w:pPr>
    </w:p>
    <w:p>
      <w:pPr>
        <w:pStyle w:val="ListParagraph"/>
        <w:numPr>
          <w:ilvl w:val="0"/>
          <w:numId w:val="10"/>
        </w:numPr>
        <w:tabs>
          <w:tab w:pos="881" w:val="left" w:leader="none"/>
          <w:tab w:pos="882" w:val="left" w:leader="none"/>
        </w:tabs>
        <w:spacing w:line="240" w:lineRule="auto" w:before="1" w:after="0"/>
        <w:ind w:left="882" w:right="0" w:hanging="360"/>
        <w:jc w:val="left"/>
        <w:rPr>
          <w:sz w:val="24"/>
        </w:rPr>
      </w:pPr>
      <w:r>
        <w:rPr>
          <w:sz w:val="24"/>
        </w:rPr>
        <w:t>Niños que sus padres no consintieron la participación de sus hijos en el</w:t>
      </w:r>
      <w:r>
        <w:rPr>
          <w:spacing w:val="-23"/>
          <w:sz w:val="24"/>
        </w:rPr>
        <w:t> </w:t>
      </w:r>
      <w:r>
        <w:rPr>
          <w:sz w:val="24"/>
        </w:rPr>
        <w:t>estudio.</w:t>
      </w:r>
    </w:p>
    <w:p>
      <w:pPr>
        <w:pStyle w:val="BodyText"/>
        <w:spacing w:before="10"/>
        <w:rPr>
          <w:sz w:val="20"/>
        </w:rPr>
      </w:pPr>
    </w:p>
    <w:p>
      <w:pPr>
        <w:pStyle w:val="Heading6"/>
        <w:numPr>
          <w:ilvl w:val="0"/>
          <w:numId w:val="8"/>
        </w:numPr>
        <w:tabs>
          <w:tab w:pos="309" w:val="left" w:leader="none"/>
        </w:tabs>
        <w:spacing w:line="240" w:lineRule="auto" w:before="0" w:after="0"/>
        <w:ind w:left="308" w:right="0" w:hanging="146"/>
        <w:jc w:val="left"/>
      </w:pPr>
      <w:r>
        <w:rPr/>
        <w:t>Criterios de</w:t>
      </w:r>
      <w:r>
        <w:rPr>
          <w:spacing w:val="-6"/>
        </w:rPr>
        <w:t> </w:t>
      </w:r>
      <w:r>
        <w:rPr/>
        <w:t>eliminación</w:t>
      </w:r>
    </w:p>
    <w:p>
      <w:pPr>
        <w:pStyle w:val="BodyText"/>
        <w:rPr>
          <w:b/>
          <w:sz w:val="21"/>
        </w:rPr>
      </w:pPr>
    </w:p>
    <w:p>
      <w:pPr>
        <w:pStyle w:val="ListParagraph"/>
        <w:numPr>
          <w:ilvl w:val="0"/>
          <w:numId w:val="11"/>
        </w:numPr>
        <w:tabs>
          <w:tab w:pos="881" w:val="left" w:leader="none"/>
          <w:tab w:pos="882" w:val="left" w:leader="none"/>
        </w:tabs>
        <w:spacing w:line="276" w:lineRule="auto" w:before="1" w:after="0"/>
        <w:ind w:left="882" w:right="158" w:hanging="360"/>
        <w:jc w:val="left"/>
        <w:rPr>
          <w:sz w:val="24"/>
        </w:rPr>
      </w:pPr>
      <w:r>
        <w:rPr>
          <w:sz w:val="24"/>
        </w:rPr>
        <w:t>Niños que dejaron de asistir a la estancia a la cual estuvieron inscritos, durante  el periodo de</w:t>
      </w:r>
      <w:r>
        <w:rPr>
          <w:spacing w:val="-9"/>
          <w:sz w:val="24"/>
        </w:rPr>
        <w:t> </w:t>
      </w:r>
      <w:r>
        <w:rPr>
          <w:sz w:val="24"/>
        </w:rPr>
        <w:t>estudio.</w:t>
      </w:r>
    </w:p>
    <w:p>
      <w:pPr>
        <w:spacing w:after="0" w:line="276" w:lineRule="auto"/>
        <w:jc w:val="left"/>
        <w:rPr>
          <w:sz w:val="24"/>
        </w:rPr>
        <w:sectPr>
          <w:pgSz w:w="12240" w:h="15840"/>
          <w:pgMar w:header="729" w:footer="1003" w:top="1180" w:bottom="1200" w:left="1540" w:right="1020"/>
        </w:sectPr>
      </w:pPr>
    </w:p>
    <w:p>
      <w:pPr>
        <w:pStyle w:val="BodyText"/>
        <w:spacing w:before="2"/>
        <w:rPr>
          <w:sz w:val="13"/>
        </w:rPr>
      </w:pPr>
    </w:p>
    <w:p>
      <w:pPr>
        <w:pStyle w:val="Heading4"/>
        <w:numPr>
          <w:ilvl w:val="1"/>
          <w:numId w:val="7"/>
        </w:numPr>
        <w:tabs>
          <w:tab w:pos="1010" w:val="left" w:leader="none"/>
        </w:tabs>
        <w:spacing w:line="240" w:lineRule="auto" w:before="66" w:after="0"/>
        <w:ind w:left="1009" w:right="0" w:hanging="467"/>
        <w:jc w:val="left"/>
      </w:pPr>
      <w:bookmarkStart w:name="_TOC_250012" w:id="28"/>
      <w:bookmarkEnd w:id="28"/>
      <w:r>
        <w:rPr/>
        <w:t>Variables</w:t>
      </w:r>
    </w:p>
    <w:p>
      <w:pPr>
        <w:pStyle w:val="BodyText"/>
        <w:spacing w:before="6"/>
        <w:rPr>
          <w:b/>
          <w:sz w:val="18"/>
        </w:rPr>
      </w:pPr>
    </w:p>
    <w:p>
      <w:pPr>
        <w:pStyle w:val="Heading6"/>
        <w:spacing w:before="69"/>
        <w:ind w:left="3192"/>
      </w:pPr>
      <w:r>
        <w:rPr/>
        <w:t>Operacionalización de las variables</w:t>
      </w:r>
    </w:p>
    <w:p>
      <w:pPr>
        <w:pStyle w:val="BodyText"/>
        <w:spacing w:before="9"/>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4"/>
        <w:gridCol w:w="1815"/>
        <w:gridCol w:w="1423"/>
        <w:gridCol w:w="1174"/>
        <w:gridCol w:w="1411"/>
        <w:gridCol w:w="2257"/>
      </w:tblGrid>
      <w:tr>
        <w:trPr>
          <w:trHeight w:val="378" w:hRule="exact"/>
        </w:trPr>
        <w:tc>
          <w:tcPr>
            <w:tcW w:w="1704" w:type="dxa"/>
            <w:shd w:val="clear" w:color="auto" w:fill="C2D59B"/>
          </w:tcPr>
          <w:p>
            <w:pPr>
              <w:pStyle w:val="TableParagraph"/>
              <w:spacing w:line="178" w:lineRule="exact"/>
              <w:ind w:right="149"/>
              <w:rPr>
                <w:b/>
                <w:sz w:val="16"/>
              </w:rPr>
            </w:pPr>
            <w:r>
              <w:rPr>
                <w:b/>
                <w:sz w:val="16"/>
              </w:rPr>
              <w:t>Variable</w:t>
            </w:r>
          </w:p>
        </w:tc>
        <w:tc>
          <w:tcPr>
            <w:tcW w:w="1815" w:type="dxa"/>
            <w:shd w:val="clear" w:color="auto" w:fill="C2D59B"/>
          </w:tcPr>
          <w:p>
            <w:pPr>
              <w:pStyle w:val="TableParagraph"/>
              <w:ind w:left="100" w:right="840"/>
              <w:rPr>
                <w:b/>
                <w:sz w:val="16"/>
              </w:rPr>
            </w:pPr>
            <w:r>
              <w:rPr>
                <w:b/>
                <w:sz w:val="16"/>
              </w:rPr>
              <w:t>Definición conceptual</w:t>
            </w:r>
          </w:p>
        </w:tc>
        <w:tc>
          <w:tcPr>
            <w:tcW w:w="1423" w:type="dxa"/>
            <w:shd w:val="clear" w:color="auto" w:fill="C2D59B"/>
          </w:tcPr>
          <w:p>
            <w:pPr>
              <w:pStyle w:val="TableParagraph"/>
              <w:ind w:left="100" w:right="395"/>
              <w:rPr>
                <w:b/>
                <w:sz w:val="16"/>
              </w:rPr>
            </w:pPr>
            <w:r>
              <w:rPr>
                <w:b/>
                <w:sz w:val="16"/>
              </w:rPr>
              <w:t>Definición operacional</w:t>
            </w:r>
          </w:p>
        </w:tc>
        <w:tc>
          <w:tcPr>
            <w:tcW w:w="1174" w:type="dxa"/>
            <w:shd w:val="clear" w:color="auto" w:fill="C2D59B"/>
          </w:tcPr>
          <w:p>
            <w:pPr>
              <w:pStyle w:val="TableParagraph"/>
              <w:ind w:right="418"/>
              <w:rPr>
                <w:b/>
                <w:sz w:val="16"/>
              </w:rPr>
            </w:pPr>
            <w:r>
              <w:rPr>
                <w:b/>
                <w:sz w:val="16"/>
              </w:rPr>
              <w:t>Tipo de Variable</w:t>
            </w:r>
          </w:p>
        </w:tc>
        <w:tc>
          <w:tcPr>
            <w:tcW w:w="1411" w:type="dxa"/>
            <w:shd w:val="clear" w:color="auto" w:fill="C2D59B"/>
          </w:tcPr>
          <w:p>
            <w:pPr>
              <w:pStyle w:val="TableParagraph"/>
              <w:ind w:left="100" w:right="258"/>
              <w:rPr>
                <w:b/>
                <w:sz w:val="16"/>
              </w:rPr>
            </w:pPr>
            <w:r>
              <w:rPr>
                <w:b/>
                <w:sz w:val="16"/>
              </w:rPr>
              <w:t>Unidad de medida</w:t>
            </w:r>
          </w:p>
        </w:tc>
        <w:tc>
          <w:tcPr>
            <w:tcW w:w="2257" w:type="dxa"/>
            <w:shd w:val="clear" w:color="auto" w:fill="C2D59B"/>
          </w:tcPr>
          <w:p>
            <w:pPr>
              <w:pStyle w:val="TableParagraph"/>
              <w:spacing w:line="178" w:lineRule="exact"/>
              <w:ind w:right="105"/>
              <w:rPr>
                <w:b/>
                <w:sz w:val="16"/>
              </w:rPr>
            </w:pPr>
            <w:r>
              <w:rPr>
                <w:b/>
                <w:sz w:val="16"/>
              </w:rPr>
              <w:t>Escala de medición</w:t>
            </w:r>
          </w:p>
        </w:tc>
      </w:tr>
      <w:tr>
        <w:trPr>
          <w:trHeight w:val="2218" w:hRule="exact"/>
        </w:trPr>
        <w:tc>
          <w:tcPr>
            <w:tcW w:w="1704" w:type="dxa"/>
            <w:shd w:val="clear" w:color="auto" w:fill="C2D59B"/>
          </w:tcPr>
          <w:p>
            <w:pPr>
              <w:pStyle w:val="TableParagraph"/>
              <w:spacing w:line="179" w:lineRule="exact"/>
              <w:ind w:right="149"/>
              <w:rPr>
                <w:b/>
                <w:sz w:val="16"/>
              </w:rPr>
            </w:pPr>
            <w:r>
              <w:rPr>
                <w:b/>
                <w:sz w:val="16"/>
              </w:rPr>
              <w:t>Caries.</w:t>
            </w:r>
          </w:p>
        </w:tc>
        <w:tc>
          <w:tcPr>
            <w:tcW w:w="1815" w:type="dxa"/>
            <w:shd w:val="clear" w:color="auto" w:fill="C2D59B"/>
          </w:tcPr>
          <w:p>
            <w:pPr>
              <w:pStyle w:val="TableParagraph"/>
              <w:tabs>
                <w:tab w:pos="1523" w:val="left" w:leader="none"/>
              </w:tabs>
              <w:ind w:left="100" w:right="101"/>
              <w:jc w:val="both"/>
              <w:rPr>
                <w:sz w:val="16"/>
              </w:rPr>
            </w:pPr>
            <w:r>
              <w:rPr>
                <w:sz w:val="16"/>
              </w:rPr>
              <w:t>Proceso dentario patológico, producido por la compleja interacción</w:t>
              <w:tab/>
              <w:t>de</w:t>
            </w:r>
          </w:p>
          <w:p>
            <w:pPr>
              <w:pStyle w:val="TableParagraph"/>
              <w:tabs>
                <w:tab w:pos="1033" w:val="left" w:leader="none"/>
                <w:tab w:pos="1441" w:val="left" w:leader="none"/>
              </w:tabs>
              <w:ind w:left="100" w:right="101"/>
              <w:jc w:val="both"/>
              <w:rPr>
                <w:sz w:val="16"/>
              </w:rPr>
            </w:pPr>
            <w:r>
              <w:rPr>
                <w:sz w:val="16"/>
              </w:rPr>
              <w:t>alimentos,</w:t>
              <w:tab/>
              <w:tab/>
              <w:t>con bacterias que forman la placa dental los cuales</w:t>
              <w:tab/>
            </w:r>
            <w:r>
              <w:rPr>
                <w:spacing w:val="-1"/>
                <w:sz w:val="16"/>
              </w:rPr>
              <w:t>producen </w:t>
            </w:r>
            <w:r>
              <w:rPr>
                <w:sz w:val="16"/>
              </w:rPr>
              <w:t>ácidos orgánicos que producen rupturas en la vaina del esmalte  de los dientes</w:t>
            </w:r>
            <w:r>
              <w:rPr>
                <w:spacing w:val="-4"/>
                <w:sz w:val="16"/>
              </w:rPr>
              <w:t> </w:t>
            </w:r>
            <w:r>
              <w:rPr>
                <w:sz w:val="16"/>
              </w:rPr>
              <w:t>(59)</w:t>
            </w:r>
          </w:p>
        </w:tc>
        <w:tc>
          <w:tcPr>
            <w:tcW w:w="1423" w:type="dxa"/>
            <w:shd w:val="clear" w:color="auto" w:fill="C2D59B"/>
          </w:tcPr>
          <w:p>
            <w:pPr>
              <w:pStyle w:val="TableParagraph"/>
              <w:ind w:left="100" w:right="146"/>
              <w:rPr>
                <w:sz w:val="16"/>
              </w:rPr>
            </w:pPr>
            <w:r>
              <w:rPr>
                <w:sz w:val="16"/>
              </w:rPr>
              <w:t>Detección de Caries por medio del Sistema Diagnodent Pen</w:t>
            </w:r>
          </w:p>
        </w:tc>
        <w:tc>
          <w:tcPr>
            <w:tcW w:w="1174" w:type="dxa"/>
            <w:shd w:val="clear" w:color="auto" w:fill="C2D59B"/>
          </w:tcPr>
          <w:p>
            <w:pPr>
              <w:pStyle w:val="TableParagraph"/>
              <w:spacing w:line="182" w:lineRule="exact" w:before="2"/>
              <w:ind w:right="196"/>
              <w:rPr>
                <w:sz w:val="16"/>
              </w:rPr>
            </w:pPr>
            <w:r>
              <w:rPr>
                <w:sz w:val="16"/>
              </w:rPr>
              <w:t>Cuantitativa discreta</w:t>
            </w:r>
          </w:p>
        </w:tc>
        <w:tc>
          <w:tcPr>
            <w:tcW w:w="1411" w:type="dxa"/>
            <w:shd w:val="clear" w:color="auto" w:fill="C2D59B"/>
          </w:tcPr>
          <w:p>
            <w:pPr>
              <w:pStyle w:val="TableParagraph"/>
              <w:spacing w:before="7"/>
              <w:ind w:left="0"/>
              <w:rPr>
                <w:b/>
                <w:sz w:val="15"/>
              </w:rPr>
            </w:pPr>
          </w:p>
          <w:p>
            <w:pPr>
              <w:pStyle w:val="TableParagraph"/>
              <w:ind w:left="100" w:right="258"/>
              <w:rPr>
                <w:sz w:val="16"/>
              </w:rPr>
            </w:pPr>
            <w:r>
              <w:rPr>
                <w:sz w:val="16"/>
              </w:rPr>
              <w:t>Fluorescencia</w:t>
            </w:r>
          </w:p>
        </w:tc>
        <w:tc>
          <w:tcPr>
            <w:tcW w:w="2257" w:type="dxa"/>
            <w:shd w:val="clear" w:color="auto" w:fill="C2D59B"/>
          </w:tcPr>
          <w:p>
            <w:pPr>
              <w:pStyle w:val="TableParagraph"/>
              <w:spacing w:line="237" w:lineRule="auto"/>
              <w:ind w:right="105"/>
              <w:rPr>
                <w:b/>
                <w:sz w:val="16"/>
              </w:rPr>
            </w:pPr>
            <w:r>
              <w:rPr>
                <w:sz w:val="16"/>
              </w:rPr>
              <w:t>Establecida por el fabricante </w:t>
            </w:r>
            <w:r>
              <w:rPr>
                <w:b/>
                <w:sz w:val="16"/>
              </w:rPr>
              <w:t>Indicación del valor: Terapia:</w:t>
            </w:r>
          </w:p>
          <w:p>
            <w:pPr>
              <w:pStyle w:val="TableParagraph"/>
              <w:spacing w:before="3"/>
              <w:ind w:right="903" w:firstLine="45"/>
              <w:rPr>
                <w:sz w:val="16"/>
              </w:rPr>
            </w:pPr>
            <w:r>
              <w:rPr>
                <w:sz w:val="16"/>
              </w:rPr>
              <w:t>0-14 sin riesgo 15-20,riesgo bajo</w:t>
            </w:r>
          </w:p>
          <w:p>
            <w:pPr>
              <w:pStyle w:val="TableParagraph"/>
              <w:spacing w:before="1"/>
              <w:ind w:right="105"/>
              <w:rPr>
                <w:sz w:val="16"/>
              </w:rPr>
            </w:pPr>
            <w:r>
              <w:rPr>
                <w:sz w:val="16"/>
              </w:rPr>
              <w:t>21-30 ,riesgo medio</w:t>
            </w:r>
          </w:p>
          <w:p>
            <w:pPr>
              <w:pStyle w:val="TableParagraph"/>
              <w:spacing w:line="183" w:lineRule="exact" w:before="1"/>
              <w:ind w:right="105"/>
              <w:rPr>
                <w:sz w:val="16"/>
              </w:rPr>
            </w:pPr>
            <w:r>
              <w:rPr>
                <w:sz w:val="16"/>
              </w:rPr>
              <w:t>21-30 ,riesgo alto</w:t>
            </w:r>
          </w:p>
          <w:p>
            <w:pPr>
              <w:pStyle w:val="TableParagraph"/>
              <w:spacing w:line="183" w:lineRule="exact"/>
              <w:ind w:right="105"/>
              <w:rPr>
                <w:sz w:val="16"/>
              </w:rPr>
            </w:pPr>
            <w:r>
              <w:rPr>
                <w:sz w:val="16"/>
              </w:rPr>
              <w:t>&lt;30 caries</w:t>
            </w:r>
          </w:p>
        </w:tc>
      </w:tr>
      <w:tr>
        <w:trPr>
          <w:trHeight w:val="745" w:hRule="exact"/>
        </w:trPr>
        <w:tc>
          <w:tcPr>
            <w:tcW w:w="1704" w:type="dxa"/>
            <w:shd w:val="clear" w:color="auto" w:fill="C2D59B"/>
          </w:tcPr>
          <w:p>
            <w:pPr>
              <w:pStyle w:val="TableParagraph"/>
              <w:spacing w:line="179" w:lineRule="exact"/>
              <w:ind w:right="149"/>
              <w:rPr>
                <w:b/>
                <w:sz w:val="16"/>
              </w:rPr>
            </w:pPr>
            <w:r>
              <w:rPr>
                <w:b/>
                <w:sz w:val="16"/>
              </w:rPr>
              <w:t>Edad</w:t>
            </w:r>
          </w:p>
        </w:tc>
        <w:tc>
          <w:tcPr>
            <w:tcW w:w="1815" w:type="dxa"/>
            <w:shd w:val="clear" w:color="auto" w:fill="C2D59B"/>
          </w:tcPr>
          <w:p>
            <w:pPr>
              <w:pStyle w:val="TableParagraph"/>
              <w:ind w:left="100" w:right="173"/>
              <w:rPr>
                <w:sz w:val="16"/>
              </w:rPr>
            </w:pPr>
            <w:r>
              <w:rPr>
                <w:sz w:val="16"/>
              </w:rPr>
              <w:t>Tiempo de existencia desde el nacimiento hasta el tiempo de medición.(59)</w:t>
            </w:r>
          </w:p>
        </w:tc>
        <w:tc>
          <w:tcPr>
            <w:tcW w:w="1423" w:type="dxa"/>
            <w:shd w:val="clear" w:color="auto" w:fill="C2D59B"/>
          </w:tcPr>
          <w:p>
            <w:pPr>
              <w:pStyle w:val="TableParagraph"/>
              <w:ind w:left="100" w:right="101"/>
              <w:rPr>
                <w:sz w:val="16"/>
              </w:rPr>
            </w:pPr>
            <w:r>
              <w:rPr>
                <w:sz w:val="16"/>
              </w:rPr>
              <w:t>Cuantos meses tiene el niño al iniciar el estudio.</w:t>
            </w:r>
          </w:p>
        </w:tc>
        <w:tc>
          <w:tcPr>
            <w:tcW w:w="1174" w:type="dxa"/>
            <w:shd w:val="clear" w:color="auto" w:fill="C2D59B"/>
          </w:tcPr>
          <w:p>
            <w:pPr>
              <w:pStyle w:val="TableParagraph"/>
              <w:spacing w:line="182" w:lineRule="exact" w:before="2"/>
              <w:ind w:right="196"/>
              <w:rPr>
                <w:sz w:val="16"/>
              </w:rPr>
            </w:pPr>
            <w:r>
              <w:rPr>
                <w:sz w:val="16"/>
              </w:rPr>
              <w:t>Cuantitativa continua</w:t>
            </w:r>
          </w:p>
        </w:tc>
        <w:tc>
          <w:tcPr>
            <w:tcW w:w="1411" w:type="dxa"/>
            <w:shd w:val="clear" w:color="auto" w:fill="C2D59B"/>
          </w:tcPr>
          <w:p>
            <w:pPr>
              <w:pStyle w:val="TableParagraph"/>
              <w:spacing w:line="182" w:lineRule="exact"/>
              <w:ind w:left="100" w:right="258"/>
              <w:rPr>
                <w:sz w:val="16"/>
              </w:rPr>
            </w:pPr>
            <w:r>
              <w:rPr>
                <w:sz w:val="16"/>
              </w:rPr>
              <w:t>Meses</w:t>
            </w:r>
          </w:p>
        </w:tc>
        <w:tc>
          <w:tcPr>
            <w:tcW w:w="2257" w:type="dxa"/>
            <w:shd w:val="clear" w:color="auto" w:fill="C2D59B"/>
          </w:tcPr>
          <w:p>
            <w:pPr>
              <w:pStyle w:val="TableParagraph"/>
              <w:spacing w:line="181" w:lineRule="exact"/>
              <w:ind w:left="148" w:right="105"/>
              <w:rPr>
                <w:sz w:val="16"/>
              </w:rPr>
            </w:pPr>
            <w:r>
              <w:rPr>
                <w:sz w:val="16"/>
              </w:rPr>
              <w:t>06&lt;12,12&lt;18,18&lt;24,24&lt;30</w:t>
            </w:r>
          </w:p>
          <w:p>
            <w:pPr>
              <w:pStyle w:val="TableParagraph"/>
              <w:spacing w:line="183" w:lineRule="exact"/>
              <w:ind w:right="105"/>
              <w:rPr>
                <w:sz w:val="16"/>
              </w:rPr>
            </w:pPr>
            <w:r>
              <w:rPr>
                <w:sz w:val="16"/>
              </w:rPr>
              <w:t>30&lt;36</w:t>
            </w:r>
          </w:p>
        </w:tc>
      </w:tr>
      <w:tr>
        <w:trPr>
          <w:trHeight w:val="5333" w:hRule="exact"/>
        </w:trPr>
        <w:tc>
          <w:tcPr>
            <w:tcW w:w="1704" w:type="dxa"/>
            <w:shd w:val="clear" w:color="auto" w:fill="C2D59B"/>
          </w:tcPr>
          <w:p>
            <w:pPr>
              <w:pStyle w:val="TableParagraph"/>
              <w:spacing w:line="178" w:lineRule="exact"/>
              <w:ind w:right="149"/>
              <w:rPr>
                <w:b/>
                <w:sz w:val="16"/>
              </w:rPr>
            </w:pPr>
            <w:r>
              <w:rPr>
                <w:b/>
                <w:sz w:val="16"/>
              </w:rPr>
              <w:t>Dieta</w:t>
            </w:r>
          </w:p>
        </w:tc>
        <w:tc>
          <w:tcPr>
            <w:tcW w:w="1815" w:type="dxa"/>
            <w:shd w:val="clear" w:color="auto" w:fill="C2D59B"/>
          </w:tcPr>
          <w:p>
            <w:pPr>
              <w:pStyle w:val="TableParagraph"/>
              <w:ind w:left="100" w:right="106"/>
              <w:rPr>
                <w:sz w:val="16"/>
              </w:rPr>
            </w:pPr>
            <w:hyperlink r:id="rId18">
              <w:r>
                <w:rPr>
                  <w:sz w:val="16"/>
                </w:rPr>
                <w:t>Régimen alimenticio,</w:t>
              </w:r>
            </w:hyperlink>
            <w:r>
              <w:rPr>
                <w:sz w:val="16"/>
              </w:rPr>
              <w:t> que alude al conjunto y cantidades de los alimentos o mezclas de alimentos que se consumen habitualmente(59)</w:t>
            </w:r>
          </w:p>
        </w:tc>
        <w:tc>
          <w:tcPr>
            <w:tcW w:w="1423" w:type="dxa"/>
            <w:shd w:val="clear" w:color="auto" w:fill="C2D59B"/>
          </w:tcPr>
          <w:p>
            <w:pPr>
              <w:pStyle w:val="TableParagraph"/>
              <w:ind w:left="100" w:right="110"/>
              <w:rPr>
                <w:sz w:val="16"/>
              </w:rPr>
            </w:pPr>
            <w:r>
              <w:rPr>
                <w:sz w:val="16"/>
              </w:rPr>
              <w:t>Menú diario establecido nutriólogos de las estancias del Desarrollo Integral de la Familia (DIF)</w:t>
            </w:r>
          </w:p>
        </w:tc>
        <w:tc>
          <w:tcPr>
            <w:tcW w:w="1174" w:type="dxa"/>
            <w:shd w:val="clear" w:color="auto" w:fill="C2D59B"/>
          </w:tcPr>
          <w:p>
            <w:pPr>
              <w:pStyle w:val="TableParagraph"/>
              <w:ind w:right="294"/>
              <w:rPr>
                <w:sz w:val="16"/>
              </w:rPr>
            </w:pPr>
            <w:r>
              <w:rPr>
                <w:sz w:val="16"/>
              </w:rPr>
              <w:t>Cualitativo ordinal</w:t>
            </w:r>
          </w:p>
        </w:tc>
        <w:tc>
          <w:tcPr>
            <w:tcW w:w="1411" w:type="dxa"/>
            <w:shd w:val="clear" w:color="auto" w:fill="C2D59B"/>
          </w:tcPr>
          <w:p>
            <w:pPr>
              <w:pStyle w:val="TableParagraph"/>
              <w:spacing w:line="180" w:lineRule="exact"/>
              <w:ind w:left="100" w:right="258"/>
              <w:rPr>
                <w:sz w:val="16"/>
              </w:rPr>
            </w:pPr>
            <w:r>
              <w:rPr>
                <w:sz w:val="16"/>
              </w:rPr>
              <w:t>Tipo de menú</w:t>
            </w:r>
          </w:p>
        </w:tc>
        <w:tc>
          <w:tcPr>
            <w:tcW w:w="2257" w:type="dxa"/>
            <w:shd w:val="clear" w:color="auto" w:fill="C2D59B"/>
          </w:tcPr>
          <w:p>
            <w:pPr>
              <w:pStyle w:val="TableParagraph"/>
              <w:ind w:left="430" w:right="427"/>
              <w:jc w:val="center"/>
              <w:rPr>
                <w:b/>
                <w:sz w:val="16"/>
              </w:rPr>
            </w:pPr>
            <w:r>
              <w:rPr>
                <w:b/>
                <w:sz w:val="16"/>
                <w:u w:val="single"/>
              </w:rPr>
              <w:t>LACTANTES (3-12 MESES)</w:t>
            </w:r>
          </w:p>
          <w:p>
            <w:pPr>
              <w:pStyle w:val="TableParagraph"/>
              <w:spacing w:line="183" w:lineRule="exact" w:before="1"/>
              <w:ind w:left="426" w:right="427"/>
              <w:jc w:val="center"/>
              <w:rPr>
                <w:b/>
                <w:sz w:val="16"/>
              </w:rPr>
            </w:pPr>
            <w:r>
              <w:rPr>
                <w:b/>
                <w:sz w:val="16"/>
                <w:u w:val="single"/>
              </w:rPr>
              <w:t>1000 Kcal/día</w:t>
            </w:r>
          </w:p>
          <w:p>
            <w:pPr>
              <w:pStyle w:val="TableParagraph"/>
              <w:spacing w:line="244" w:lineRule="auto"/>
              <w:rPr>
                <w:sz w:val="16"/>
              </w:rPr>
            </w:pPr>
            <w:r>
              <w:rPr>
                <w:b/>
                <w:sz w:val="16"/>
              </w:rPr>
              <w:t>Desayuno </w:t>
            </w:r>
            <w:r>
              <w:rPr>
                <w:sz w:val="16"/>
              </w:rPr>
              <w:t>(25%)= 250 Kcal HCO  =  150  Kcal  =  37.5 g</w:t>
            </w:r>
          </w:p>
          <w:p>
            <w:pPr>
              <w:pStyle w:val="TableParagraph"/>
              <w:spacing w:line="180" w:lineRule="exact"/>
              <w:rPr>
                <w:sz w:val="16"/>
              </w:rPr>
            </w:pPr>
            <w:r>
              <w:rPr>
                <w:sz w:val="16"/>
              </w:rPr>
              <w:t>Lip  =  62.5  Kcal  =7gProt  =</w:t>
            </w:r>
          </w:p>
          <w:p>
            <w:pPr>
              <w:pStyle w:val="TableParagraph"/>
              <w:spacing w:line="182" w:lineRule="exact"/>
              <w:ind w:right="105"/>
              <w:rPr>
                <w:sz w:val="16"/>
              </w:rPr>
            </w:pPr>
            <w:r>
              <w:rPr>
                <w:sz w:val="16"/>
              </w:rPr>
              <w:t>37.5 Kcal = 9.3 g</w:t>
            </w:r>
          </w:p>
          <w:p>
            <w:pPr>
              <w:pStyle w:val="TableParagraph"/>
              <w:spacing w:line="244" w:lineRule="auto"/>
              <w:rPr>
                <w:sz w:val="16"/>
              </w:rPr>
            </w:pPr>
            <w:r>
              <w:rPr>
                <w:b/>
                <w:sz w:val="16"/>
              </w:rPr>
              <w:t>Comida </w:t>
            </w:r>
            <w:r>
              <w:rPr>
                <w:sz w:val="16"/>
              </w:rPr>
              <w:t>(35%) = 350 Kcal HCO = 210 Kcal =52.5 g Lip</w:t>
            </w:r>
          </w:p>
          <w:p>
            <w:pPr>
              <w:pStyle w:val="TableParagraph"/>
              <w:spacing w:line="179" w:lineRule="exact"/>
              <w:ind w:right="105"/>
              <w:rPr>
                <w:sz w:val="16"/>
              </w:rPr>
            </w:pPr>
            <w:r>
              <w:rPr>
                <w:sz w:val="16"/>
              </w:rPr>
              <w:t>= 87.5 Kcal = 9.7 g  Prot    =</w:t>
            </w:r>
          </w:p>
          <w:p>
            <w:pPr>
              <w:pStyle w:val="TableParagraph"/>
              <w:spacing w:before="1"/>
              <w:ind w:right="105"/>
              <w:rPr>
                <w:sz w:val="16"/>
              </w:rPr>
            </w:pPr>
            <w:r>
              <w:rPr>
                <w:sz w:val="16"/>
              </w:rPr>
              <w:t>52.5 Kcal = 13.1 g</w:t>
            </w:r>
          </w:p>
          <w:p>
            <w:pPr>
              <w:pStyle w:val="TableParagraph"/>
              <w:spacing w:before="8"/>
              <w:ind w:left="0"/>
              <w:rPr>
                <w:b/>
                <w:sz w:val="15"/>
              </w:rPr>
            </w:pPr>
          </w:p>
          <w:p>
            <w:pPr>
              <w:pStyle w:val="TableParagraph"/>
              <w:ind w:left="122" w:right="104" w:firstLine="171"/>
              <w:rPr>
                <w:b/>
                <w:sz w:val="16"/>
              </w:rPr>
            </w:pPr>
            <w:r>
              <w:rPr>
                <w:b/>
                <w:sz w:val="16"/>
                <w:u w:val="single"/>
              </w:rPr>
              <w:t>MATERNAL ( 1 AÑO 1 MES – 2 AÑOS 11 MESES)</w:t>
            </w:r>
          </w:p>
          <w:p>
            <w:pPr>
              <w:pStyle w:val="TableParagraph"/>
              <w:spacing w:before="1"/>
              <w:ind w:left="426" w:right="427"/>
              <w:jc w:val="center"/>
              <w:rPr>
                <w:b/>
                <w:sz w:val="16"/>
              </w:rPr>
            </w:pPr>
            <w:r>
              <w:rPr>
                <w:b/>
                <w:sz w:val="16"/>
                <w:u w:val="single"/>
              </w:rPr>
              <w:t>1300 Kcal/día</w:t>
            </w:r>
          </w:p>
          <w:p>
            <w:pPr>
              <w:pStyle w:val="TableParagraph"/>
              <w:spacing w:before="10"/>
              <w:ind w:left="0"/>
              <w:rPr>
                <w:b/>
                <w:sz w:val="15"/>
              </w:rPr>
            </w:pPr>
          </w:p>
          <w:p>
            <w:pPr>
              <w:pStyle w:val="TableParagraph"/>
              <w:ind w:right="105"/>
              <w:rPr>
                <w:sz w:val="16"/>
              </w:rPr>
            </w:pPr>
            <w:r>
              <w:rPr>
                <w:b/>
                <w:sz w:val="16"/>
              </w:rPr>
              <w:t>Desayuno </w:t>
            </w:r>
            <w:r>
              <w:rPr>
                <w:sz w:val="16"/>
              </w:rPr>
              <w:t>(25%) =325 K  cal HCO = 195 Kcal = 49 g Lip = 81 Kcal = 9 g Prot = 49 Kcal = 12</w:t>
            </w:r>
            <w:r>
              <w:rPr>
                <w:spacing w:val="-3"/>
                <w:sz w:val="16"/>
              </w:rPr>
              <w:t> </w:t>
            </w:r>
            <w:r>
              <w:rPr>
                <w:sz w:val="16"/>
              </w:rPr>
              <w:t>g</w:t>
            </w:r>
          </w:p>
          <w:p>
            <w:pPr>
              <w:pStyle w:val="TableParagraph"/>
              <w:rPr>
                <w:sz w:val="16"/>
              </w:rPr>
            </w:pPr>
            <w:r>
              <w:rPr>
                <w:b/>
                <w:sz w:val="16"/>
              </w:rPr>
              <w:t>Comida </w:t>
            </w:r>
            <w:r>
              <w:rPr>
                <w:sz w:val="16"/>
              </w:rPr>
              <w:t>(35%) = 455 Kcal HCO  =  273 Kcal  = 68 gLip</w:t>
            </w:r>
          </w:p>
          <w:p>
            <w:pPr>
              <w:pStyle w:val="TableParagraph"/>
              <w:spacing w:before="1"/>
              <w:ind w:right="105"/>
              <w:rPr>
                <w:sz w:val="16"/>
              </w:rPr>
            </w:pPr>
            <w:r>
              <w:rPr>
                <w:sz w:val="16"/>
              </w:rPr>
              <w:t>=114 Kcal = 12.6 g  Prot  = 68 Kcal = 17 g</w:t>
            </w:r>
          </w:p>
        </w:tc>
      </w:tr>
      <w:tr>
        <w:trPr>
          <w:trHeight w:val="1334" w:hRule="exact"/>
        </w:trPr>
        <w:tc>
          <w:tcPr>
            <w:tcW w:w="1704" w:type="dxa"/>
            <w:shd w:val="clear" w:color="auto" w:fill="C2D59B"/>
          </w:tcPr>
          <w:p>
            <w:pPr>
              <w:pStyle w:val="TableParagraph"/>
              <w:ind w:right="149"/>
              <w:rPr>
                <w:b/>
                <w:sz w:val="16"/>
              </w:rPr>
            </w:pPr>
            <w:r>
              <w:rPr>
                <w:b/>
                <w:sz w:val="16"/>
              </w:rPr>
              <w:t>Aplicaciones Clorhexidina al 1% y Flúor al .02 %</w:t>
            </w:r>
          </w:p>
        </w:tc>
        <w:tc>
          <w:tcPr>
            <w:tcW w:w="1815" w:type="dxa"/>
            <w:shd w:val="clear" w:color="auto" w:fill="C2D59B"/>
          </w:tcPr>
          <w:p>
            <w:pPr>
              <w:pStyle w:val="TableParagraph"/>
              <w:ind w:left="100" w:right="404"/>
              <w:rPr>
                <w:sz w:val="16"/>
              </w:rPr>
            </w:pPr>
            <w:r>
              <w:rPr>
                <w:sz w:val="16"/>
              </w:rPr>
              <w:t>La aplicación de componentes o agentes utilizados para disminuir la infección dental.</w:t>
            </w:r>
          </w:p>
        </w:tc>
        <w:tc>
          <w:tcPr>
            <w:tcW w:w="1423" w:type="dxa"/>
            <w:shd w:val="clear" w:color="auto" w:fill="C2D59B"/>
          </w:tcPr>
          <w:p>
            <w:pPr>
              <w:pStyle w:val="TableParagraph"/>
              <w:ind w:left="100" w:right="137"/>
              <w:rPr>
                <w:sz w:val="16"/>
              </w:rPr>
            </w:pPr>
            <w:r>
              <w:rPr>
                <w:sz w:val="16"/>
              </w:rPr>
              <w:t>Clorhexidina al 1% Cervitec ® en aplicaciones Gel de Fluoruro de Sodio al 0.02</w:t>
            </w:r>
          </w:p>
          <w:p>
            <w:pPr>
              <w:pStyle w:val="TableParagraph"/>
              <w:spacing w:before="1"/>
              <w:ind w:left="100" w:right="413"/>
              <w:rPr>
                <w:sz w:val="16"/>
              </w:rPr>
            </w:pPr>
            <w:r>
              <w:rPr>
                <w:sz w:val="16"/>
              </w:rPr>
              <w:t>% en aplicaciones</w:t>
            </w:r>
          </w:p>
        </w:tc>
        <w:tc>
          <w:tcPr>
            <w:tcW w:w="1174" w:type="dxa"/>
            <w:shd w:val="clear" w:color="auto" w:fill="C2D59B"/>
          </w:tcPr>
          <w:p>
            <w:pPr>
              <w:pStyle w:val="TableParagraph"/>
              <w:spacing w:line="182" w:lineRule="exact" w:before="1"/>
              <w:ind w:right="196"/>
              <w:rPr>
                <w:sz w:val="16"/>
              </w:rPr>
            </w:pPr>
            <w:r>
              <w:rPr>
                <w:sz w:val="16"/>
              </w:rPr>
              <w:t>Cuantitativa discreta</w:t>
            </w:r>
          </w:p>
        </w:tc>
        <w:tc>
          <w:tcPr>
            <w:tcW w:w="1411" w:type="dxa"/>
            <w:shd w:val="clear" w:color="auto" w:fill="C2D59B"/>
          </w:tcPr>
          <w:p>
            <w:pPr>
              <w:pStyle w:val="TableParagraph"/>
              <w:ind w:left="100" w:right="258"/>
              <w:rPr>
                <w:sz w:val="16"/>
              </w:rPr>
            </w:pPr>
            <w:r>
              <w:rPr>
                <w:sz w:val="16"/>
              </w:rPr>
              <w:t>Mililitros de clorhexidina al 1% por aplicación.</w:t>
            </w:r>
          </w:p>
          <w:p>
            <w:pPr>
              <w:pStyle w:val="TableParagraph"/>
              <w:ind w:left="100" w:right="481"/>
              <w:rPr>
                <w:sz w:val="16"/>
              </w:rPr>
            </w:pPr>
            <w:r>
              <w:rPr>
                <w:sz w:val="16"/>
              </w:rPr>
              <w:t>Mililitros de fluoruro   al</w:t>
            </w:r>
          </w:p>
          <w:p>
            <w:pPr>
              <w:pStyle w:val="TableParagraph"/>
              <w:spacing w:before="1"/>
              <w:ind w:left="100" w:right="258"/>
              <w:rPr>
                <w:sz w:val="16"/>
              </w:rPr>
            </w:pPr>
            <w:r>
              <w:rPr>
                <w:sz w:val="16"/>
              </w:rPr>
              <w:t>.02%,</w:t>
            </w:r>
          </w:p>
        </w:tc>
        <w:tc>
          <w:tcPr>
            <w:tcW w:w="2257" w:type="dxa"/>
            <w:shd w:val="clear" w:color="auto" w:fill="C2D59B"/>
          </w:tcPr>
          <w:p>
            <w:pPr>
              <w:pStyle w:val="TableParagraph"/>
              <w:ind w:right="274"/>
              <w:rPr>
                <w:sz w:val="16"/>
              </w:rPr>
            </w:pPr>
            <w:r>
              <w:rPr>
                <w:sz w:val="16"/>
              </w:rPr>
              <w:t>4 aplicaciones de clorhexidina, con intervalo de un mes</w:t>
            </w:r>
          </w:p>
          <w:p>
            <w:pPr>
              <w:pStyle w:val="TableParagraph"/>
              <w:spacing w:before="1"/>
              <w:ind w:right="211"/>
              <w:rPr>
                <w:sz w:val="16"/>
              </w:rPr>
            </w:pPr>
            <w:r>
              <w:rPr>
                <w:sz w:val="16"/>
              </w:rPr>
              <w:t>12 aplicaciones de fluoruro con intervalo de una semana.</w:t>
            </w:r>
          </w:p>
        </w:tc>
      </w:tr>
      <w:tr>
        <w:trPr>
          <w:trHeight w:val="930" w:hRule="exact"/>
        </w:trPr>
        <w:tc>
          <w:tcPr>
            <w:tcW w:w="1704" w:type="dxa"/>
            <w:shd w:val="clear" w:color="auto" w:fill="C2D59B"/>
          </w:tcPr>
          <w:p>
            <w:pPr>
              <w:pStyle w:val="TableParagraph"/>
              <w:spacing w:line="179" w:lineRule="exact"/>
              <w:ind w:right="149"/>
              <w:rPr>
                <w:b/>
                <w:sz w:val="16"/>
              </w:rPr>
            </w:pPr>
            <w:r>
              <w:rPr>
                <w:b/>
                <w:sz w:val="16"/>
              </w:rPr>
              <w:t>PH Salival</w:t>
            </w:r>
          </w:p>
        </w:tc>
        <w:tc>
          <w:tcPr>
            <w:tcW w:w="1815" w:type="dxa"/>
            <w:shd w:val="clear" w:color="auto" w:fill="C2D59B"/>
          </w:tcPr>
          <w:p>
            <w:pPr>
              <w:pStyle w:val="TableParagraph"/>
              <w:ind w:left="100" w:right="106"/>
              <w:rPr>
                <w:rFonts w:ascii="Calibri" w:hAnsi="Calibri"/>
                <w:sz w:val="16"/>
              </w:rPr>
            </w:pPr>
            <w:r>
              <w:rPr>
                <w:rFonts w:ascii="Calibri" w:hAnsi="Calibri"/>
                <w:sz w:val="16"/>
              </w:rPr>
              <w:t>Escala que representa la acidez relativa (o alcalinidad de una solución)(59)</w:t>
            </w:r>
          </w:p>
        </w:tc>
        <w:tc>
          <w:tcPr>
            <w:tcW w:w="1423" w:type="dxa"/>
            <w:shd w:val="clear" w:color="auto" w:fill="C2D59B"/>
          </w:tcPr>
          <w:p>
            <w:pPr>
              <w:pStyle w:val="TableParagraph"/>
              <w:ind w:left="100" w:right="101"/>
              <w:rPr>
                <w:rFonts w:ascii="Calibri"/>
                <w:sz w:val="16"/>
              </w:rPr>
            </w:pPr>
            <w:r>
              <w:rPr>
                <w:rFonts w:ascii="Calibri"/>
                <w:sz w:val="16"/>
              </w:rPr>
              <w:t>Grado de acidez y alcalinidad de la saliva</w:t>
            </w:r>
          </w:p>
        </w:tc>
        <w:tc>
          <w:tcPr>
            <w:tcW w:w="1174" w:type="dxa"/>
            <w:shd w:val="clear" w:color="auto" w:fill="C2D59B"/>
          </w:tcPr>
          <w:p>
            <w:pPr>
              <w:pStyle w:val="TableParagraph"/>
              <w:spacing w:line="182" w:lineRule="exact" w:before="2"/>
              <w:ind w:right="196"/>
              <w:rPr>
                <w:sz w:val="16"/>
              </w:rPr>
            </w:pPr>
            <w:r>
              <w:rPr>
                <w:sz w:val="16"/>
              </w:rPr>
              <w:t>Cuantitativa continua</w:t>
            </w:r>
          </w:p>
        </w:tc>
        <w:tc>
          <w:tcPr>
            <w:tcW w:w="1411" w:type="dxa"/>
            <w:shd w:val="clear" w:color="auto" w:fill="C2D59B"/>
          </w:tcPr>
          <w:p>
            <w:pPr>
              <w:pStyle w:val="TableParagraph"/>
              <w:ind w:left="100" w:right="187"/>
              <w:rPr>
                <w:sz w:val="16"/>
              </w:rPr>
            </w:pPr>
            <w:r>
              <w:rPr>
                <w:sz w:val="16"/>
              </w:rPr>
              <w:t>Cantidad de Iones Hidrógeno traducido a un valor numérico.</w:t>
            </w:r>
          </w:p>
        </w:tc>
        <w:tc>
          <w:tcPr>
            <w:tcW w:w="2257" w:type="dxa"/>
            <w:shd w:val="clear" w:color="auto" w:fill="C2D59B"/>
          </w:tcPr>
          <w:p>
            <w:pPr>
              <w:pStyle w:val="TableParagraph"/>
              <w:numPr>
                <w:ilvl w:val="0"/>
                <w:numId w:val="12"/>
              </w:numPr>
              <w:tabs>
                <w:tab w:pos="265" w:val="left" w:leader="none"/>
              </w:tabs>
              <w:spacing w:line="240" w:lineRule="auto" w:before="3" w:after="0"/>
              <w:ind w:left="264" w:right="0" w:hanging="161"/>
              <w:jc w:val="left"/>
              <w:rPr>
                <w:rFonts w:ascii="Verdana"/>
                <w:sz w:val="16"/>
              </w:rPr>
            </w:pPr>
            <w:r>
              <w:rPr>
                <w:rFonts w:ascii="Verdana"/>
                <w:sz w:val="16"/>
              </w:rPr>
              <w:t>a 5.5</w:t>
            </w:r>
            <w:r>
              <w:rPr>
                <w:rFonts w:ascii="Verdana"/>
                <w:spacing w:val="-6"/>
                <w:sz w:val="16"/>
              </w:rPr>
              <w:t> </w:t>
            </w:r>
            <w:r>
              <w:rPr>
                <w:rFonts w:ascii="Verdana"/>
                <w:sz w:val="16"/>
              </w:rPr>
              <w:t>acido</w:t>
            </w:r>
          </w:p>
          <w:p>
            <w:pPr>
              <w:pStyle w:val="TableParagraph"/>
              <w:numPr>
                <w:ilvl w:val="0"/>
                <w:numId w:val="12"/>
              </w:numPr>
              <w:tabs>
                <w:tab w:pos="264" w:val="left" w:leader="none"/>
              </w:tabs>
              <w:spacing w:line="240" w:lineRule="auto" w:before="0" w:after="0"/>
              <w:ind w:left="263" w:right="0" w:hanging="160"/>
              <w:jc w:val="left"/>
              <w:rPr>
                <w:rFonts w:ascii="Verdana"/>
                <w:sz w:val="16"/>
              </w:rPr>
            </w:pPr>
            <w:r>
              <w:rPr>
                <w:rFonts w:ascii="Verdana"/>
                <w:sz w:val="16"/>
              </w:rPr>
              <w:t>neutro</w:t>
            </w:r>
          </w:p>
          <w:p>
            <w:pPr>
              <w:pStyle w:val="TableParagraph"/>
              <w:ind w:right="105"/>
              <w:rPr>
                <w:rFonts w:ascii="Verdana"/>
                <w:sz w:val="16"/>
              </w:rPr>
            </w:pPr>
            <w:r>
              <w:rPr>
                <w:rFonts w:ascii="Verdana"/>
                <w:sz w:val="16"/>
              </w:rPr>
              <w:t>6.5 alcalino</w:t>
            </w:r>
          </w:p>
        </w:tc>
      </w:tr>
      <w:tr>
        <w:trPr>
          <w:trHeight w:val="792" w:hRule="exact"/>
        </w:trPr>
        <w:tc>
          <w:tcPr>
            <w:tcW w:w="1704" w:type="dxa"/>
            <w:shd w:val="clear" w:color="auto" w:fill="C2D59B"/>
          </w:tcPr>
          <w:p>
            <w:pPr>
              <w:pStyle w:val="TableParagraph"/>
              <w:ind w:right="460"/>
              <w:rPr>
                <w:b/>
                <w:i/>
                <w:sz w:val="16"/>
              </w:rPr>
            </w:pPr>
            <w:r>
              <w:rPr>
                <w:b/>
                <w:i/>
                <w:sz w:val="16"/>
              </w:rPr>
              <w:t>Streptococcus </w:t>
            </w:r>
            <w:r>
              <w:rPr>
                <w:b/>
                <w:i/>
                <w:sz w:val="16"/>
              </w:rPr>
              <w:t>mutans</w:t>
            </w:r>
          </w:p>
        </w:tc>
        <w:tc>
          <w:tcPr>
            <w:tcW w:w="1815" w:type="dxa"/>
            <w:shd w:val="clear" w:color="auto" w:fill="C2D59B"/>
          </w:tcPr>
          <w:p>
            <w:pPr>
              <w:pStyle w:val="TableParagraph"/>
              <w:ind w:left="100" w:right="115"/>
              <w:rPr>
                <w:rFonts w:ascii="Calibri" w:hAnsi="Calibri"/>
                <w:sz w:val="16"/>
              </w:rPr>
            </w:pPr>
            <w:r>
              <w:rPr>
                <w:rFonts w:ascii="Calibri" w:hAnsi="Calibri"/>
                <w:sz w:val="16"/>
              </w:rPr>
              <w:t>Bacterias gran positivas, al cual se le atribuye la formación de caries(60)</w:t>
            </w:r>
          </w:p>
        </w:tc>
        <w:tc>
          <w:tcPr>
            <w:tcW w:w="1423" w:type="dxa"/>
            <w:shd w:val="clear" w:color="auto" w:fill="C2D59B"/>
          </w:tcPr>
          <w:p>
            <w:pPr>
              <w:pStyle w:val="TableParagraph"/>
              <w:ind w:left="100" w:right="330"/>
              <w:rPr>
                <w:rFonts w:ascii="Calibri" w:hAnsi="Calibri"/>
                <w:sz w:val="16"/>
              </w:rPr>
            </w:pPr>
            <w:r>
              <w:rPr>
                <w:rFonts w:ascii="Calibri" w:hAnsi="Calibri"/>
                <w:sz w:val="16"/>
              </w:rPr>
              <w:t>Cuenta de bacterias en cultivo microbiológico</w:t>
            </w:r>
          </w:p>
        </w:tc>
        <w:tc>
          <w:tcPr>
            <w:tcW w:w="1174" w:type="dxa"/>
            <w:shd w:val="clear" w:color="auto" w:fill="C2D59B"/>
          </w:tcPr>
          <w:p>
            <w:pPr>
              <w:pStyle w:val="TableParagraph"/>
              <w:ind w:right="196"/>
              <w:rPr>
                <w:sz w:val="16"/>
              </w:rPr>
            </w:pPr>
            <w:r>
              <w:rPr>
                <w:sz w:val="16"/>
              </w:rPr>
              <w:t>Cuantitativa Continua</w:t>
            </w:r>
          </w:p>
        </w:tc>
        <w:tc>
          <w:tcPr>
            <w:tcW w:w="1411" w:type="dxa"/>
            <w:shd w:val="clear" w:color="auto" w:fill="C2D59B"/>
          </w:tcPr>
          <w:p>
            <w:pPr>
              <w:pStyle w:val="TableParagraph"/>
              <w:ind w:left="100" w:right="472" w:firstLine="45"/>
              <w:rPr>
                <w:sz w:val="16"/>
              </w:rPr>
            </w:pPr>
            <w:r>
              <w:rPr>
                <w:sz w:val="16"/>
              </w:rPr>
              <w:t>UFC/ml de saliva</w:t>
            </w:r>
          </w:p>
        </w:tc>
        <w:tc>
          <w:tcPr>
            <w:tcW w:w="2257" w:type="dxa"/>
            <w:shd w:val="clear" w:color="auto" w:fill="C2D59B"/>
          </w:tcPr>
          <w:p>
            <w:pPr>
              <w:pStyle w:val="TableParagraph"/>
              <w:spacing w:line="180" w:lineRule="exact"/>
              <w:ind w:right="105"/>
              <w:rPr>
                <w:sz w:val="16"/>
              </w:rPr>
            </w:pPr>
            <w:r>
              <w:rPr>
                <w:sz w:val="16"/>
              </w:rPr>
              <w:t>-&lt; 100 000 UFC / mL</w:t>
            </w:r>
          </w:p>
          <w:p>
            <w:pPr>
              <w:pStyle w:val="TableParagraph"/>
              <w:spacing w:line="183" w:lineRule="exact"/>
              <w:ind w:right="105"/>
              <w:rPr>
                <w:sz w:val="16"/>
              </w:rPr>
            </w:pPr>
            <w:r>
              <w:rPr>
                <w:sz w:val="16"/>
              </w:rPr>
              <w:t>(bajo)</w:t>
            </w:r>
          </w:p>
          <w:p>
            <w:pPr>
              <w:pStyle w:val="TableParagraph"/>
              <w:spacing w:line="183" w:lineRule="exact"/>
              <w:ind w:right="105"/>
              <w:rPr>
                <w:sz w:val="16"/>
              </w:rPr>
            </w:pPr>
            <w:r>
              <w:rPr>
                <w:sz w:val="16"/>
              </w:rPr>
              <w:t>- &gt;1000 000 UFC/ mL</w:t>
            </w:r>
          </w:p>
          <w:p>
            <w:pPr>
              <w:pStyle w:val="TableParagraph"/>
              <w:spacing w:before="1"/>
              <w:ind w:right="105"/>
              <w:rPr>
                <w:sz w:val="16"/>
              </w:rPr>
            </w:pPr>
            <w:r>
              <w:rPr>
                <w:sz w:val="16"/>
              </w:rPr>
              <w:t>(alto)</w:t>
            </w:r>
          </w:p>
        </w:tc>
      </w:tr>
    </w:tbl>
    <w:p>
      <w:pPr>
        <w:spacing w:after="0"/>
        <w:rPr>
          <w:sz w:val="16"/>
        </w:rPr>
        <w:sectPr>
          <w:pgSz w:w="12240" w:h="15840"/>
          <w:pgMar w:header="729" w:footer="1003" w:top="1180" w:bottom="1200" w:left="1160" w:right="1020"/>
        </w:sectPr>
      </w:pPr>
    </w:p>
    <w:p>
      <w:pPr>
        <w:pStyle w:val="BodyText"/>
        <w:spacing w:before="2"/>
        <w:rPr>
          <w:b/>
          <w:sz w:val="13"/>
        </w:rPr>
      </w:pPr>
    </w:p>
    <w:p>
      <w:pPr>
        <w:spacing w:before="69"/>
        <w:ind w:left="162" w:right="158" w:firstLine="0"/>
        <w:jc w:val="left"/>
        <w:rPr>
          <w:b/>
          <w:sz w:val="24"/>
        </w:rPr>
      </w:pPr>
      <w:r>
        <w:rPr>
          <w:b/>
          <w:sz w:val="24"/>
        </w:rPr>
        <w:t>Variable dependiente</w:t>
      </w:r>
    </w:p>
    <w:p>
      <w:pPr>
        <w:pStyle w:val="BodyText"/>
        <w:spacing w:before="1"/>
        <w:rPr>
          <w:b/>
          <w:sz w:val="21"/>
        </w:rPr>
      </w:pPr>
    </w:p>
    <w:p>
      <w:pPr>
        <w:pStyle w:val="ListParagraph"/>
        <w:numPr>
          <w:ilvl w:val="0"/>
          <w:numId w:val="11"/>
        </w:numPr>
        <w:tabs>
          <w:tab w:pos="881" w:val="left" w:leader="none"/>
          <w:tab w:pos="882" w:val="left" w:leader="none"/>
        </w:tabs>
        <w:spacing w:line="240" w:lineRule="auto" w:before="0" w:after="0"/>
        <w:ind w:left="882" w:right="0" w:hanging="360"/>
        <w:jc w:val="left"/>
        <w:rPr>
          <w:sz w:val="24"/>
        </w:rPr>
      </w:pPr>
      <w:r>
        <w:rPr>
          <w:sz w:val="24"/>
        </w:rPr>
        <w:t>Caries</w:t>
      </w:r>
    </w:p>
    <w:p>
      <w:pPr>
        <w:pStyle w:val="BodyText"/>
        <w:rPr>
          <w:sz w:val="21"/>
        </w:rPr>
      </w:pPr>
    </w:p>
    <w:p>
      <w:pPr>
        <w:pStyle w:val="Heading6"/>
        <w:spacing w:before="1"/>
        <w:ind w:left="162" w:right="158"/>
      </w:pPr>
      <w:r>
        <w:rPr/>
        <w:t>Variable independiente</w:t>
      </w:r>
    </w:p>
    <w:p>
      <w:pPr>
        <w:pStyle w:val="BodyText"/>
        <w:spacing w:before="10"/>
        <w:rPr>
          <w:b/>
          <w:sz w:val="20"/>
        </w:rPr>
      </w:pPr>
    </w:p>
    <w:p>
      <w:pPr>
        <w:pStyle w:val="ListParagraph"/>
        <w:numPr>
          <w:ilvl w:val="0"/>
          <w:numId w:val="11"/>
        </w:numPr>
        <w:tabs>
          <w:tab w:pos="881" w:val="left" w:leader="none"/>
          <w:tab w:pos="882" w:val="left" w:leader="none"/>
        </w:tabs>
        <w:spacing w:line="240" w:lineRule="auto" w:before="0" w:after="0"/>
        <w:ind w:left="882" w:right="0" w:hanging="360"/>
        <w:jc w:val="left"/>
        <w:rPr>
          <w:sz w:val="24"/>
        </w:rPr>
      </w:pPr>
      <w:r>
        <w:rPr>
          <w:sz w:val="24"/>
        </w:rPr>
        <w:t>Edad</w:t>
      </w:r>
    </w:p>
    <w:p>
      <w:pPr>
        <w:pStyle w:val="ListParagraph"/>
        <w:numPr>
          <w:ilvl w:val="0"/>
          <w:numId w:val="11"/>
        </w:numPr>
        <w:tabs>
          <w:tab w:pos="881" w:val="left" w:leader="none"/>
          <w:tab w:pos="882" w:val="left" w:leader="none"/>
        </w:tabs>
        <w:spacing w:line="240" w:lineRule="auto" w:before="41" w:after="0"/>
        <w:ind w:left="882" w:right="0" w:hanging="360"/>
        <w:jc w:val="left"/>
        <w:rPr>
          <w:sz w:val="24"/>
        </w:rPr>
      </w:pPr>
      <w:r>
        <w:rPr>
          <w:sz w:val="24"/>
        </w:rPr>
        <w:t>Dieta</w:t>
      </w:r>
    </w:p>
    <w:p>
      <w:pPr>
        <w:pStyle w:val="ListParagraph"/>
        <w:numPr>
          <w:ilvl w:val="0"/>
          <w:numId w:val="11"/>
        </w:numPr>
        <w:tabs>
          <w:tab w:pos="881" w:val="left" w:leader="none"/>
          <w:tab w:pos="882" w:val="left" w:leader="none"/>
        </w:tabs>
        <w:spacing w:line="240" w:lineRule="auto" w:before="43" w:after="0"/>
        <w:ind w:left="882" w:right="0" w:hanging="360"/>
        <w:jc w:val="left"/>
        <w:rPr>
          <w:sz w:val="24"/>
        </w:rPr>
      </w:pPr>
      <w:r>
        <w:rPr>
          <w:sz w:val="24"/>
        </w:rPr>
        <w:t>Aplicaciones de</w:t>
      </w:r>
      <w:r>
        <w:rPr>
          <w:spacing w:val="-8"/>
          <w:sz w:val="24"/>
        </w:rPr>
        <w:t> </w:t>
      </w:r>
      <w:r>
        <w:rPr>
          <w:sz w:val="24"/>
        </w:rPr>
        <w:t>Clorhexidina</w:t>
      </w:r>
    </w:p>
    <w:p>
      <w:pPr>
        <w:pStyle w:val="ListParagraph"/>
        <w:numPr>
          <w:ilvl w:val="0"/>
          <w:numId w:val="11"/>
        </w:numPr>
        <w:tabs>
          <w:tab w:pos="881" w:val="left" w:leader="none"/>
          <w:tab w:pos="882" w:val="left" w:leader="none"/>
        </w:tabs>
        <w:spacing w:line="240" w:lineRule="auto" w:before="41" w:after="0"/>
        <w:ind w:left="882" w:right="0" w:hanging="360"/>
        <w:jc w:val="left"/>
        <w:rPr>
          <w:sz w:val="24"/>
        </w:rPr>
      </w:pPr>
      <w:r>
        <w:rPr>
          <w:sz w:val="24"/>
        </w:rPr>
        <w:t>Aplicaciones de</w:t>
      </w:r>
      <w:r>
        <w:rPr>
          <w:spacing w:val="-3"/>
          <w:sz w:val="24"/>
        </w:rPr>
        <w:t> </w:t>
      </w:r>
      <w:r>
        <w:rPr>
          <w:sz w:val="24"/>
        </w:rPr>
        <w:t>flúor</w:t>
      </w:r>
    </w:p>
    <w:p>
      <w:pPr>
        <w:pStyle w:val="ListParagraph"/>
        <w:numPr>
          <w:ilvl w:val="0"/>
          <w:numId w:val="11"/>
        </w:numPr>
        <w:tabs>
          <w:tab w:pos="881" w:val="left" w:leader="none"/>
          <w:tab w:pos="882" w:val="left" w:leader="none"/>
        </w:tabs>
        <w:spacing w:line="240" w:lineRule="auto" w:before="41" w:after="0"/>
        <w:ind w:left="882" w:right="0" w:hanging="360"/>
        <w:jc w:val="left"/>
        <w:rPr>
          <w:sz w:val="24"/>
        </w:rPr>
      </w:pPr>
      <w:r>
        <w:rPr>
          <w:sz w:val="24"/>
        </w:rPr>
        <w:t>pH</w:t>
      </w:r>
      <w:r>
        <w:rPr>
          <w:spacing w:val="-5"/>
          <w:sz w:val="24"/>
        </w:rPr>
        <w:t> </w:t>
      </w:r>
      <w:r>
        <w:rPr>
          <w:sz w:val="24"/>
        </w:rPr>
        <w:t>salival</w:t>
      </w:r>
    </w:p>
    <w:p>
      <w:pPr>
        <w:pStyle w:val="ListParagraph"/>
        <w:numPr>
          <w:ilvl w:val="0"/>
          <w:numId w:val="11"/>
        </w:numPr>
        <w:tabs>
          <w:tab w:pos="881" w:val="left" w:leader="none"/>
          <w:tab w:pos="882" w:val="left" w:leader="none"/>
        </w:tabs>
        <w:spacing w:line="240" w:lineRule="auto" w:before="38" w:after="0"/>
        <w:ind w:left="882" w:right="0" w:hanging="360"/>
        <w:jc w:val="left"/>
        <w:rPr>
          <w:i/>
          <w:sz w:val="24"/>
        </w:rPr>
      </w:pPr>
      <w:r>
        <w:rPr>
          <w:i/>
          <w:sz w:val="24"/>
        </w:rPr>
        <w:t>Streptococcus</w:t>
      </w:r>
      <w:r>
        <w:rPr>
          <w:i/>
          <w:spacing w:val="-7"/>
          <w:sz w:val="24"/>
        </w:rPr>
        <w:t> </w:t>
      </w:r>
      <w:r>
        <w:rPr>
          <w:i/>
          <w:sz w:val="24"/>
        </w:rPr>
        <w:t>mutans</w:t>
      </w:r>
    </w:p>
    <w:p>
      <w:pPr>
        <w:pStyle w:val="BodyText"/>
        <w:rPr>
          <w:i/>
        </w:rPr>
      </w:pPr>
    </w:p>
    <w:p>
      <w:pPr>
        <w:pStyle w:val="BodyText"/>
        <w:rPr>
          <w:i/>
        </w:rPr>
      </w:pPr>
    </w:p>
    <w:p>
      <w:pPr>
        <w:pStyle w:val="BodyText"/>
        <w:spacing w:before="11"/>
        <w:rPr>
          <w:i/>
        </w:rPr>
      </w:pPr>
    </w:p>
    <w:p>
      <w:pPr>
        <w:pStyle w:val="Heading4"/>
        <w:numPr>
          <w:ilvl w:val="1"/>
          <w:numId w:val="7"/>
        </w:numPr>
        <w:tabs>
          <w:tab w:pos="707" w:val="left" w:leader="none"/>
        </w:tabs>
        <w:spacing w:line="240" w:lineRule="auto" w:before="0" w:after="0"/>
        <w:ind w:left="706" w:right="0" w:hanging="544"/>
        <w:jc w:val="left"/>
      </w:pPr>
      <w:bookmarkStart w:name="_TOC_250011" w:id="29"/>
      <w:r>
        <w:rPr/>
        <w:t>Materiales y</w:t>
      </w:r>
      <w:r>
        <w:rPr>
          <w:spacing w:val="-8"/>
        </w:rPr>
        <w:t> </w:t>
      </w:r>
      <w:bookmarkEnd w:id="29"/>
      <w:r>
        <w:rPr/>
        <w:t>método</w:t>
      </w:r>
    </w:p>
    <w:p>
      <w:pPr>
        <w:pStyle w:val="BodyText"/>
        <w:rPr>
          <w:b/>
          <w:sz w:val="28"/>
        </w:rPr>
      </w:pPr>
    </w:p>
    <w:p>
      <w:pPr>
        <w:pStyle w:val="Heading4"/>
        <w:numPr>
          <w:ilvl w:val="2"/>
          <w:numId w:val="7"/>
        </w:numPr>
        <w:tabs>
          <w:tab w:pos="863" w:val="left" w:leader="none"/>
        </w:tabs>
        <w:spacing w:line="240" w:lineRule="auto" w:before="208" w:after="0"/>
        <w:ind w:left="862" w:right="0" w:hanging="700"/>
        <w:jc w:val="left"/>
      </w:pPr>
      <w:bookmarkStart w:name="_TOC_250010" w:id="30"/>
      <w:bookmarkEnd w:id="30"/>
      <w:r>
        <w:rPr/>
        <w:t>Materiales.</w:t>
      </w:r>
    </w:p>
    <w:p>
      <w:pPr>
        <w:pStyle w:val="BodyText"/>
        <w:rPr>
          <w:b/>
          <w:sz w:val="28"/>
        </w:rPr>
      </w:pPr>
    </w:p>
    <w:p>
      <w:pPr>
        <w:pStyle w:val="ListParagraph"/>
        <w:numPr>
          <w:ilvl w:val="3"/>
          <w:numId w:val="7"/>
        </w:numPr>
        <w:tabs>
          <w:tab w:pos="1233" w:val="left" w:leader="none"/>
        </w:tabs>
        <w:spacing w:line="240" w:lineRule="auto" w:before="236" w:after="0"/>
        <w:ind w:left="1232" w:right="0" w:hanging="360"/>
        <w:jc w:val="left"/>
        <w:rPr>
          <w:sz w:val="24"/>
        </w:rPr>
      </w:pPr>
      <w:r>
        <w:rPr>
          <w:sz w:val="24"/>
        </w:rPr>
        <w:t>Guantes de latex  (Ambidem</w:t>
      </w:r>
      <w:r>
        <w:rPr>
          <w:spacing w:val="60"/>
          <w:sz w:val="24"/>
        </w:rPr>
        <w:t> </w:t>
      </w:r>
      <w:r>
        <w:rPr>
          <w:sz w:val="24"/>
        </w:rPr>
        <w:t>Plus)</w:t>
      </w:r>
    </w:p>
    <w:p>
      <w:pPr>
        <w:pStyle w:val="ListParagraph"/>
        <w:numPr>
          <w:ilvl w:val="3"/>
          <w:numId w:val="7"/>
        </w:numPr>
        <w:tabs>
          <w:tab w:pos="1233" w:val="left" w:leader="none"/>
        </w:tabs>
        <w:spacing w:line="240" w:lineRule="auto" w:before="43" w:after="0"/>
        <w:ind w:left="1232" w:right="0" w:hanging="360"/>
        <w:jc w:val="left"/>
        <w:rPr>
          <w:sz w:val="24"/>
        </w:rPr>
      </w:pPr>
      <w:r>
        <w:rPr>
          <w:sz w:val="24"/>
        </w:rPr>
        <w:t>Cubrebocas  (Borgata</w:t>
      </w:r>
      <w:r>
        <w:rPr>
          <w:spacing w:val="-6"/>
          <w:sz w:val="24"/>
        </w:rPr>
        <w:t> </w:t>
      </w:r>
      <w:r>
        <w:rPr>
          <w:sz w:val="24"/>
        </w:rPr>
        <w:t>Protec)</w:t>
      </w:r>
    </w:p>
    <w:p>
      <w:pPr>
        <w:pStyle w:val="ListParagraph"/>
        <w:numPr>
          <w:ilvl w:val="3"/>
          <w:numId w:val="7"/>
        </w:numPr>
        <w:tabs>
          <w:tab w:pos="1299" w:val="left" w:leader="none"/>
          <w:tab w:pos="1300" w:val="left" w:leader="none"/>
        </w:tabs>
        <w:spacing w:line="240" w:lineRule="auto" w:before="41" w:after="0"/>
        <w:ind w:left="1299" w:right="0" w:hanging="427"/>
        <w:jc w:val="left"/>
        <w:rPr>
          <w:sz w:val="24"/>
        </w:rPr>
      </w:pPr>
      <w:r>
        <w:rPr>
          <w:sz w:val="24"/>
        </w:rPr>
        <w:t>Hisopos (Johnson &amp;</w:t>
      </w:r>
      <w:r>
        <w:rPr>
          <w:spacing w:val="-10"/>
          <w:sz w:val="24"/>
        </w:rPr>
        <w:t> </w:t>
      </w:r>
      <w:r>
        <w:rPr>
          <w:sz w:val="24"/>
        </w:rPr>
        <w:t>Johnson)</w:t>
      </w:r>
    </w:p>
    <w:p>
      <w:pPr>
        <w:pStyle w:val="ListParagraph"/>
        <w:numPr>
          <w:ilvl w:val="3"/>
          <w:numId w:val="7"/>
        </w:numPr>
        <w:tabs>
          <w:tab w:pos="1299" w:val="left" w:leader="none"/>
          <w:tab w:pos="1300" w:val="left" w:leader="none"/>
        </w:tabs>
        <w:spacing w:line="240" w:lineRule="auto" w:before="41" w:after="0"/>
        <w:ind w:left="1299" w:right="0" w:hanging="427"/>
        <w:jc w:val="left"/>
        <w:rPr>
          <w:sz w:val="24"/>
        </w:rPr>
      </w:pPr>
      <w:r>
        <w:rPr>
          <w:sz w:val="24"/>
        </w:rPr>
        <w:t>Abatelenguas de</w:t>
      </w:r>
      <w:r>
        <w:rPr>
          <w:spacing w:val="-7"/>
          <w:sz w:val="24"/>
        </w:rPr>
        <w:t> </w:t>
      </w:r>
      <w:r>
        <w:rPr>
          <w:sz w:val="24"/>
        </w:rPr>
        <w:t>madera</w:t>
      </w:r>
    </w:p>
    <w:p>
      <w:pPr>
        <w:pStyle w:val="ListParagraph"/>
        <w:numPr>
          <w:ilvl w:val="3"/>
          <w:numId w:val="7"/>
        </w:numPr>
        <w:tabs>
          <w:tab w:pos="1233" w:val="left" w:leader="none"/>
        </w:tabs>
        <w:spacing w:line="240" w:lineRule="auto" w:before="41" w:after="0"/>
        <w:ind w:left="1232" w:right="0" w:hanging="360"/>
        <w:jc w:val="left"/>
        <w:rPr>
          <w:sz w:val="24"/>
        </w:rPr>
      </w:pPr>
      <w:r>
        <w:rPr>
          <w:sz w:val="24"/>
        </w:rPr>
        <w:t>Gasas estériles</w:t>
      </w:r>
      <w:r>
        <w:rPr>
          <w:spacing w:val="-5"/>
          <w:sz w:val="24"/>
        </w:rPr>
        <w:t> </w:t>
      </w:r>
      <w:r>
        <w:rPr>
          <w:sz w:val="24"/>
        </w:rPr>
        <w:t>(Medicom)</w:t>
      </w:r>
    </w:p>
    <w:p>
      <w:pPr>
        <w:pStyle w:val="ListParagraph"/>
        <w:numPr>
          <w:ilvl w:val="3"/>
          <w:numId w:val="7"/>
        </w:numPr>
        <w:tabs>
          <w:tab w:pos="1299" w:val="left" w:leader="none"/>
          <w:tab w:pos="1300" w:val="left" w:leader="none"/>
        </w:tabs>
        <w:spacing w:line="240" w:lineRule="auto" w:before="43" w:after="0"/>
        <w:ind w:left="1299" w:right="0" w:hanging="427"/>
        <w:jc w:val="left"/>
        <w:rPr>
          <w:sz w:val="24"/>
        </w:rPr>
      </w:pPr>
      <w:r>
        <w:rPr>
          <w:sz w:val="24"/>
        </w:rPr>
        <w:t>Solución de agua  bidestilada (Farmacia</w:t>
      </w:r>
      <w:r>
        <w:rPr>
          <w:spacing w:val="-12"/>
          <w:sz w:val="24"/>
        </w:rPr>
        <w:t> </w:t>
      </w:r>
      <w:r>
        <w:rPr>
          <w:sz w:val="24"/>
        </w:rPr>
        <w:t>Vitro)</w:t>
      </w:r>
    </w:p>
    <w:p>
      <w:pPr>
        <w:pStyle w:val="ListParagraph"/>
        <w:numPr>
          <w:ilvl w:val="3"/>
          <w:numId w:val="7"/>
        </w:numPr>
        <w:tabs>
          <w:tab w:pos="1299" w:val="left" w:leader="none"/>
          <w:tab w:pos="1300" w:val="left" w:leader="none"/>
        </w:tabs>
        <w:spacing w:line="240" w:lineRule="auto" w:before="41" w:after="0"/>
        <w:ind w:left="1299" w:right="0" w:hanging="427"/>
        <w:jc w:val="left"/>
        <w:rPr>
          <w:sz w:val="24"/>
        </w:rPr>
      </w:pPr>
      <w:r>
        <w:rPr>
          <w:sz w:val="24"/>
        </w:rPr>
        <w:t>Agua oxigenada (Laboratorio</w:t>
      </w:r>
      <w:r>
        <w:rPr>
          <w:spacing w:val="-11"/>
          <w:sz w:val="24"/>
        </w:rPr>
        <w:t> </w:t>
      </w:r>
      <w:r>
        <w:rPr>
          <w:sz w:val="24"/>
        </w:rPr>
        <w:t>Azteca)</w:t>
      </w:r>
    </w:p>
    <w:p>
      <w:pPr>
        <w:pStyle w:val="ListParagraph"/>
        <w:numPr>
          <w:ilvl w:val="3"/>
          <w:numId w:val="7"/>
        </w:numPr>
        <w:tabs>
          <w:tab w:pos="1299" w:val="left" w:leader="none"/>
          <w:tab w:pos="1300" w:val="left" w:leader="none"/>
        </w:tabs>
        <w:spacing w:line="240" w:lineRule="auto" w:before="41" w:after="0"/>
        <w:ind w:left="1299" w:right="0" w:hanging="427"/>
        <w:jc w:val="left"/>
        <w:rPr>
          <w:sz w:val="24"/>
        </w:rPr>
      </w:pPr>
      <w:r>
        <w:rPr>
          <w:sz w:val="24"/>
        </w:rPr>
        <w:t>Solución de Clorhexidina en gel al 2%</w:t>
      </w:r>
      <w:r>
        <w:rPr>
          <w:spacing w:val="-15"/>
          <w:sz w:val="24"/>
        </w:rPr>
        <w:t> </w:t>
      </w:r>
      <w:r>
        <w:rPr>
          <w:sz w:val="24"/>
        </w:rPr>
        <w:t>(Ultradent)</w:t>
      </w:r>
    </w:p>
    <w:p>
      <w:pPr>
        <w:pStyle w:val="ListParagraph"/>
        <w:numPr>
          <w:ilvl w:val="3"/>
          <w:numId w:val="7"/>
        </w:numPr>
        <w:tabs>
          <w:tab w:pos="1299" w:val="left" w:leader="none"/>
          <w:tab w:pos="1300" w:val="left" w:leader="none"/>
        </w:tabs>
        <w:spacing w:line="240" w:lineRule="auto" w:before="41" w:after="0"/>
        <w:ind w:left="1299" w:right="0" w:hanging="427"/>
        <w:jc w:val="left"/>
        <w:rPr>
          <w:sz w:val="24"/>
        </w:rPr>
      </w:pPr>
      <w:r>
        <w:rPr>
          <w:sz w:val="24"/>
        </w:rPr>
        <w:t>Solución de Fluoruro de sodio  en gel al .02% (farmacias</w:t>
      </w:r>
      <w:r>
        <w:rPr>
          <w:spacing w:val="-14"/>
          <w:sz w:val="24"/>
        </w:rPr>
        <w:t> </w:t>
      </w:r>
      <w:r>
        <w:rPr>
          <w:sz w:val="24"/>
        </w:rPr>
        <w:t>Vidro)</w:t>
      </w:r>
    </w:p>
    <w:p>
      <w:pPr>
        <w:pStyle w:val="ListParagraph"/>
        <w:numPr>
          <w:ilvl w:val="3"/>
          <w:numId w:val="7"/>
        </w:numPr>
        <w:tabs>
          <w:tab w:pos="1300" w:val="left" w:leader="none"/>
        </w:tabs>
        <w:spacing w:line="240" w:lineRule="auto" w:before="43" w:after="0"/>
        <w:ind w:left="1299" w:right="0" w:hanging="427"/>
        <w:jc w:val="left"/>
        <w:rPr>
          <w:sz w:val="24"/>
        </w:rPr>
      </w:pPr>
      <w:r>
        <w:rPr>
          <w:sz w:val="24"/>
        </w:rPr>
        <w:t>Cajas de</w:t>
      </w:r>
      <w:r>
        <w:rPr>
          <w:spacing w:val="-4"/>
          <w:sz w:val="24"/>
        </w:rPr>
        <w:t> </w:t>
      </w:r>
      <w:r>
        <w:rPr>
          <w:sz w:val="24"/>
        </w:rPr>
        <w:t>Petri</w:t>
      </w:r>
    </w:p>
    <w:p>
      <w:pPr>
        <w:pStyle w:val="ListParagraph"/>
        <w:numPr>
          <w:ilvl w:val="3"/>
          <w:numId w:val="7"/>
        </w:numPr>
        <w:tabs>
          <w:tab w:pos="1300" w:val="left" w:leader="none"/>
        </w:tabs>
        <w:spacing w:line="240" w:lineRule="auto" w:before="41" w:after="0"/>
        <w:ind w:left="1299" w:right="0" w:hanging="427"/>
        <w:jc w:val="left"/>
        <w:rPr>
          <w:sz w:val="24"/>
        </w:rPr>
      </w:pPr>
      <w:r>
        <w:rPr>
          <w:sz w:val="24"/>
        </w:rPr>
        <w:t>Agar Base Sangre (medici</w:t>
      </w:r>
      <w:r>
        <w:rPr>
          <w:spacing w:val="-12"/>
          <w:sz w:val="24"/>
        </w:rPr>
        <w:t> </w:t>
      </w:r>
      <w:r>
        <w:rPr>
          <w:sz w:val="24"/>
        </w:rPr>
        <w:t>Lab)</w:t>
      </w:r>
    </w:p>
    <w:p>
      <w:pPr>
        <w:pStyle w:val="ListParagraph"/>
        <w:numPr>
          <w:ilvl w:val="3"/>
          <w:numId w:val="7"/>
        </w:numPr>
        <w:tabs>
          <w:tab w:pos="1300" w:val="left" w:leader="none"/>
        </w:tabs>
        <w:spacing w:line="240" w:lineRule="auto" w:before="41" w:after="0"/>
        <w:ind w:left="1299" w:right="0" w:hanging="427"/>
        <w:jc w:val="left"/>
        <w:rPr>
          <w:sz w:val="24"/>
        </w:rPr>
      </w:pPr>
      <w:r>
        <w:rPr>
          <w:sz w:val="24"/>
        </w:rPr>
        <w:t>Sulfanilamida  0.8</w:t>
      </w:r>
      <w:r>
        <w:rPr>
          <w:spacing w:val="-5"/>
          <w:sz w:val="24"/>
        </w:rPr>
        <w:t> </w:t>
      </w:r>
      <w:r>
        <w:rPr>
          <w:sz w:val="24"/>
        </w:rPr>
        <w:t>g/L</w:t>
      </w:r>
    </w:p>
    <w:p>
      <w:pPr>
        <w:pStyle w:val="ListParagraph"/>
        <w:numPr>
          <w:ilvl w:val="3"/>
          <w:numId w:val="7"/>
        </w:numPr>
        <w:tabs>
          <w:tab w:pos="1300" w:val="left" w:leader="none"/>
        </w:tabs>
        <w:spacing w:line="240" w:lineRule="auto" w:before="41" w:after="0"/>
        <w:ind w:left="1299" w:right="0" w:hanging="427"/>
        <w:jc w:val="left"/>
        <w:rPr>
          <w:sz w:val="24"/>
        </w:rPr>
      </w:pPr>
      <w:r>
        <w:rPr>
          <w:sz w:val="24"/>
        </w:rPr>
        <w:t>Cloruro Férrico 1.2</w:t>
      </w:r>
      <w:r>
        <w:rPr>
          <w:spacing w:val="-7"/>
          <w:sz w:val="24"/>
        </w:rPr>
        <w:t> </w:t>
      </w:r>
      <w:r>
        <w:rPr>
          <w:sz w:val="24"/>
        </w:rPr>
        <w:t>ml/L</w:t>
      </w:r>
    </w:p>
    <w:p>
      <w:pPr>
        <w:pStyle w:val="ListParagraph"/>
        <w:numPr>
          <w:ilvl w:val="3"/>
          <w:numId w:val="7"/>
        </w:numPr>
        <w:tabs>
          <w:tab w:pos="1300" w:val="left" w:leader="none"/>
          <w:tab w:pos="3553" w:val="left" w:leader="none"/>
        </w:tabs>
        <w:spacing w:line="240" w:lineRule="auto" w:before="41" w:after="0"/>
        <w:ind w:left="1299" w:right="0" w:hanging="427"/>
        <w:jc w:val="left"/>
        <w:rPr>
          <w:sz w:val="24"/>
        </w:rPr>
      </w:pPr>
      <w:r>
        <w:rPr>
          <w:sz w:val="24"/>
        </w:rPr>
        <w:t>Citrato de</w:t>
      </w:r>
      <w:r>
        <w:rPr>
          <w:spacing w:val="-2"/>
          <w:sz w:val="24"/>
        </w:rPr>
        <w:t> </w:t>
      </w:r>
      <w:r>
        <w:rPr>
          <w:sz w:val="24"/>
        </w:rPr>
        <w:t>Sodio </w:t>
      </w:r>
      <w:r>
        <w:rPr>
          <w:spacing w:val="62"/>
          <w:sz w:val="24"/>
        </w:rPr>
        <w:t> </w:t>
      </w:r>
      <w:r>
        <w:rPr>
          <w:sz w:val="24"/>
        </w:rPr>
        <w:t>2</w:t>
        <w:tab/>
        <w:t>g/L</w:t>
      </w:r>
    </w:p>
    <w:p>
      <w:pPr>
        <w:pStyle w:val="ListParagraph"/>
        <w:numPr>
          <w:ilvl w:val="3"/>
          <w:numId w:val="7"/>
        </w:numPr>
        <w:tabs>
          <w:tab w:pos="1300" w:val="left" w:leader="none"/>
        </w:tabs>
        <w:spacing w:line="240" w:lineRule="auto" w:before="43" w:after="0"/>
        <w:ind w:left="1299" w:right="0" w:hanging="427"/>
        <w:jc w:val="left"/>
        <w:rPr>
          <w:sz w:val="24"/>
        </w:rPr>
      </w:pPr>
      <w:r>
        <w:rPr>
          <w:sz w:val="24"/>
        </w:rPr>
        <w:t>Cefalotina 1 Gr (Marca Farmacia del</w:t>
      </w:r>
      <w:r>
        <w:rPr>
          <w:spacing w:val="-13"/>
          <w:sz w:val="24"/>
        </w:rPr>
        <w:t> </w:t>
      </w:r>
      <w:r>
        <w:rPr>
          <w:sz w:val="24"/>
        </w:rPr>
        <w:t>Ahorro)</w:t>
      </w:r>
    </w:p>
    <w:p>
      <w:pPr>
        <w:pStyle w:val="ListParagraph"/>
        <w:numPr>
          <w:ilvl w:val="3"/>
          <w:numId w:val="7"/>
        </w:numPr>
        <w:tabs>
          <w:tab w:pos="1300" w:val="left" w:leader="none"/>
        </w:tabs>
        <w:spacing w:line="240" w:lineRule="auto" w:before="41" w:after="0"/>
        <w:ind w:left="1299" w:right="0" w:hanging="427"/>
        <w:jc w:val="left"/>
        <w:rPr>
          <w:sz w:val="24"/>
        </w:rPr>
      </w:pPr>
      <w:r>
        <w:rPr>
          <w:sz w:val="24"/>
        </w:rPr>
        <w:t>Sangre de Carnero</w:t>
      </w:r>
      <w:r>
        <w:rPr>
          <w:spacing w:val="-10"/>
          <w:sz w:val="24"/>
        </w:rPr>
        <w:t> </w:t>
      </w:r>
      <w:r>
        <w:rPr>
          <w:sz w:val="24"/>
        </w:rPr>
        <w:t>estéril</w:t>
      </w:r>
    </w:p>
    <w:p>
      <w:pPr>
        <w:pStyle w:val="ListParagraph"/>
        <w:numPr>
          <w:ilvl w:val="3"/>
          <w:numId w:val="7"/>
        </w:numPr>
        <w:tabs>
          <w:tab w:pos="1300" w:val="left" w:leader="none"/>
        </w:tabs>
        <w:spacing w:line="240" w:lineRule="auto" w:before="41" w:after="0"/>
        <w:ind w:left="1299" w:right="0" w:hanging="427"/>
        <w:jc w:val="left"/>
        <w:rPr>
          <w:sz w:val="24"/>
        </w:rPr>
      </w:pPr>
      <w:r>
        <w:rPr>
          <w:sz w:val="24"/>
        </w:rPr>
        <w:t>Diagnodent  Pen</w:t>
      </w:r>
      <w:r>
        <w:rPr>
          <w:spacing w:val="-10"/>
          <w:sz w:val="24"/>
        </w:rPr>
        <w:t> </w:t>
      </w:r>
      <w:r>
        <w:rPr>
          <w:sz w:val="24"/>
        </w:rPr>
        <w:t>(Kavo)</w:t>
      </w:r>
    </w:p>
    <w:p>
      <w:pPr>
        <w:spacing w:after="0" w:line="240" w:lineRule="auto"/>
        <w:jc w:val="left"/>
        <w:rPr>
          <w:sz w:val="24"/>
        </w:rPr>
        <w:sectPr>
          <w:pgSz w:w="12240" w:h="15840"/>
          <w:pgMar w:header="729" w:footer="1003" w:top="1180" w:bottom="1200" w:left="1540" w:right="1020"/>
        </w:sectPr>
      </w:pPr>
    </w:p>
    <w:p>
      <w:pPr>
        <w:pStyle w:val="BodyText"/>
        <w:spacing w:before="5"/>
        <w:rPr>
          <w:sz w:val="13"/>
        </w:rPr>
      </w:pPr>
    </w:p>
    <w:p>
      <w:pPr>
        <w:pStyle w:val="Heading4"/>
        <w:numPr>
          <w:ilvl w:val="2"/>
          <w:numId w:val="7"/>
        </w:numPr>
        <w:tabs>
          <w:tab w:pos="863" w:val="left" w:leader="none"/>
        </w:tabs>
        <w:spacing w:line="240" w:lineRule="auto" w:before="65" w:after="0"/>
        <w:ind w:left="862" w:right="0" w:hanging="700"/>
        <w:jc w:val="both"/>
      </w:pPr>
      <w:bookmarkStart w:name="_TOC_250009" w:id="31"/>
      <w:bookmarkEnd w:id="31"/>
      <w:r>
        <w:rPr/>
        <w:t>Método</w:t>
      </w:r>
    </w:p>
    <w:p>
      <w:pPr>
        <w:pStyle w:val="BodyText"/>
        <w:rPr>
          <w:b/>
          <w:sz w:val="28"/>
        </w:rPr>
      </w:pPr>
    </w:p>
    <w:p>
      <w:pPr>
        <w:pStyle w:val="ListParagraph"/>
        <w:numPr>
          <w:ilvl w:val="3"/>
          <w:numId w:val="13"/>
        </w:numPr>
        <w:tabs>
          <w:tab w:pos="1098" w:val="left" w:leader="none"/>
        </w:tabs>
        <w:spacing w:line="240" w:lineRule="auto" w:before="208" w:after="0"/>
        <w:ind w:left="1098" w:right="0" w:hanging="936"/>
        <w:jc w:val="both"/>
        <w:rPr>
          <w:b/>
          <w:sz w:val="28"/>
        </w:rPr>
      </w:pPr>
      <w:r>
        <w:rPr>
          <w:b/>
          <w:sz w:val="28"/>
        </w:rPr>
        <w:t>Recolección de datos del</w:t>
      </w:r>
      <w:r>
        <w:rPr>
          <w:b/>
          <w:spacing w:val="-12"/>
          <w:sz w:val="28"/>
        </w:rPr>
        <w:t> </w:t>
      </w:r>
      <w:r>
        <w:rPr>
          <w:b/>
          <w:sz w:val="28"/>
        </w:rPr>
        <w:t>paciente</w:t>
      </w:r>
    </w:p>
    <w:p>
      <w:pPr>
        <w:pStyle w:val="BodyText"/>
        <w:spacing w:line="276" w:lineRule="auto" w:before="49"/>
        <w:ind w:left="162" w:right="159"/>
        <w:jc w:val="both"/>
      </w:pPr>
      <w:r>
        <w:rPr/>
        <w:t>Para la recolección de datos del paciente, se elaboró una Historia clínica dividida en dos</w:t>
      </w:r>
      <w:r>
        <w:rPr>
          <w:spacing w:val="-2"/>
        </w:rPr>
        <w:t> </w:t>
      </w:r>
      <w:r>
        <w:rPr/>
        <w:t>partes:</w:t>
      </w:r>
    </w:p>
    <w:p>
      <w:pPr>
        <w:pStyle w:val="BodyText"/>
        <w:spacing w:line="276" w:lineRule="auto" w:before="202"/>
        <w:ind w:left="162" w:right="156"/>
        <w:jc w:val="both"/>
      </w:pPr>
      <w:r>
        <w:rPr/>
        <w:t>La primera, una ficha que contenía los datos generales del paciente como nombre edad, sexo, dirección, Estancia infantil del Desarrollo Integral de la familia (DIF Toluca) a la que pertenecía el infante, antecedentes personales familiares y patológicos, la cual fue revisada y firmada por los padres de los niños que consintieron la participación de los niños en el</w:t>
      </w:r>
      <w:r>
        <w:rPr>
          <w:spacing w:val="-8"/>
        </w:rPr>
        <w:t> </w:t>
      </w:r>
      <w:r>
        <w:rPr/>
        <w:t>estudio.</w:t>
      </w:r>
    </w:p>
    <w:p>
      <w:pPr>
        <w:pStyle w:val="BodyText"/>
        <w:spacing w:line="276" w:lineRule="auto" w:before="200"/>
        <w:ind w:left="162" w:right="157"/>
        <w:jc w:val="both"/>
      </w:pPr>
      <w:r>
        <w:rPr/>
        <w:t>La segunda parte comprendió los datos relacionados con el estado clínico del paciente, como numero de dientes erupcionados, así como un examen oral y físico de los mismos. Este procedimiento se llevó a cabo con las medidas de protección específicas para el  operante, como son uso de guantes, cubrebocas, lentes, gorra y bata.</w:t>
      </w:r>
    </w:p>
    <w:p>
      <w:pPr>
        <w:pStyle w:val="BodyText"/>
      </w:pPr>
    </w:p>
    <w:p>
      <w:pPr>
        <w:pStyle w:val="BodyText"/>
      </w:pPr>
    </w:p>
    <w:p>
      <w:pPr>
        <w:pStyle w:val="Heading4"/>
        <w:numPr>
          <w:ilvl w:val="3"/>
          <w:numId w:val="13"/>
        </w:numPr>
        <w:tabs>
          <w:tab w:pos="1098" w:val="left" w:leader="none"/>
        </w:tabs>
        <w:spacing w:line="240" w:lineRule="auto" w:before="164" w:after="0"/>
        <w:ind w:left="1098" w:right="0" w:hanging="936"/>
        <w:jc w:val="both"/>
      </w:pPr>
      <w:r>
        <w:rPr/>
        <w:t>Estimación del pH</w:t>
      </w:r>
      <w:r>
        <w:rPr>
          <w:spacing w:val="-9"/>
        </w:rPr>
        <w:t> </w:t>
      </w:r>
      <w:r>
        <w:rPr/>
        <w:t>salival</w:t>
      </w:r>
    </w:p>
    <w:p>
      <w:pPr>
        <w:pStyle w:val="BodyText"/>
        <w:spacing w:line="276" w:lineRule="auto" w:before="250"/>
        <w:ind w:left="162" w:right="158"/>
        <w:jc w:val="both"/>
      </w:pPr>
      <w:r>
        <w:rPr/>
        <w:t>El registro de toma de pH fue realizado en tres ocasiones, la primera al inicio del estudio, la segunda a los tres meses de aplicadas las variables tratamiento y la tercera a los seis meses. Para la medición de esta variable se realizó el siguiente procedimiento:</w:t>
      </w:r>
    </w:p>
    <w:p>
      <w:pPr>
        <w:pStyle w:val="BodyText"/>
        <w:spacing w:line="276" w:lineRule="auto" w:before="200"/>
        <w:ind w:left="162" w:right="160"/>
        <w:jc w:val="both"/>
        <w:rPr>
          <w:rFonts w:ascii="Calibri" w:hAnsi="Calibri"/>
          <w:sz w:val="20"/>
        </w:rPr>
      </w:pPr>
      <w:r>
        <w:rPr/>
        <w:t>Se introdujo una tira reactiva de pH a la boca del paciente, humedeciéndola con saliva, manteniéndola en la cavidad oral durante un minuto, para después ser comparada con la escala impresa en el paquete del producto, anotando el resultado en la sección de la ficha diseñada para tal fin </w:t>
      </w:r>
      <w:r>
        <w:rPr>
          <w:rFonts w:ascii="Calibri" w:hAnsi="Calibri"/>
          <w:sz w:val="22"/>
        </w:rPr>
        <w:t>(</w:t>
      </w:r>
      <w:r>
        <w:rPr>
          <w:rFonts w:ascii="Calibri" w:hAnsi="Calibri"/>
          <w:sz w:val="20"/>
        </w:rPr>
        <w:t>figura 8 .1).</w:t>
      </w:r>
    </w:p>
    <w:p>
      <w:pPr>
        <w:spacing w:after="0" w:line="276" w:lineRule="auto"/>
        <w:jc w:val="both"/>
        <w:rPr>
          <w:rFonts w:ascii="Calibri" w:hAnsi="Calibri"/>
          <w:sz w:val="20"/>
        </w:rPr>
        <w:sectPr>
          <w:pgSz w:w="12240" w:h="15840"/>
          <w:pgMar w:header="729" w:footer="1003" w:top="1180" w:bottom="1200" w:left="1540" w:right="1020"/>
        </w:sectPr>
      </w:pPr>
    </w:p>
    <w:p>
      <w:pPr>
        <w:pStyle w:val="BodyText"/>
        <w:spacing w:before="4"/>
        <w:rPr>
          <w:rFonts w:ascii="Calibri"/>
          <w:sz w:val="18"/>
        </w:rPr>
      </w:pPr>
    </w:p>
    <w:p>
      <w:pPr>
        <w:pStyle w:val="BodyText"/>
        <w:ind w:left="2493"/>
        <w:rPr>
          <w:rFonts w:ascii="Calibri"/>
          <w:sz w:val="20"/>
        </w:rPr>
      </w:pPr>
      <w:r>
        <w:rPr>
          <w:rFonts w:ascii="Calibri"/>
          <w:sz w:val="20"/>
        </w:rPr>
        <w:pict>
          <v:group style="width:234.6pt;height:156pt;mso-position-horizontal-relative:char;mso-position-vertical-relative:line" coordorigin="0,0" coordsize="4692,3120">
            <v:shape style="position:absolute;left:0;top:0;width:4692;height:3120" type="#_x0000_t75" stroked="false">
              <v:imagedata r:id="rId19" o:title=""/>
            </v:shape>
            <v:line style="position:absolute" from="1679,1366" to="2003,1366" stroked="true" strokeweight="3.55pt" strokecolor="#000000"/>
            <v:rect style="position:absolute;left:1679;top:1331;width:324;height:71" filled="false" stroked="true" strokeweight="2pt" strokecolor="#000000"/>
            <v:line style="position:absolute" from="2423,1449" to="2747,1449" stroked="true" strokeweight="3.55pt" strokecolor="#000000"/>
            <v:rect style="position:absolute;left:2423;top:1414;width:324;height:71" filled="false" stroked="true" strokeweight="2pt" strokecolor="#000000"/>
          </v:group>
        </w:pict>
      </w:r>
      <w:r>
        <w:rPr>
          <w:rFonts w:ascii="Calibri"/>
          <w:sz w:val="20"/>
        </w:rPr>
      </w:r>
    </w:p>
    <w:p>
      <w:pPr>
        <w:pStyle w:val="BodyText"/>
        <w:spacing w:before="3"/>
        <w:rPr>
          <w:rFonts w:ascii="Calibri"/>
          <w:sz w:val="12"/>
        </w:rPr>
      </w:pPr>
    </w:p>
    <w:p>
      <w:pPr>
        <w:spacing w:before="81"/>
        <w:ind w:left="1645" w:right="1645" w:firstLine="0"/>
        <w:jc w:val="center"/>
        <w:rPr>
          <w:b/>
          <w:sz w:val="16"/>
        </w:rPr>
      </w:pPr>
      <w:r>
        <w:rPr>
          <w:b/>
          <w:sz w:val="16"/>
        </w:rPr>
        <w:t>Figura 8.1 Determinación de pH salival. Fuente directa</w:t>
      </w:r>
    </w:p>
    <w:p>
      <w:pPr>
        <w:pStyle w:val="BodyText"/>
        <w:rPr>
          <w:b/>
          <w:sz w:val="16"/>
        </w:rPr>
      </w:pPr>
    </w:p>
    <w:p>
      <w:pPr>
        <w:pStyle w:val="BodyText"/>
        <w:rPr>
          <w:b/>
          <w:sz w:val="16"/>
        </w:rPr>
      </w:pPr>
    </w:p>
    <w:p>
      <w:pPr>
        <w:pStyle w:val="BodyText"/>
        <w:rPr>
          <w:b/>
          <w:sz w:val="16"/>
        </w:rPr>
      </w:pPr>
    </w:p>
    <w:p>
      <w:pPr>
        <w:pStyle w:val="BodyText"/>
        <w:spacing w:before="5"/>
        <w:rPr>
          <w:b/>
          <w:sz w:val="21"/>
        </w:rPr>
      </w:pPr>
    </w:p>
    <w:p>
      <w:pPr>
        <w:pStyle w:val="Heading4"/>
        <w:numPr>
          <w:ilvl w:val="3"/>
          <w:numId w:val="13"/>
        </w:numPr>
        <w:tabs>
          <w:tab w:pos="1098" w:val="left" w:leader="none"/>
        </w:tabs>
        <w:spacing w:line="240" w:lineRule="auto" w:before="0" w:after="0"/>
        <w:ind w:left="1098" w:right="0" w:hanging="936"/>
        <w:jc w:val="both"/>
      </w:pPr>
      <w:r>
        <w:rPr/>
        <w:t>Determinación del grado de desmineralización</w:t>
      </w:r>
      <w:r>
        <w:rPr>
          <w:spacing w:val="-24"/>
        </w:rPr>
        <w:t> </w:t>
      </w:r>
      <w:r>
        <w:rPr/>
        <w:t>dental</w:t>
      </w:r>
    </w:p>
    <w:p>
      <w:pPr>
        <w:pStyle w:val="BodyText"/>
        <w:spacing w:line="276" w:lineRule="auto" w:before="250"/>
        <w:ind w:left="162" w:right="159"/>
        <w:jc w:val="both"/>
        <w:rPr>
          <w:sz w:val="20"/>
        </w:rPr>
      </w:pPr>
      <w:r>
        <w:rPr/>
        <w:t>Se realizó con el sistema de Diagnóstico Diagnodent Pen para la identificación de desmineralizaciones o caries mediante el índice establecido por el fabricante. Con la ayuda de este aparato se checo cada una de las caras de los dientes existentes en la boca del infante. Se realizaron tres mediciones, una basal, antes de la aplicación de las variables tratamiento, la segunda a los tres meses de la aplicación y una tercera a los seis meses. Las mediciones fueron registradas en el odontograma incluido en la historia clínica del paciente </w:t>
      </w:r>
      <w:r>
        <w:rPr>
          <w:sz w:val="20"/>
        </w:rPr>
        <w:t>(figura 8.</w:t>
      </w:r>
      <w:r>
        <w:rPr>
          <w:spacing w:val="-28"/>
          <w:sz w:val="20"/>
        </w:rPr>
        <w:t> </w:t>
      </w:r>
      <w:r>
        <w:rPr>
          <w:sz w:val="20"/>
        </w:rPr>
        <w:t>2).</w:t>
      </w:r>
    </w:p>
    <w:p>
      <w:pPr>
        <w:pStyle w:val="BodyText"/>
        <w:rPr>
          <w:sz w:val="20"/>
        </w:rPr>
      </w:pPr>
    </w:p>
    <w:p>
      <w:pPr>
        <w:pStyle w:val="BodyText"/>
        <w:rPr>
          <w:sz w:val="20"/>
        </w:rPr>
      </w:pPr>
    </w:p>
    <w:p>
      <w:pPr>
        <w:pStyle w:val="BodyText"/>
        <w:spacing w:before="1"/>
        <w:rPr>
          <w:sz w:val="19"/>
        </w:rPr>
      </w:pPr>
      <w:r>
        <w:rPr/>
        <w:pict>
          <v:group style="position:absolute;margin-left:203.449997pt;margin-top:12.95805pt;width:231pt;height:158.3pt;mso-position-horizontal-relative:page;mso-position-vertical-relative:paragraph;z-index:1504;mso-wrap-distance-left:0;mso-wrap-distance-right:0" coordorigin="4069,259" coordsize="4620,3166">
            <v:shape style="position:absolute;left:4069;top:259;width:4620;height:3166" type="#_x0000_t75" stroked="false">
              <v:imagedata r:id="rId20" o:title=""/>
            </v:shape>
            <v:line style="position:absolute" from="6624,1650" to="6876,1650" stroked="true" strokeweight="3.55pt" strokecolor="#000000"/>
            <v:rect style="position:absolute;left:6624;top:1614;width:252;height:71" filled="false" stroked="true" strokeweight="2pt" strokecolor="#000000"/>
            <w10:wrap type="topAndBottom"/>
          </v:group>
        </w:pict>
      </w:r>
    </w:p>
    <w:p>
      <w:pPr>
        <w:pStyle w:val="BodyText"/>
        <w:spacing w:before="6"/>
        <w:rPr>
          <w:sz w:val="19"/>
        </w:rPr>
      </w:pPr>
    </w:p>
    <w:p>
      <w:pPr>
        <w:spacing w:before="1"/>
        <w:ind w:left="1645" w:right="1646" w:firstLine="0"/>
        <w:jc w:val="center"/>
        <w:rPr>
          <w:b/>
          <w:sz w:val="16"/>
        </w:rPr>
      </w:pPr>
      <w:r>
        <w:rPr>
          <w:b/>
          <w:sz w:val="16"/>
        </w:rPr>
        <w:t>Figura 8.2. Determinación de desmineralización dental. Fuente directa</w:t>
      </w:r>
    </w:p>
    <w:p>
      <w:pPr>
        <w:spacing w:after="0"/>
        <w:jc w:val="center"/>
        <w:rPr>
          <w:sz w:val="16"/>
        </w:rPr>
        <w:sectPr>
          <w:pgSz w:w="12240" w:h="15840"/>
          <w:pgMar w:header="729" w:footer="1003" w:top="1180" w:bottom="1200" w:left="1540" w:right="1020"/>
        </w:sectPr>
      </w:pPr>
    </w:p>
    <w:p>
      <w:pPr>
        <w:pStyle w:val="BodyText"/>
        <w:spacing w:before="5"/>
        <w:rPr>
          <w:b/>
          <w:sz w:val="13"/>
        </w:rPr>
      </w:pPr>
    </w:p>
    <w:p>
      <w:pPr>
        <w:pStyle w:val="Heading4"/>
        <w:numPr>
          <w:ilvl w:val="3"/>
          <w:numId w:val="13"/>
        </w:numPr>
        <w:tabs>
          <w:tab w:pos="1096" w:val="left" w:leader="none"/>
        </w:tabs>
        <w:spacing w:line="240" w:lineRule="auto" w:before="65" w:after="0"/>
        <w:ind w:left="1095" w:right="0" w:hanging="933"/>
        <w:jc w:val="left"/>
      </w:pPr>
      <w:bookmarkStart w:name="_TOC_250008" w:id="32"/>
      <w:r>
        <w:rPr/>
        <w:t>Muestreo</w:t>
      </w:r>
      <w:r>
        <w:rPr>
          <w:spacing w:val="-10"/>
        </w:rPr>
        <w:t> </w:t>
      </w:r>
      <w:bookmarkEnd w:id="32"/>
      <w:r>
        <w:rPr/>
        <w:t>Microbiológico</w:t>
      </w:r>
    </w:p>
    <w:p>
      <w:pPr>
        <w:pStyle w:val="ListParagraph"/>
        <w:numPr>
          <w:ilvl w:val="4"/>
          <w:numId w:val="13"/>
        </w:numPr>
        <w:tabs>
          <w:tab w:pos="1334" w:val="left" w:leader="none"/>
        </w:tabs>
        <w:spacing w:line="240" w:lineRule="auto" w:before="249" w:after="0"/>
        <w:ind w:left="1333" w:right="0" w:hanging="1171"/>
        <w:jc w:val="left"/>
        <w:rPr>
          <w:b/>
          <w:sz w:val="28"/>
        </w:rPr>
      </w:pPr>
      <w:r>
        <w:rPr>
          <w:b/>
          <w:sz w:val="28"/>
        </w:rPr>
        <w:t>Toma de</w:t>
      </w:r>
      <w:r>
        <w:rPr>
          <w:b/>
          <w:spacing w:val="-7"/>
          <w:sz w:val="28"/>
        </w:rPr>
        <w:t> </w:t>
      </w:r>
      <w:r>
        <w:rPr>
          <w:b/>
          <w:sz w:val="28"/>
        </w:rPr>
        <w:t>muestra</w:t>
      </w:r>
    </w:p>
    <w:p>
      <w:pPr>
        <w:pStyle w:val="BodyText"/>
        <w:spacing w:line="276" w:lineRule="auto" w:before="250"/>
        <w:ind w:left="162" w:right="158"/>
      </w:pPr>
      <w:r>
        <w:rPr/>
        <w:t>Este procedimiento se realizó tres veces durante el estudio, la primera al inicio del estudio a los tres y seis meses.</w:t>
      </w:r>
    </w:p>
    <w:p>
      <w:pPr>
        <w:pStyle w:val="BodyText"/>
        <w:spacing w:before="200"/>
        <w:ind w:left="162" w:right="158"/>
      </w:pPr>
      <w:r>
        <w:rPr/>
        <w:t>La muestra para cultivo microbiológico, se obtuvo de la manera siguiente:</w:t>
      </w:r>
    </w:p>
    <w:p>
      <w:pPr>
        <w:pStyle w:val="BodyText"/>
        <w:rPr>
          <w:sz w:val="21"/>
        </w:rPr>
      </w:pPr>
    </w:p>
    <w:p>
      <w:pPr>
        <w:pStyle w:val="ListParagraph"/>
        <w:numPr>
          <w:ilvl w:val="5"/>
          <w:numId w:val="13"/>
        </w:numPr>
        <w:tabs>
          <w:tab w:pos="882" w:val="left" w:leader="none"/>
        </w:tabs>
        <w:spacing w:line="276" w:lineRule="auto" w:before="1" w:after="0"/>
        <w:ind w:left="882" w:right="162" w:hanging="360"/>
        <w:jc w:val="both"/>
        <w:rPr>
          <w:sz w:val="24"/>
        </w:rPr>
      </w:pPr>
      <w:r>
        <w:rPr>
          <w:sz w:val="24"/>
        </w:rPr>
        <w:t>Se pidió a las padres que el día de la toma de muestra a los infantes no se les practicara aseo bucal</w:t>
      </w:r>
      <w:r>
        <w:rPr>
          <w:spacing w:val="-12"/>
          <w:sz w:val="24"/>
        </w:rPr>
        <w:t> </w:t>
      </w:r>
      <w:r>
        <w:rPr>
          <w:sz w:val="24"/>
        </w:rPr>
        <w:t>matutino</w:t>
      </w:r>
    </w:p>
    <w:p>
      <w:pPr>
        <w:pStyle w:val="ListParagraph"/>
        <w:numPr>
          <w:ilvl w:val="5"/>
          <w:numId w:val="13"/>
        </w:numPr>
        <w:tabs>
          <w:tab w:pos="882" w:val="left" w:leader="none"/>
        </w:tabs>
        <w:spacing w:line="276" w:lineRule="auto" w:before="3" w:after="0"/>
        <w:ind w:left="882" w:right="158" w:hanging="360"/>
        <w:jc w:val="both"/>
        <w:rPr>
          <w:sz w:val="24"/>
        </w:rPr>
      </w:pPr>
      <w:r>
        <w:rPr>
          <w:sz w:val="24"/>
        </w:rPr>
        <w:t>Un aplicador de algodón estéril (hisopo) embebido en agua destilada estéril se introdujo en la boca del paciente para ser frotado sobre las superficies de los dientes para obtener placa dentobacteriana, pasándolo posteriormente  a piso  de boca para obtención de</w:t>
      </w:r>
      <w:r>
        <w:rPr>
          <w:spacing w:val="-14"/>
          <w:sz w:val="24"/>
        </w:rPr>
        <w:t> </w:t>
      </w:r>
      <w:r>
        <w:rPr>
          <w:sz w:val="24"/>
        </w:rPr>
        <w:t>saliva.</w:t>
      </w:r>
    </w:p>
    <w:p>
      <w:pPr>
        <w:pStyle w:val="ListParagraph"/>
        <w:numPr>
          <w:ilvl w:val="5"/>
          <w:numId w:val="13"/>
        </w:numPr>
        <w:tabs>
          <w:tab w:pos="882" w:val="left" w:leader="none"/>
        </w:tabs>
        <w:spacing w:line="276" w:lineRule="auto" w:before="0" w:after="0"/>
        <w:ind w:left="882" w:right="156" w:hanging="360"/>
        <w:jc w:val="both"/>
        <w:rPr>
          <w:sz w:val="20"/>
        </w:rPr>
      </w:pPr>
      <w:r>
        <w:rPr>
          <w:sz w:val="24"/>
        </w:rPr>
        <w:t>Tomada la muestra, esta se introdujo inmediatamente en un tubo de ensaye con tres mililitros de solución de Stuart estéril (solución transportadora), se tapó el tubo para ser llevado al laboratorio de microbiología del Centro de investigación de Ingeniería Ambiental del Instituto Tecnológico de Toluca, para su procesamiento </w:t>
      </w:r>
      <w:r>
        <w:rPr>
          <w:sz w:val="20"/>
        </w:rPr>
        <w:t>(Figura 8.</w:t>
      </w:r>
      <w:r>
        <w:rPr>
          <w:spacing w:val="-18"/>
          <w:sz w:val="20"/>
        </w:rPr>
        <w:t> </w:t>
      </w:r>
      <w:r>
        <w:rPr>
          <w:sz w:val="20"/>
        </w:rPr>
        <w:t>3).</w:t>
      </w:r>
    </w:p>
    <w:p>
      <w:pPr>
        <w:pStyle w:val="BodyText"/>
        <w:rPr>
          <w:sz w:val="20"/>
        </w:rPr>
      </w:pPr>
    </w:p>
    <w:p>
      <w:pPr>
        <w:pStyle w:val="BodyText"/>
        <w:rPr>
          <w:sz w:val="20"/>
        </w:rPr>
      </w:pPr>
    </w:p>
    <w:p>
      <w:pPr>
        <w:pStyle w:val="BodyText"/>
        <w:spacing w:before="4"/>
        <w:rPr>
          <w:sz w:val="19"/>
        </w:rPr>
      </w:pPr>
      <w:r>
        <w:rPr/>
        <w:pict>
          <v:group style="position:absolute;margin-left:189.949997pt;margin-top:13.07806pt;width:257.95pt;height:181.7pt;mso-position-horizontal-relative:page;mso-position-vertical-relative:paragraph;z-index:1528;mso-wrap-distance-left:0;mso-wrap-distance-right:0" coordorigin="3799,262" coordsize="5159,3634">
            <v:shape style="position:absolute;left:3799;top:262;width:5159;height:3634" type="#_x0000_t75" stroked="false">
              <v:imagedata r:id="rId21" o:title=""/>
            </v:shape>
            <v:line style="position:absolute" from="6372,1705" to="6624,1705" stroked="true" strokeweight="3.55pt" strokecolor="#000000"/>
            <v:rect style="position:absolute;left:6372;top:1670;width:252;height:71" filled="false" stroked="true" strokeweight="2pt" strokecolor="#000000"/>
            <v:line style="position:absolute" from="6792,2089" to="7044,2089" stroked="true" strokeweight="3.55pt" strokecolor="#000000"/>
            <v:rect style="position:absolute;left:6792;top:2054;width:252;height:71" filled="false" stroked="true" strokeweight="2pt" strokecolor="#000000"/>
            <w10:wrap type="topAndBottom"/>
          </v:group>
        </w:pict>
      </w:r>
    </w:p>
    <w:p>
      <w:pPr>
        <w:spacing w:before="211"/>
        <w:ind w:left="3186" w:right="158" w:firstLine="0"/>
        <w:jc w:val="left"/>
        <w:rPr>
          <w:b/>
          <w:sz w:val="16"/>
        </w:rPr>
      </w:pPr>
      <w:r>
        <w:rPr>
          <w:b/>
          <w:sz w:val="16"/>
        </w:rPr>
        <w:t>Figura 8.3 Toma de muestra. Fuente directa</w:t>
      </w:r>
    </w:p>
    <w:p>
      <w:pPr>
        <w:spacing w:after="0"/>
        <w:jc w:val="left"/>
        <w:rPr>
          <w:sz w:val="16"/>
        </w:rPr>
        <w:sectPr>
          <w:pgSz w:w="12240" w:h="15840"/>
          <w:pgMar w:header="729" w:footer="1003" w:top="1180" w:bottom="1200" w:left="1540" w:right="1020"/>
        </w:sectPr>
      </w:pPr>
    </w:p>
    <w:p>
      <w:pPr>
        <w:pStyle w:val="BodyText"/>
        <w:spacing w:before="5"/>
        <w:rPr>
          <w:b/>
          <w:sz w:val="13"/>
        </w:rPr>
      </w:pPr>
    </w:p>
    <w:p>
      <w:pPr>
        <w:pStyle w:val="Heading4"/>
      </w:pPr>
      <w:r>
        <w:rPr/>
        <w:t>8.6.4.2.4.2 Procesamiento de las muestras</w:t>
      </w:r>
    </w:p>
    <w:p>
      <w:pPr>
        <w:pStyle w:val="BodyText"/>
        <w:spacing w:line="276" w:lineRule="auto" w:before="250"/>
        <w:ind w:left="162" w:right="162"/>
        <w:jc w:val="both"/>
      </w:pPr>
      <w:r>
        <w:rPr/>
        <w:t>En el laboratorio, en condiciones asépticas, el aplicador de la solución de Stuart era trasladado a un tubo con caldo nutritivo incubandolo durante 24 horas a 36 grados centígrados.</w:t>
      </w:r>
    </w:p>
    <w:p>
      <w:pPr>
        <w:pStyle w:val="BodyText"/>
        <w:spacing w:line="261" w:lineRule="auto" w:before="200"/>
        <w:ind w:left="162" w:right="157"/>
        <w:jc w:val="both"/>
      </w:pPr>
      <w:r>
        <w:rPr/>
        <w:t>Terminado el periodo de incubación, se retiró el aplicador del tubo y se procedió a  hacer diluciones seriadas 10</w:t>
      </w:r>
      <w:r>
        <w:rPr>
          <w:position w:val="11"/>
          <w:sz w:val="16"/>
        </w:rPr>
        <w:t>-1,</w:t>
      </w:r>
      <w:r>
        <w:rPr/>
        <w:t>10</w:t>
      </w:r>
      <w:r>
        <w:rPr>
          <w:position w:val="11"/>
          <w:sz w:val="16"/>
        </w:rPr>
        <w:t>-2,</w:t>
      </w:r>
      <w:r>
        <w:rPr/>
        <w:t>10</w:t>
      </w:r>
      <w:r>
        <w:rPr>
          <w:position w:val="11"/>
          <w:sz w:val="16"/>
        </w:rPr>
        <w:t>-3,</w:t>
      </w:r>
      <w:r>
        <w:rPr/>
        <w:t>, esto con el fin de obtener una cuenta de colonias bacterianas en la siembra de la</w:t>
      </w:r>
      <w:r>
        <w:rPr>
          <w:spacing w:val="-15"/>
        </w:rPr>
        <w:t> </w:t>
      </w:r>
      <w:r>
        <w:rPr/>
        <w:t>muestra.</w:t>
      </w:r>
    </w:p>
    <w:p>
      <w:pPr>
        <w:pStyle w:val="BodyText"/>
        <w:spacing w:line="276" w:lineRule="auto" w:before="216"/>
        <w:ind w:left="162" w:right="156"/>
        <w:jc w:val="both"/>
      </w:pPr>
      <w:r>
        <w:rPr/>
        <w:t>De las diluciones definidas se tomó un mililitro de cada tubo previamente codificado y se sembró en una caja de Petri estéril, para después añadir 30 mL medio de cultivo selectivo para el crecimiento de </w:t>
      </w:r>
      <w:r>
        <w:rPr>
          <w:i/>
        </w:rPr>
        <w:t>Streptococcus mutans. </w:t>
      </w:r>
      <w:r>
        <w:rPr/>
        <w:t>Posteriormente las cajas Petri eran llevadas a incubación a 36  grados centígrados durante 48</w:t>
      </w:r>
      <w:r>
        <w:rPr>
          <w:spacing w:val="-23"/>
        </w:rPr>
        <w:t> </w:t>
      </w:r>
      <w:r>
        <w:rPr/>
        <w:t>horas.</w:t>
      </w:r>
    </w:p>
    <w:p>
      <w:pPr>
        <w:pStyle w:val="Heading4"/>
        <w:numPr>
          <w:ilvl w:val="4"/>
          <w:numId w:val="14"/>
        </w:numPr>
        <w:tabs>
          <w:tab w:pos="1331" w:val="left" w:leader="none"/>
        </w:tabs>
        <w:spacing w:line="240" w:lineRule="auto" w:before="198" w:after="0"/>
        <w:ind w:left="1330" w:right="0" w:hanging="1168"/>
        <w:jc w:val="both"/>
      </w:pPr>
      <w:r>
        <w:rPr/>
        <w:t>Preparación del  medio de cultivo</w:t>
      </w:r>
      <w:r>
        <w:rPr>
          <w:spacing w:val="57"/>
        </w:rPr>
        <w:t> </w:t>
      </w:r>
      <w:r>
        <w:rPr/>
        <w:t>selectivo</w:t>
      </w:r>
    </w:p>
    <w:p>
      <w:pPr>
        <w:pStyle w:val="BodyText"/>
        <w:spacing w:before="250"/>
        <w:ind w:left="162"/>
        <w:jc w:val="both"/>
      </w:pPr>
      <w:r>
        <w:rPr/>
        <w:t>Para la preparación del medio de cultivo se utilizó agua destilada de pH neutro.</w:t>
      </w:r>
    </w:p>
    <w:p>
      <w:pPr>
        <w:pStyle w:val="BodyText"/>
        <w:spacing w:before="10"/>
        <w:rPr>
          <w:sz w:val="20"/>
        </w:rPr>
      </w:pPr>
    </w:p>
    <w:p>
      <w:pPr>
        <w:pStyle w:val="ListParagraph"/>
        <w:numPr>
          <w:ilvl w:val="5"/>
          <w:numId w:val="14"/>
        </w:numPr>
        <w:tabs>
          <w:tab w:pos="882" w:val="left" w:leader="none"/>
        </w:tabs>
        <w:spacing w:line="273" w:lineRule="auto" w:before="0" w:after="0"/>
        <w:ind w:left="882" w:right="161" w:hanging="360"/>
        <w:jc w:val="both"/>
        <w:rPr>
          <w:sz w:val="24"/>
        </w:rPr>
      </w:pPr>
      <w:r>
        <w:rPr>
          <w:sz w:val="24"/>
        </w:rPr>
        <w:t>Frascos con tapa hermética se limpiaron escrupulosamente con  agua bidestilada, utiizandolos para la preparación del agar (base</w:t>
      </w:r>
      <w:r>
        <w:rPr>
          <w:spacing w:val="-18"/>
          <w:sz w:val="24"/>
        </w:rPr>
        <w:t> </w:t>
      </w:r>
      <w:r>
        <w:rPr>
          <w:sz w:val="24"/>
        </w:rPr>
        <w:t>sangre).</w:t>
      </w:r>
    </w:p>
    <w:p>
      <w:pPr>
        <w:pStyle w:val="ListParagraph"/>
        <w:numPr>
          <w:ilvl w:val="5"/>
          <w:numId w:val="14"/>
        </w:numPr>
        <w:tabs>
          <w:tab w:pos="882" w:val="left" w:leader="none"/>
        </w:tabs>
        <w:spacing w:line="273" w:lineRule="auto" w:before="1" w:after="0"/>
        <w:ind w:left="882" w:right="157" w:hanging="360"/>
        <w:jc w:val="both"/>
        <w:rPr>
          <w:sz w:val="24"/>
        </w:rPr>
      </w:pPr>
      <w:r>
        <w:rPr>
          <w:sz w:val="24"/>
        </w:rPr>
        <w:t>Siguiendo las especificaciones del fabricante se colocó el agar base –sangre (Medici Lab.) deshidratado y pesado dentro del frasco añadiendo el agua necesaria para su</w:t>
      </w:r>
      <w:r>
        <w:rPr>
          <w:spacing w:val="-11"/>
          <w:sz w:val="24"/>
        </w:rPr>
        <w:t> </w:t>
      </w:r>
      <w:r>
        <w:rPr>
          <w:sz w:val="24"/>
        </w:rPr>
        <w:t>preparación.</w:t>
      </w:r>
    </w:p>
    <w:p>
      <w:pPr>
        <w:pStyle w:val="ListParagraph"/>
        <w:numPr>
          <w:ilvl w:val="5"/>
          <w:numId w:val="14"/>
        </w:numPr>
        <w:tabs>
          <w:tab w:pos="882" w:val="left" w:leader="none"/>
        </w:tabs>
        <w:spacing w:line="273" w:lineRule="auto" w:before="1" w:after="0"/>
        <w:ind w:left="882" w:right="159" w:hanging="360"/>
        <w:jc w:val="both"/>
        <w:rPr>
          <w:sz w:val="24"/>
        </w:rPr>
      </w:pPr>
      <w:r>
        <w:rPr>
          <w:sz w:val="24"/>
        </w:rPr>
        <w:t>En una parrilla magnética se calentó el frasco con el agua y el polvo de agar hasta lograr un minuto de ebullición, teniendo el cuidado de que el agitador magnético mezclara el líquido para lograr un preparado</w:t>
      </w:r>
      <w:r>
        <w:rPr>
          <w:spacing w:val="-24"/>
          <w:sz w:val="24"/>
        </w:rPr>
        <w:t> </w:t>
      </w:r>
      <w:r>
        <w:rPr>
          <w:sz w:val="24"/>
        </w:rPr>
        <w:t>homogéneo.</w:t>
      </w:r>
    </w:p>
    <w:p>
      <w:pPr>
        <w:pStyle w:val="Heading4"/>
        <w:numPr>
          <w:ilvl w:val="4"/>
          <w:numId w:val="15"/>
        </w:numPr>
        <w:tabs>
          <w:tab w:pos="1331" w:val="left" w:leader="none"/>
        </w:tabs>
        <w:spacing w:line="240" w:lineRule="auto" w:before="203" w:after="0"/>
        <w:ind w:left="1330" w:right="0" w:hanging="1168"/>
        <w:jc w:val="both"/>
      </w:pPr>
      <w:r>
        <w:rPr/>
        <w:t>Esterilización del medio de</w:t>
      </w:r>
      <w:r>
        <w:rPr>
          <w:spacing w:val="-19"/>
        </w:rPr>
        <w:t> </w:t>
      </w:r>
      <w:r>
        <w:rPr/>
        <w:t>cultivo.</w:t>
      </w:r>
    </w:p>
    <w:p>
      <w:pPr>
        <w:pStyle w:val="ListParagraph"/>
        <w:numPr>
          <w:ilvl w:val="5"/>
          <w:numId w:val="15"/>
        </w:numPr>
        <w:tabs>
          <w:tab w:pos="950" w:val="left" w:leader="none"/>
        </w:tabs>
        <w:spacing w:line="273" w:lineRule="auto" w:before="249" w:after="0"/>
        <w:ind w:left="882" w:right="157" w:hanging="360"/>
        <w:jc w:val="both"/>
        <w:rPr>
          <w:sz w:val="24"/>
        </w:rPr>
      </w:pPr>
      <w:r>
        <w:rPr>
          <w:sz w:val="24"/>
        </w:rPr>
        <w:t>El frasco con el medio de cultivo tapado se introdujo al autoclave para esterilizarlo a 121° C, a 18 libras de presión durante 15</w:t>
      </w:r>
      <w:r>
        <w:rPr>
          <w:spacing w:val="-19"/>
          <w:sz w:val="24"/>
        </w:rPr>
        <w:t> </w:t>
      </w:r>
      <w:r>
        <w:rPr>
          <w:sz w:val="24"/>
        </w:rPr>
        <w:t>minutos.</w:t>
      </w:r>
    </w:p>
    <w:p>
      <w:pPr>
        <w:pStyle w:val="ListParagraph"/>
        <w:numPr>
          <w:ilvl w:val="5"/>
          <w:numId w:val="15"/>
        </w:numPr>
        <w:tabs>
          <w:tab w:pos="882" w:val="left" w:leader="none"/>
        </w:tabs>
        <w:spacing w:line="276" w:lineRule="auto" w:before="1" w:after="0"/>
        <w:ind w:left="882" w:right="158" w:hanging="360"/>
        <w:jc w:val="both"/>
        <w:rPr>
          <w:sz w:val="24"/>
        </w:rPr>
      </w:pPr>
      <w:r>
        <w:rPr>
          <w:sz w:val="24"/>
        </w:rPr>
        <w:t>Junto con el medio de cultivo se preparó la concentración de las sustancias que permitirían el crecimiento de bacterias de </w:t>
      </w:r>
      <w:r>
        <w:rPr>
          <w:i/>
          <w:sz w:val="24"/>
        </w:rPr>
        <w:t>Streptococcus mutans </w:t>
      </w:r>
      <w:r>
        <w:rPr>
          <w:sz w:val="24"/>
        </w:rPr>
        <w:t>únicamente, la cual fue la</w:t>
      </w:r>
      <w:r>
        <w:rPr>
          <w:spacing w:val="-4"/>
          <w:sz w:val="24"/>
        </w:rPr>
        <w:t> </w:t>
      </w:r>
      <w:r>
        <w:rPr>
          <w:sz w:val="24"/>
        </w:rPr>
        <w:t>siguiente:</w:t>
      </w:r>
    </w:p>
    <w:p>
      <w:pPr>
        <w:pStyle w:val="BodyText"/>
        <w:rPr>
          <w:sz w:val="20"/>
        </w:rPr>
      </w:pPr>
    </w:p>
    <w:p>
      <w:pPr>
        <w:pStyle w:val="BodyText"/>
        <w:spacing w:before="3"/>
        <w:rPr>
          <w:sz w:val="25"/>
        </w:rPr>
      </w:pPr>
    </w:p>
    <w:tbl>
      <w:tblPr>
        <w:tblW w:w="0" w:type="auto"/>
        <w:jc w:val="left"/>
        <w:tblInd w:w="2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8"/>
        <w:gridCol w:w="1475"/>
      </w:tblGrid>
      <w:tr>
        <w:trPr>
          <w:trHeight w:val="286" w:hRule="exact"/>
        </w:trPr>
        <w:tc>
          <w:tcPr>
            <w:tcW w:w="3028" w:type="dxa"/>
            <w:tcBorders>
              <w:right w:val="nil"/>
            </w:tcBorders>
            <w:shd w:val="clear" w:color="auto" w:fill="C2D59B"/>
          </w:tcPr>
          <w:p>
            <w:pPr>
              <w:pStyle w:val="TableParagraph"/>
              <w:spacing w:line="272" w:lineRule="exact"/>
              <w:rPr>
                <w:sz w:val="24"/>
              </w:rPr>
            </w:pPr>
            <w:r>
              <w:rPr>
                <w:sz w:val="24"/>
              </w:rPr>
              <w:t>Sulfanilamida</w:t>
            </w:r>
          </w:p>
        </w:tc>
        <w:tc>
          <w:tcPr>
            <w:tcW w:w="1475" w:type="dxa"/>
            <w:tcBorders>
              <w:left w:val="nil"/>
            </w:tcBorders>
            <w:shd w:val="clear" w:color="auto" w:fill="C2D59B"/>
          </w:tcPr>
          <w:p>
            <w:pPr>
              <w:pStyle w:val="TableParagraph"/>
              <w:spacing w:line="272" w:lineRule="exact"/>
              <w:ind w:left="251"/>
              <w:rPr>
                <w:sz w:val="24"/>
              </w:rPr>
            </w:pPr>
            <w:r>
              <w:rPr>
                <w:sz w:val="24"/>
              </w:rPr>
              <w:t>0.8 g/L</w:t>
            </w:r>
          </w:p>
        </w:tc>
      </w:tr>
      <w:tr>
        <w:trPr>
          <w:trHeight w:val="286" w:hRule="exact"/>
        </w:trPr>
        <w:tc>
          <w:tcPr>
            <w:tcW w:w="3028" w:type="dxa"/>
            <w:tcBorders>
              <w:right w:val="nil"/>
            </w:tcBorders>
            <w:shd w:val="clear" w:color="auto" w:fill="C2D59B"/>
          </w:tcPr>
          <w:p>
            <w:pPr>
              <w:pStyle w:val="TableParagraph"/>
              <w:spacing w:line="272" w:lineRule="exact"/>
              <w:rPr>
                <w:sz w:val="24"/>
              </w:rPr>
            </w:pPr>
            <w:r>
              <w:rPr>
                <w:sz w:val="24"/>
              </w:rPr>
              <w:t>Cefalotina al 0.002%</w:t>
            </w:r>
          </w:p>
        </w:tc>
        <w:tc>
          <w:tcPr>
            <w:tcW w:w="1475" w:type="dxa"/>
            <w:tcBorders>
              <w:left w:val="nil"/>
            </w:tcBorders>
            <w:shd w:val="clear" w:color="auto" w:fill="C2D59B"/>
          </w:tcPr>
          <w:p>
            <w:pPr>
              <w:pStyle w:val="TableParagraph"/>
              <w:spacing w:line="272" w:lineRule="exact"/>
              <w:ind w:left="226"/>
              <w:rPr>
                <w:sz w:val="24"/>
              </w:rPr>
            </w:pPr>
            <w:r>
              <w:rPr>
                <w:sz w:val="24"/>
              </w:rPr>
              <w:t>1 ml/L</w:t>
            </w:r>
          </w:p>
        </w:tc>
      </w:tr>
      <w:tr>
        <w:trPr>
          <w:trHeight w:val="287" w:hRule="exact"/>
        </w:trPr>
        <w:tc>
          <w:tcPr>
            <w:tcW w:w="3028" w:type="dxa"/>
            <w:tcBorders>
              <w:right w:val="nil"/>
            </w:tcBorders>
            <w:shd w:val="clear" w:color="auto" w:fill="C2D59B"/>
          </w:tcPr>
          <w:p>
            <w:pPr>
              <w:pStyle w:val="TableParagraph"/>
              <w:spacing w:line="272" w:lineRule="exact"/>
              <w:rPr>
                <w:sz w:val="24"/>
              </w:rPr>
            </w:pPr>
            <w:r>
              <w:rPr>
                <w:sz w:val="24"/>
              </w:rPr>
              <w:t>Cloruro Férrico</w:t>
            </w:r>
          </w:p>
        </w:tc>
        <w:tc>
          <w:tcPr>
            <w:tcW w:w="1475" w:type="dxa"/>
            <w:tcBorders>
              <w:left w:val="nil"/>
            </w:tcBorders>
            <w:shd w:val="clear" w:color="auto" w:fill="C2D59B"/>
          </w:tcPr>
          <w:p>
            <w:pPr>
              <w:pStyle w:val="TableParagraph"/>
              <w:spacing w:line="272" w:lineRule="exact"/>
              <w:ind w:left="0" w:right="333"/>
              <w:jc w:val="right"/>
              <w:rPr>
                <w:sz w:val="24"/>
              </w:rPr>
            </w:pPr>
            <w:r>
              <w:rPr>
                <w:sz w:val="24"/>
              </w:rPr>
              <w:t>1.2 ml/L</w:t>
            </w:r>
          </w:p>
        </w:tc>
      </w:tr>
      <w:tr>
        <w:trPr>
          <w:trHeight w:val="287" w:hRule="exact"/>
        </w:trPr>
        <w:tc>
          <w:tcPr>
            <w:tcW w:w="3028" w:type="dxa"/>
            <w:tcBorders>
              <w:right w:val="nil"/>
            </w:tcBorders>
            <w:shd w:val="clear" w:color="auto" w:fill="C2D59B"/>
          </w:tcPr>
          <w:p>
            <w:pPr>
              <w:pStyle w:val="TableParagraph"/>
              <w:spacing w:line="273" w:lineRule="exact"/>
              <w:rPr>
                <w:sz w:val="24"/>
              </w:rPr>
            </w:pPr>
            <w:r>
              <w:rPr>
                <w:sz w:val="24"/>
              </w:rPr>
              <w:t>Citrato de Sodio</w:t>
            </w:r>
          </w:p>
        </w:tc>
        <w:tc>
          <w:tcPr>
            <w:tcW w:w="1475" w:type="dxa"/>
            <w:tcBorders>
              <w:left w:val="nil"/>
            </w:tcBorders>
            <w:shd w:val="clear" w:color="auto" w:fill="C2D59B"/>
          </w:tcPr>
          <w:p>
            <w:pPr>
              <w:pStyle w:val="TableParagraph"/>
              <w:spacing w:line="273" w:lineRule="exact"/>
              <w:ind w:left="333"/>
              <w:rPr>
                <w:sz w:val="24"/>
              </w:rPr>
            </w:pPr>
            <w:r>
              <w:rPr>
                <w:sz w:val="24"/>
              </w:rPr>
              <w:t>2 </w:t>
            </w:r>
            <w:r>
              <w:rPr>
                <w:spacing w:val="64"/>
                <w:sz w:val="24"/>
              </w:rPr>
              <w:t> </w:t>
            </w:r>
            <w:r>
              <w:rPr>
                <w:sz w:val="24"/>
              </w:rPr>
              <w:t>g/L</w:t>
            </w:r>
          </w:p>
        </w:tc>
      </w:tr>
      <w:tr>
        <w:trPr>
          <w:trHeight w:val="286" w:hRule="exact"/>
        </w:trPr>
        <w:tc>
          <w:tcPr>
            <w:tcW w:w="3028" w:type="dxa"/>
            <w:tcBorders>
              <w:right w:val="nil"/>
            </w:tcBorders>
            <w:shd w:val="clear" w:color="auto" w:fill="C2D59B"/>
          </w:tcPr>
          <w:p>
            <w:pPr>
              <w:pStyle w:val="TableParagraph"/>
              <w:spacing w:line="272" w:lineRule="exact"/>
              <w:rPr>
                <w:sz w:val="24"/>
              </w:rPr>
            </w:pPr>
            <w:r>
              <w:rPr>
                <w:sz w:val="24"/>
              </w:rPr>
              <w:t>Sangre de carnero estéril</w:t>
            </w:r>
          </w:p>
        </w:tc>
        <w:tc>
          <w:tcPr>
            <w:tcW w:w="1475" w:type="dxa"/>
            <w:tcBorders>
              <w:left w:val="nil"/>
            </w:tcBorders>
            <w:shd w:val="clear" w:color="auto" w:fill="C2D59B"/>
          </w:tcPr>
          <w:p>
            <w:pPr>
              <w:pStyle w:val="TableParagraph"/>
              <w:spacing w:line="272" w:lineRule="exact"/>
              <w:ind w:left="0" w:right="372"/>
              <w:jc w:val="right"/>
              <w:rPr>
                <w:sz w:val="24"/>
              </w:rPr>
            </w:pPr>
            <w:r>
              <w:rPr>
                <w:sz w:val="24"/>
              </w:rPr>
              <w:t>50 ml/L</w:t>
            </w:r>
          </w:p>
        </w:tc>
      </w:tr>
    </w:tbl>
    <w:p>
      <w:pPr>
        <w:spacing w:after="0" w:line="272" w:lineRule="exact"/>
        <w:jc w:val="right"/>
        <w:rPr>
          <w:sz w:val="24"/>
        </w:rPr>
        <w:sectPr>
          <w:pgSz w:w="12240" w:h="15840"/>
          <w:pgMar w:header="729" w:footer="1003" w:top="1180" w:bottom="1200" w:left="1540" w:right="1020"/>
        </w:sectPr>
      </w:pPr>
    </w:p>
    <w:p>
      <w:pPr>
        <w:pStyle w:val="BodyText"/>
        <w:rPr>
          <w:sz w:val="20"/>
        </w:rPr>
      </w:pPr>
    </w:p>
    <w:p>
      <w:pPr>
        <w:pStyle w:val="BodyText"/>
        <w:rPr>
          <w:sz w:val="20"/>
        </w:rPr>
      </w:pPr>
    </w:p>
    <w:p>
      <w:pPr>
        <w:pStyle w:val="BodyText"/>
        <w:spacing w:before="4"/>
        <w:rPr>
          <w:sz w:val="19"/>
        </w:rPr>
      </w:pPr>
    </w:p>
    <w:p>
      <w:pPr>
        <w:pStyle w:val="ListParagraph"/>
        <w:numPr>
          <w:ilvl w:val="5"/>
          <w:numId w:val="15"/>
        </w:numPr>
        <w:tabs>
          <w:tab w:pos="881" w:val="left" w:leader="none"/>
          <w:tab w:pos="882" w:val="left" w:leader="none"/>
          <w:tab w:pos="6702" w:val="left" w:leader="none"/>
        </w:tabs>
        <w:spacing w:line="273" w:lineRule="auto" w:before="56" w:after="0"/>
        <w:ind w:left="882" w:right="164" w:hanging="360"/>
        <w:jc w:val="left"/>
        <w:rPr>
          <w:sz w:val="24"/>
        </w:rPr>
      </w:pPr>
      <w:r>
        <w:rPr>
          <w:sz w:val="24"/>
        </w:rPr>
        <w:t>Este  concentrado  se  incorporó  al</w:t>
      </w:r>
      <w:r>
        <w:rPr>
          <w:spacing w:val="8"/>
          <w:sz w:val="24"/>
        </w:rPr>
        <w:t> </w:t>
      </w:r>
      <w:r>
        <w:rPr>
          <w:sz w:val="24"/>
        </w:rPr>
        <w:t>agar</w:t>
      </w:r>
      <w:r>
        <w:rPr>
          <w:spacing w:val="54"/>
          <w:sz w:val="24"/>
        </w:rPr>
        <w:t> </w:t>
      </w:r>
      <w:r>
        <w:rPr>
          <w:sz w:val="24"/>
        </w:rPr>
        <w:t>agitándolo</w:t>
        <w:tab/>
        <w:t>de  forma</w:t>
      </w:r>
      <w:r>
        <w:rPr>
          <w:spacing w:val="39"/>
          <w:sz w:val="24"/>
        </w:rPr>
        <w:t> </w:t>
      </w:r>
      <w:r>
        <w:rPr>
          <w:sz w:val="24"/>
        </w:rPr>
        <w:t>oscilatoria</w:t>
      </w:r>
      <w:r>
        <w:rPr>
          <w:spacing w:val="54"/>
          <w:sz w:val="24"/>
        </w:rPr>
        <w:t> </w:t>
      </w:r>
      <w:r>
        <w:rPr>
          <w:sz w:val="24"/>
        </w:rPr>
        <w:t>para</w:t>
      </w:r>
      <w:r>
        <w:rPr>
          <w:w w:val="99"/>
          <w:sz w:val="24"/>
        </w:rPr>
        <w:t> </w:t>
      </w:r>
      <w:r>
        <w:rPr>
          <w:sz w:val="24"/>
        </w:rPr>
        <w:t>incorporar homogéneamente al</w:t>
      </w:r>
      <w:r>
        <w:rPr>
          <w:spacing w:val="-11"/>
          <w:sz w:val="24"/>
        </w:rPr>
        <w:t> </w:t>
      </w:r>
      <w:r>
        <w:rPr>
          <w:sz w:val="24"/>
        </w:rPr>
        <w:t>agar.</w:t>
      </w:r>
    </w:p>
    <w:p>
      <w:pPr>
        <w:pStyle w:val="BodyText"/>
      </w:pPr>
    </w:p>
    <w:p>
      <w:pPr>
        <w:pStyle w:val="BodyText"/>
        <w:spacing w:before="2"/>
        <w:rPr>
          <w:sz w:val="21"/>
        </w:rPr>
      </w:pPr>
    </w:p>
    <w:p>
      <w:pPr>
        <w:pStyle w:val="Heading4"/>
        <w:numPr>
          <w:ilvl w:val="4"/>
          <w:numId w:val="15"/>
        </w:numPr>
        <w:tabs>
          <w:tab w:pos="1331" w:val="left" w:leader="none"/>
        </w:tabs>
        <w:spacing w:line="240" w:lineRule="auto" w:before="0" w:after="0"/>
        <w:ind w:left="1330" w:right="0" w:hanging="1168"/>
        <w:jc w:val="both"/>
        <w:rPr>
          <w:b w:val="0"/>
        </w:rPr>
      </w:pPr>
      <w:r>
        <w:rPr/>
        <w:t>Vertido del  medio de cultivo en las cajas</w:t>
      </w:r>
      <w:r>
        <w:rPr>
          <w:spacing w:val="62"/>
        </w:rPr>
        <w:t> </w:t>
      </w:r>
      <w:r>
        <w:rPr/>
        <w:t>Petri</w:t>
      </w:r>
      <w:r>
        <w:rPr>
          <w:b w:val="0"/>
        </w:rPr>
        <w:t>.</w:t>
      </w:r>
    </w:p>
    <w:p>
      <w:pPr>
        <w:pStyle w:val="BodyText"/>
        <w:spacing w:line="276" w:lineRule="auto" w:before="248"/>
        <w:ind w:left="162" w:right="159"/>
        <w:jc w:val="both"/>
      </w:pPr>
      <w:r>
        <w:rPr/>
        <w:t>Se vertieron 30 mL de medio de cultivo en las cajas de Petri previamente sembradas con un mililitro de la dilución de la muestra, considerando que para evitar la formación de gotitas de condensación de agua en la tapa de las cajas de Petri, debe verterse el medio de cultivo a una temperatura entre 45° a 55°, moviendo oscilatoriamente el recipiente que  contenía el medio de cultivo esterilizado, para garantizar el mezclado  del medio de</w:t>
      </w:r>
      <w:r>
        <w:rPr>
          <w:spacing w:val="-6"/>
        </w:rPr>
        <w:t> </w:t>
      </w:r>
      <w:r>
        <w:rPr/>
        <w:t>cultivo.</w:t>
      </w:r>
    </w:p>
    <w:p>
      <w:pPr>
        <w:pStyle w:val="Heading4"/>
        <w:numPr>
          <w:ilvl w:val="4"/>
          <w:numId w:val="15"/>
        </w:numPr>
        <w:tabs>
          <w:tab w:pos="1331" w:val="left" w:leader="none"/>
        </w:tabs>
        <w:spacing w:line="240" w:lineRule="auto" w:before="198" w:after="0"/>
        <w:ind w:left="1330" w:right="0" w:hanging="1168"/>
        <w:jc w:val="both"/>
      </w:pPr>
      <w:r>
        <w:rPr/>
        <w:t>Incubación de las cajas</w:t>
      </w:r>
      <w:r>
        <w:rPr>
          <w:spacing w:val="-12"/>
        </w:rPr>
        <w:t> </w:t>
      </w:r>
      <w:r>
        <w:rPr/>
        <w:t>Petri</w:t>
      </w:r>
    </w:p>
    <w:p>
      <w:pPr>
        <w:pStyle w:val="BodyText"/>
        <w:spacing w:line="276" w:lineRule="auto" w:before="250"/>
        <w:ind w:left="234" w:right="158"/>
        <w:jc w:val="both"/>
      </w:pPr>
      <w:r>
        <w:rPr/>
        <w:t>Las cajas ya sembradas y con el medio de cultivo selectivo, se cerraron y se llevaron a incubación a 36 grados centígrados, durante 48 horas, en una atmosfera de anaerobiosis.</w:t>
      </w:r>
    </w:p>
    <w:p>
      <w:pPr>
        <w:pStyle w:val="Heading4"/>
        <w:spacing w:before="200"/>
      </w:pPr>
      <w:r>
        <w:rPr/>
        <w:t>8.6.2.4.4.6 Lectura de los Estreptococos  de las cajas Petri.</w:t>
      </w:r>
    </w:p>
    <w:p>
      <w:pPr>
        <w:pStyle w:val="BodyText"/>
        <w:spacing w:line="276" w:lineRule="auto" w:before="248"/>
        <w:ind w:left="162" w:right="157"/>
        <w:jc w:val="both"/>
        <w:rPr>
          <w:i/>
        </w:rPr>
      </w:pPr>
      <w:r>
        <w:rPr/>
        <w:t>Después de incubadas las cajas Petri, se procedió a la identificación morfológica y bioquímica de las colonias bacterianas, para verificar que realmente eran colonias típicas de </w:t>
      </w:r>
      <w:r>
        <w:rPr>
          <w:i/>
        </w:rPr>
        <w:t>Streptococcus mutans.</w:t>
      </w:r>
    </w:p>
    <w:p>
      <w:pPr>
        <w:pStyle w:val="BodyText"/>
        <w:spacing w:line="278" w:lineRule="auto" w:before="202"/>
        <w:ind w:left="162" w:right="158"/>
        <w:jc w:val="both"/>
      </w:pPr>
      <w:r>
        <w:rPr/>
        <w:t>Con un cuentacolonias, se contaron el número de colonias bacterianas existentes en cada una de las cajas registrándose el dato en las fichas correspondientes.</w:t>
      </w:r>
    </w:p>
    <w:p>
      <w:pPr>
        <w:pStyle w:val="Heading4"/>
        <w:numPr>
          <w:ilvl w:val="3"/>
          <w:numId w:val="16"/>
        </w:numPr>
        <w:tabs>
          <w:tab w:pos="1100" w:val="left" w:leader="none"/>
        </w:tabs>
        <w:spacing w:line="424" w:lineRule="auto" w:before="195" w:after="0"/>
        <w:ind w:left="162" w:right="394" w:firstLine="0"/>
        <w:jc w:val="left"/>
      </w:pPr>
      <w:r>
        <w:rPr/>
        <w:t>Aplicación de las Variables tratamiento Clorhexidina al 2% en gel y Fluoruro de sodio al 0.02% en</w:t>
      </w:r>
      <w:r>
        <w:rPr>
          <w:spacing w:val="-16"/>
        </w:rPr>
        <w:t> </w:t>
      </w:r>
      <w:r>
        <w:rPr/>
        <w:t>gel.</w:t>
      </w:r>
    </w:p>
    <w:p>
      <w:pPr>
        <w:pStyle w:val="BodyText"/>
        <w:spacing w:line="276" w:lineRule="auto" w:before="10"/>
        <w:ind w:left="162" w:right="162"/>
        <w:jc w:val="both"/>
      </w:pPr>
      <w:r>
        <w:rPr/>
        <w:t>El mismo día de la toma de muestra se inició con la aplicación de las soluciones en estudio.</w:t>
      </w:r>
    </w:p>
    <w:p>
      <w:pPr>
        <w:pStyle w:val="Heading4"/>
        <w:numPr>
          <w:ilvl w:val="4"/>
          <w:numId w:val="16"/>
        </w:numPr>
        <w:tabs>
          <w:tab w:pos="1336" w:val="left" w:leader="none"/>
        </w:tabs>
        <w:spacing w:line="240" w:lineRule="auto" w:before="198" w:after="0"/>
        <w:ind w:left="1335" w:right="0" w:hanging="1173"/>
        <w:jc w:val="both"/>
      </w:pPr>
      <w:r>
        <w:rPr/>
        <w:t>Aplicación de Clorhexidina al </w:t>
      </w:r>
      <w:r>
        <w:rPr>
          <w:spacing w:val="2"/>
        </w:rPr>
        <w:t>2% </w:t>
      </w:r>
      <w:r>
        <w:rPr/>
        <w:t>en</w:t>
      </w:r>
      <w:r>
        <w:rPr>
          <w:spacing w:val="-30"/>
        </w:rPr>
        <w:t> </w:t>
      </w:r>
      <w:r>
        <w:rPr/>
        <w:t>gel</w:t>
      </w:r>
    </w:p>
    <w:p>
      <w:pPr>
        <w:pStyle w:val="BodyText"/>
        <w:spacing w:before="250"/>
        <w:ind w:left="162"/>
        <w:jc w:val="both"/>
      </w:pPr>
      <w:r>
        <w:rPr/>
        <w:t>Se realizó conforme a los siguientes pasos:</w:t>
      </w:r>
    </w:p>
    <w:p>
      <w:pPr>
        <w:pStyle w:val="BodyText"/>
        <w:spacing w:before="10"/>
        <w:rPr>
          <w:sz w:val="20"/>
        </w:rPr>
      </w:pPr>
    </w:p>
    <w:p>
      <w:pPr>
        <w:pStyle w:val="ListParagraph"/>
        <w:numPr>
          <w:ilvl w:val="5"/>
          <w:numId w:val="16"/>
        </w:numPr>
        <w:tabs>
          <w:tab w:pos="881" w:val="left" w:leader="none"/>
          <w:tab w:pos="882" w:val="left" w:leader="none"/>
        </w:tabs>
        <w:spacing w:line="271" w:lineRule="auto" w:before="0" w:after="0"/>
        <w:ind w:left="882" w:right="166" w:hanging="360"/>
        <w:jc w:val="left"/>
        <w:rPr>
          <w:sz w:val="24"/>
        </w:rPr>
      </w:pPr>
      <w:r>
        <w:rPr>
          <w:sz w:val="24"/>
        </w:rPr>
        <w:t>Profilaxis con una gasa estéril con una solución de agua oxigenada a la proporción de 5 partes de agua destilada por una de agua</w:t>
      </w:r>
      <w:r>
        <w:rPr>
          <w:spacing w:val="-24"/>
          <w:sz w:val="24"/>
        </w:rPr>
        <w:t> </w:t>
      </w:r>
      <w:r>
        <w:rPr>
          <w:sz w:val="24"/>
        </w:rPr>
        <w:t>oxigenada</w:t>
      </w:r>
    </w:p>
    <w:p>
      <w:pPr>
        <w:pStyle w:val="ListParagraph"/>
        <w:numPr>
          <w:ilvl w:val="5"/>
          <w:numId w:val="16"/>
        </w:numPr>
        <w:tabs>
          <w:tab w:pos="881" w:val="left" w:leader="none"/>
          <w:tab w:pos="882" w:val="left" w:leader="none"/>
        </w:tabs>
        <w:spacing w:line="240" w:lineRule="auto" w:before="6" w:after="0"/>
        <w:ind w:left="882" w:right="0" w:hanging="360"/>
        <w:jc w:val="left"/>
        <w:rPr>
          <w:sz w:val="24"/>
        </w:rPr>
      </w:pPr>
      <w:r>
        <w:rPr>
          <w:sz w:val="24"/>
        </w:rPr>
        <w:t>Secado dental con gasa</w:t>
      </w:r>
      <w:r>
        <w:rPr>
          <w:spacing w:val="-12"/>
          <w:sz w:val="24"/>
        </w:rPr>
        <w:t> </w:t>
      </w:r>
      <w:r>
        <w:rPr>
          <w:sz w:val="24"/>
        </w:rPr>
        <w:t>estéril</w:t>
      </w:r>
    </w:p>
    <w:p>
      <w:pPr>
        <w:spacing w:after="0" w:line="240" w:lineRule="auto"/>
        <w:jc w:val="left"/>
        <w:rPr>
          <w:sz w:val="24"/>
        </w:rPr>
        <w:sectPr>
          <w:footerReference w:type="default" r:id="rId22"/>
          <w:pgSz w:w="12240" w:h="15840"/>
          <w:pgMar w:footer="1003" w:header="729" w:top="1180" w:bottom="1200" w:left="1540" w:right="1020"/>
        </w:sectPr>
      </w:pPr>
    </w:p>
    <w:p>
      <w:pPr>
        <w:pStyle w:val="BodyText"/>
        <w:spacing w:before="2"/>
        <w:rPr>
          <w:sz w:val="14"/>
        </w:rPr>
      </w:pPr>
    </w:p>
    <w:p>
      <w:pPr>
        <w:pStyle w:val="ListParagraph"/>
        <w:numPr>
          <w:ilvl w:val="5"/>
          <w:numId w:val="16"/>
        </w:numPr>
        <w:tabs>
          <w:tab w:pos="882" w:val="left" w:leader="none"/>
        </w:tabs>
        <w:spacing w:line="276" w:lineRule="auto" w:before="56" w:after="0"/>
        <w:ind w:left="882" w:right="161" w:hanging="360"/>
        <w:jc w:val="both"/>
        <w:rPr>
          <w:sz w:val="24"/>
        </w:rPr>
      </w:pPr>
      <w:r>
        <w:rPr>
          <w:sz w:val="24"/>
        </w:rPr>
        <w:t>Se aplicó el gel de clorhexidina  con un hisopo con en el gel primero en la  arcada superior del lado derecho, después el izquierdo, para  después desplazarlo al lado inferior izquierdo y terminar la aplicación en la hemiarcada inferior derecha esperando veinte segundos para su fijación al</w:t>
      </w:r>
      <w:r>
        <w:rPr>
          <w:spacing w:val="-26"/>
          <w:sz w:val="24"/>
        </w:rPr>
        <w:t> </w:t>
      </w:r>
      <w:r>
        <w:rPr>
          <w:sz w:val="24"/>
        </w:rPr>
        <w:t>diente.</w:t>
      </w:r>
    </w:p>
    <w:p>
      <w:pPr>
        <w:pStyle w:val="BodyText"/>
        <w:rPr>
          <w:sz w:val="20"/>
        </w:rPr>
      </w:pPr>
    </w:p>
    <w:p>
      <w:pPr>
        <w:pStyle w:val="BodyText"/>
        <w:spacing w:before="10"/>
        <w:rPr>
          <w:sz w:val="21"/>
        </w:rPr>
      </w:pPr>
      <w:r>
        <w:rPr/>
        <w:pict>
          <v:group style="position:absolute;margin-left:194.449997pt;margin-top:14.527048pt;width:248.4pt;height:151.8pt;mso-position-horizontal-relative:page;mso-position-vertical-relative:paragraph;z-index:1552;mso-wrap-distance-left:0;mso-wrap-distance-right:0" coordorigin="3889,291" coordsize="4968,3036">
            <v:shape style="position:absolute;left:3889;top:291;width:4968;height:3035" type="#_x0000_t75" stroked="false">
              <v:imagedata r:id="rId24" o:title=""/>
            </v:shape>
            <v:rect style="position:absolute;left:5928;top:1129;width:252;height:179" filled="true" fillcolor="#000000" stroked="false">
              <v:fill type="solid"/>
            </v:rect>
            <v:rect style="position:absolute;left:5928;top:1129;width:252;height:179" filled="false" stroked="true" strokeweight="2pt" strokecolor="#000000"/>
            <v:rect style="position:absolute;left:6336;top:1753;width:252;height:179" filled="true" fillcolor="#000000" stroked="false">
              <v:fill type="solid"/>
            </v:rect>
            <v:rect style="position:absolute;left:6336;top:1753;width:252;height:179" filled="false" stroked="true" strokeweight="2pt" strokecolor="#000000"/>
            <w10:wrap type="topAndBottom"/>
          </v:group>
        </w:pict>
      </w:r>
    </w:p>
    <w:p>
      <w:pPr>
        <w:spacing w:before="211"/>
        <w:ind w:left="2238" w:right="158" w:firstLine="0"/>
        <w:jc w:val="left"/>
        <w:rPr>
          <w:sz w:val="16"/>
        </w:rPr>
      </w:pPr>
      <w:r>
        <w:rPr>
          <w:sz w:val="16"/>
        </w:rPr>
        <w:t>Figura 8.4 Aplicación de Clorhexidina y Fluoruro de Sodio. Fuente directa</w:t>
      </w:r>
    </w:p>
    <w:p>
      <w:pPr>
        <w:pStyle w:val="BodyText"/>
        <w:spacing w:before="8"/>
        <w:rPr>
          <w:sz w:val="19"/>
        </w:rPr>
      </w:pPr>
    </w:p>
    <w:p>
      <w:pPr>
        <w:pStyle w:val="Heading4"/>
        <w:numPr>
          <w:ilvl w:val="4"/>
          <w:numId w:val="16"/>
        </w:numPr>
        <w:tabs>
          <w:tab w:pos="1413" w:val="left" w:leader="none"/>
        </w:tabs>
        <w:spacing w:line="240" w:lineRule="auto" w:before="0" w:after="0"/>
        <w:ind w:left="1412" w:right="0" w:hanging="1250"/>
        <w:jc w:val="left"/>
      </w:pPr>
      <w:r>
        <w:rPr/>
        <w:t>Aplicación de fluoruro de sodio al</w:t>
      </w:r>
      <w:r>
        <w:rPr>
          <w:spacing w:val="-15"/>
        </w:rPr>
        <w:t> </w:t>
      </w:r>
      <w:r>
        <w:rPr/>
        <w:t>0.02%</w:t>
      </w:r>
    </w:p>
    <w:p>
      <w:pPr>
        <w:pStyle w:val="ListParagraph"/>
        <w:numPr>
          <w:ilvl w:val="5"/>
          <w:numId w:val="16"/>
        </w:numPr>
        <w:tabs>
          <w:tab w:pos="882" w:val="left" w:leader="none"/>
        </w:tabs>
        <w:spacing w:line="273" w:lineRule="auto" w:before="246" w:after="0"/>
        <w:ind w:left="882" w:right="159" w:hanging="360"/>
        <w:jc w:val="both"/>
        <w:rPr>
          <w:sz w:val="24"/>
        </w:rPr>
      </w:pPr>
      <w:r>
        <w:rPr>
          <w:sz w:val="24"/>
        </w:rPr>
        <w:t>Profilaxis previa con una gasa embebida de solución de agua oxigenada a 5 partes de agua destilada  por una de agua</w:t>
      </w:r>
      <w:r>
        <w:rPr>
          <w:spacing w:val="-23"/>
          <w:sz w:val="24"/>
        </w:rPr>
        <w:t> </w:t>
      </w:r>
      <w:r>
        <w:rPr>
          <w:sz w:val="24"/>
        </w:rPr>
        <w:t>oxigenada.</w:t>
      </w:r>
    </w:p>
    <w:p>
      <w:pPr>
        <w:pStyle w:val="ListParagraph"/>
        <w:numPr>
          <w:ilvl w:val="5"/>
          <w:numId w:val="16"/>
        </w:numPr>
        <w:tabs>
          <w:tab w:pos="882" w:val="left" w:leader="none"/>
        </w:tabs>
        <w:spacing w:line="273" w:lineRule="auto" w:before="4" w:after="0"/>
        <w:ind w:left="882" w:right="160" w:hanging="360"/>
        <w:jc w:val="both"/>
        <w:rPr>
          <w:sz w:val="24"/>
        </w:rPr>
      </w:pPr>
      <w:r>
        <w:rPr>
          <w:sz w:val="24"/>
        </w:rPr>
        <w:t>Se aplicó la solución de gel de fluoruro de Sodio al 0.02% con un hisopo estéril sobre la superficies dentales existentes, siguiendo el procedimiento antes descrito para la aplicación del gel de clorhexidina  (fig.</w:t>
      </w:r>
      <w:r>
        <w:rPr>
          <w:spacing w:val="-16"/>
          <w:sz w:val="24"/>
        </w:rPr>
        <w:t> </w:t>
      </w:r>
      <w:r>
        <w:rPr>
          <w:sz w:val="24"/>
        </w:rPr>
        <w:t>8.4).</w:t>
      </w:r>
    </w:p>
    <w:p>
      <w:pPr>
        <w:pStyle w:val="BodyText"/>
      </w:pPr>
    </w:p>
    <w:p>
      <w:pPr>
        <w:pStyle w:val="BodyText"/>
        <w:spacing w:before="4"/>
        <w:rPr>
          <w:sz w:val="21"/>
        </w:rPr>
      </w:pPr>
    </w:p>
    <w:p>
      <w:pPr>
        <w:pStyle w:val="Heading6"/>
        <w:ind w:left="2170" w:right="158"/>
      </w:pPr>
      <w:r>
        <w:rPr/>
        <w:t>Grupos de aplicación de variables tratamiento.</w:t>
      </w:r>
    </w:p>
    <w:p>
      <w:pPr>
        <w:pStyle w:val="BodyText"/>
        <w:rPr>
          <w:b/>
          <w:sz w:val="21"/>
        </w:rPr>
      </w:pPr>
    </w:p>
    <w:tbl>
      <w:tblPr>
        <w:tblW w:w="0" w:type="auto"/>
        <w:jc w:val="left"/>
        <w:tblInd w:w="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286" w:hRule="exact"/>
        </w:trPr>
        <w:tc>
          <w:tcPr>
            <w:tcW w:w="4489" w:type="dxa"/>
          </w:tcPr>
          <w:p>
            <w:pPr>
              <w:pStyle w:val="TableParagraph"/>
              <w:spacing w:line="272" w:lineRule="exact"/>
              <w:ind w:left="1884" w:right="1886"/>
              <w:jc w:val="center"/>
              <w:rPr>
                <w:sz w:val="24"/>
              </w:rPr>
            </w:pPr>
            <w:r>
              <w:rPr>
                <w:sz w:val="24"/>
              </w:rPr>
              <w:t>Grupo</w:t>
            </w:r>
          </w:p>
        </w:tc>
        <w:tc>
          <w:tcPr>
            <w:tcW w:w="4491" w:type="dxa"/>
          </w:tcPr>
          <w:p>
            <w:pPr>
              <w:pStyle w:val="TableParagraph"/>
              <w:spacing w:line="272" w:lineRule="exact"/>
              <w:ind w:left="1164" w:right="529"/>
              <w:rPr>
                <w:sz w:val="24"/>
              </w:rPr>
            </w:pPr>
            <w:r>
              <w:rPr>
                <w:sz w:val="24"/>
              </w:rPr>
              <w:t>Variable tratamiento</w:t>
            </w:r>
          </w:p>
        </w:tc>
      </w:tr>
      <w:tr>
        <w:trPr>
          <w:trHeight w:val="562" w:hRule="exact"/>
        </w:trPr>
        <w:tc>
          <w:tcPr>
            <w:tcW w:w="4489" w:type="dxa"/>
          </w:tcPr>
          <w:p>
            <w:pPr>
              <w:pStyle w:val="TableParagraph"/>
              <w:spacing w:line="274" w:lineRule="exact"/>
              <w:ind w:left="0" w:right="3"/>
              <w:jc w:val="center"/>
              <w:rPr>
                <w:sz w:val="24"/>
              </w:rPr>
            </w:pPr>
            <w:r>
              <w:rPr>
                <w:w w:val="99"/>
                <w:sz w:val="24"/>
              </w:rPr>
              <w:t>1</w:t>
            </w:r>
          </w:p>
        </w:tc>
        <w:tc>
          <w:tcPr>
            <w:tcW w:w="4491" w:type="dxa"/>
          </w:tcPr>
          <w:p>
            <w:pPr>
              <w:pStyle w:val="TableParagraph"/>
              <w:tabs>
                <w:tab w:pos="1245" w:val="left" w:leader="none"/>
                <w:tab w:pos="1757" w:val="left" w:leader="none"/>
                <w:tab w:pos="2617" w:val="left" w:leader="none"/>
                <w:tab w:pos="3051" w:val="left" w:leader="none"/>
                <w:tab w:pos="3980" w:val="left" w:leader="none"/>
              </w:tabs>
              <w:spacing w:line="274" w:lineRule="exact" w:before="4"/>
              <w:ind w:right="103"/>
              <w:rPr>
                <w:sz w:val="24"/>
              </w:rPr>
            </w:pPr>
            <w:r>
              <w:rPr>
                <w:sz w:val="24"/>
              </w:rPr>
              <w:t>Fluoruro</w:t>
              <w:tab/>
              <w:t>de</w:t>
              <w:tab/>
              <w:t>Sodio</w:t>
              <w:tab/>
              <w:t>al</w:t>
              <w:tab/>
              <w:t>0.02%</w:t>
              <w:tab/>
            </w:r>
            <w:r>
              <w:rPr>
                <w:spacing w:val="-2"/>
                <w:sz w:val="24"/>
              </w:rPr>
              <w:t>una </w:t>
            </w:r>
            <w:r>
              <w:rPr>
                <w:sz w:val="24"/>
              </w:rPr>
              <w:t>aplicación</w:t>
            </w:r>
            <w:r>
              <w:rPr>
                <w:spacing w:val="-6"/>
                <w:sz w:val="24"/>
              </w:rPr>
              <w:t> </w:t>
            </w:r>
            <w:r>
              <w:rPr>
                <w:sz w:val="24"/>
              </w:rPr>
              <w:t>semanal</w:t>
            </w:r>
          </w:p>
        </w:tc>
      </w:tr>
      <w:tr>
        <w:trPr>
          <w:trHeight w:val="841" w:hRule="exact"/>
        </w:trPr>
        <w:tc>
          <w:tcPr>
            <w:tcW w:w="4489" w:type="dxa"/>
          </w:tcPr>
          <w:p>
            <w:pPr>
              <w:pStyle w:val="TableParagraph"/>
              <w:spacing w:line="274" w:lineRule="exact"/>
              <w:ind w:left="0" w:right="3"/>
              <w:jc w:val="center"/>
              <w:rPr>
                <w:sz w:val="24"/>
              </w:rPr>
            </w:pPr>
            <w:r>
              <w:rPr>
                <w:w w:val="99"/>
                <w:sz w:val="24"/>
              </w:rPr>
              <w:t>2</w:t>
            </w:r>
          </w:p>
        </w:tc>
        <w:tc>
          <w:tcPr>
            <w:tcW w:w="4491" w:type="dxa"/>
          </w:tcPr>
          <w:p>
            <w:pPr>
              <w:pStyle w:val="TableParagraph"/>
              <w:ind w:right="529"/>
              <w:rPr>
                <w:sz w:val="24"/>
              </w:rPr>
            </w:pPr>
            <w:r>
              <w:rPr>
                <w:sz w:val="24"/>
              </w:rPr>
              <w:t>Fluoruro de sodio al 0.02% una aplicación semanal y una aplicación mensual de Clorhexidina al 2 %</w:t>
            </w:r>
          </w:p>
        </w:tc>
      </w:tr>
      <w:tr>
        <w:trPr>
          <w:trHeight w:val="562" w:hRule="exact"/>
        </w:trPr>
        <w:tc>
          <w:tcPr>
            <w:tcW w:w="4489" w:type="dxa"/>
          </w:tcPr>
          <w:p>
            <w:pPr>
              <w:pStyle w:val="TableParagraph"/>
              <w:spacing w:line="272" w:lineRule="exact"/>
              <w:ind w:left="0" w:right="3"/>
              <w:jc w:val="center"/>
              <w:rPr>
                <w:sz w:val="24"/>
              </w:rPr>
            </w:pPr>
            <w:r>
              <w:rPr>
                <w:w w:val="99"/>
                <w:sz w:val="24"/>
              </w:rPr>
              <w:t>3</w:t>
            </w:r>
          </w:p>
        </w:tc>
        <w:tc>
          <w:tcPr>
            <w:tcW w:w="4491" w:type="dxa"/>
          </w:tcPr>
          <w:p>
            <w:pPr>
              <w:pStyle w:val="TableParagraph"/>
              <w:ind w:right="529"/>
              <w:rPr>
                <w:sz w:val="24"/>
              </w:rPr>
            </w:pPr>
            <w:r>
              <w:rPr>
                <w:sz w:val="24"/>
              </w:rPr>
              <w:t>Clorhexidina al 2 % una aplicación mensual</w:t>
            </w:r>
          </w:p>
        </w:tc>
      </w:tr>
      <w:tr>
        <w:trPr>
          <w:trHeight w:val="286" w:hRule="exact"/>
        </w:trPr>
        <w:tc>
          <w:tcPr>
            <w:tcW w:w="4489" w:type="dxa"/>
          </w:tcPr>
          <w:p>
            <w:pPr>
              <w:pStyle w:val="TableParagraph"/>
              <w:spacing w:line="272" w:lineRule="exact"/>
              <w:ind w:left="0" w:right="3"/>
              <w:jc w:val="center"/>
              <w:rPr>
                <w:sz w:val="24"/>
              </w:rPr>
            </w:pPr>
            <w:r>
              <w:rPr>
                <w:w w:val="99"/>
                <w:sz w:val="24"/>
              </w:rPr>
              <w:t>4</w:t>
            </w:r>
          </w:p>
        </w:tc>
        <w:tc>
          <w:tcPr>
            <w:tcW w:w="4491" w:type="dxa"/>
          </w:tcPr>
          <w:p>
            <w:pPr>
              <w:pStyle w:val="TableParagraph"/>
              <w:spacing w:line="272" w:lineRule="exact"/>
              <w:ind w:right="529"/>
              <w:rPr>
                <w:sz w:val="24"/>
              </w:rPr>
            </w:pPr>
            <w:r>
              <w:rPr>
                <w:sz w:val="24"/>
              </w:rPr>
              <w:t>Gel Placebo</w:t>
            </w:r>
          </w:p>
        </w:tc>
      </w:tr>
    </w:tbl>
    <w:p>
      <w:pPr>
        <w:spacing w:after="0" w:line="272" w:lineRule="exact"/>
        <w:rPr>
          <w:sz w:val="24"/>
        </w:rPr>
        <w:sectPr>
          <w:footerReference w:type="default" r:id="rId23"/>
          <w:pgSz w:w="12240" w:h="15840"/>
          <w:pgMar w:footer="1003" w:header="729" w:top="1180" w:bottom="1200" w:left="1540" w:right="1020"/>
          <w:pgNumType w:start="41"/>
        </w:sectPr>
      </w:pPr>
    </w:p>
    <w:p>
      <w:pPr>
        <w:pStyle w:val="BodyText"/>
        <w:spacing w:before="5"/>
        <w:rPr>
          <w:b/>
          <w:sz w:val="13"/>
        </w:rPr>
      </w:pPr>
    </w:p>
    <w:p>
      <w:pPr>
        <w:pStyle w:val="ListParagraph"/>
        <w:numPr>
          <w:ilvl w:val="4"/>
          <w:numId w:val="16"/>
        </w:numPr>
        <w:tabs>
          <w:tab w:pos="1410" w:val="left" w:leader="none"/>
        </w:tabs>
        <w:spacing w:line="240" w:lineRule="auto" w:before="65" w:after="0"/>
        <w:ind w:left="1410" w:right="0" w:hanging="1169"/>
        <w:jc w:val="both"/>
        <w:rPr>
          <w:b/>
          <w:sz w:val="28"/>
        </w:rPr>
      </w:pPr>
      <w:r>
        <w:rPr>
          <w:b/>
          <w:sz w:val="28"/>
        </w:rPr>
        <w:t>Procesamiento y análisis de los</w:t>
      </w:r>
      <w:r>
        <w:rPr>
          <w:b/>
          <w:spacing w:val="-15"/>
          <w:sz w:val="28"/>
        </w:rPr>
        <w:t> </w:t>
      </w:r>
      <w:r>
        <w:rPr>
          <w:b/>
          <w:sz w:val="28"/>
        </w:rPr>
        <w:t>datos</w:t>
      </w:r>
    </w:p>
    <w:p>
      <w:pPr>
        <w:spacing w:before="250"/>
        <w:ind w:left="229" w:right="0" w:firstLine="0"/>
        <w:jc w:val="both"/>
        <w:rPr>
          <w:b/>
          <w:sz w:val="24"/>
        </w:rPr>
      </w:pPr>
      <w:r>
        <w:rPr>
          <w:b/>
          <w:sz w:val="24"/>
        </w:rPr>
        <w:t>Elaboración de la base de datos</w:t>
      </w:r>
    </w:p>
    <w:p>
      <w:pPr>
        <w:pStyle w:val="BodyText"/>
        <w:rPr>
          <w:b/>
          <w:sz w:val="21"/>
        </w:rPr>
      </w:pPr>
    </w:p>
    <w:p>
      <w:pPr>
        <w:pStyle w:val="BodyText"/>
        <w:spacing w:line="276" w:lineRule="auto" w:before="1"/>
        <w:ind w:left="162" w:right="155"/>
        <w:jc w:val="both"/>
      </w:pPr>
      <w:r>
        <w:rPr/>
        <w:t>Posterior a la obtención de los datos se construyó una base de los mismos para así poder analizarlos con apego del SSPS Versión 19.</w:t>
      </w:r>
    </w:p>
    <w:p>
      <w:pPr>
        <w:pStyle w:val="BodyText"/>
      </w:pPr>
    </w:p>
    <w:p>
      <w:pPr>
        <w:pStyle w:val="BodyText"/>
      </w:pPr>
    </w:p>
    <w:p>
      <w:pPr>
        <w:pStyle w:val="Heading6"/>
        <w:spacing w:before="166"/>
        <w:ind w:left="231"/>
        <w:jc w:val="both"/>
      </w:pPr>
      <w:r>
        <w:rPr/>
        <w:t>Análisis de los datos</w:t>
      </w:r>
    </w:p>
    <w:p>
      <w:pPr>
        <w:pStyle w:val="BodyText"/>
        <w:rPr>
          <w:b/>
          <w:sz w:val="21"/>
        </w:rPr>
      </w:pPr>
    </w:p>
    <w:p>
      <w:pPr>
        <w:pStyle w:val="BodyText"/>
        <w:spacing w:line="276" w:lineRule="auto" w:before="1"/>
        <w:ind w:left="162" w:right="162"/>
        <w:jc w:val="both"/>
      </w:pPr>
      <w:r>
        <w:rPr/>
        <w:t>Con la base de datos construida y en función a ellos se utilizó el Software realizando análisis de </w:t>
      </w:r>
      <w:r>
        <w:rPr>
          <w:i/>
        </w:rPr>
        <w:t>T </w:t>
      </w:r>
      <w:r>
        <w:rPr/>
        <w:t>de Student para la diferencia de medias y un análisis de  regresión  múltiple para saber la asociación entre variables con el fin de probar nuestra</w:t>
      </w:r>
      <w:r>
        <w:rPr>
          <w:spacing w:val="-21"/>
        </w:rPr>
        <w:t> </w:t>
      </w:r>
      <w:r>
        <w:rPr/>
        <w:t>hipótesis.</w:t>
      </w:r>
    </w:p>
    <w:p>
      <w:pPr>
        <w:spacing w:after="0" w:line="276" w:lineRule="auto"/>
        <w:jc w:val="both"/>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1"/>
        <w:numPr>
          <w:ilvl w:val="1"/>
          <w:numId w:val="6"/>
        </w:numPr>
        <w:tabs>
          <w:tab w:pos="3863" w:val="left" w:leader="none"/>
          <w:tab w:pos="3864" w:val="left" w:leader="none"/>
        </w:tabs>
        <w:spacing w:line="240" w:lineRule="auto" w:before="43" w:after="0"/>
        <w:ind w:left="3863" w:right="0" w:hanging="720"/>
        <w:jc w:val="left"/>
      </w:pPr>
      <w:bookmarkStart w:name="_TOC_250007" w:id="33"/>
      <w:bookmarkEnd w:id="33"/>
      <w:r>
        <w:rPr/>
        <w:t>RESULTADOS</w:t>
      </w:r>
    </w:p>
    <w:p>
      <w:pPr>
        <w:spacing w:after="0" w:line="240" w:lineRule="auto"/>
        <w:jc w:val="left"/>
        <w:sectPr>
          <w:pgSz w:w="12240" w:h="15840"/>
          <w:pgMar w:header="729" w:footer="1003" w:top="1180" w:bottom="1200" w:left="1540" w:right="1020"/>
        </w:sectPr>
      </w:pPr>
    </w:p>
    <w:p>
      <w:pPr>
        <w:pStyle w:val="BodyText"/>
        <w:rPr>
          <w:b/>
          <w:sz w:val="20"/>
        </w:rPr>
      </w:pPr>
    </w:p>
    <w:p>
      <w:pPr>
        <w:pStyle w:val="BodyText"/>
        <w:spacing w:before="10"/>
        <w:rPr>
          <w:b/>
          <w:sz w:val="26"/>
        </w:rPr>
      </w:pPr>
    </w:p>
    <w:p>
      <w:pPr>
        <w:pStyle w:val="Heading4"/>
        <w:spacing w:line="242" w:lineRule="auto"/>
        <w:ind w:right="1386"/>
        <w:jc w:val="left"/>
      </w:pPr>
      <w:bookmarkStart w:name="_TOC_250006" w:id="34"/>
      <w:r>
        <w:rPr/>
        <w:t>9.1.- Publicación de artículo “Medio de cultivo selectivo para el aislamiento de </w:t>
      </w:r>
      <w:r>
        <w:rPr>
          <w:i/>
        </w:rPr>
        <w:t>Streptococcus mutans</w:t>
      </w:r>
      <w:bookmarkEnd w:id="34"/>
      <w:r>
        <w:rPr/>
        <w:t>”</w:t>
      </w:r>
    </w:p>
    <w:p>
      <w:pPr>
        <w:pStyle w:val="BodyText"/>
        <w:rPr>
          <w:b/>
          <w:sz w:val="20"/>
        </w:rPr>
      </w:pPr>
    </w:p>
    <w:p>
      <w:pPr>
        <w:pStyle w:val="BodyText"/>
        <w:rPr>
          <w:b/>
          <w:sz w:val="20"/>
        </w:rPr>
      </w:pPr>
    </w:p>
    <w:p>
      <w:pPr>
        <w:pStyle w:val="BodyText"/>
        <w:spacing w:before="4"/>
        <w:rPr>
          <w:b/>
          <w:sz w:val="19"/>
        </w:rPr>
      </w:pPr>
      <w:r>
        <w:rPr/>
        <w:drawing>
          <wp:anchor distT="0" distB="0" distL="0" distR="0" allowOverlap="1" layoutInCell="1" locked="0" behindDoc="0" simplePos="0" relativeHeight="1576">
            <wp:simplePos x="0" y="0"/>
            <wp:positionH relativeFrom="page">
              <wp:posOffset>1080135</wp:posOffset>
            </wp:positionH>
            <wp:positionV relativeFrom="paragraph">
              <wp:posOffset>166354</wp:posOffset>
            </wp:positionV>
            <wp:extent cx="6034650" cy="6910958"/>
            <wp:effectExtent l="0" t="0" r="0" b="0"/>
            <wp:wrapTopAndBottom/>
            <wp:docPr id="5" name="image9.jpeg" descr=""/>
            <wp:cNvGraphicFramePr>
              <a:graphicFrameLocks noChangeAspect="1"/>
            </wp:cNvGraphicFramePr>
            <a:graphic>
              <a:graphicData uri="http://schemas.openxmlformats.org/drawingml/2006/picture">
                <pic:pic>
                  <pic:nvPicPr>
                    <pic:cNvPr id="6" name="image9.jpeg"/>
                    <pic:cNvPicPr/>
                  </pic:nvPicPr>
                  <pic:blipFill>
                    <a:blip r:embed="rId25" cstate="print"/>
                    <a:stretch>
                      <a:fillRect/>
                    </a:stretch>
                  </pic:blipFill>
                  <pic:spPr>
                    <a:xfrm>
                      <a:off x="0" y="0"/>
                      <a:ext cx="6034650" cy="6910958"/>
                    </a:xfrm>
                    <a:prstGeom prst="rect">
                      <a:avLst/>
                    </a:prstGeom>
                  </pic:spPr>
                </pic:pic>
              </a:graphicData>
            </a:graphic>
          </wp:anchor>
        </w:drawing>
      </w:r>
    </w:p>
    <w:p>
      <w:pPr>
        <w:spacing w:after="0"/>
        <w:rPr>
          <w:sz w:val="19"/>
        </w:rPr>
        <w:sectPr>
          <w:pgSz w:w="12240" w:h="15840"/>
          <w:pgMar w:header="729" w:footer="1003" w:top="1180" w:bottom="1200" w:left="1540" w:right="760"/>
        </w:sectPr>
      </w:pPr>
    </w:p>
    <w:p>
      <w:pPr>
        <w:pStyle w:val="BodyText"/>
        <w:rPr>
          <w:b/>
          <w:sz w:val="20"/>
        </w:rPr>
      </w:pPr>
    </w:p>
    <w:p>
      <w:pPr>
        <w:pStyle w:val="BodyText"/>
        <w:rPr>
          <w:b/>
          <w:sz w:val="20"/>
        </w:rPr>
      </w:pPr>
    </w:p>
    <w:p>
      <w:pPr>
        <w:pStyle w:val="BodyText"/>
        <w:rPr>
          <w:b/>
          <w:sz w:val="19"/>
        </w:rPr>
      </w:pPr>
    </w:p>
    <w:p>
      <w:pPr>
        <w:spacing w:before="65"/>
        <w:ind w:left="162" w:right="156" w:firstLine="0"/>
        <w:jc w:val="both"/>
        <w:rPr>
          <w:b/>
          <w:sz w:val="28"/>
        </w:rPr>
      </w:pPr>
      <w:r>
        <w:rPr>
          <w:b/>
          <w:sz w:val="28"/>
        </w:rPr>
        <w:t>9.2.- Articulo enviado a publicación “Fluoruro de Sodio y  Clorhexidina en la prevención de caries en niños de la primera infancia”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3"/>
        </w:rPr>
      </w:pPr>
      <w:r>
        <w:rPr/>
        <w:drawing>
          <wp:anchor distT="0" distB="0" distL="0" distR="0" allowOverlap="1" layoutInCell="1" locked="0" behindDoc="0" simplePos="0" relativeHeight="1600">
            <wp:simplePos x="0" y="0"/>
            <wp:positionH relativeFrom="page">
              <wp:posOffset>1080135</wp:posOffset>
            </wp:positionH>
            <wp:positionV relativeFrom="paragraph">
              <wp:posOffset>123419</wp:posOffset>
            </wp:positionV>
            <wp:extent cx="5903696" cy="2830163"/>
            <wp:effectExtent l="0" t="0" r="0" b="0"/>
            <wp:wrapTopAndBottom/>
            <wp:docPr id="7" name="image10.jpeg" descr=""/>
            <wp:cNvGraphicFramePr>
              <a:graphicFrameLocks noChangeAspect="1"/>
            </wp:cNvGraphicFramePr>
            <a:graphic>
              <a:graphicData uri="http://schemas.openxmlformats.org/drawingml/2006/picture">
                <pic:pic>
                  <pic:nvPicPr>
                    <pic:cNvPr id="8" name="image10.jpeg"/>
                    <pic:cNvPicPr/>
                  </pic:nvPicPr>
                  <pic:blipFill>
                    <a:blip r:embed="rId26" cstate="print"/>
                    <a:stretch>
                      <a:fillRect/>
                    </a:stretch>
                  </pic:blipFill>
                  <pic:spPr>
                    <a:xfrm>
                      <a:off x="0" y="0"/>
                      <a:ext cx="5903696" cy="2830163"/>
                    </a:xfrm>
                    <a:prstGeom prst="rect">
                      <a:avLst/>
                    </a:prstGeom>
                  </pic:spPr>
                </pic:pic>
              </a:graphicData>
            </a:graphic>
          </wp:anchor>
        </w:drawing>
      </w:r>
    </w:p>
    <w:p>
      <w:pPr>
        <w:spacing w:after="0"/>
        <w:rPr>
          <w:sz w:val="13"/>
        </w:rPr>
        <w:sectPr>
          <w:pgSz w:w="12240" w:h="15840"/>
          <w:pgMar w:header="729" w:footer="1003" w:top="1180" w:bottom="1200" w:left="1540" w:right="1020"/>
        </w:sectPr>
      </w:pPr>
    </w:p>
    <w:p>
      <w:pPr>
        <w:pStyle w:val="BodyText"/>
        <w:spacing w:before="5"/>
        <w:rPr>
          <w:b/>
          <w:sz w:val="13"/>
        </w:rPr>
      </w:pPr>
    </w:p>
    <w:p>
      <w:pPr>
        <w:pStyle w:val="Heading4"/>
        <w:tabs>
          <w:tab w:pos="1241" w:val="left" w:leader="none"/>
        </w:tabs>
        <w:ind w:left="521" w:right="158"/>
        <w:jc w:val="left"/>
      </w:pPr>
      <w:bookmarkStart w:name="_TOC_250005" w:id="35"/>
      <w:r>
        <w:rPr/>
        <w:t>9.3.</w:t>
        <w:tab/>
        <w:t>Resultados</w:t>
      </w:r>
      <w:r>
        <w:rPr>
          <w:spacing w:val="-6"/>
        </w:rPr>
        <w:t> </w:t>
      </w:r>
      <w:bookmarkEnd w:id="35"/>
      <w:r>
        <w:rPr/>
        <w:t>generales</w:t>
      </w:r>
    </w:p>
    <w:p>
      <w:pPr>
        <w:pStyle w:val="BodyText"/>
        <w:spacing w:line="276" w:lineRule="auto" w:before="250"/>
        <w:ind w:left="162" w:right="168"/>
        <w:jc w:val="both"/>
      </w:pPr>
      <w:r>
        <w:rPr/>
        <w:t>Respecto a los hábitos higiénicos el 69.7% refirió realizarse aseo bucal y el 30.3% no se realizaba aseo alguno. De los pacientes que se realizaban aseo bucal, el 23.5% refirió utilizar gasa, el 2.9% utilizó cepillo dental y el 73.6% pasta y cepillo</w:t>
      </w:r>
      <w:r>
        <w:rPr>
          <w:spacing w:val="-24"/>
        </w:rPr>
        <w:t> </w:t>
      </w:r>
      <w:r>
        <w:rPr/>
        <w:t>dental.</w:t>
      </w:r>
    </w:p>
    <w:p>
      <w:pPr>
        <w:pStyle w:val="BodyText"/>
        <w:spacing w:line="276" w:lineRule="auto" w:before="200"/>
        <w:ind w:left="162" w:right="168"/>
        <w:jc w:val="both"/>
      </w:pPr>
      <w:r>
        <w:rPr/>
        <w:t>En relación a la atención de salud bucal, el 93.9% refirió no haber recibido atención y  el 6.1% recibió algún tipo de atención. De los pacientes que recibieron atención, sólo acudieron a revisión</w:t>
      </w:r>
      <w:r>
        <w:rPr>
          <w:spacing w:val="-9"/>
        </w:rPr>
        <w:t> </w:t>
      </w:r>
      <w:r>
        <w:rPr/>
        <w:t>bucal.</w:t>
      </w:r>
    </w:p>
    <w:p>
      <w:pPr>
        <w:pStyle w:val="BodyText"/>
        <w:spacing w:line="276" w:lineRule="auto" w:before="200"/>
        <w:ind w:left="162" w:right="157"/>
        <w:jc w:val="both"/>
      </w:pPr>
      <w:r>
        <w:rPr/>
        <w:t>El plan alimenticio recibido por los pacientes fue de dos tipos: 1) Maternal (78.8%): dieta sólida y lácteos, y 2) Lactantes (21.2%): dieta semisólida y lácteos. Plan alimenticio recibido por los pacientes 2 veces al día (84.4%), y 1 vez al día (15.6%). El 87.9% de los pacientes tomaban leche, de los cuales 24.2% utilizaban biberón y el 72.7% utilizaban vaso. La leche que tomaban con mayor frecuencia fue leche en polvo con 51.5%, seguida de la leche envasada en cartón con el 39.4%, y el 9.1% leche sin empacar. El 12.1% de los pacientes no tomaban leche. El 0.3% de los pacientes presentó malos hábitos. El 3% utilizaba chupón (Tabla</w:t>
      </w:r>
      <w:r>
        <w:rPr>
          <w:spacing w:val="-18"/>
        </w:rPr>
        <w:t> </w:t>
      </w:r>
      <w:r>
        <w:rPr/>
        <w:t>1).</w:t>
      </w:r>
    </w:p>
    <w:p>
      <w:pPr>
        <w:pStyle w:val="BodyText"/>
        <w:spacing w:line="276" w:lineRule="auto" w:before="200"/>
        <w:ind w:left="162" w:right="159"/>
        <w:jc w:val="both"/>
      </w:pPr>
      <w:r>
        <w:rPr/>
        <w:t>En la Tabla 2, se puede observar la diferencia de medias de pH salival de los pacientes en las diferentes etapas del estudio (basal, 3 y 6 meses), donde la media de </w:t>
      </w:r>
      <w:r>
        <w:rPr>
          <w:spacing w:val="3"/>
        </w:rPr>
        <w:t>pH </w:t>
      </w:r>
      <w:r>
        <w:rPr/>
        <w:t>salival al inicio del estudio fue de 6.02, la media de pH a los 3 meses fue de 6.03, y la media de pH a los 6 meses fue de 6.05; no se encontraron diferencias estadísticamente significativas en las diferentes</w:t>
      </w:r>
      <w:r>
        <w:rPr>
          <w:spacing w:val="-11"/>
        </w:rPr>
        <w:t> </w:t>
      </w:r>
      <w:r>
        <w:rPr/>
        <w:t>etapas.</w:t>
      </w:r>
    </w:p>
    <w:p>
      <w:pPr>
        <w:pStyle w:val="BodyText"/>
        <w:spacing w:line="276" w:lineRule="auto" w:before="202"/>
        <w:ind w:left="162" w:right="158"/>
        <w:jc w:val="both"/>
      </w:pPr>
      <w:r>
        <w:rPr/>
        <w:t>La diferencia de medias entre las distintas etapas del estudio (basal, 3 meses y 6 meses) de las cuentas bacterianas de </w:t>
      </w:r>
      <w:r>
        <w:rPr>
          <w:i/>
        </w:rPr>
        <w:t>Streptococcus mutans</w:t>
      </w:r>
      <w:r>
        <w:rPr/>
        <w:t>, se presenta en la Tabla  3; donde se observa que existieron diferencias estadísticamente significativas al comparar las medias entre la cuenta bacteriana basal y la cuenta bacteriana a los 3 meses (p=0.004); así como entra la cuenta basal y la cuenta a los 6 meses (p=0.000). No encontrándose diferencias significativas entre la segunda y tercera medición (p=0.256), Tabla</w:t>
      </w:r>
      <w:r>
        <w:rPr>
          <w:spacing w:val="-3"/>
        </w:rPr>
        <w:t> </w:t>
      </w:r>
      <w:r>
        <w:rPr/>
        <w:t>3.</w:t>
      </w:r>
    </w:p>
    <w:p>
      <w:pPr>
        <w:pStyle w:val="BodyText"/>
        <w:spacing w:line="276" w:lineRule="auto" w:before="202"/>
        <w:ind w:left="162" w:right="158"/>
        <w:jc w:val="both"/>
      </w:pPr>
      <w:r>
        <w:rPr/>
        <w:t>En la Tabla 4, se muestra la diferencia de medias entre los diferentes grupos, Grupo 1: aplicación de flúor al 0.02%; Grupo 2: aplicación de Flúor al 0.02% y Clorhexidina al  2%, y Grupo 3: aplicación de Clorhexidina al 2% en las tres etapas del estudio (basal, a los 3 y a los 6 meses), pudiéndose observar que existieron diferencias  estadísticamente significativas al comparar el grupo 1 en las etapas 1 y 2 (p=0.049), grupo 1 entre las etapas 1 y 3 (p=0.022), grupo 2 entre las etapas 1 y 2 (p=0.00),</w:t>
      </w:r>
      <w:r>
        <w:rPr>
          <w:spacing w:val="30"/>
        </w:rPr>
        <w:t> </w:t>
      </w:r>
      <w:r>
        <w:rPr/>
        <w:t>grupo</w:t>
      </w:r>
    </w:p>
    <w:p>
      <w:pPr>
        <w:pStyle w:val="BodyText"/>
        <w:spacing w:line="276" w:lineRule="auto"/>
        <w:ind w:left="162" w:right="167"/>
        <w:jc w:val="both"/>
      </w:pPr>
      <w:r>
        <w:rPr/>
        <w:t>2 entre las etapas 1 y 3 (p=0.001), grupo 3 entre las etapas 1 y 2 (p=0.005); y grupo 3 entre las etapas 1 y 3 (p=0.001). No encontrándose diferencias en los otros grupos entre las diferentes etapas.</w:t>
      </w:r>
    </w:p>
    <w:p>
      <w:pPr>
        <w:spacing w:after="0" w:line="276" w:lineRule="auto"/>
        <w:jc w:val="both"/>
        <w:sectPr>
          <w:pgSz w:w="12240" w:h="15840"/>
          <w:pgMar w:header="729" w:footer="1003" w:top="1180" w:bottom="1200" w:left="1540" w:right="1020"/>
        </w:sectPr>
      </w:pPr>
    </w:p>
    <w:p>
      <w:pPr>
        <w:pStyle w:val="BodyText"/>
        <w:spacing w:before="2"/>
        <w:rPr>
          <w:sz w:val="13"/>
        </w:rPr>
      </w:pPr>
    </w:p>
    <w:p>
      <w:pPr>
        <w:pStyle w:val="BodyText"/>
        <w:spacing w:line="276" w:lineRule="auto" w:before="69"/>
        <w:ind w:left="162" w:right="160"/>
        <w:jc w:val="both"/>
      </w:pPr>
      <w:r>
        <w:rPr/>
        <w:t>En los modelos de regresión (Tabla 5), se puede observar como en los tres grupos de estudio (Grupo 1) Aplicaciones de Fluoruro de Sodio al 0.02%, Grupo 2) Aplicaciones de Clorhexidina al 2% y Fluoruro de Sodio al 0.02%, y Grupo 3) Aplicaciones de Clorhexidina al 2%), se muestra la asociación entre la desmineralización de los  órganos dentarios en el grupo de estudio y 3 factores: pH salival, dieta y cuenta bacteriana de </w:t>
      </w:r>
      <w:r>
        <w:rPr>
          <w:i/>
        </w:rPr>
        <w:t>Streptococcus</w:t>
      </w:r>
      <w:r>
        <w:rPr>
          <w:i/>
          <w:spacing w:val="-10"/>
        </w:rPr>
        <w:t> </w:t>
      </w:r>
      <w:r>
        <w:rPr>
          <w:i/>
        </w:rPr>
        <w:t>mutans</w:t>
      </w:r>
      <w:r>
        <w:rPr/>
        <w:t>.</w:t>
      </w:r>
    </w:p>
    <w:p>
      <w:pPr>
        <w:pStyle w:val="BodyText"/>
        <w:spacing w:line="276" w:lineRule="auto" w:before="202"/>
        <w:ind w:left="162" w:right="157"/>
        <w:jc w:val="both"/>
      </w:pPr>
      <w:r>
        <w:rPr/>
        <w:t>En el grupo 2 con aplicaciones de Fluoruro de Sodio al 0.02% y Clorhexidina al 2%, fue el único grupo donde se encontraron diferencias estadísticamente significativas a los 3 y 6 meses, con una probabilidad de asociación a los 3 meses de 0.502 de Nm. de desmineralización por cada UFC del </w:t>
      </w:r>
      <w:r>
        <w:rPr>
          <w:i/>
        </w:rPr>
        <w:t>Streptococcus mutans </w:t>
      </w:r>
      <w:r>
        <w:rPr/>
        <w:t>(p=0.039); y a los 6 meses una probabilidad de 0.476 Nm. de desmineralización por cada UFC de </w:t>
      </w:r>
      <w:r>
        <w:rPr>
          <w:i/>
        </w:rPr>
        <w:t>Streptococcus </w:t>
      </w:r>
      <w:r>
        <w:rPr>
          <w:i/>
        </w:rPr>
        <w:t>mutans </w:t>
      </w:r>
      <w:r>
        <w:rPr/>
        <w:t>(p=0.004). También se puede observar que no existió una asociación estadísticamente significativa de la desmineralización con el resto de las variables: Ingesta de Carbohidratos, Lípidos y proteínas en desayuno y comida, así como con el pH</w:t>
      </w:r>
      <w:r>
        <w:rPr>
          <w:spacing w:val="-5"/>
        </w:rPr>
        <w:t> </w:t>
      </w:r>
      <w:r>
        <w:rPr/>
        <w:t>salival.</w:t>
      </w:r>
    </w:p>
    <w:p>
      <w:pPr>
        <w:pStyle w:val="BodyText"/>
        <w:spacing w:line="276" w:lineRule="auto" w:before="202"/>
        <w:ind w:left="162" w:right="158"/>
        <w:jc w:val="both"/>
      </w:pPr>
      <w:r>
        <w:rPr/>
        <w:t>En los grupos 1 Aplicaciones de Fluoruro de Sodio al 0.02%, y en el grupo 3 Aplicaciones de Clorhexidina al 2%, no se encontraron diferencias estadísticamente significativas a los 3 y 6 meses del estudio respecto a la medición basal.</w:t>
      </w:r>
    </w:p>
    <w:p>
      <w:pPr>
        <w:pStyle w:val="BodyText"/>
      </w:pPr>
    </w:p>
    <w:p>
      <w:pPr>
        <w:pStyle w:val="BodyText"/>
      </w:pPr>
    </w:p>
    <w:p>
      <w:pPr>
        <w:pStyle w:val="BodyText"/>
        <w:spacing w:line="278" w:lineRule="auto" w:before="166"/>
        <w:ind w:left="162" w:right="168"/>
        <w:jc w:val="both"/>
      </w:pPr>
      <w:r>
        <w:rPr/>
        <w:t>De los 196 pacientes estudiados (integrados en los 4 grupos), el sexo masculino fue el predominante con el 57.6%; el  42.4% fueron del sexo femenino.</w:t>
      </w:r>
    </w:p>
    <w:p>
      <w:pPr>
        <w:pStyle w:val="BodyText"/>
        <w:spacing w:line="276" w:lineRule="auto" w:before="197"/>
        <w:ind w:left="162" w:right="167"/>
        <w:jc w:val="both"/>
      </w:pPr>
      <w:r>
        <w:rPr/>
        <w:t>Respecto al lugar de nacimiento, el 97.1% son originarios del Estado de México y el 2.9% de otros estados de la república mexicana.</w:t>
      </w:r>
    </w:p>
    <w:p>
      <w:pPr>
        <w:pStyle w:val="BodyText"/>
        <w:spacing w:line="276" w:lineRule="auto" w:before="202"/>
        <w:ind w:left="162" w:right="159"/>
        <w:jc w:val="both"/>
      </w:pPr>
      <w:r>
        <w:rPr/>
        <w:t>De los pacientes estudiados, el 97% no refirió presentar alguna enfermedad, y el 3% presentó alguna enfermedad respiratoria aguda al momento de la realización del estudio.</w:t>
      </w:r>
    </w:p>
    <w:p>
      <w:pPr>
        <w:spacing w:after="0" w:line="276" w:lineRule="auto"/>
        <w:jc w:val="both"/>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Heading1"/>
        <w:numPr>
          <w:ilvl w:val="1"/>
          <w:numId w:val="6"/>
        </w:numPr>
        <w:tabs>
          <w:tab w:pos="4488" w:val="left" w:leader="none"/>
        </w:tabs>
        <w:spacing w:line="240" w:lineRule="auto" w:before="43" w:after="0"/>
        <w:ind w:left="4487" w:right="0" w:hanging="720"/>
        <w:jc w:val="left"/>
      </w:pPr>
      <w:bookmarkStart w:name="_TOC_250004" w:id="36"/>
      <w:bookmarkEnd w:id="36"/>
      <w:r>
        <w:rPr/>
        <w:t>TABLAS</w:t>
      </w:r>
    </w:p>
    <w:p>
      <w:pPr>
        <w:spacing w:after="0" w:line="240" w:lineRule="auto"/>
        <w:jc w:val="left"/>
        <w:sectPr>
          <w:pgSz w:w="12240" w:h="15840"/>
          <w:pgMar w:header="729" w:footer="1003" w:top="1180" w:bottom="1200" w:left="1540" w:right="1020"/>
        </w:sectPr>
      </w:pPr>
    </w:p>
    <w:p>
      <w:pPr>
        <w:pStyle w:val="BodyText"/>
        <w:spacing w:before="2"/>
        <w:rPr>
          <w:b/>
          <w:sz w:val="13"/>
        </w:rPr>
      </w:pPr>
    </w:p>
    <w:p>
      <w:pPr>
        <w:pStyle w:val="BodyText"/>
        <w:spacing w:line="278" w:lineRule="auto" w:before="69"/>
        <w:ind w:left="2365" w:right="326" w:hanging="2024"/>
      </w:pPr>
      <w:r>
        <w:rPr/>
        <w:t>Tabla 10.1. Medidas descriptivas de niños de 0 a 3 años, de Estancias infantiles de la ciudad  de Toluca Estado de México; año 2012.</w:t>
      </w:r>
    </w:p>
    <w:p>
      <w:pPr>
        <w:pStyle w:val="BodyText"/>
        <w:spacing w:before="6"/>
        <w:rPr>
          <w:sz w:val="2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0"/>
        <w:gridCol w:w="3192"/>
        <w:gridCol w:w="3190"/>
      </w:tblGrid>
      <w:tr>
        <w:trPr>
          <w:trHeight w:val="319" w:hRule="exact"/>
        </w:trPr>
        <w:tc>
          <w:tcPr>
            <w:tcW w:w="3190" w:type="dxa"/>
          </w:tcPr>
          <w:p>
            <w:pPr>
              <w:pStyle w:val="TableParagraph"/>
              <w:spacing w:line="225" w:lineRule="exact"/>
              <w:ind w:left="1179" w:right="1182"/>
              <w:jc w:val="center"/>
              <w:rPr>
                <w:b/>
                <w:sz w:val="20"/>
              </w:rPr>
            </w:pPr>
            <w:r>
              <w:rPr>
                <w:b/>
                <w:sz w:val="20"/>
              </w:rPr>
              <w:t>Variable</w:t>
            </w:r>
          </w:p>
        </w:tc>
        <w:tc>
          <w:tcPr>
            <w:tcW w:w="3192" w:type="dxa"/>
          </w:tcPr>
          <w:p>
            <w:pPr/>
          </w:p>
        </w:tc>
        <w:tc>
          <w:tcPr>
            <w:tcW w:w="3190" w:type="dxa"/>
          </w:tcPr>
          <w:p>
            <w:pPr>
              <w:pStyle w:val="TableParagraph"/>
              <w:spacing w:line="225" w:lineRule="exact"/>
              <w:ind w:left="1057" w:right="1060"/>
              <w:jc w:val="center"/>
              <w:rPr>
                <w:b/>
                <w:sz w:val="20"/>
              </w:rPr>
            </w:pPr>
            <w:r>
              <w:rPr>
                <w:b/>
                <w:sz w:val="20"/>
              </w:rPr>
              <w:t>Porcentaje</w:t>
            </w:r>
          </w:p>
        </w:tc>
      </w:tr>
      <w:tr>
        <w:trPr>
          <w:trHeight w:val="286" w:hRule="exact"/>
        </w:trPr>
        <w:tc>
          <w:tcPr>
            <w:tcW w:w="3190" w:type="dxa"/>
          </w:tcPr>
          <w:p>
            <w:pPr>
              <w:pStyle w:val="TableParagraph"/>
              <w:spacing w:before="28"/>
              <w:rPr>
                <w:sz w:val="20"/>
              </w:rPr>
            </w:pPr>
            <w:r>
              <w:rPr>
                <w:sz w:val="20"/>
              </w:rPr>
              <w:t>Sexo</w:t>
            </w:r>
          </w:p>
        </w:tc>
        <w:tc>
          <w:tcPr>
            <w:tcW w:w="3192" w:type="dxa"/>
          </w:tcPr>
          <w:p>
            <w:pPr>
              <w:pStyle w:val="TableParagraph"/>
              <w:spacing w:before="28"/>
              <w:ind w:left="774" w:right="777"/>
              <w:jc w:val="center"/>
              <w:rPr>
                <w:sz w:val="20"/>
              </w:rPr>
            </w:pPr>
            <w:r>
              <w:rPr>
                <w:sz w:val="20"/>
              </w:rPr>
              <w:t>Masculino</w:t>
            </w:r>
          </w:p>
        </w:tc>
        <w:tc>
          <w:tcPr>
            <w:tcW w:w="3190" w:type="dxa"/>
          </w:tcPr>
          <w:p>
            <w:pPr>
              <w:pStyle w:val="TableParagraph"/>
              <w:spacing w:before="28"/>
              <w:ind w:left="1057" w:right="1060"/>
              <w:jc w:val="center"/>
              <w:rPr>
                <w:sz w:val="20"/>
              </w:rPr>
            </w:pPr>
            <w:r>
              <w:rPr>
                <w:sz w:val="20"/>
              </w:rPr>
              <w:t>57.6%</w:t>
            </w:r>
          </w:p>
        </w:tc>
      </w:tr>
      <w:tr>
        <w:trPr>
          <w:trHeight w:val="322" w:hRule="exact"/>
        </w:trPr>
        <w:tc>
          <w:tcPr>
            <w:tcW w:w="3190" w:type="dxa"/>
          </w:tcPr>
          <w:p>
            <w:pPr/>
          </w:p>
        </w:tc>
        <w:tc>
          <w:tcPr>
            <w:tcW w:w="3192" w:type="dxa"/>
          </w:tcPr>
          <w:p>
            <w:pPr>
              <w:pStyle w:val="TableParagraph"/>
              <w:spacing w:before="45"/>
              <w:ind w:left="774" w:right="777"/>
              <w:jc w:val="center"/>
              <w:rPr>
                <w:sz w:val="20"/>
              </w:rPr>
            </w:pPr>
            <w:r>
              <w:rPr>
                <w:sz w:val="20"/>
              </w:rPr>
              <w:t>femenino</w:t>
            </w:r>
          </w:p>
        </w:tc>
        <w:tc>
          <w:tcPr>
            <w:tcW w:w="3190" w:type="dxa"/>
          </w:tcPr>
          <w:p>
            <w:pPr>
              <w:pStyle w:val="TableParagraph"/>
              <w:spacing w:before="45"/>
              <w:ind w:left="1057" w:right="1060"/>
              <w:jc w:val="center"/>
              <w:rPr>
                <w:sz w:val="20"/>
              </w:rPr>
            </w:pPr>
            <w:r>
              <w:rPr>
                <w:sz w:val="20"/>
              </w:rPr>
              <w:t>42.4%</w:t>
            </w:r>
          </w:p>
        </w:tc>
      </w:tr>
      <w:tr>
        <w:trPr>
          <w:trHeight w:val="252" w:hRule="exact"/>
        </w:trPr>
        <w:tc>
          <w:tcPr>
            <w:tcW w:w="3190" w:type="dxa"/>
            <w:vMerge w:val="restart"/>
          </w:tcPr>
          <w:p>
            <w:pPr>
              <w:pStyle w:val="TableParagraph"/>
              <w:spacing w:before="2"/>
              <w:ind w:left="0"/>
              <w:rPr>
                <w:sz w:val="21"/>
              </w:rPr>
            </w:pPr>
          </w:p>
          <w:p>
            <w:pPr>
              <w:pStyle w:val="TableParagraph"/>
              <w:spacing w:before="1"/>
              <w:rPr>
                <w:sz w:val="20"/>
              </w:rPr>
            </w:pPr>
            <w:r>
              <w:rPr>
                <w:sz w:val="20"/>
              </w:rPr>
              <w:t>Lugar de nacimiento</w:t>
            </w:r>
          </w:p>
        </w:tc>
        <w:tc>
          <w:tcPr>
            <w:tcW w:w="3192" w:type="dxa"/>
          </w:tcPr>
          <w:p>
            <w:pPr>
              <w:pStyle w:val="TableParagraph"/>
              <w:spacing w:before="9"/>
              <w:ind w:left="776" w:right="777"/>
              <w:jc w:val="center"/>
              <w:rPr>
                <w:sz w:val="20"/>
              </w:rPr>
            </w:pPr>
            <w:r>
              <w:rPr>
                <w:sz w:val="20"/>
              </w:rPr>
              <w:t>Estado de México</w:t>
            </w:r>
          </w:p>
        </w:tc>
        <w:tc>
          <w:tcPr>
            <w:tcW w:w="3190" w:type="dxa"/>
          </w:tcPr>
          <w:p>
            <w:pPr>
              <w:pStyle w:val="TableParagraph"/>
              <w:spacing w:before="9"/>
              <w:ind w:left="1057" w:right="1060"/>
              <w:jc w:val="center"/>
              <w:rPr>
                <w:sz w:val="20"/>
              </w:rPr>
            </w:pPr>
            <w:r>
              <w:rPr>
                <w:sz w:val="20"/>
              </w:rPr>
              <w:t>97.1%</w:t>
            </w:r>
          </w:p>
        </w:tc>
      </w:tr>
      <w:tr>
        <w:trPr>
          <w:trHeight w:val="252" w:hRule="exact"/>
        </w:trPr>
        <w:tc>
          <w:tcPr>
            <w:tcW w:w="3190" w:type="dxa"/>
            <w:vMerge/>
          </w:tcPr>
          <w:p>
            <w:pPr/>
          </w:p>
        </w:tc>
        <w:tc>
          <w:tcPr>
            <w:tcW w:w="3192" w:type="dxa"/>
          </w:tcPr>
          <w:p>
            <w:pPr>
              <w:pStyle w:val="TableParagraph"/>
              <w:spacing w:before="9"/>
              <w:ind w:left="775" w:right="777"/>
              <w:jc w:val="center"/>
              <w:rPr>
                <w:sz w:val="20"/>
              </w:rPr>
            </w:pPr>
            <w:r>
              <w:rPr>
                <w:sz w:val="20"/>
              </w:rPr>
              <w:t>foráneo</w:t>
            </w:r>
          </w:p>
        </w:tc>
        <w:tc>
          <w:tcPr>
            <w:tcW w:w="3190" w:type="dxa"/>
          </w:tcPr>
          <w:p>
            <w:pPr>
              <w:pStyle w:val="TableParagraph"/>
              <w:spacing w:before="9"/>
              <w:ind w:left="1057" w:right="1060"/>
              <w:jc w:val="center"/>
              <w:rPr>
                <w:sz w:val="20"/>
              </w:rPr>
            </w:pPr>
            <w:r>
              <w:rPr>
                <w:sz w:val="20"/>
              </w:rPr>
              <w:t>2.9%</w:t>
            </w:r>
          </w:p>
        </w:tc>
      </w:tr>
      <w:tr>
        <w:trPr>
          <w:trHeight w:val="252" w:hRule="exact"/>
        </w:trPr>
        <w:tc>
          <w:tcPr>
            <w:tcW w:w="3190" w:type="dxa"/>
            <w:vMerge w:val="restart"/>
          </w:tcPr>
          <w:p>
            <w:pPr>
              <w:pStyle w:val="TableParagraph"/>
              <w:spacing w:before="2"/>
              <w:ind w:left="0"/>
              <w:rPr>
                <w:sz w:val="21"/>
              </w:rPr>
            </w:pPr>
          </w:p>
          <w:p>
            <w:pPr>
              <w:pStyle w:val="TableParagraph"/>
              <w:spacing w:before="1"/>
              <w:rPr>
                <w:sz w:val="20"/>
              </w:rPr>
            </w:pPr>
            <w:r>
              <w:rPr>
                <w:sz w:val="20"/>
              </w:rPr>
              <w:t>Alergias</w:t>
            </w:r>
          </w:p>
        </w:tc>
        <w:tc>
          <w:tcPr>
            <w:tcW w:w="3192" w:type="dxa"/>
          </w:tcPr>
          <w:p>
            <w:pPr>
              <w:pStyle w:val="TableParagraph"/>
              <w:spacing w:before="9"/>
              <w:ind w:left="776" w:right="776"/>
              <w:jc w:val="center"/>
              <w:rPr>
                <w:sz w:val="20"/>
              </w:rPr>
            </w:pPr>
            <w:r>
              <w:rPr>
                <w:sz w:val="20"/>
              </w:rPr>
              <w:t>Si</w:t>
            </w:r>
          </w:p>
        </w:tc>
        <w:tc>
          <w:tcPr>
            <w:tcW w:w="3190" w:type="dxa"/>
          </w:tcPr>
          <w:p>
            <w:pPr>
              <w:pStyle w:val="TableParagraph"/>
              <w:spacing w:before="9"/>
              <w:ind w:left="1057" w:right="1060"/>
              <w:jc w:val="center"/>
              <w:rPr>
                <w:sz w:val="20"/>
              </w:rPr>
            </w:pPr>
            <w:r>
              <w:rPr>
                <w:sz w:val="20"/>
              </w:rPr>
              <w:t>17.6%</w:t>
            </w:r>
          </w:p>
        </w:tc>
      </w:tr>
      <w:tr>
        <w:trPr>
          <w:trHeight w:val="252" w:hRule="exact"/>
        </w:trPr>
        <w:tc>
          <w:tcPr>
            <w:tcW w:w="3190" w:type="dxa"/>
            <w:vMerge/>
          </w:tcPr>
          <w:p>
            <w:pPr/>
          </w:p>
        </w:tc>
        <w:tc>
          <w:tcPr>
            <w:tcW w:w="3192" w:type="dxa"/>
          </w:tcPr>
          <w:p>
            <w:pPr>
              <w:pStyle w:val="TableParagraph"/>
              <w:spacing w:before="9"/>
              <w:ind w:left="775" w:right="777"/>
              <w:jc w:val="center"/>
              <w:rPr>
                <w:sz w:val="20"/>
              </w:rPr>
            </w:pPr>
            <w:r>
              <w:rPr>
                <w:sz w:val="20"/>
              </w:rPr>
              <w:t>No</w:t>
            </w:r>
          </w:p>
        </w:tc>
        <w:tc>
          <w:tcPr>
            <w:tcW w:w="3190" w:type="dxa"/>
          </w:tcPr>
          <w:p>
            <w:pPr>
              <w:pStyle w:val="TableParagraph"/>
              <w:spacing w:before="9"/>
              <w:ind w:left="1277"/>
              <w:rPr>
                <w:sz w:val="20"/>
              </w:rPr>
            </w:pPr>
            <w:r>
              <w:rPr>
                <w:sz w:val="20"/>
              </w:rPr>
              <w:t>82.4 %</w:t>
            </w:r>
          </w:p>
        </w:tc>
      </w:tr>
      <w:tr>
        <w:trPr>
          <w:trHeight w:val="252" w:hRule="exact"/>
        </w:trPr>
        <w:tc>
          <w:tcPr>
            <w:tcW w:w="3190" w:type="dxa"/>
            <w:vMerge w:val="restart"/>
          </w:tcPr>
          <w:p>
            <w:pPr>
              <w:pStyle w:val="TableParagraph"/>
              <w:spacing w:before="2"/>
              <w:ind w:left="0"/>
              <w:rPr>
                <w:sz w:val="21"/>
              </w:rPr>
            </w:pPr>
          </w:p>
          <w:p>
            <w:pPr>
              <w:pStyle w:val="TableParagraph"/>
              <w:spacing w:before="1"/>
              <w:rPr>
                <w:sz w:val="20"/>
              </w:rPr>
            </w:pPr>
            <w:r>
              <w:rPr>
                <w:sz w:val="20"/>
              </w:rPr>
              <w:t>Enfermedades</w:t>
            </w:r>
          </w:p>
        </w:tc>
        <w:tc>
          <w:tcPr>
            <w:tcW w:w="3192" w:type="dxa"/>
          </w:tcPr>
          <w:p>
            <w:pPr>
              <w:pStyle w:val="TableParagraph"/>
              <w:spacing w:before="9"/>
              <w:ind w:left="776" w:right="776"/>
              <w:jc w:val="center"/>
              <w:rPr>
                <w:sz w:val="20"/>
              </w:rPr>
            </w:pPr>
            <w:r>
              <w:rPr>
                <w:sz w:val="20"/>
              </w:rPr>
              <w:t>Si</w:t>
            </w:r>
          </w:p>
        </w:tc>
        <w:tc>
          <w:tcPr>
            <w:tcW w:w="3190" w:type="dxa"/>
          </w:tcPr>
          <w:p>
            <w:pPr>
              <w:pStyle w:val="TableParagraph"/>
              <w:spacing w:before="9"/>
              <w:ind w:left="1057" w:right="1060"/>
              <w:jc w:val="center"/>
              <w:rPr>
                <w:sz w:val="20"/>
              </w:rPr>
            </w:pPr>
            <w:r>
              <w:rPr>
                <w:sz w:val="20"/>
              </w:rPr>
              <w:t>97.1%</w:t>
            </w:r>
          </w:p>
        </w:tc>
      </w:tr>
      <w:tr>
        <w:trPr>
          <w:trHeight w:val="252" w:hRule="exact"/>
        </w:trPr>
        <w:tc>
          <w:tcPr>
            <w:tcW w:w="3190" w:type="dxa"/>
            <w:vMerge/>
          </w:tcPr>
          <w:p>
            <w:pPr/>
          </w:p>
        </w:tc>
        <w:tc>
          <w:tcPr>
            <w:tcW w:w="3192" w:type="dxa"/>
          </w:tcPr>
          <w:p>
            <w:pPr>
              <w:pStyle w:val="TableParagraph"/>
              <w:spacing w:before="9"/>
              <w:ind w:left="775" w:right="777"/>
              <w:jc w:val="center"/>
              <w:rPr>
                <w:sz w:val="20"/>
              </w:rPr>
            </w:pPr>
            <w:r>
              <w:rPr>
                <w:sz w:val="20"/>
              </w:rPr>
              <w:t>No</w:t>
            </w:r>
          </w:p>
        </w:tc>
        <w:tc>
          <w:tcPr>
            <w:tcW w:w="3190" w:type="dxa"/>
          </w:tcPr>
          <w:p>
            <w:pPr>
              <w:pStyle w:val="TableParagraph"/>
              <w:spacing w:before="9"/>
              <w:ind w:left="1057" w:right="1060"/>
              <w:jc w:val="center"/>
              <w:rPr>
                <w:sz w:val="20"/>
              </w:rPr>
            </w:pPr>
            <w:r>
              <w:rPr>
                <w:sz w:val="20"/>
              </w:rPr>
              <w:t>2.9%</w:t>
            </w:r>
          </w:p>
        </w:tc>
      </w:tr>
      <w:tr>
        <w:trPr>
          <w:trHeight w:val="253" w:hRule="exact"/>
        </w:trPr>
        <w:tc>
          <w:tcPr>
            <w:tcW w:w="3190" w:type="dxa"/>
            <w:vMerge w:val="restart"/>
          </w:tcPr>
          <w:p>
            <w:pPr>
              <w:pStyle w:val="TableParagraph"/>
              <w:spacing w:before="14"/>
              <w:rPr>
                <w:sz w:val="20"/>
              </w:rPr>
            </w:pPr>
            <w:r>
              <w:rPr>
                <w:sz w:val="20"/>
              </w:rPr>
              <w:t>Cirugías</w:t>
            </w:r>
          </w:p>
        </w:tc>
        <w:tc>
          <w:tcPr>
            <w:tcW w:w="3192" w:type="dxa"/>
          </w:tcPr>
          <w:p>
            <w:pPr>
              <w:pStyle w:val="TableParagraph"/>
              <w:spacing w:before="9"/>
              <w:ind w:left="775" w:right="777"/>
              <w:jc w:val="center"/>
              <w:rPr>
                <w:sz w:val="20"/>
              </w:rPr>
            </w:pPr>
            <w:r>
              <w:rPr>
                <w:sz w:val="20"/>
              </w:rPr>
              <w:t>No</w:t>
            </w:r>
          </w:p>
        </w:tc>
        <w:tc>
          <w:tcPr>
            <w:tcW w:w="3190" w:type="dxa"/>
          </w:tcPr>
          <w:p>
            <w:pPr>
              <w:pStyle w:val="TableParagraph"/>
              <w:spacing w:before="9"/>
              <w:ind w:left="1057" w:right="1060"/>
              <w:jc w:val="center"/>
              <w:rPr>
                <w:sz w:val="20"/>
              </w:rPr>
            </w:pPr>
            <w:r>
              <w:rPr>
                <w:sz w:val="20"/>
              </w:rPr>
              <w:t>97.1%</w:t>
            </w:r>
          </w:p>
        </w:tc>
      </w:tr>
      <w:tr>
        <w:trPr>
          <w:trHeight w:val="252" w:hRule="exact"/>
        </w:trPr>
        <w:tc>
          <w:tcPr>
            <w:tcW w:w="3190" w:type="dxa"/>
            <w:vMerge/>
          </w:tcPr>
          <w:p>
            <w:pPr/>
          </w:p>
        </w:tc>
        <w:tc>
          <w:tcPr>
            <w:tcW w:w="3192" w:type="dxa"/>
          </w:tcPr>
          <w:p>
            <w:pPr>
              <w:pStyle w:val="TableParagraph"/>
              <w:spacing w:before="9"/>
              <w:ind w:left="776" w:right="776"/>
              <w:jc w:val="center"/>
              <w:rPr>
                <w:sz w:val="20"/>
              </w:rPr>
            </w:pPr>
            <w:r>
              <w:rPr>
                <w:sz w:val="20"/>
              </w:rPr>
              <w:t>Si</w:t>
            </w:r>
          </w:p>
        </w:tc>
        <w:tc>
          <w:tcPr>
            <w:tcW w:w="3190" w:type="dxa"/>
          </w:tcPr>
          <w:p>
            <w:pPr>
              <w:pStyle w:val="TableParagraph"/>
              <w:spacing w:before="9"/>
              <w:ind w:left="1057" w:right="1060"/>
              <w:jc w:val="center"/>
              <w:rPr>
                <w:sz w:val="20"/>
              </w:rPr>
            </w:pPr>
            <w:r>
              <w:rPr>
                <w:sz w:val="20"/>
              </w:rPr>
              <w:t>2.9%</w:t>
            </w:r>
          </w:p>
        </w:tc>
      </w:tr>
      <w:tr>
        <w:trPr>
          <w:trHeight w:val="252" w:hRule="exact"/>
        </w:trPr>
        <w:tc>
          <w:tcPr>
            <w:tcW w:w="3190" w:type="dxa"/>
            <w:vMerge w:val="restart"/>
          </w:tcPr>
          <w:p>
            <w:pPr>
              <w:pStyle w:val="TableParagraph"/>
              <w:spacing w:before="14"/>
              <w:rPr>
                <w:sz w:val="20"/>
              </w:rPr>
            </w:pPr>
            <w:r>
              <w:rPr>
                <w:sz w:val="20"/>
              </w:rPr>
              <w:t>Aseo bucal</w:t>
            </w:r>
          </w:p>
        </w:tc>
        <w:tc>
          <w:tcPr>
            <w:tcW w:w="3192" w:type="dxa"/>
          </w:tcPr>
          <w:p>
            <w:pPr>
              <w:pStyle w:val="TableParagraph"/>
              <w:spacing w:before="9"/>
              <w:ind w:left="776" w:right="776"/>
              <w:jc w:val="center"/>
              <w:rPr>
                <w:sz w:val="20"/>
              </w:rPr>
            </w:pPr>
            <w:r>
              <w:rPr>
                <w:sz w:val="20"/>
              </w:rPr>
              <w:t>Si</w:t>
            </w:r>
          </w:p>
        </w:tc>
        <w:tc>
          <w:tcPr>
            <w:tcW w:w="3190" w:type="dxa"/>
          </w:tcPr>
          <w:p>
            <w:pPr>
              <w:pStyle w:val="TableParagraph"/>
              <w:spacing w:before="9"/>
              <w:ind w:left="1057" w:right="1060"/>
              <w:jc w:val="center"/>
              <w:rPr>
                <w:sz w:val="20"/>
              </w:rPr>
            </w:pPr>
            <w:r>
              <w:rPr>
                <w:sz w:val="20"/>
              </w:rPr>
              <w:t>69.7%</w:t>
            </w:r>
          </w:p>
        </w:tc>
      </w:tr>
      <w:tr>
        <w:trPr>
          <w:trHeight w:val="252" w:hRule="exact"/>
        </w:trPr>
        <w:tc>
          <w:tcPr>
            <w:tcW w:w="3190" w:type="dxa"/>
            <w:vMerge/>
          </w:tcPr>
          <w:p>
            <w:pPr/>
          </w:p>
        </w:tc>
        <w:tc>
          <w:tcPr>
            <w:tcW w:w="3192" w:type="dxa"/>
          </w:tcPr>
          <w:p>
            <w:pPr>
              <w:pStyle w:val="TableParagraph"/>
              <w:spacing w:before="9"/>
              <w:ind w:left="774" w:right="777"/>
              <w:jc w:val="center"/>
              <w:rPr>
                <w:sz w:val="20"/>
              </w:rPr>
            </w:pPr>
            <w:r>
              <w:rPr>
                <w:sz w:val="20"/>
              </w:rPr>
              <w:t>no</w:t>
            </w:r>
          </w:p>
        </w:tc>
        <w:tc>
          <w:tcPr>
            <w:tcW w:w="3190" w:type="dxa"/>
          </w:tcPr>
          <w:p>
            <w:pPr>
              <w:pStyle w:val="TableParagraph"/>
              <w:spacing w:before="9"/>
              <w:ind w:left="1057" w:right="1060"/>
              <w:jc w:val="center"/>
              <w:rPr>
                <w:sz w:val="20"/>
              </w:rPr>
            </w:pPr>
            <w:r>
              <w:rPr>
                <w:sz w:val="20"/>
              </w:rPr>
              <w:t>30.3%</w:t>
            </w:r>
          </w:p>
        </w:tc>
      </w:tr>
      <w:tr>
        <w:trPr>
          <w:trHeight w:val="252" w:hRule="exact"/>
        </w:trPr>
        <w:tc>
          <w:tcPr>
            <w:tcW w:w="3190" w:type="dxa"/>
            <w:vMerge w:val="restart"/>
          </w:tcPr>
          <w:p>
            <w:pPr>
              <w:pStyle w:val="TableParagraph"/>
              <w:spacing w:before="139"/>
              <w:rPr>
                <w:sz w:val="20"/>
              </w:rPr>
            </w:pPr>
            <w:r>
              <w:rPr>
                <w:sz w:val="20"/>
              </w:rPr>
              <w:t>Tipo de aseo</w:t>
            </w:r>
          </w:p>
        </w:tc>
        <w:tc>
          <w:tcPr>
            <w:tcW w:w="3192" w:type="dxa"/>
          </w:tcPr>
          <w:p>
            <w:pPr>
              <w:pStyle w:val="TableParagraph"/>
              <w:spacing w:before="9"/>
              <w:ind w:left="776" w:right="776"/>
              <w:jc w:val="center"/>
              <w:rPr>
                <w:sz w:val="20"/>
              </w:rPr>
            </w:pPr>
            <w:r>
              <w:rPr>
                <w:sz w:val="20"/>
              </w:rPr>
              <w:t>Gasa</w:t>
            </w:r>
          </w:p>
        </w:tc>
        <w:tc>
          <w:tcPr>
            <w:tcW w:w="3190" w:type="dxa"/>
          </w:tcPr>
          <w:p>
            <w:pPr>
              <w:pStyle w:val="TableParagraph"/>
              <w:spacing w:before="9"/>
              <w:ind w:left="1057" w:right="1060"/>
              <w:jc w:val="center"/>
              <w:rPr>
                <w:sz w:val="20"/>
              </w:rPr>
            </w:pPr>
            <w:r>
              <w:rPr>
                <w:sz w:val="20"/>
              </w:rPr>
              <w:t>23.5%</w:t>
            </w:r>
          </w:p>
        </w:tc>
      </w:tr>
      <w:tr>
        <w:trPr>
          <w:trHeight w:val="252" w:hRule="exact"/>
        </w:trPr>
        <w:tc>
          <w:tcPr>
            <w:tcW w:w="3190" w:type="dxa"/>
            <w:vMerge/>
          </w:tcPr>
          <w:p>
            <w:pPr/>
          </w:p>
        </w:tc>
        <w:tc>
          <w:tcPr>
            <w:tcW w:w="3192" w:type="dxa"/>
          </w:tcPr>
          <w:p>
            <w:pPr>
              <w:pStyle w:val="TableParagraph"/>
              <w:spacing w:before="9"/>
              <w:ind w:left="774" w:right="777"/>
              <w:jc w:val="center"/>
              <w:rPr>
                <w:sz w:val="20"/>
              </w:rPr>
            </w:pPr>
            <w:r>
              <w:rPr>
                <w:sz w:val="20"/>
              </w:rPr>
              <w:t>Cepillo</w:t>
            </w:r>
          </w:p>
        </w:tc>
        <w:tc>
          <w:tcPr>
            <w:tcW w:w="3190" w:type="dxa"/>
          </w:tcPr>
          <w:p>
            <w:pPr>
              <w:pStyle w:val="TableParagraph"/>
              <w:spacing w:before="9"/>
              <w:ind w:left="1332"/>
              <w:rPr>
                <w:sz w:val="20"/>
              </w:rPr>
            </w:pPr>
            <w:r>
              <w:rPr>
                <w:sz w:val="20"/>
              </w:rPr>
              <w:t>2.9 %</w:t>
            </w:r>
          </w:p>
        </w:tc>
      </w:tr>
      <w:tr>
        <w:trPr>
          <w:trHeight w:val="252" w:hRule="exact"/>
        </w:trPr>
        <w:tc>
          <w:tcPr>
            <w:tcW w:w="3190" w:type="dxa"/>
            <w:vMerge/>
          </w:tcPr>
          <w:p>
            <w:pPr/>
          </w:p>
        </w:tc>
        <w:tc>
          <w:tcPr>
            <w:tcW w:w="3192" w:type="dxa"/>
          </w:tcPr>
          <w:p>
            <w:pPr>
              <w:pStyle w:val="TableParagraph"/>
              <w:spacing w:before="9"/>
              <w:ind w:left="776" w:right="776"/>
              <w:jc w:val="center"/>
              <w:rPr>
                <w:sz w:val="20"/>
              </w:rPr>
            </w:pPr>
            <w:r>
              <w:rPr>
                <w:sz w:val="20"/>
              </w:rPr>
              <w:t>Cepillo  y pasta</w:t>
            </w:r>
          </w:p>
        </w:tc>
        <w:tc>
          <w:tcPr>
            <w:tcW w:w="3190" w:type="dxa"/>
          </w:tcPr>
          <w:p>
            <w:pPr>
              <w:pStyle w:val="TableParagraph"/>
              <w:spacing w:before="9"/>
              <w:ind w:left="1057" w:right="1060"/>
              <w:jc w:val="center"/>
              <w:rPr>
                <w:sz w:val="20"/>
              </w:rPr>
            </w:pPr>
            <w:r>
              <w:rPr>
                <w:sz w:val="20"/>
              </w:rPr>
              <w:t>73.6%</w:t>
            </w:r>
          </w:p>
        </w:tc>
      </w:tr>
      <w:tr>
        <w:trPr>
          <w:trHeight w:val="319" w:hRule="exact"/>
        </w:trPr>
        <w:tc>
          <w:tcPr>
            <w:tcW w:w="3190" w:type="dxa"/>
          </w:tcPr>
          <w:p>
            <w:pPr>
              <w:pStyle w:val="TableParagraph"/>
              <w:spacing w:before="35"/>
              <w:rPr>
                <w:sz w:val="20"/>
              </w:rPr>
            </w:pPr>
            <w:r>
              <w:rPr>
                <w:sz w:val="20"/>
              </w:rPr>
              <w:t>Motivo de la consulta</w:t>
            </w:r>
          </w:p>
        </w:tc>
        <w:tc>
          <w:tcPr>
            <w:tcW w:w="3192" w:type="dxa"/>
          </w:tcPr>
          <w:p>
            <w:pPr>
              <w:pStyle w:val="TableParagraph"/>
              <w:spacing w:before="43"/>
              <w:ind w:left="774" w:right="777"/>
              <w:jc w:val="center"/>
              <w:rPr>
                <w:sz w:val="20"/>
              </w:rPr>
            </w:pPr>
            <w:r>
              <w:rPr>
                <w:sz w:val="20"/>
              </w:rPr>
              <w:t>No acudió</w:t>
            </w:r>
          </w:p>
        </w:tc>
        <w:tc>
          <w:tcPr>
            <w:tcW w:w="3190" w:type="dxa"/>
          </w:tcPr>
          <w:p>
            <w:pPr>
              <w:pStyle w:val="TableParagraph"/>
              <w:spacing w:before="43"/>
              <w:ind w:left="1057" w:right="1060"/>
              <w:jc w:val="center"/>
              <w:rPr>
                <w:sz w:val="20"/>
              </w:rPr>
            </w:pPr>
            <w:r>
              <w:rPr>
                <w:sz w:val="20"/>
              </w:rPr>
              <w:t>93.9%</w:t>
            </w:r>
          </w:p>
        </w:tc>
      </w:tr>
      <w:tr>
        <w:trPr>
          <w:trHeight w:val="319" w:hRule="exact"/>
        </w:trPr>
        <w:tc>
          <w:tcPr>
            <w:tcW w:w="3190" w:type="dxa"/>
          </w:tcPr>
          <w:p>
            <w:pPr/>
          </w:p>
        </w:tc>
        <w:tc>
          <w:tcPr>
            <w:tcW w:w="3192" w:type="dxa"/>
          </w:tcPr>
          <w:p>
            <w:pPr>
              <w:pStyle w:val="TableParagraph"/>
              <w:spacing w:before="43"/>
              <w:ind w:left="774" w:right="777"/>
              <w:jc w:val="center"/>
              <w:rPr>
                <w:sz w:val="20"/>
              </w:rPr>
            </w:pPr>
            <w:r>
              <w:rPr>
                <w:sz w:val="20"/>
              </w:rPr>
              <w:t>revisión</w:t>
            </w:r>
          </w:p>
        </w:tc>
        <w:tc>
          <w:tcPr>
            <w:tcW w:w="3190" w:type="dxa"/>
          </w:tcPr>
          <w:p>
            <w:pPr>
              <w:pStyle w:val="TableParagraph"/>
              <w:spacing w:before="43"/>
              <w:ind w:left="1057" w:right="1060"/>
              <w:jc w:val="center"/>
              <w:rPr>
                <w:sz w:val="20"/>
              </w:rPr>
            </w:pPr>
            <w:r>
              <w:rPr>
                <w:sz w:val="20"/>
              </w:rPr>
              <w:t>6.1%</w:t>
            </w:r>
          </w:p>
        </w:tc>
      </w:tr>
      <w:tr>
        <w:trPr>
          <w:trHeight w:val="322" w:hRule="exact"/>
        </w:trPr>
        <w:tc>
          <w:tcPr>
            <w:tcW w:w="3190" w:type="dxa"/>
          </w:tcPr>
          <w:p>
            <w:pPr>
              <w:pStyle w:val="TableParagraph"/>
              <w:spacing w:before="38"/>
              <w:rPr>
                <w:sz w:val="20"/>
              </w:rPr>
            </w:pPr>
            <w:r>
              <w:rPr>
                <w:sz w:val="20"/>
              </w:rPr>
              <w:t>Tipo de dieta</w:t>
            </w:r>
          </w:p>
        </w:tc>
        <w:tc>
          <w:tcPr>
            <w:tcW w:w="3192" w:type="dxa"/>
          </w:tcPr>
          <w:p>
            <w:pPr>
              <w:pStyle w:val="TableParagraph"/>
              <w:spacing w:before="45"/>
              <w:ind w:left="775" w:right="777"/>
              <w:jc w:val="center"/>
              <w:rPr>
                <w:sz w:val="20"/>
              </w:rPr>
            </w:pPr>
            <w:r>
              <w:rPr>
                <w:sz w:val="20"/>
              </w:rPr>
              <w:t>Lactantes</w:t>
            </w:r>
          </w:p>
        </w:tc>
        <w:tc>
          <w:tcPr>
            <w:tcW w:w="3190" w:type="dxa"/>
          </w:tcPr>
          <w:p>
            <w:pPr>
              <w:pStyle w:val="TableParagraph"/>
              <w:spacing w:before="45"/>
              <w:ind w:left="1057" w:right="1060"/>
              <w:jc w:val="center"/>
              <w:rPr>
                <w:sz w:val="20"/>
              </w:rPr>
            </w:pPr>
            <w:r>
              <w:rPr>
                <w:sz w:val="20"/>
              </w:rPr>
              <w:t>21.2%</w:t>
            </w:r>
          </w:p>
        </w:tc>
      </w:tr>
      <w:tr>
        <w:trPr>
          <w:trHeight w:val="283" w:hRule="exact"/>
        </w:trPr>
        <w:tc>
          <w:tcPr>
            <w:tcW w:w="3190" w:type="dxa"/>
          </w:tcPr>
          <w:p>
            <w:pPr/>
          </w:p>
        </w:tc>
        <w:tc>
          <w:tcPr>
            <w:tcW w:w="3192" w:type="dxa"/>
          </w:tcPr>
          <w:p>
            <w:pPr>
              <w:pStyle w:val="TableParagraph"/>
              <w:spacing w:before="26"/>
              <w:ind w:left="776" w:right="776"/>
              <w:jc w:val="center"/>
              <w:rPr>
                <w:sz w:val="20"/>
              </w:rPr>
            </w:pPr>
            <w:r>
              <w:rPr>
                <w:sz w:val="20"/>
              </w:rPr>
              <w:t>maternal</w:t>
            </w:r>
          </w:p>
        </w:tc>
        <w:tc>
          <w:tcPr>
            <w:tcW w:w="3190" w:type="dxa"/>
          </w:tcPr>
          <w:p>
            <w:pPr>
              <w:pStyle w:val="TableParagraph"/>
              <w:spacing w:before="26"/>
              <w:ind w:left="1057" w:right="1060"/>
              <w:jc w:val="center"/>
              <w:rPr>
                <w:sz w:val="20"/>
              </w:rPr>
            </w:pPr>
            <w:r>
              <w:rPr>
                <w:sz w:val="20"/>
              </w:rPr>
              <w:t>78.8%</w:t>
            </w:r>
          </w:p>
        </w:tc>
      </w:tr>
      <w:tr>
        <w:trPr>
          <w:trHeight w:val="286" w:hRule="exact"/>
        </w:trPr>
        <w:tc>
          <w:tcPr>
            <w:tcW w:w="3190" w:type="dxa"/>
          </w:tcPr>
          <w:p>
            <w:pPr>
              <w:pStyle w:val="TableParagraph"/>
              <w:spacing w:before="21"/>
              <w:rPr>
                <w:sz w:val="20"/>
              </w:rPr>
            </w:pPr>
            <w:r>
              <w:rPr>
                <w:sz w:val="20"/>
              </w:rPr>
              <w:t>Cantidad de dieta</w:t>
            </w:r>
          </w:p>
        </w:tc>
        <w:tc>
          <w:tcPr>
            <w:tcW w:w="3192" w:type="dxa"/>
          </w:tcPr>
          <w:p>
            <w:pPr>
              <w:pStyle w:val="TableParagraph"/>
              <w:spacing w:before="26"/>
              <w:ind w:left="776" w:right="776"/>
              <w:jc w:val="center"/>
              <w:rPr>
                <w:sz w:val="20"/>
              </w:rPr>
            </w:pPr>
            <w:r>
              <w:rPr>
                <w:sz w:val="20"/>
              </w:rPr>
              <w:t>Una vez</w:t>
            </w:r>
          </w:p>
        </w:tc>
        <w:tc>
          <w:tcPr>
            <w:tcW w:w="3190" w:type="dxa"/>
          </w:tcPr>
          <w:p>
            <w:pPr>
              <w:pStyle w:val="TableParagraph"/>
              <w:spacing w:before="26"/>
              <w:ind w:left="1057" w:right="1060"/>
              <w:jc w:val="center"/>
              <w:rPr>
                <w:sz w:val="20"/>
              </w:rPr>
            </w:pPr>
            <w:r>
              <w:rPr>
                <w:sz w:val="20"/>
              </w:rPr>
              <w:t>15.6%</w:t>
            </w:r>
          </w:p>
        </w:tc>
      </w:tr>
      <w:tr>
        <w:trPr>
          <w:trHeight w:val="320" w:hRule="exact"/>
        </w:trPr>
        <w:tc>
          <w:tcPr>
            <w:tcW w:w="3190" w:type="dxa"/>
          </w:tcPr>
          <w:p>
            <w:pPr/>
          </w:p>
        </w:tc>
        <w:tc>
          <w:tcPr>
            <w:tcW w:w="3192" w:type="dxa"/>
          </w:tcPr>
          <w:p>
            <w:pPr>
              <w:pStyle w:val="TableParagraph"/>
              <w:spacing w:before="43"/>
              <w:ind w:left="773" w:right="777"/>
              <w:jc w:val="center"/>
              <w:rPr>
                <w:sz w:val="20"/>
              </w:rPr>
            </w:pPr>
            <w:r>
              <w:rPr>
                <w:sz w:val="20"/>
              </w:rPr>
              <w:t>Dos veces</w:t>
            </w:r>
          </w:p>
        </w:tc>
        <w:tc>
          <w:tcPr>
            <w:tcW w:w="3190" w:type="dxa"/>
          </w:tcPr>
          <w:p>
            <w:pPr>
              <w:pStyle w:val="TableParagraph"/>
              <w:spacing w:before="43"/>
              <w:ind w:left="1057" w:right="1060"/>
              <w:jc w:val="center"/>
              <w:rPr>
                <w:sz w:val="20"/>
              </w:rPr>
            </w:pPr>
            <w:r>
              <w:rPr>
                <w:sz w:val="20"/>
              </w:rPr>
              <w:t>84.4%</w:t>
            </w:r>
          </w:p>
        </w:tc>
      </w:tr>
      <w:tr>
        <w:trPr>
          <w:trHeight w:val="322" w:hRule="exact"/>
        </w:trPr>
        <w:tc>
          <w:tcPr>
            <w:tcW w:w="3190" w:type="dxa"/>
          </w:tcPr>
          <w:p>
            <w:pPr>
              <w:pStyle w:val="TableParagraph"/>
              <w:spacing w:before="38"/>
              <w:rPr>
                <w:sz w:val="20"/>
              </w:rPr>
            </w:pPr>
            <w:r>
              <w:rPr>
                <w:sz w:val="20"/>
              </w:rPr>
              <w:t>Lactancia</w:t>
            </w:r>
          </w:p>
        </w:tc>
        <w:tc>
          <w:tcPr>
            <w:tcW w:w="3192" w:type="dxa"/>
          </w:tcPr>
          <w:p>
            <w:pPr>
              <w:pStyle w:val="TableParagraph"/>
              <w:spacing w:before="45"/>
              <w:ind w:left="776" w:right="776"/>
              <w:jc w:val="center"/>
              <w:rPr>
                <w:sz w:val="20"/>
              </w:rPr>
            </w:pPr>
            <w:r>
              <w:rPr>
                <w:sz w:val="20"/>
              </w:rPr>
              <w:t>Si</w:t>
            </w:r>
          </w:p>
        </w:tc>
        <w:tc>
          <w:tcPr>
            <w:tcW w:w="3190" w:type="dxa"/>
          </w:tcPr>
          <w:p>
            <w:pPr>
              <w:pStyle w:val="TableParagraph"/>
              <w:spacing w:before="45"/>
              <w:ind w:left="1057" w:right="1060"/>
              <w:jc w:val="center"/>
              <w:rPr>
                <w:sz w:val="20"/>
              </w:rPr>
            </w:pPr>
            <w:r>
              <w:rPr>
                <w:sz w:val="20"/>
              </w:rPr>
              <w:t>87.9%</w:t>
            </w:r>
          </w:p>
        </w:tc>
      </w:tr>
      <w:tr>
        <w:trPr>
          <w:trHeight w:val="283" w:hRule="exact"/>
        </w:trPr>
        <w:tc>
          <w:tcPr>
            <w:tcW w:w="3190" w:type="dxa"/>
          </w:tcPr>
          <w:p>
            <w:pPr/>
          </w:p>
        </w:tc>
        <w:tc>
          <w:tcPr>
            <w:tcW w:w="3192" w:type="dxa"/>
          </w:tcPr>
          <w:p>
            <w:pPr>
              <w:pStyle w:val="TableParagraph"/>
              <w:spacing w:before="26"/>
              <w:ind w:left="774" w:right="777"/>
              <w:jc w:val="center"/>
              <w:rPr>
                <w:sz w:val="20"/>
              </w:rPr>
            </w:pPr>
            <w:r>
              <w:rPr>
                <w:sz w:val="20"/>
              </w:rPr>
              <w:t>no</w:t>
            </w:r>
          </w:p>
        </w:tc>
        <w:tc>
          <w:tcPr>
            <w:tcW w:w="3190" w:type="dxa"/>
          </w:tcPr>
          <w:p>
            <w:pPr>
              <w:pStyle w:val="TableParagraph"/>
              <w:spacing w:before="26"/>
              <w:ind w:left="1057" w:right="1060"/>
              <w:jc w:val="center"/>
              <w:rPr>
                <w:sz w:val="20"/>
              </w:rPr>
            </w:pPr>
            <w:r>
              <w:rPr>
                <w:sz w:val="20"/>
              </w:rPr>
              <w:t>12.1%</w:t>
            </w:r>
          </w:p>
        </w:tc>
      </w:tr>
      <w:tr>
        <w:trPr>
          <w:trHeight w:val="286" w:hRule="exact"/>
        </w:trPr>
        <w:tc>
          <w:tcPr>
            <w:tcW w:w="3190" w:type="dxa"/>
          </w:tcPr>
          <w:p>
            <w:pPr>
              <w:pStyle w:val="TableParagraph"/>
              <w:spacing w:before="21"/>
              <w:rPr>
                <w:sz w:val="20"/>
              </w:rPr>
            </w:pPr>
            <w:r>
              <w:rPr>
                <w:sz w:val="20"/>
              </w:rPr>
              <w:t>Biberón</w:t>
            </w:r>
          </w:p>
        </w:tc>
        <w:tc>
          <w:tcPr>
            <w:tcW w:w="3192" w:type="dxa"/>
          </w:tcPr>
          <w:p>
            <w:pPr>
              <w:pStyle w:val="TableParagraph"/>
              <w:spacing w:before="28"/>
              <w:ind w:left="776" w:right="776"/>
              <w:jc w:val="center"/>
              <w:rPr>
                <w:sz w:val="20"/>
              </w:rPr>
            </w:pPr>
            <w:r>
              <w:rPr>
                <w:sz w:val="20"/>
              </w:rPr>
              <w:t>Si</w:t>
            </w:r>
          </w:p>
        </w:tc>
        <w:tc>
          <w:tcPr>
            <w:tcW w:w="3190" w:type="dxa"/>
          </w:tcPr>
          <w:p>
            <w:pPr>
              <w:pStyle w:val="TableParagraph"/>
              <w:spacing w:before="28"/>
              <w:ind w:left="1057" w:right="1060"/>
              <w:jc w:val="center"/>
              <w:rPr>
                <w:sz w:val="20"/>
              </w:rPr>
            </w:pPr>
            <w:r>
              <w:rPr>
                <w:sz w:val="20"/>
              </w:rPr>
              <w:t>24.2%</w:t>
            </w:r>
          </w:p>
        </w:tc>
      </w:tr>
      <w:tr>
        <w:trPr>
          <w:trHeight w:val="322" w:hRule="exact"/>
        </w:trPr>
        <w:tc>
          <w:tcPr>
            <w:tcW w:w="3190" w:type="dxa"/>
          </w:tcPr>
          <w:p>
            <w:pPr/>
          </w:p>
        </w:tc>
        <w:tc>
          <w:tcPr>
            <w:tcW w:w="3192" w:type="dxa"/>
          </w:tcPr>
          <w:p>
            <w:pPr>
              <w:pStyle w:val="TableParagraph"/>
              <w:spacing w:before="45"/>
              <w:ind w:left="775" w:right="777"/>
              <w:jc w:val="center"/>
              <w:rPr>
                <w:sz w:val="20"/>
              </w:rPr>
            </w:pPr>
            <w:r>
              <w:rPr>
                <w:sz w:val="20"/>
              </w:rPr>
              <w:t>No</w:t>
            </w:r>
          </w:p>
        </w:tc>
        <w:tc>
          <w:tcPr>
            <w:tcW w:w="3190" w:type="dxa"/>
          </w:tcPr>
          <w:p>
            <w:pPr>
              <w:pStyle w:val="TableParagraph"/>
              <w:spacing w:before="45"/>
              <w:ind w:left="1057" w:right="1060"/>
              <w:jc w:val="center"/>
              <w:rPr>
                <w:sz w:val="20"/>
              </w:rPr>
            </w:pPr>
            <w:r>
              <w:rPr>
                <w:sz w:val="20"/>
              </w:rPr>
              <w:t>72.7%</w:t>
            </w:r>
          </w:p>
        </w:tc>
      </w:tr>
      <w:tr>
        <w:trPr>
          <w:trHeight w:val="319" w:hRule="exact"/>
        </w:trPr>
        <w:tc>
          <w:tcPr>
            <w:tcW w:w="3190" w:type="dxa"/>
          </w:tcPr>
          <w:p>
            <w:pPr>
              <w:pStyle w:val="TableParagraph"/>
              <w:spacing w:before="35"/>
              <w:rPr>
                <w:sz w:val="20"/>
              </w:rPr>
            </w:pPr>
            <w:r>
              <w:rPr>
                <w:sz w:val="20"/>
              </w:rPr>
              <w:t>Tipo de leche</w:t>
            </w:r>
          </w:p>
        </w:tc>
        <w:tc>
          <w:tcPr>
            <w:tcW w:w="3192" w:type="dxa"/>
          </w:tcPr>
          <w:p>
            <w:pPr>
              <w:pStyle w:val="TableParagraph"/>
              <w:spacing w:before="43"/>
              <w:ind w:left="776" w:right="776"/>
              <w:jc w:val="center"/>
              <w:rPr>
                <w:sz w:val="20"/>
              </w:rPr>
            </w:pPr>
            <w:r>
              <w:rPr>
                <w:sz w:val="20"/>
              </w:rPr>
              <w:t>Polvo</w:t>
            </w:r>
          </w:p>
        </w:tc>
        <w:tc>
          <w:tcPr>
            <w:tcW w:w="3190" w:type="dxa"/>
          </w:tcPr>
          <w:p>
            <w:pPr>
              <w:pStyle w:val="TableParagraph"/>
              <w:spacing w:before="43"/>
              <w:ind w:left="1057" w:right="1060"/>
              <w:jc w:val="center"/>
              <w:rPr>
                <w:sz w:val="20"/>
              </w:rPr>
            </w:pPr>
            <w:r>
              <w:rPr>
                <w:sz w:val="20"/>
              </w:rPr>
              <w:t>51.5%</w:t>
            </w:r>
          </w:p>
        </w:tc>
      </w:tr>
      <w:tr>
        <w:trPr>
          <w:trHeight w:val="286" w:hRule="exact"/>
        </w:trPr>
        <w:tc>
          <w:tcPr>
            <w:tcW w:w="3190" w:type="dxa"/>
          </w:tcPr>
          <w:p>
            <w:pPr/>
          </w:p>
        </w:tc>
        <w:tc>
          <w:tcPr>
            <w:tcW w:w="3192" w:type="dxa"/>
          </w:tcPr>
          <w:p>
            <w:pPr>
              <w:pStyle w:val="TableParagraph"/>
              <w:spacing w:before="26"/>
              <w:ind w:left="773" w:right="777"/>
              <w:jc w:val="center"/>
              <w:rPr>
                <w:sz w:val="20"/>
              </w:rPr>
            </w:pPr>
            <w:r>
              <w:rPr>
                <w:sz w:val="20"/>
              </w:rPr>
              <w:t>tetrapac</w:t>
            </w:r>
          </w:p>
        </w:tc>
        <w:tc>
          <w:tcPr>
            <w:tcW w:w="3190" w:type="dxa"/>
          </w:tcPr>
          <w:p>
            <w:pPr>
              <w:pStyle w:val="TableParagraph"/>
              <w:spacing w:before="26"/>
              <w:ind w:left="1057" w:right="1060"/>
              <w:jc w:val="center"/>
              <w:rPr>
                <w:sz w:val="20"/>
              </w:rPr>
            </w:pPr>
            <w:r>
              <w:rPr>
                <w:sz w:val="20"/>
              </w:rPr>
              <w:t>39.4%</w:t>
            </w:r>
          </w:p>
        </w:tc>
      </w:tr>
      <w:tr>
        <w:trPr>
          <w:trHeight w:val="319" w:hRule="exact"/>
        </w:trPr>
        <w:tc>
          <w:tcPr>
            <w:tcW w:w="3190" w:type="dxa"/>
          </w:tcPr>
          <w:p>
            <w:pPr/>
          </w:p>
        </w:tc>
        <w:tc>
          <w:tcPr>
            <w:tcW w:w="3192" w:type="dxa"/>
          </w:tcPr>
          <w:p>
            <w:pPr>
              <w:pStyle w:val="TableParagraph"/>
              <w:spacing w:before="52"/>
              <w:ind w:left="776" w:right="776"/>
              <w:jc w:val="center"/>
              <w:rPr>
                <w:sz w:val="20"/>
              </w:rPr>
            </w:pPr>
            <w:r>
              <w:rPr>
                <w:sz w:val="20"/>
              </w:rPr>
              <w:t>Vaca</w:t>
            </w:r>
          </w:p>
        </w:tc>
        <w:tc>
          <w:tcPr>
            <w:tcW w:w="3190" w:type="dxa"/>
          </w:tcPr>
          <w:p>
            <w:pPr>
              <w:pStyle w:val="TableParagraph"/>
              <w:spacing w:before="35"/>
              <w:ind w:left="1057" w:right="1060"/>
              <w:jc w:val="center"/>
              <w:rPr>
                <w:sz w:val="20"/>
              </w:rPr>
            </w:pPr>
            <w:r>
              <w:rPr>
                <w:sz w:val="20"/>
              </w:rPr>
              <w:t>9.1%</w:t>
            </w:r>
          </w:p>
        </w:tc>
      </w:tr>
      <w:tr>
        <w:trPr>
          <w:trHeight w:val="286" w:hRule="exact"/>
        </w:trPr>
        <w:tc>
          <w:tcPr>
            <w:tcW w:w="3190" w:type="dxa"/>
          </w:tcPr>
          <w:p>
            <w:pPr>
              <w:pStyle w:val="TableParagraph"/>
              <w:spacing w:before="21"/>
              <w:rPr>
                <w:sz w:val="20"/>
              </w:rPr>
            </w:pPr>
            <w:r>
              <w:rPr>
                <w:sz w:val="20"/>
              </w:rPr>
              <w:t>Dedo</w:t>
            </w:r>
          </w:p>
        </w:tc>
        <w:tc>
          <w:tcPr>
            <w:tcW w:w="3192" w:type="dxa"/>
          </w:tcPr>
          <w:p>
            <w:pPr>
              <w:pStyle w:val="TableParagraph"/>
              <w:spacing w:before="26"/>
              <w:ind w:left="776" w:right="776"/>
              <w:jc w:val="center"/>
              <w:rPr>
                <w:sz w:val="20"/>
              </w:rPr>
            </w:pPr>
            <w:r>
              <w:rPr>
                <w:sz w:val="20"/>
              </w:rPr>
              <w:t>Si</w:t>
            </w:r>
          </w:p>
        </w:tc>
        <w:tc>
          <w:tcPr>
            <w:tcW w:w="3190" w:type="dxa"/>
          </w:tcPr>
          <w:p>
            <w:pPr>
              <w:pStyle w:val="TableParagraph"/>
              <w:spacing w:before="26"/>
              <w:ind w:left="1057" w:right="1060"/>
              <w:jc w:val="center"/>
              <w:rPr>
                <w:sz w:val="20"/>
              </w:rPr>
            </w:pPr>
            <w:r>
              <w:rPr>
                <w:sz w:val="20"/>
              </w:rPr>
              <w:t>0.3%</w:t>
            </w:r>
          </w:p>
        </w:tc>
      </w:tr>
      <w:tr>
        <w:trPr>
          <w:trHeight w:val="319" w:hRule="exact"/>
        </w:trPr>
        <w:tc>
          <w:tcPr>
            <w:tcW w:w="3190" w:type="dxa"/>
          </w:tcPr>
          <w:p>
            <w:pPr/>
          </w:p>
        </w:tc>
        <w:tc>
          <w:tcPr>
            <w:tcW w:w="3192" w:type="dxa"/>
          </w:tcPr>
          <w:p>
            <w:pPr>
              <w:pStyle w:val="TableParagraph"/>
              <w:spacing w:before="52"/>
              <w:ind w:left="774" w:right="777"/>
              <w:jc w:val="center"/>
              <w:rPr>
                <w:sz w:val="20"/>
              </w:rPr>
            </w:pPr>
            <w:r>
              <w:rPr>
                <w:sz w:val="20"/>
              </w:rPr>
              <w:t>no</w:t>
            </w:r>
          </w:p>
        </w:tc>
        <w:tc>
          <w:tcPr>
            <w:tcW w:w="3190" w:type="dxa"/>
          </w:tcPr>
          <w:p>
            <w:pPr>
              <w:pStyle w:val="TableParagraph"/>
              <w:spacing w:before="38"/>
              <w:ind w:left="1057" w:right="1060"/>
              <w:jc w:val="center"/>
              <w:rPr>
                <w:sz w:val="20"/>
              </w:rPr>
            </w:pPr>
            <w:r>
              <w:rPr>
                <w:sz w:val="20"/>
              </w:rPr>
              <w:t>99.7%</w:t>
            </w:r>
          </w:p>
        </w:tc>
      </w:tr>
      <w:tr>
        <w:trPr>
          <w:trHeight w:val="319" w:hRule="exact"/>
        </w:trPr>
        <w:tc>
          <w:tcPr>
            <w:tcW w:w="3190" w:type="dxa"/>
          </w:tcPr>
          <w:p>
            <w:pPr>
              <w:pStyle w:val="TableParagraph"/>
              <w:spacing w:before="38"/>
              <w:rPr>
                <w:sz w:val="20"/>
              </w:rPr>
            </w:pPr>
            <w:r>
              <w:rPr>
                <w:sz w:val="20"/>
              </w:rPr>
              <w:t>Chupón</w:t>
            </w:r>
          </w:p>
        </w:tc>
        <w:tc>
          <w:tcPr>
            <w:tcW w:w="3192" w:type="dxa"/>
          </w:tcPr>
          <w:p>
            <w:pPr>
              <w:pStyle w:val="TableParagraph"/>
              <w:spacing w:before="43"/>
              <w:ind w:left="776" w:right="776"/>
              <w:jc w:val="center"/>
              <w:rPr>
                <w:sz w:val="20"/>
              </w:rPr>
            </w:pPr>
            <w:r>
              <w:rPr>
                <w:sz w:val="20"/>
              </w:rPr>
              <w:t>Si</w:t>
            </w:r>
          </w:p>
        </w:tc>
        <w:tc>
          <w:tcPr>
            <w:tcW w:w="3190" w:type="dxa"/>
          </w:tcPr>
          <w:p>
            <w:pPr>
              <w:pStyle w:val="TableParagraph"/>
              <w:spacing w:before="43"/>
              <w:ind w:left="1057" w:right="1057"/>
              <w:jc w:val="center"/>
              <w:rPr>
                <w:sz w:val="20"/>
              </w:rPr>
            </w:pPr>
            <w:r>
              <w:rPr>
                <w:sz w:val="20"/>
              </w:rPr>
              <w:t>3%</w:t>
            </w:r>
          </w:p>
        </w:tc>
      </w:tr>
      <w:tr>
        <w:trPr>
          <w:trHeight w:val="277" w:hRule="exact"/>
        </w:trPr>
        <w:tc>
          <w:tcPr>
            <w:tcW w:w="3190" w:type="dxa"/>
          </w:tcPr>
          <w:p>
            <w:pPr/>
          </w:p>
        </w:tc>
        <w:tc>
          <w:tcPr>
            <w:tcW w:w="3192" w:type="dxa"/>
          </w:tcPr>
          <w:p>
            <w:pPr>
              <w:pStyle w:val="TableParagraph"/>
              <w:spacing w:before="33"/>
              <w:ind w:left="774" w:right="777"/>
              <w:jc w:val="center"/>
              <w:rPr>
                <w:sz w:val="20"/>
              </w:rPr>
            </w:pPr>
            <w:r>
              <w:rPr>
                <w:sz w:val="20"/>
              </w:rPr>
              <w:t>no</w:t>
            </w:r>
          </w:p>
        </w:tc>
        <w:tc>
          <w:tcPr>
            <w:tcW w:w="3190" w:type="dxa"/>
          </w:tcPr>
          <w:p>
            <w:pPr>
              <w:pStyle w:val="TableParagraph"/>
              <w:spacing w:before="16"/>
              <w:ind w:left="1055" w:right="1060"/>
              <w:jc w:val="center"/>
              <w:rPr>
                <w:sz w:val="20"/>
              </w:rPr>
            </w:pPr>
            <w:r>
              <w:rPr>
                <w:sz w:val="20"/>
              </w:rPr>
              <w:t>97%</w:t>
            </w:r>
          </w:p>
        </w:tc>
      </w:tr>
    </w:tbl>
    <w:p>
      <w:pPr>
        <w:spacing w:after="0"/>
        <w:jc w:val="center"/>
        <w:rPr>
          <w:sz w:val="20"/>
        </w:rPr>
        <w:sectPr>
          <w:pgSz w:w="12240" w:h="15840"/>
          <w:pgMar w:header="729" w:footer="1003" w:top="1180" w:bottom="1200" w:left="1480" w:right="960"/>
        </w:sectPr>
      </w:pPr>
    </w:p>
    <w:p>
      <w:pPr>
        <w:pStyle w:val="BodyText"/>
        <w:spacing w:before="2"/>
        <w:rPr>
          <w:sz w:val="13"/>
        </w:rPr>
      </w:pPr>
    </w:p>
    <w:p>
      <w:pPr>
        <w:pStyle w:val="BodyText"/>
        <w:spacing w:line="278" w:lineRule="auto" w:before="69"/>
        <w:ind w:left="575" w:right="553"/>
        <w:jc w:val="center"/>
      </w:pPr>
      <w:r>
        <w:rPr/>
        <w:t>Tabla 10. 2. Diferencia de medias de pH salival, de niños de estancias infantiles, de la ciudad de Toluca, Estado de México.</w:t>
      </w:r>
    </w:p>
    <w:p>
      <w:pPr>
        <w:pStyle w:val="BodyText"/>
        <w:rPr>
          <w:sz w:val="20"/>
        </w:rPr>
      </w:pPr>
    </w:p>
    <w:p>
      <w:pPr>
        <w:pStyle w:val="BodyText"/>
        <w:rPr>
          <w:sz w:val="20"/>
        </w:rPr>
      </w:pPr>
    </w:p>
    <w:p>
      <w:pPr>
        <w:pStyle w:val="BodyText"/>
        <w:spacing w:before="10" w:after="1"/>
        <w:rPr>
          <w:sz w:val="25"/>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31"/>
        <w:gridCol w:w="1558"/>
        <w:gridCol w:w="1469"/>
        <w:gridCol w:w="1651"/>
        <w:gridCol w:w="1846"/>
      </w:tblGrid>
      <w:tr>
        <w:trPr>
          <w:trHeight w:val="828" w:hRule="exact"/>
        </w:trPr>
        <w:tc>
          <w:tcPr>
            <w:tcW w:w="2631" w:type="dxa"/>
          </w:tcPr>
          <w:p>
            <w:pPr>
              <w:pStyle w:val="TableParagraph"/>
              <w:spacing w:before="155"/>
              <w:ind w:left="64"/>
              <w:rPr>
                <w:rFonts w:ascii="Calibri"/>
                <w:b/>
                <w:sz w:val="22"/>
              </w:rPr>
            </w:pPr>
            <w:r>
              <w:rPr>
                <w:rFonts w:ascii="Calibri"/>
                <w:b/>
                <w:sz w:val="22"/>
              </w:rPr>
              <w:t>Variable</w:t>
            </w:r>
          </w:p>
        </w:tc>
        <w:tc>
          <w:tcPr>
            <w:tcW w:w="1558" w:type="dxa"/>
          </w:tcPr>
          <w:p>
            <w:pPr>
              <w:pStyle w:val="TableParagraph"/>
              <w:spacing w:before="155"/>
              <w:ind w:left="64"/>
              <w:rPr>
                <w:rFonts w:ascii="Calibri"/>
                <w:b/>
                <w:sz w:val="22"/>
              </w:rPr>
            </w:pPr>
            <w:r>
              <w:rPr>
                <w:rFonts w:ascii="Calibri"/>
                <w:b/>
                <w:sz w:val="22"/>
              </w:rPr>
              <w:t>Media</w:t>
            </w:r>
          </w:p>
        </w:tc>
        <w:tc>
          <w:tcPr>
            <w:tcW w:w="1469" w:type="dxa"/>
          </w:tcPr>
          <w:p>
            <w:pPr>
              <w:pStyle w:val="TableParagraph"/>
              <w:spacing w:line="278" w:lineRule="auto"/>
              <w:ind w:left="64" w:right="162"/>
              <w:rPr>
                <w:rFonts w:ascii="Calibri"/>
                <w:b/>
                <w:sz w:val="22"/>
              </w:rPr>
            </w:pPr>
            <w:r>
              <w:rPr>
                <w:rFonts w:ascii="Calibri"/>
                <w:b/>
                <w:sz w:val="22"/>
              </w:rPr>
              <w:t>Diferencia de medias</w:t>
            </w:r>
          </w:p>
        </w:tc>
        <w:tc>
          <w:tcPr>
            <w:tcW w:w="1651" w:type="dxa"/>
          </w:tcPr>
          <w:p>
            <w:pPr>
              <w:pStyle w:val="TableParagraph"/>
              <w:spacing w:line="278" w:lineRule="auto"/>
              <w:ind w:left="62" w:right="573"/>
              <w:rPr>
                <w:rFonts w:ascii="Calibri" w:hAnsi="Calibri"/>
                <w:b/>
                <w:sz w:val="22"/>
              </w:rPr>
            </w:pPr>
            <w:r>
              <w:rPr>
                <w:rFonts w:ascii="Calibri" w:hAnsi="Calibri"/>
                <w:b/>
                <w:sz w:val="22"/>
              </w:rPr>
              <w:t>Desviación estándar</w:t>
            </w:r>
          </w:p>
        </w:tc>
        <w:tc>
          <w:tcPr>
            <w:tcW w:w="1846" w:type="dxa"/>
          </w:tcPr>
          <w:p>
            <w:pPr>
              <w:pStyle w:val="TableParagraph"/>
              <w:spacing w:before="155"/>
              <w:ind w:left="64"/>
              <w:rPr>
                <w:rFonts w:ascii="Calibri"/>
                <w:b/>
                <w:sz w:val="22"/>
              </w:rPr>
            </w:pPr>
            <w:r>
              <w:rPr>
                <w:rFonts w:ascii="Calibri"/>
                <w:b/>
                <w:sz w:val="22"/>
              </w:rPr>
              <w:t>Valor p</w:t>
            </w:r>
          </w:p>
        </w:tc>
      </w:tr>
      <w:tr>
        <w:trPr>
          <w:trHeight w:val="518" w:hRule="exact"/>
        </w:trPr>
        <w:tc>
          <w:tcPr>
            <w:tcW w:w="2631" w:type="dxa"/>
          </w:tcPr>
          <w:p>
            <w:pPr>
              <w:pStyle w:val="TableParagraph"/>
              <w:spacing w:line="268" w:lineRule="exact"/>
              <w:ind w:left="64"/>
              <w:rPr>
                <w:rFonts w:ascii="Calibri"/>
                <w:sz w:val="22"/>
              </w:rPr>
            </w:pPr>
            <w:r>
              <w:rPr>
                <w:rFonts w:ascii="Calibri"/>
                <w:sz w:val="22"/>
              </w:rPr>
              <w:t>pH1</w:t>
            </w:r>
          </w:p>
        </w:tc>
        <w:tc>
          <w:tcPr>
            <w:tcW w:w="1558" w:type="dxa"/>
          </w:tcPr>
          <w:p>
            <w:pPr>
              <w:pStyle w:val="TableParagraph"/>
              <w:spacing w:line="268" w:lineRule="exact"/>
              <w:ind w:left="64"/>
              <w:rPr>
                <w:rFonts w:ascii="Calibri"/>
                <w:sz w:val="22"/>
              </w:rPr>
            </w:pPr>
            <w:r>
              <w:rPr>
                <w:rFonts w:ascii="Calibri"/>
                <w:sz w:val="22"/>
              </w:rPr>
              <w:t>6.02</w:t>
            </w:r>
          </w:p>
        </w:tc>
        <w:tc>
          <w:tcPr>
            <w:tcW w:w="1469" w:type="dxa"/>
            <w:vMerge w:val="restart"/>
          </w:tcPr>
          <w:p>
            <w:pPr>
              <w:pStyle w:val="TableParagraph"/>
              <w:spacing w:before="5"/>
              <w:ind w:left="0"/>
              <w:rPr>
                <w:sz w:val="22"/>
              </w:rPr>
            </w:pPr>
          </w:p>
          <w:p>
            <w:pPr>
              <w:pStyle w:val="TableParagraph"/>
              <w:ind w:left="64" w:right="162"/>
              <w:rPr>
                <w:rFonts w:ascii="Calibri"/>
                <w:sz w:val="22"/>
              </w:rPr>
            </w:pPr>
            <w:r>
              <w:rPr>
                <w:rFonts w:ascii="Calibri"/>
                <w:sz w:val="22"/>
              </w:rPr>
              <w:t>-0.006</w:t>
            </w:r>
          </w:p>
        </w:tc>
        <w:tc>
          <w:tcPr>
            <w:tcW w:w="1651" w:type="dxa"/>
            <w:vMerge w:val="restart"/>
          </w:tcPr>
          <w:p>
            <w:pPr>
              <w:pStyle w:val="TableParagraph"/>
              <w:spacing w:before="5"/>
              <w:ind w:left="0"/>
              <w:rPr>
                <w:sz w:val="22"/>
              </w:rPr>
            </w:pPr>
          </w:p>
          <w:p>
            <w:pPr>
              <w:pStyle w:val="TableParagraph"/>
              <w:ind w:left="62" w:right="573"/>
              <w:rPr>
                <w:rFonts w:ascii="Calibri"/>
                <w:sz w:val="22"/>
              </w:rPr>
            </w:pPr>
            <w:r>
              <w:rPr>
                <w:rFonts w:ascii="Calibri"/>
                <w:sz w:val="22"/>
              </w:rPr>
              <w:t>0.794</w:t>
            </w:r>
          </w:p>
        </w:tc>
        <w:tc>
          <w:tcPr>
            <w:tcW w:w="1846" w:type="dxa"/>
            <w:vMerge w:val="restart"/>
          </w:tcPr>
          <w:p>
            <w:pPr>
              <w:pStyle w:val="TableParagraph"/>
              <w:spacing w:before="5"/>
              <w:ind w:left="0"/>
              <w:rPr>
                <w:sz w:val="22"/>
              </w:rPr>
            </w:pPr>
          </w:p>
          <w:p>
            <w:pPr>
              <w:pStyle w:val="TableParagraph"/>
              <w:ind w:left="64"/>
              <w:rPr>
                <w:rFonts w:ascii="Calibri"/>
                <w:sz w:val="22"/>
              </w:rPr>
            </w:pPr>
            <w:r>
              <w:rPr>
                <w:rFonts w:ascii="Calibri"/>
                <w:sz w:val="22"/>
              </w:rPr>
              <w:t>0.924</w:t>
            </w:r>
          </w:p>
        </w:tc>
      </w:tr>
      <w:tr>
        <w:trPr>
          <w:trHeight w:val="518" w:hRule="exact"/>
        </w:trPr>
        <w:tc>
          <w:tcPr>
            <w:tcW w:w="2631" w:type="dxa"/>
          </w:tcPr>
          <w:p>
            <w:pPr>
              <w:pStyle w:val="TableParagraph"/>
              <w:spacing w:line="268" w:lineRule="exact"/>
              <w:ind w:left="64"/>
              <w:rPr>
                <w:rFonts w:ascii="Calibri"/>
                <w:sz w:val="22"/>
              </w:rPr>
            </w:pPr>
            <w:r>
              <w:rPr>
                <w:rFonts w:ascii="Calibri"/>
                <w:sz w:val="22"/>
              </w:rPr>
              <w:t>pH2</w:t>
            </w:r>
          </w:p>
        </w:tc>
        <w:tc>
          <w:tcPr>
            <w:tcW w:w="1558" w:type="dxa"/>
          </w:tcPr>
          <w:p>
            <w:pPr>
              <w:pStyle w:val="TableParagraph"/>
              <w:spacing w:line="268" w:lineRule="exact"/>
              <w:ind w:left="64"/>
              <w:rPr>
                <w:rFonts w:ascii="Calibri"/>
                <w:sz w:val="22"/>
              </w:rPr>
            </w:pPr>
            <w:r>
              <w:rPr>
                <w:rFonts w:ascii="Calibri"/>
                <w:sz w:val="22"/>
              </w:rPr>
              <w:t>6.03</w:t>
            </w:r>
          </w:p>
        </w:tc>
        <w:tc>
          <w:tcPr>
            <w:tcW w:w="1469" w:type="dxa"/>
            <w:vMerge/>
          </w:tcPr>
          <w:p>
            <w:pPr/>
          </w:p>
        </w:tc>
        <w:tc>
          <w:tcPr>
            <w:tcW w:w="1651" w:type="dxa"/>
            <w:vMerge/>
          </w:tcPr>
          <w:p>
            <w:pPr/>
          </w:p>
        </w:tc>
        <w:tc>
          <w:tcPr>
            <w:tcW w:w="1846" w:type="dxa"/>
            <w:vMerge/>
          </w:tcPr>
          <w:p>
            <w:pPr/>
          </w:p>
        </w:tc>
      </w:tr>
      <w:tr>
        <w:trPr>
          <w:trHeight w:val="521" w:hRule="exact"/>
        </w:trPr>
        <w:tc>
          <w:tcPr>
            <w:tcW w:w="2631" w:type="dxa"/>
          </w:tcPr>
          <w:p>
            <w:pPr>
              <w:pStyle w:val="TableParagraph"/>
              <w:spacing w:before="1"/>
              <w:ind w:left="64"/>
              <w:rPr>
                <w:rFonts w:ascii="Calibri"/>
                <w:sz w:val="22"/>
              </w:rPr>
            </w:pPr>
            <w:r>
              <w:rPr>
                <w:rFonts w:ascii="Calibri"/>
                <w:sz w:val="22"/>
              </w:rPr>
              <w:t>pH1</w:t>
            </w:r>
          </w:p>
        </w:tc>
        <w:tc>
          <w:tcPr>
            <w:tcW w:w="1558" w:type="dxa"/>
          </w:tcPr>
          <w:p>
            <w:pPr>
              <w:pStyle w:val="TableParagraph"/>
              <w:spacing w:before="1"/>
              <w:ind w:left="64"/>
              <w:rPr>
                <w:rFonts w:ascii="Calibri"/>
                <w:sz w:val="22"/>
              </w:rPr>
            </w:pPr>
            <w:r>
              <w:rPr>
                <w:rFonts w:ascii="Calibri"/>
                <w:sz w:val="22"/>
              </w:rPr>
              <w:t>6.05</w:t>
            </w:r>
          </w:p>
        </w:tc>
        <w:tc>
          <w:tcPr>
            <w:tcW w:w="1469" w:type="dxa"/>
            <w:vMerge w:val="restart"/>
          </w:tcPr>
          <w:p>
            <w:pPr>
              <w:pStyle w:val="TableParagraph"/>
              <w:spacing w:before="8"/>
              <w:ind w:left="0"/>
              <w:rPr>
                <w:sz w:val="22"/>
              </w:rPr>
            </w:pPr>
          </w:p>
          <w:p>
            <w:pPr>
              <w:pStyle w:val="TableParagraph"/>
              <w:ind w:left="64" w:right="162"/>
              <w:rPr>
                <w:rFonts w:ascii="Calibri"/>
                <w:sz w:val="22"/>
              </w:rPr>
            </w:pPr>
            <w:r>
              <w:rPr>
                <w:rFonts w:ascii="Calibri"/>
                <w:sz w:val="22"/>
              </w:rPr>
              <w:t>0.042</w:t>
            </w:r>
          </w:p>
        </w:tc>
        <w:tc>
          <w:tcPr>
            <w:tcW w:w="1651" w:type="dxa"/>
            <w:vMerge w:val="restart"/>
          </w:tcPr>
          <w:p>
            <w:pPr>
              <w:pStyle w:val="TableParagraph"/>
              <w:spacing w:before="8"/>
              <w:ind w:left="0"/>
              <w:rPr>
                <w:sz w:val="22"/>
              </w:rPr>
            </w:pPr>
          </w:p>
          <w:p>
            <w:pPr>
              <w:pStyle w:val="TableParagraph"/>
              <w:ind w:left="62" w:right="573"/>
              <w:rPr>
                <w:rFonts w:ascii="Calibri"/>
                <w:sz w:val="22"/>
              </w:rPr>
            </w:pPr>
            <w:r>
              <w:rPr>
                <w:rFonts w:ascii="Calibri"/>
                <w:sz w:val="22"/>
              </w:rPr>
              <w:t>0.664</w:t>
            </w:r>
          </w:p>
        </w:tc>
        <w:tc>
          <w:tcPr>
            <w:tcW w:w="1846" w:type="dxa"/>
            <w:vMerge w:val="restart"/>
          </w:tcPr>
          <w:p>
            <w:pPr>
              <w:pStyle w:val="TableParagraph"/>
              <w:spacing w:before="8"/>
              <w:ind w:left="0"/>
              <w:rPr>
                <w:sz w:val="22"/>
              </w:rPr>
            </w:pPr>
          </w:p>
          <w:p>
            <w:pPr>
              <w:pStyle w:val="TableParagraph"/>
              <w:ind w:left="64"/>
              <w:rPr>
                <w:rFonts w:ascii="Calibri"/>
                <w:sz w:val="22"/>
              </w:rPr>
            </w:pPr>
            <w:r>
              <w:rPr>
                <w:rFonts w:ascii="Calibri"/>
                <w:sz w:val="22"/>
              </w:rPr>
              <w:t>0.414</w:t>
            </w:r>
          </w:p>
        </w:tc>
      </w:tr>
      <w:tr>
        <w:trPr>
          <w:trHeight w:val="518" w:hRule="exact"/>
        </w:trPr>
        <w:tc>
          <w:tcPr>
            <w:tcW w:w="2631" w:type="dxa"/>
          </w:tcPr>
          <w:p>
            <w:pPr>
              <w:pStyle w:val="TableParagraph"/>
              <w:spacing w:line="268" w:lineRule="exact"/>
              <w:ind w:left="64"/>
              <w:rPr>
                <w:rFonts w:ascii="Calibri"/>
                <w:sz w:val="22"/>
              </w:rPr>
            </w:pPr>
            <w:r>
              <w:rPr>
                <w:rFonts w:ascii="Calibri"/>
                <w:sz w:val="22"/>
              </w:rPr>
              <w:t>pH3</w:t>
            </w:r>
          </w:p>
        </w:tc>
        <w:tc>
          <w:tcPr>
            <w:tcW w:w="1558" w:type="dxa"/>
          </w:tcPr>
          <w:p>
            <w:pPr>
              <w:pStyle w:val="TableParagraph"/>
              <w:spacing w:line="268" w:lineRule="exact"/>
              <w:ind w:left="64"/>
              <w:rPr>
                <w:rFonts w:ascii="Calibri"/>
                <w:sz w:val="22"/>
              </w:rPr>
            </w:pPr>
            <w:r>
              <w:rPr>
                <w:rFonts w:ascii="Calibri"/>
                <w:sz w:val="22"/>
              </w:rPr>
              <w:t>6.01</w:t>
            </w:r>
          </w:p>
        </w:tc>
        <w:tc>
          <w:tcPr>
            <w:tcW w:w="1469" w:type="dxa"/>
            <w:vMerge/>
          </w:tcPr>
          <w:p>
            <w:pPr/>
          </w:p>
        </w:tc>
        <w:tc>
          <w:tcPr>
            <w:tcW w:w="1651" w:type="dxa"/>
            <w:vMerge/>
          </w:tcPr>
          <w:p>
            <w:pPr/>
          </w:p>
        </w:tc>
        <w:tc>
          <w:tcPr>
            <w:tcW w:w="1846" w:type="dxa"/>
            <w:vMerge/>
          </w:tcPr>
          <w:p>
            <w:pPr/>
          </w:p>
        </w:tc>
      </w:tr>
      <w:tr>
        <w:trPr>
          <w:trHeight w:val="518" w:hRule="exact"/>
        </w:trPr>
        <w:tc>
          <w:tcPr>
            <w:tcW w:w="2631" w:type="dxa"/>
          </w:tcPr>
          <w:p>
            <w:pPr>
              <w:pStyle w:val="TableParagraph"/>
              <w:spacing w:line="268" w:lineRule="exact"/>
              <w:ind w:left="64"/>
              <w:rPr>
                <w:rFonts w:ascii="Calibri"/>
                <w:sz w:val="22"/>
              </w:rPr>
            </w:pPr>
            <w:r>
              <w:rPr>
                <w:rFonts w:ascii="Calibri"/>
                <w:sz w:val="22"/>
              </w:rPr>
              <w:t>pH2</w:t>
            </w:r>
          </w:p>
        </w:tc>
        <w:tc>
          <w:tcPr>
            <w:tcW w:w="1558" w:type="dxa"/>
          </w:tcPr>
          <w:p>
            <w:pPr>
              <w:pStyle w:val="TableParagraph"/>
              <w:spacing w:line="268" w:lineRule="exact"/>
              <w:ind w:left="64"/>
              <w:rPr>
                <w:rFonts w:ascii="Calibri"/>
                <w:sz w:val="22"/>
              </w:rPr>
            </w:pPr>
            <w:r>
              <w:rPr>
                <w:rFonts w:ascii="Calibri"/>
                <w:sz w:val="22"/>
              </w:rPr>
              <w:t>6.05</w:t>
            </w:r>
          </w:p>
        </w:tc>
        <w:tc>
          <w:tcPr>
            <w:tcW w:w="1469" w:type="dxa"/>
            <w:vMerge w:val="restart"/>
          </w:tcPr>
          <w:p>
            <w:pPr>
              <w:pStyle w:val="TableParagraph"/>
              <w:spacing w:before="5"/>
              <w:ind w:left="0"/>
              <w:rPr>
                <w:sz w:val="22"/>
              </w:rPr>
            </w:pPr>
          </w:p>
          <w:p>
            <w:pPr>
              <w:pStyle w:val="TableParagraph"/>
              <w:ind w:left="64" w:right="162"/>
              <w:rPr>
                <w:rFonts w:ascii="Calibri"/>
                <w:sz w:val="22"/>
              </w:rPr>
            </w:pPr>
            <w:r>
              <w:rPr>
                <w:rFonts w:ascii="Calibri"/>
                <w:sz w:val="22"/>
              </w:rPr>
              <w:t>0.027</w:t>
            </w:r>
          </w:p>
        </w:tc>
        <w:tc>
          <w:tcPr>
            <w:tcW w:w="1651" w:type="dxa"/>
            <w:vMerge w:val="restart"/>
          </w:tcPr>
          <w:p>
            <w:pPr>
              <w:pStyle w:val="TableParagraph"/>
              <w:spacing w:before="5"/>
              <w:ind w:left="0"/>
              <w:rPr>
                <w:sz w:val="22"/>
              </w:rPr>
            </w:pPr>
          </w:p>
          <w:p>
            <w:pPr>
              <w:pStyle w:val="TableParagraph"/>
              <w:ind w:left="62" w:right="573"/>
              <w:rPr>
                <w:rFonts w:ascii="Calibri"/>
                <w:sz w:val="22"/>
              </w:rPr>
            </w:pPr>
            <w:r>
              <w:rPr>
                <w:rFonts w:ascii="Calibri"/>
                <w:sz w:val="22"/>
              </w:rPr>
              <w:t>0.692</w:t>
            </w:r>
          </w:p>
        </w:tc>
        <w:tc>
          <w:tcPr>
            <w:tcW w:w="1846" w:type="dxa"/>
            <w:vMerge w:val="restart"/>
          </w:tcPr>
          <w:p>
            <w:pPr>
              <w:pStyle w:val="TableParagraph"/>
              <w:spacing w:before="5"/>
              <w:ind w:left="0"/>
              <w:rPr>
                <w:sz w:val="22"/>
              </w:rPr>
            </w:pPr>
          </w:p>
          <w:p>
            <w:pPr>
              <w:pStyle w:val="TableParagraph"/>
              <w:ind w:left="64"/>
              <w:rPr>
                <w:rFonts w:ascii="Calibri"/>
                <w:sz w:val="22"/>
              </w:rPr>
            </w:pPr>
            <w:r>
              <w:rPr>
                <w:rFonts w:ascii="Calibri"/>
                <w:sz w:val="22"/>
              </w:rPr>
              <w:t>0.634</w:t>
            </w:r>
          </w:p>
        </w:tc>
      </w:tr>
      <w:tr>
        <w:trPr>
          <w:trHeight w:val="518" w:hRule="exact"/>
        </w:trPr>
        <w:tc>
          <w:tcPr>
            <w:tcW w:w="2631" w:type="dxa"/>
          </w:tcPr>
          <w:p>
            <w:pPr>
              <w:pStyle w:val="TableParagraph"/>
              <w:spacing w:line="268" w:lineRule="exact"/>
              <w:ind w:left="64"/>
              <w:rPr>
                <w:rFonts w:ascii="Calibri"/>
                <w:sz w:val="22"/>
              </w:rPr>
            </w:pPr>
            <w:r>
              <w:rPr>
                <w:rFonts w:ascii="Calibri"/>
                <w:sz w:val="22"/>
              </w:rPr>
              <w:t>pH3</w:t>
            </w:r>
          </w:p>
        </w:tc>
        <w:tc>
          <w:tcPr>
            <w:tcW w:w="1558" w:type="dxa"/>
          </w:tcPr>
          <w:p>
            <w:pPr>
              <w:pStyle w:val="TableParagraph"/>
              <w:spacing w:line="268" w:lineRule="exact"/>
              <w:ind w:left="64"/>
              <w:rPr>
                <w:rFonts w:ascii="Calibri"/>
                <w:sz w:val="22"/>
              </w:rPr>
            </w:pPr>
            <w:r>
              <w:rPr>
                <w:rFonts w:ascii="Calibri"/>
                <w:sz w:val="22"/>
              </w:rPr>
              <w:t>6.02</w:t>
            </w:r>
          </w:p>
        </w:tc>
        <w:tc>
          <w:tcPr>
            <w:tcW w:w="1469" w:type="dxa"/>
            <w:vMerge/>
          </w:tcPr>
          <w:p>
            <w:pPr/>
          </w:p>
        </w:tc>
        <w:tc>
          <w:tcPr>
            <w:tcW w:w="1651" w:type="dxa"/>
            <w:vMerge/>
          </w:tcPr>
          <w:p>
            <w:pPr/>
          </w:p>
        </w:tc>
        <w:tc>
          <w:tcPr>
            <w:tcW w:w="1846" w:type="dxa"/>
            <w:vMerge/>
          </w:tcPr>
          <w:p>
            <w:pPr/>
          </w:p>
        </w:tc>
      </w:tr>
    </w:tbl>
    <w:p>
      <w:pPr>
        <w:pStyle w:val="BodyText"/>
        <w:ind w:left="122"/>
        <w:rPr>
          <w:sz w:val="20"/>
        </w:rPr>
      </w:pPr>
      <w:r>
        <w:rPr>
          <w:sz w:val="20"/>
        </w:rPr>
        <w:pict>
          <v:group style="width:122.95pt;height:17.9pt;mso-position-horizontal-relative:char;mso-position-vertical-relative:line" coordorigin="0,0" coordsize="2459,358">
            <v:shape style="position:absolute;left:0;top:0;width:2459;height:358" type="#_x0000_t75" stroked="false">
              <v:imagedata r:id="rId28" o:title=""/>
            </v:shape>
            <v:shape style="position:absolute;left:0;top:0;width:2459;height:358" type="#_x0000_t202" filled="false" stroked="false">
              <v:textbox inset="0,0,0,0">
                <w:txbxContent>
                  <w:p>
                    <w:pPr>
                      <w:spacing w:before="83"/>
                      <w:ind w:left="153" w:right="0" w:firstLine="0"/>
                      <w:jc w:val="left"/>
                      <w:rPr>
                        <w:sz w:val="16"/>
                      </w:rPr>
                    </w:pPr>
                    <w:r>
                      <w:rPr>
                        <w:sz w:val="16"/>
                      </w:rPr>
                      <w:t>Valor de p≤0.05**  p≤0.001 ***</w:t>
                    </w:r>
                  </w:p>
                </w:txbxContent>
              </v:textbox>
              <w10:wrap type="none"/>
            </v:shape>
          </v:group>
        </w:pict>
      </w:r>
      <w:r>
        <w:rPr>
          <w:sz w:val="20"/>
        </w:rPr>
      </w:r>
    </w:p>
    <w:p>
      <w:pPr>
        <w:pStyle w:val="BodyText"/>
      </w:pPr>
    </w:p>
    <w:p>
      <w:pPr>
        <w:pStyle w:val="BodyText"/>
      </w:pPr>
    </w:p>
    <w:p>
      <w:pPr>
        <w:pStyle w:val="BodyText"/>
      </w:pPr>
    </w:p>
    <w:p>
      <w:pPr>
        <w:pStyle w:val="BodyText"/>
        <w:spacing w:before="10"/>
        <w:rPr>
          <w:sz w:val="30"/>
        </w:rPr>
      </w:pPr>
    </w:p>
    <w:p>
      <w:pPr>
        <w:pStyle w:val="BodyText"/>
        <w:spacing w:line="275" w:lineRule="exact"/>
        <w:ind w:left="572" w:right="553"/>
        <w:jc w:val="center"/>
      </w:pPr>
      <w:r>
        <w:rPr/>
        <w:t>Tabla 10. 3. Diferencia de  medias de unidades formadoras de colonias de</w:t>
      </w:r>
    </w:p>
    <w:p>
      <w:pPr>
        <w:spacing w:before="0"/>
        <w:ind w:left="3732" w:right="3707" w:hanging="2"/>
        <w:jc w:val="center"/>
        <w:rPr>
          <w:sz w:val="24"/>
        </w:rPr>
      </w:pPr>
      <w:r>
        <w:rPr>
          <w:i/>
          <w:sz w:val="24"/>
        </w:rPr>
        <w:t>Streptococcus </w:t>
      </w:r>
      <w:r>
        <w:rPr>
          <w:i/>
          <w:sz w:val="24"/>
        </w:rPr>
        <w:t>mutans </w:t>
      </w:r>
      <w:r>
        <w:rPr>
          <w:sz w:val="24"/>
        </w:rPr>
        <w:t>entre etapas.</w:t>
      </w:r>
    </w:p>
    <w:p>
      <w:pPr>
        <w:pStyle w:val="BodyText"/>
        <w:rPr>
          <w:sz w:val="20"/>
        </w:rPr>
      </w:pPr>
    </w:p>
    <w:p>
      <w:pPr>
        <w:pStyle w:val="BodyText"/>
        <w:rPr>
          <w:sz w:val="20"/>
        </w:rPr>
      </w:pPr>
    </w:p>
    <w:p>
      <w:pPr>
        <w:pStyle w:val="BodyText"/>
        <w:spacing w:before="10"/>
        <w:rPr>
          <w:sz w:val="15"/>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5"/>
        <w:gridCol w:w="1873"/>
        <w:gridCol w:w="2175"/>
        <w:gridCol w:w="2177"/>
        <w:gridCol w:w="1147"/>
      </w:tblGrid>
      <w:tr>
        <w:trPr>
          <w:trHeight w:val="588" w:hRule="exact"/>
        </w:trPr>
        <w:tc>
          <w:tcPr>
            <w:tcW w:w="1255" w:type="dxa"/>
          </w:tcPr>
          <w:p>
            <w:pPr>
              <w:pStyle w:val="TableParagraph"/>
              <w:spacing w:before="153"/>
              <w:ind w:left="46" w:right="46"/>
              <w:jc w:val="center"/>
              <w:rPr>
                <w:rFonts w:ascii="Calibri"/>
                <w:b/>
                <w:sz w:val="22"/>
              </w:rPr>
            </w:pPr>
            <w:r>
              <w:rPr>
                <w:rFonts w:ascii="Calibri"/>
                <w:b/>
                <w:sz w:val="22"/>
              </w:rPr>
              <w:t>Variable</w:t>
            </w:r>
          </w:p>
        </w:tc>
        <w:tc>
          <w:tcPr>
            <w:tcW w:w="1873" w:type="dxa"/>
          </w:tcPr>
          <w:p>
            <w:pPr>
              <w:pStyle w:val="TableParagraph"/>
              <w:spacing w:before="9"/>
              <w:ind w:left="0"/>
              <w:rPr>
                <w:sz w:val="15"/>
              </w:rPr>
            </w:pPr>
          </w:p>
          <w:p>
            <w:pPr>
              <w:pStyle w:val="TableParagraph"/>
              <w:ind w:left="485" w:right="486"/>
              <w:jc w:val="center"/>
              <w:rPr>
                <w:b/>
                <w:sz w:val="18"/>
              </w:rPr>
            </w:pPr>
            <w:r>
              <w:rPr>
                <w:b/>
                <w:sz w:val="18"/>
              </w:rPr>
              <w:t>Media</w:t>
            </w:r>
          </w:p>
        </w:tc>
        <w:tc>
          <w:tcPr>
            <w:tcW w:w="2175" w:type="dxa"/>
          </w:tcPr>
          <w:p>
            <w:pPr>
              <w:pStyle w:val="TableParagraph"/>
              <w:spacing w:before="153"/>
              <w:ind w:left="96"/>
              <w:rPr>
                <w:rFonts w:ascii="Calibri"/>
                <w:b/>
                <w:sz w:val="22"/>
              </w:rPr>
            </w:pPr>
            <w:r>
              <w:rPr>
                <w:rFonts w:ascii="Calibri"/>
                <w:b/>
                <w:sz w:val="22"/>
              </w:rPr>
              <w:t>Diferencia  de medias</w:t>
            </w:r>
          </w:p>
        </w:tc>
        <w:tc>
          <w:tcPr>
            <w:tcW w:w="2177" w:type="dxa"/>
          </w:tcPr>
          <w:p>
            <w:pPr>
              <w:pStyle w:val="TableParagraph"/>
              <w:spacing w:before="153"/>
              <w:ind w:left="160"/>
              <w:rPr>
                <w:rFonts w:ascii="Calibri" w:hAnsi="Calibri"/>
                <w:b/>
                <w:sz w:val="22"/>
              </w:rPr>
            </w:pPr>
            <w:r>
              <w:rPr>
                <w:rFonts w:ascii="Calibri" w:hAnsi="Calibri"/>
                <w:b/>
                <w:sz w:val="22"/>
              </w:rPr>
              <w:t>Desviación estándar</w:t>
            </w:r>
          </w:p>
        </w:tc>
        <w:tc>
          <w:tcPr>
            <w:tcW w:w="1147" w:type="dxa"/>
          </w:tcPr>
          <w:p>
            <w:pPr>
              <w:pStyle w:val="TableParagraph"/>
              <w:spacing w:before="153"/>
              <w:ind w:left="239"/>
              <w:rPr>
                <w:rFonts w:ascii="Calibri"/>
                <w:b/>
                <w:sz w:val="22"/>
              </w:rPr>
            </w:pPr>
            <w:r>
              <w:rPr>
                <w:rFonts w:ascii="Calibri"/>
                <w:b/>
                <w:sz w:val="22"/>
              </w:rPr>
              <w:t>Valor p</w:t>
            </w:r>
          </w:p>
        </w:tc>
      </w:tr>
      <w:tr>
        <w:trPr>
          <w:trHeight w:val="298" w:hRule="exact"/>
        </w:trPr>
        <w:tc>
          <w:tcPr>
            <w:tcW w:w="1255" w:type="dxa"/>
          </w:tcPr>
          <w:p>
            <w:pPr>
              <w:pStyle w:val="TableParagraph"/>
              <w:spacing w:before="80"/>
              <w:ind w:left="46" w:right="138"/>
              <w:jc w:val="center"/>
              <w:rPr>
                <w:sz w:val="18"/>
              </w:rPr>
            </w:pPr>
            <w:r>
              <w:rPr>
                <w:sz w:val="18"/>
              </w:rPr>
              <w:t>UFC etapa 1</w:t>
            </w:r>
          </w:p>
        </w:tc>
        <w:tc>
          <w:tcPr>
            <w:tcW w:w="1873" w:type="dxa"/>
          </w:tcPr>
          <w:p>
            <w:pPr>
              <w:pStyle w:val="TableParagraph"/>
              <w:spacing w:before="80"/>
              <w:ind w:left="486" w:right="486"/>
              <w:jc w:val="center"/>
              <w:rPr>
                <w:sz w:val="18"/>
              </w:rPr>
            </w:pPr>
            <w:r>
              <w:rPr>
                <w:sz w:val="18"/>
              </w:rPr>
              <w:t>422374.17</w:t>
            </w:r>
          </w:p>
        </w:tc>
        <w:tc>
          <w:tcPr>
            <w:tcW w:w="2175" w:type="dxa"/>
            <w:vMerge w:val="restart"/>
          </w:tcPr>
          <w:p>
            <w:pPr>
              <w:pStyle w:val="TableParagraph"/>
              <w:spacing w:before="155"/>
              <w:ind w:left="552"/>
              <w:rPr>
                <w:rFonts w:ascii="Calibri"/>
                <w:sz w:val="22"/>
              </w:rPr>
            </w:pPr>
            <w:r>
              <w:rPr>
                <w:rFonts w:ascii="Calibri"/>
                <w:sz w:val="22"/>
              </w:rPr>
              <w:t>244676.259</w:t>
            </w:r>
          </w:p>
        </w:tc>
        <w:tc>
          <w:tcPr>
            <w:tcW w:w="2177" w:type="dxa"/>
            <w:vMerge w:val="restart"/>
          </w:tcPr>
          <w:p>
            <w:pPr>
              <w:pStyle w:val="TableParagraph"/>
              <w:spacing w:before="155"/>
              <w:ind w:left="551"/>
              <w:rPr>
                <w:rFonts w:ascii="Calibri"/>
                <w:sz w:val="22"/>
              </w:rPr>
            </w:pPr>
            <w:r>
              <w:rPr>
                <w:rFonts w:ascii="Calibri"/>
                <w:sz w:val="22"/>
              </w:rPr>
              <w:t>983559.273</w:t>
            </w:r>
          </w:p>
        </w:tc>
        <w:tc>
          <w:tcPr>
            <w:tcW w:w="1147" w:type="dxa"/>
            <w:vMerge w:val="restart"/>
          </w:tcPr>
          <w:p>
            <w:pPr>
              <w:pStyle w:val="TableParagraph"/>
              <w:spacing w:before="155"/>
              <w:ind w:left="208"/>
              <w:rPr>
                <w:rFonts w:ascii="Calibri"/>
                <w:sz w:val="22"/>
              </w:rPr>
            </w:pPr>
            <w:r>
              <w:rPr>
                <w:rFonts w:ascii="Calibri"/>
                <w:sz w:val="22"/>
              </w:rPr>
              <w:t>0.004**</w:t>
            </w:r>
          </w:p>
        </w:tc>
      </w:tr>
      <w:tr>
        <w:trPr>
          <w:trHeight w:val="298" w:hRule="exact"/>
        </w:trPr>
        <w:tc>
          <w:tcPr>
            <w:tcW w:w="1255" w:type="dxa"/>
          </w:tcPr>
          <w:p>
            <w:pPr>
              <w:pStyle w:val="TableParagraph"/>
              <w:spacing w:before="80"/>
              <w:ind w:left="46" w:right="138"/>
              <w:jc w:val="center"/>
              <w:rPr>
                <w:sz w:val="18"/>
              </w:rPr>
            </w:pPr>
            <w:r>
              <w:rPr>
                <w:sz w:val="18"/>
              </w:rPr>
              <w:t>UFC etapa 2</w:t>
            </w:r>
          </w:p>
        </w:tc>
        <w:tc>
          <w:tcPr>
            <w:tcW w:w="1873" w:type="dxa"/>
          </w:tcPr>
          <w:p>
            <w:pPr>
              <w:pStyle w:val="TableParagraph"/>
              <w:spacing w:before="80"/>
              <w:ind w:left="486" w:right="486"/>
              <w:jc w:val="center"/>
              <w:rPr>
                <w:sz w:val="18"/>
              </w:rPr>
            </w:pPr>
            <w:r>
              <w:rPr>
                <w:sz w:val="18"/>
              </w:rPr>
              <w:t>177697.91</w:t>
            </w:r>
          </w:p>
        </w:tc>
        <w:tc>
          <w:tcPr>
            <w:tcW w:w="2175" w:type="dxa"/>
            <w:vMerge/>
          </w:tcPr>
          <w:p>
            <w:pPr/>
          </w:p>
        </w:tc>
        <w:tc>
          <w:tcPr>
            <w:tcW w:w="2177" w:type="dxa"/>
            <w:vMerge/>
          </w:tcPr>
          <w:p>
            <w:pPr/>
          </w:p>
        </w:tc>
        <w:tc>
          <w:tcPr>
            <w:tcW w:w="1147" w:type="dxa"/>
            <w:vMerge/>
          </w:tcPr>
          <w:p>
            <w:pPr/>
          </w:p>
        </w:tc>
      </w:tr>
      <w:tr>
        <w:trPr>
          <w:trHeight w:val="298" w:hRule="exact"/>
        </w:trPr>
        <w:tc>
          <w:tcPr>
            <w:tcW w:w="1255" w:type="dxa"/>
          </w:tcPr>
          <w:p>
            <w:pPr>
              <w:pStyle w:val="TableParagraph"/>
              <w:spacing w:before="80"/>
              <w:ind w:left="46" w:right="138"/>
              <w:jc w:val="center"/>
              <w:rPr>
                <w:sz w:val="18"/>
              </w:rPr>
            </w:pPr>
            <w:r>
              <w:rPr>
                <w:sz w:val="18"/>
              </w:rPr>
              <w:t>UFC etapa 1</w:t>
            </w:r>
          </w:p>
        </w:tc>
        <w:tc>
          <w:tcPr>
            <w:tcW w:w="1873" w:type="dxa"/>
          </w:tcPr>
          <w:p>
            <w:pPr>
              <w:pStyle w:val="TableParagraph"/>
              <w:spacing w:before="80"/>
              <w:ind w:left="486" w:right="486"/>
              <w:jc w:val="center"/>
              <w:rPr>
                <w:sz w:val="18"/>
              </w:rPr>
            </w:pPr>
            <w:r>
              <w:rPr>
                <w:sz w:val="18"/>
              </w:rPr>
              <w:t>506691.24</w:t>
            </w:r>
          </w:p>
        </w:tc>
        <w:tc>
          <w:tcPr>
            <w:tcW w:w="2175" w:type="dxa"/>
            <w:vMerge w:val="restart"/>
          </w:tcPr>
          <w:p>
            <w:pPr>
              <w:pStyle w:val="TableParagraph"/>
              <w:spacing w:before="155"/>
              <w:ind w:left="552"/>
              <w:rPr>
                <w:rFonts w:ascii="Calibri"/>
                <w:sz w:val="22"/>
              </w:rPr>
            </w:pPr>
            <w:r>
              <w:rPr>
                <w:rFonts w:ascii="Calibri"/>
                <w:sz w:val="22"/>
              </w:rPr>
              <w:t>377029.456</w:t>
            </w:r>
          </w:p>
        </w:tc>
        <w:tc>
          <w:tcPr>
            <w:tcW w:w="2177" w:type="dxa"/>
            <w:vMerge w:val="restart"/>
          </w:tcPr>
          <w:p>
            <w:pPr>
              <w:pStyle w:val="TableParagraph"/>
              <w:spacing w:before="155"/>
              <w:ind w:left="551"/>
              <w:rPr>
                <w:rFonts w:ascii="Calibri"/>
                <w:sz w:val="22"/>
              </w:rPr>
            </w:pPr>
            <w:r>
              <w:rPr>
                <w:rFonts w:ascii="Calibri"/>
                <w:sz w:val="22"/>
              </w:rPr>
              <w:t>1155731.03</w:t>
            </w:r>
          </w:p>
        </w:tc>
        <w:tc>
          <w:tcPr>
            <w:tcW w:w="1147" w:type="dxa"/>
            <w:vMerge w:val="restart"/>
          </w:tcPr>
          <w:p>
            <w:pPr>
              <w:pStyle w:val="TableParagraph"/>
              <w:spacing w:before="155"/>
              <w:ind w:left="153"/>
              <w:rPr>
                <w:rFonts w:ascii="Calibri"/>
                <w:sz w:val="22"/>
              </w:rPr>
            </w:pPr>
            <w:r>
              <w:rPr>
                <w:rFonts w:ascii="Calibri"/>
                <w:sz w:val="22"/>
              </w:rPr>
              <w:t>0.000***</w:t>
            </w:r>
          </w:p>
        </w:tc>
      </w:tr>
      <w:tr>
        <w:trPr>
          <w:trHeight w:val="298" w:hRule="exact"/>
        </w:trPr>
        <w:tc>
          <w:tcPr>
            <w:tcW w:w="1255" w:type="dxa"/>
          </w:tcPr>
          <w:p>
            <w:pPr>
              <w:pStyle w:val="TableParagraph"/>
              <w:spacing w:before="80"/>
              <w:ind w:left="46" w:right="138"/>
              <w:jc w:val="center"/>
              <w:rPr>
                <w:sz w:val="18"/>
              </w:rPr>
            </w:pPr>
            <w:r>
              <w:rPr>
                <w:sz w:val="18"/>
              </w:rPr>
              <w:t>UFC etapa 3</w:t>
            </w:r>
          </w:p>
        </w:tc>
        <w:tc>
          <w:tcPr>
            <w:tcW w:w="1873" w:type="dxa"/>
          </w:tcPr>
          <w:p>
            <w:pPr>
              <w:pStyle w:val="TableParagraph"/>
              <w:spacing w:before="80"/>
              <w:ind w:left="486" w:right="486"/>
              <w:jc w:val="center"/>
              <w:rPr>
                <w:sz w:val="18"/>
              </w:rPr>
            </w:pPr>
            <w:r>
              <w:rPr>
                <w:sz w:val="18"/>
              </w:rPr>
              <w:t>129661.79</w:t>
            </w:r>
          </w:p>
        </w:tc>
        <w:tc>
          <w:tcPr>
            <w:tcW w:w="2175" w:type="dxa"/>
            <w:vMerge/>
          </w:tcPr>
          <w:p>
            <w:pPr/>
          </w:p>
        </w:tc>
        <w:tc>
          <w:tcPr>
            <w:tcW w:w="2177" w:type="dxa"/>
            <w:vMerge/>
          </w:tcPr>
          <w:p>
            <w:pPr/>
          </w:p>
        </w:tc>
        <w:tc>
          <w:tcPr>
            <w:tcW w:w="1147" w:type="dxa"/>
            <w:vMerge/>
          </w:tcPr>
          <w:p>
            <w:pPr/>
          </w:p>
        </w:tc>
      </w:tr>
      <w:tr>
        <w:trPr>
          <w:trHeight w:val="298" w:hRule="exact"/>
        </w:trPr>
        <w:tc>
          <w:tcPr>
            <w:tcW w:w="1255" w:type="dxa"/>
          </w:tcPr>
          <w:p>
            <w:pPr>
              <w:pStyle w:val="TableParagraph"/>
              <w:spacing w:before="81"/>
              <w:ind w:left="46" w:right="138"/>
              <w:jc w:val="center"/>
              <w:rPr>
                <w:sz w:val="18"/>
              </w:rPr>
            </w:pPr>
            <w:r>
              <w:rPr>
                <w:sz w:val="18"/>
              </w:rPr>
              <w:t>UFC etapa 2</w:t>
            </w:r>
          </w:p>
        </w:tc>
        <w:tc>
          <w:tcPr>
            <w:tcW w:w="1873" w:type="dxa"/>
          </w:tcPr>
          <w:p>
            <w:pPr>
              <w:pStyle w:val="TableParagraph"/>
              <w:spacing w:before="81"/>
              <w:ind w:left="486" w:right="486"/>
              <w:jc w:val="center"/>
              <w:rPr>
                <w:sz w:val="18"/>
              </w:rPr>
            </w:pPr>
            <w:r>
              <w:rPr>
                <w:sz w:val="18"/>
              </w:rPr>
              <w:t>185481.55</w:t>
            </w:r>
          </w:p>
        </w:tc>
        <w:tc>
          <w:tcPr>
            <w:tcW w:w="2175" w:type="dxa"/>
            <w:vMerge w:val="restart"/>
          </w:tcPr>
          <w:p>
            <w:pPr>
              <w:pStyle w:val="TableParagraph"/>
              <w:spacing w:before="158"/>
              <w:ind w:left="607"/>
              <w:rPr>
                <w:rFonts w:ascii="Calibri"/>
                <w:sz w:val="22"/>
              </w:rPr>
            </w:pPr>
            <w:r>
              <w:rPr>
                <w:rFonts w:ascii="Calibri"/>
                <w:sz w:val="22"/>
              </w:rPr>
              <w:t>66370.415</w:t>
            </w:r>
          </w:p>
        </w:tc>
        <w:tc>
          <w:tcPr>
            <w:tcW w:w="2177" w:type="dxa"/>
            <w:vMerge w:val="restart"/>
          </w:tcPr>
          <w:p>
            <w:pPr>
              <w:pStyle w:val="TableParagraph"/>
              <w:spacing w:before="158"/>
              <w:ind w:left="551"/>
              <w:rPr>
                <w:rFonts w:ascii="Calibri"/>
                <w:sz w:val="22"/>
              </w:rPr>
            </w:pPr>
            <w:r>
              <w:rPr>
                <w:rFonts w:ascii="Calibri"/>
                <w:sz w:val="22"/>
              </w:rPr>
              <w:t>676418.662</w:t>
            </w:r>
          </w:p>
        </w:tc>
        <w:tc>
          <w:tcPr>
            <w:tcW w:w="1147" w:type="dxa"/>
            <w:vMerge w:val="restart"/>
          </w:tcPr>
          <w:p>
            <w:pPr>
              <w:pStyle w:val="TableParagraph"/>
              <w:spacing w:before="158"/>
              <w:ind w:left="316"/>
              <w:rPr>
                <w:rFonts w:ascii="Calibri"/>
                <w:sz w:val="22"/>
              </w:rPr>
            </w:pPr>
            <w:r>
              <w:rPr>
                <w:rFonts w:ascii="Calibri"/>
                <w:sz w:val="22"/>
              </w:rPr>
              <w:t>0.256</w:t>
            </w:r>
          </w:p>
        </w:tc>
      </w:tr>
      <w:tr>
        <w:trPr>
          <w:trHeight w:val="300" w:hRule="exact"/>
        </w:trPr>
        <w:tc>
          <w:tcPr>
            <w:tcW w:w="1255" w:type="dxa"/>
          </w:tcPr>
          <w:p>
            <w:pPr>
              <w:pStyle w:val="TableParagraph"/>
              <w:spacing w:before="80"/>
              <w:ind w:left="46" w:right="138"/>
              <w:jc w:val="center"/>
              <w:rPr>
                <w:sz w:val="18"/>
              </w:rPr>
            </w:pPr>
            <w:r>
              <w:rPr>
                <w:sz w:val="18"/>
              </w:rPr>
              <w:t>UFC etapa 3</w:t>
            </w:r>
          </w:p>
        </w:tc>
        <w:tc>
          <w:tcPr>
            <w:tcW w:w="1873" w:type="dxa"/>
          </w:tcPr>
          <w:p>
            <w:pPr>
              <w:pStyle w:val="TableParagraph"/>
              <w:spacing w:before="80"/>
              <w:ind w:left="486" w:right="486"/>
              <w:jc w:val="center"/>
              <w:rPr>
                <w:sz w:val="18"/>
              </w:rPr>
            </w:pPr>
            <w:r>
              <w:rPr>
                <w:sz w:val="18"/>
              </w:rPr>
              <w:t>119111.13</w:t>
            </w:r>
          </w:p>
        </w:tc>
        <w:tc>
          <w:tcPr>
            <w:tcW w:w="2175" w:type="dxa"/>
            <w:vMerge/>
          </w:tcPr>
          <w:p>
            <w:pPr/>
          </w:p>
        </w:tc>
        <w:tc>
          <w:tcPr>
            <w:tcW w:w="2177" w:type="dxa"/>
            <w:vMerge/>
          </w:tcPr>
          <w:p>
            <w:pPr/>
          </w:p>
        </w:tc>
        <w:tc>
          <w:tcPr>
            <w:tcW w:w="1147" w:type="dxa"/>
            <w:vMerge/>
          </w:tcPr>
          <w:p>
            <w:pPr/>
          </w:p>
        </w:tc>
      </w:tr>
    </w:tbl>
    <w:p>
      <w:pPr>
        <w:pStyle w:val="BodyText"/>
        <w:rPr>
          <w:sz w:val="28"/>
        </w:rPr>
      </w:pPr>
    </w:p>
    <w:p>
      <w:pPr>
        <w:spacing w:line="501" w:lineRule="auto" w:before="0"/>
        <w:ind w:left="182" w:right="7070" w:firstLine="0"/>
        <w:jc w:val="left"/>
        <w:rPr>
          <w:sz w:val="16"/>
        </w:rPr>
      </w:pPr>
      <w:r>
        <w:rPr>
          <w:sz w:val="16"/>
        </w:rPr>
        <w:t>Valor de p≤0.05**  p≤0.001 *** UFC Unidad formadora de colonia</w:t>
      </w:r>
    </w:p>
    <w:p>
      <w:pPr>
        <w:spacing w:after="0" w:line="501" w:lineRule="auto"/>
        <w:jc w:val="left"/>
        <w:rPr>
          <w:sz w:val="16"/>
        </w:rPr>
        <w:sectPr>
          <w:footerReference w:type="default" r:id="rId27"/>
          <w:pgSz w:w="12240" w:h="15840"/>
          <w:pgMar w:footer="1003" w:header="729" w:top="1180" w:bottom="1200" w:left="1520" w:right="1020"/>
        </w:sectPr>
      </w:pPr>
    </w:p>
    <w:p>
      <w:pPr>
        <w:pStyle w:val="BodyText"/>
        <w:rPr>
          <w:sz w:val="20"/>
        </w:rPr>
      </w:pPr>
    </w:p>
    <w:p>
      <w:pPr>
        <w:pStyle w:val="BodyText"/>
        <w:rPr>
          <w:sz w:val="21"/>
        </w:rPr>
      </w:pPr>
    </w:p>
    <w:p>
      <w:pPr>
        <w:pStyle w:val="BodyText"/>
        <w:spacing w:before="69"/>
        <w:ind w:left="929" w:right="872"/>
        <w:jc w:val="center"/>
      </w:pPr>
      <w:r>
        <w:rPr/>
        <w:t>Tabla 10. 4. Diferencia de medias de Unidades formadoras de colonias de</w:t>
      </w:r>
    </w:p>
    <w:p>
      <w:pPr>
        <w:spacing w:before="38"/>
        <w:ind w:left="929" w:right="867" w:firstLine="0"/>
        <w:jc w:val="center"/>
        <w:rPr>
          <w:sz w:val="24"/>
        </w:rPr>
      </w:pPr>
      <w:r>
        <w:rPr>
          <w:i/>
          <w:sz w:val="24"/>
        </w:rPr>
        <w:t>Streptococcus mutans  </w:t>
      </w:r>
      <w:r>
        <w:rPr>
          <w:sz w:val="24"/>
        </w:rPr>
        <w:t>entre grupos.</w:t>
      </w:r>
    </w:p>
    <w:p>
      <w:pPr>
        <w:pStyle w:val="BodyText"/>
        <w:rPr>
          <w:sz w:val="20"/>
        </w:rPr>
      </w:pPr>
    </w:p>
    <w:p>
      <w:pPr>
        <w:pStyle w:val="BodyText"/>
        <w:spacing w:before="5"/>
        <w:rPr>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6"/>
        <w:gridCol w:w="2257"/>
        <w:gridCol w:w="2259"/>
        <w:gridCol w:w="2257"/>
      </w:tblGrid>
      <w:tr>
        <w:trPr>
          <w:trHeight w:val="516" w:hRule="exact"/>
        </w:trPr>
        <w:tc>
          <w:tcPr>
            <w:tcW w:w="2256" w:type="dxa"/>
          </w:tcPr>
          <w:p>
            <w:pPr>
              <w:pStyle w:val="TableParagraph"/>
              <w:spacing w:before="122"/>
              <w:ind w:left="693" w:right="362"/>
              <w:rPr>
                <w:b/>
                <w:sz w:val="22"/>
              </w:rPr>
            </w:pPr>
            <w:r>
              <w:rPr>
                <w:b/>
                <w:sz w:val="22"/>
              </w:rPr>
              <w:t>Variable</w:t>
            </w:r>
          </w:p>
        </w:tc>
        <w:tc>
          <w:tcPr>
            <w:tcW w:w="2257" w:type="dxa"/>
          </w:tcPr>
          <w:p>
            <w:pPr>
              <w:pStyle w:val="TableParagraph"/>
              <w:spacing w:before="122"/>
              <w:ind w:left="430" w:right="427"/>
              <w:jc w:val="center"/>
              <w:rPr>
                <w:b/>
                <w:sz w:val="22"/>
              </w:rPr>
            </w:pPr>
            <w:r>
              <w:rPr>
                <w:b/>
                <w:sz w:val="22"/>
              </w:rPr>
              <w:t>Media</w:t>
            </w:r>
          </w:p>
        </w:tc>
        <w:tc>
          <w:tcPr>
            <w:tcW w:w="2259" w:type="dxa"/>
          </w:tcPr>
          <w:p>
            <w:pPr>
              <w:pStyle w:val="TableParagraph"/>
              <w:spacing w:line="252" w:lineRule="exact" w:before="2"/>
              <w:ind w:left="744" w:right="415" w:hanging="312"/>
              <w:rPr>
                <w:b/>
                <w:sz w:val="22"/>
              </w:rPr>
            </w:pPr>
            <w:r>
              <w:rPr>
                <w:b/>
                <w:sz w:val="22"/>
              </w:rPr>
              <w:t>Diferencia de medias</w:t>
            </w:r>
          </w:p>
        </w:tc>
        <w:tc>
          <w:tcPr>
            <w:tcW w:w="2257" w:type="dxa"/>
          </w:tcPr>
          <w:p>
            <w:pPr>
              <w:pStyle w:val="TableParagraph"/>
              <w:spacing w:before="122"/>
              <w:ind w:left="559" w:right="105"/>
              <w:rPr>
                <w:b/>
                <w:sz w:val="22"/>
              </w:rPr>
            </w:pPr>
            <w:r>
              <w:rPr>
                <w:b/>
                <w:sz w:val="22"/>
              </w:rPr>
              <w:t>Valor de  p</w:t>
            </w:r>
          </w:p>
        </w:tc>
      </w:tr>
      <w:tr>
        <w:trPr>
          <w:trHeight w:val="425" w:hRule="exact"/>
        </w:trPr>
        <w:tc>
          <w:tcPr>
            <w:tcW w:w="2256" w:type="dxa"/>
          </w:tcPr>
          <w:p>
            <w:pPr>
              <w:pStyle w:val="TableParagraph"/>
              <w:ind w:right="362"/>
              <w:rPr>
                <w:sz w:val="18"/>
              </w:rPr>
            </w:pPr>
            <w:r>
              <w:rPr>
                <w:sz w:val="18"/>
              </w:rPr>
              <w:t>UfC </w:t>
            </w:r>
            <w:r>
              <w:rPr>
                <w:i/>
                <w:sz w:val="18"/>
              </w:rPr>
              <w:t>S. mutans, </w:t>
            </w:r>
            <w:r>
              <w:rPr>
                <w:sz w:val="18"/>
              </w:rPr>
              <w:t>grupo con Fluoruro,  etapa 1</w:t>
            </w:r>
          </w:p>
        </w:tc>
        <w:tc>
          <w:tcPr>
            <w:tcW w:w="2257" w:type="dxa"/>
          </w:tcPr>
          <w:p>
            <w:pPr>
              <w:pStyle w:val="TableParagraph"/>
              <w:spacing w:before="89"/>
              <w:ind w:left="0" w:right="364"/>
              <w:jc w:val="right"/>
              <w:rPr>
                <w:sz w:val="22"/>
              </w:rPr>
            </w:pPr>
            <w:r>
              <w:rPr>
                <w:sz w:val="22"/>
              </w:rPr>
              <w:t>512250.00</w:t>
            </w:r>
          </w:p>
        </w:tc>
        <w:tc>
          <w:tcPr>
            <w:tcW w:w="2259" w:type="dxa"/>
            <w:vMerge w:val="restart"/>
          </w:tcPr>
          <w:p>
            <w:pPr>
              <w:pStyle w:val="TableParagraph"/>
              <w:spacing w:before="89"/>
              <w:ind w:left="542" w:right="415"/>
              <w:rPr>
                <w:sz w:val="22"/>
              </w:rPr>
            </w:pPr>
            <w:r>
              <w:rPr>
                <w:sz w:val="22"/>
              </w:rPr>
              <w:t>414750.000</w:t>
            </w:r>
          </w:p>
        </w:tc>
        <w:tc>
          <w:tcPr>
            <w:tcW w:w="2257" w:type="dxa"/>
            <w:vMerge w:val="restart"/>
          </w:tcPr>
          <w:p>
            <w:pPr>
              <w:pStyle w:val="TableParagraph"/>
              <w:spacing w:line="122" w:lineRule="exact"/>
              <w:ind w:left="1467" w:right="105"/>
              <w:rPr>
                <w:sz w:val="14"/>
              </w:rPr>
            </w:pPr>
            <w:r>
              <w:rPr>
                <w:sz w:val="14"/>
              </w:rPr>
              <w:t>**</w:t>
            </w:r>
          </w:p>
          <w:p>
            <w:pPr>
              <w:pStyle w:val="TableParagraph"/>
              <w:spacing w:line="220" w:lineRule="exact"/>
              <w:ind w:left="430" w:right="293"/>
              <w:jc w:val="center"/>
              <w:rPr>
                <w:sz w:val="22"/>
              </w:rPr>
            </w:pPr>
            <w:r>
              <w:rPr>
                <w:sz w:val="22"/>
              </w:rPr>
              <w:t>0.049</w:t>
            </w:r>
          </w:p>
        </w:tc>
      </w:tr>
      <w:tr>
        <w:trPr>
          <w:trHeight w:val="425" w:hRule="exact"/>
        </w:trPr>
        <w:tc>
          <w:tcPr>
            <w:tcW w:w="2256" w:type="dxa"/>
          </w:tcPr>
          <w:p>
            <w:pPr>
              <w:pStyle w:val="TableParagraph"/>
              <w:spacing w:line="242" w:lineRule="auto"/>
              <w:ind w:right="392"/>
              <w:rPr>
                <w:sz w:val="18"/>
              </w:rPr>
            </w:pPr>
            <w:r>
              <w:rPr>
                <w:sz w:val="18"/>
              </w:rPr>
              <w:t>UfC </w:t>
            </w:r>
            <w:r>
              <w:rPr>
                <w:i/>
                <w:sz w:val="18"/>
              </w:rPr>
              <w:t>S. mutans, </w:t>
            </w:r>
            <w:r>
              <w:rPr>
                <w:sz w:val="18"/>
              </w:rPr>
              <w:t>grupo con Fluoruro  etapa 2</w:t>
            </w:r>
          </w:p>
        </w:tc>
        <w:tc>
          <w:tcPr>
            <w:tcW w:w="2257" w:type="dxa"/>
          </w:tcPr>
          <w:p>
            <w:pPr>
              <w:pStyle w:val="TableParagraph"/>
              <w:spacing w:before="86"/>
              <w:ind w:left="0" w:right="364"/>
              <w:jc w:val="right"/>
              <w:rPr>
                <w:sz w:val="22"/>
              </w:rPr>
            </w:pPr>
            <w:r>
              <w:rPr>
                <w:sz w:val="22"/>
              </w:rPr>
              <w:t>97500.00</w:t>
            </w:r>
          </w:p>
        </w:tc>
        <w:tc>
          <w:tcPr>
            <w:tcW w:w="2259" w:type="dxa"/>
            <w:vMerge/>
          </w:tcPr>
          <w:p>
            <w:pPr/>
          </w:p>
        </w:tc>
        <w:tc>
          <w:tcPr>
            <w:tcW w:w="2257" w:type="dxa"/>
            <w:vMerge/>
          </w:tcPr>
          <w:p>
            <w:pPr/>
          </w:p>
        </w:tc>
      </w:tr>
      <w:tr>
        <w:trPr>
          <w:trHeight w:val="422" w:hRule="exact"/>
        </w:trPr>
        <w:tc>
          <w:tcPr>
            <w:tcW w:w="2256" w:type="dxa"/>
          </w:tcPr>
          <w:p>
            <w:pPr>
              <w:pStyle w:val="TableParagraph"/>
              <w:spacing w:line="242" w:lineRule="auto"/>
              <w:ind w:right="392"/>
              <w:rPr>
                <w:sz w:val="18"/>
              </w:rPr>
            </w:pPr>
            <w:r>
              <w:rPr>
                <w:sz w:val="18"/>
              </w:rPr>
              <w:t>UfC </w:t>
            </w:r>
            <w:r>
              <w:rPr>
                <w:i/>
                <w:sz w:val="18"/>
              </w:rPr>
              <w:t>S .mutans, </w:t>
            </w:r>
            <w:r>
              <w:rPr>
                <w:sz w:val="18"/>
              </w:rPr>
              <w:t>grupo con Fluoruro etapa 1</w:t>
            </w:r>
          </w:p>
        </w:tc>
        <w:tc>
          <w:tcPr>
            <w:tcW w:w="2257" w:type="dxa"/>
          </w:tcPr>
          <w:p>
            <w:pPr>
              <w:pStyle w:val="TableParagraph"/>
              <w:spacing w:before="86"/>
              <w:ind w:left="0" w:right="364"/>
              <w:jc w:val="right"/>
              <w:rPr>
                <w:sz w:val="22"/>
              </w:rPr>
            </w:pPr>
            <w:r>
              <w:rPr>
                <w:sz w:val="22"/>
              </w:rPr>
              <w:t>521538.46</w:t>
            </w:r>
          </w:p>
        </w:tc>
        <w:tc>
          <w:tcPr>
            <w:tcW w:w="2259" w:type="dxa"/>
            <w:vMerge w:val="restart"/>
          </w:tcPr>
          <w:p>
            <w:pPr>
              <w:pStyle w:val="TableParagraph"/>
              <w:spacing w:before="86"/>
              <w:ind w:left="542" w:right="415"/>
              <w:rPr>
                <w:sz w:val="22"/>
              </w:rPr>
            </w:pPr>
            <w:r>
              <w:rPr>
                <w:sz w:val="22"/>
              </w:rPr>
              <w:t>505384.590</w:t>
            </w:r>
          </w:p>
        </w:tc>
        <w:tc>
          <w:tcPr>
            <w:tcW w:w="2257" w:type="dxa"/>
            <w:vMerge w:val="restart"/>
          </w:tcPr>
          <w:p>
            <w:pPr>
              <w:pStyle w:val="TableParagraph"/>
              <w:spacing w:before="86"/>
              <w:ind w:left="886" w:right="105"/>
              <w:rPr>
                <w:sz w:val="22"/>
              </w:rPr>
            </w:pPr>
            <w:r>
              <w:rPr>
                <w:sz w:val="22"/>
              </w:rPr>
              <w:t>0.022**</w:t>
            </w:r>
          </w:p>
        </w:tc>
      </w:tr>
      <w:tr>
        <w:trPr>
          <w:trHeight w:val="425" w:hRule="exact"/>
        </w:trPr>
        <w:tc>
          <w:tcPr>
            <w:tcW w:w="2256" w:type="dxa"/>
          </w:tcPr>
          <w:p>
            <w:pPr>
              <w:pStyle w:val="TableParagraph"/>
              <w:spacing w:line="244" w:lineRule="auto"/>
              <w:ind w:right="392"/>
              <w:rPr>
                <w:sz w:val="18"/>
              </w:rPr>
            </w:pPr>
            <w:r>
              <w:rPr>
                <w:sz w:val="18"/>
              </w:rPr>
              <w:t>UfC </w:t>
            </w:r>
            <w:r>
              <w:rPr>
                <w:i/>
                <w:sz w:val="18"/>
              </w:rPr>
              <w:t>S. mutans, </w:t>
            </w:r>
            <w:r>
              <w:rPr>
                <w:sz w:val="18"/>
              </w:rPr>
              <w:t>grupo con Fluoruro  etapa 3</w:t>
            </w:r>
          </w:p>
        </w:tc>
        <w:tc>
          <w:tcPr>
            <w:tcW w:w="2257" w:type="dxa"/>
          </w:tcPr>
          <w:p>
            <w:pPr>
              <w:pStyle w:val="TableParagraph"/>
              <w:spacing w:before="86"/>
              <w:ind w:left="0" w:right="364"/>
              <w:jc w:val="right"/>
              <w:rPr>
                <w:sz w:val="22"/>
              </w:rPr>
            </w:pPr>
            <w:r>
              <w:rPr>
                <w:sz w:val="22"/>
              </w:rPr>
              <w:t>16153.87</w:t>
            </w:r>
          </w:p>
        </w:tc>
        <w:tc>
          <w:tcPr>
            <w:tcW w:w="2259" w:type="dxa"/>
            <w:vMerge/>
          </w:tcPr>
          <w:p>
            <w:pPr/>
          </w:p>
        </w:tc>
        <w:tc>
          <w:tcPr>
            <w:tcW w:w="2257" w:type="dxa"/>
            <w:vMerge/>
          </w:tcPr>
          <w:p>
            <w:pPr/>
          </w:p>
        </w:tc>
      </w:tr>
      <w:tr>
        <w:trPr>
          <w:trHeight w:val="425" w:hRule="exact"/>
        </w:trPr>
        <w:tc>
          <w:tcPr>
            <w:tcW w:w="2256" w:type="dxa"/>
          </w:tcPr>
          <w:p>
            <w:pPr>
              <w:pStyle w:val="TableParagraph"/>
              <w:spacing w:line="242" w:lineRule="auto"/>
              <w:ind w:right="392"/>
              <w:rPr>
                <w:sz w:val="18"/>
              </w:rPr>
            </w:pPr>
            <w:r>
              <w:rPr>
                <w:sz w:val="18"/>
              </w:rPr>
              <w:t>UfC </w:t>
            </w:r>
            <w:r>
              <w:rPr>
                <w:i/>
                <w:sz w:val="18"/>
              </w:rPr>
              <w:t>S. mutans, </w:t>
            </w:r>
            <w:r>
              <w:rPr>
                <w:sz w:val="18"/>
              </w:rPr>
              <w:t>grupo con Fluoruro  etapa 2</w:t>
            </w:r>
          </w:p>
        </w:tc>
        <w:tc>
          <w:tcPr>
            <w:tcW w:w="2257" w:type="dxa"/>
          </w:tcPr>
          <w:p>
            <w:pPr>
              <w:pStyle w:val="TableParagraph"/>
              <w:spacing w:before="87"/>
              <w:ind w:left="0" w:right="364"/>
              <w:jc w:val="right"/>
              <w:rPr>
                <w:sz w:val="22"/>
              </w:rPr>
            </w:pPr>
            <w:r>
              <w:rPr>
                <w:sz w:val="22"/>
              </w:rPr>
              <w:t>97500.00</w:t>
            </w:r>
          </w:p>
        </w:tc>
        <w:tc>
          <w:tcPr>
            <w:tcW w:w="2259" w:type="dxa"/>
            <w:vMerge w:val="restart"/>
          </w:tcPr>
          <w:p>
            <w:pPr>
              <w:pStyle w:val="TableParagraph"/>
              <w:spacing w:before="87"/>
              <w:ind w:left="602" w:right="415"/>
              <w:rPr>
                <w:sz w:val="22"/>
              </w:rPr>
            </w:pPr>
            <w:r>
              <w:rPr>
                <w:sz w:val="22"/>
              </w:rPr>
              <w:t>81749.975</w:t>
            </w:r>
          </w:p>
        </w:tc>
        <w:tc>
          <w:tcPr>
            <w:tcW w:w="2257" w:type="dxa"/>
            <w:vMerge w:val="restart"/>
          </w:tcPr>
          <w:p>
            <w:pPr>
              <w:pStyle w:val="TableParagraph"/>
              <w:spacing w:before="87"/>
              <w:ind w:left="430" w:right="367"/>
              <w:jc w:val="center"/>
              <w:rPr>
                <w:sz w:val="22"/>
              </w:rPr>
            </w:pPr>
            <w:r>
              <w:rPr>
                <w:sz w:val="22"/>
              </w:rPr>
              <w:t>0.116</w:t>
            </w:r>
          </w:p>
        </w:tc>
      </w:tr>
      <w:tr>
        <w:trPr>
          <w:trHeight w:val="422" w:hRule="exact"/>
        </w:trPr>
        <w:tc>
          <w:tcPr>
            <w:tcW w:w="2256" w:type="dxa"/>
          </w:tcPr>
          <w:p>
            <w:pPr>
              <w:pStyle w:val="TableParagraph"/>
              <w:spacing w:line="242" w:lineRule="auto"/>
              <w:ind w:right="392"/>
              <w:rPr>
                <w:sz w:val="18"/>
              </w:rPr>
            </w:pPr>
            <w:r>
              <w:rPr>
                <w:sz w:val="18"/>
              </w:rPr>
              <w:t>UfC </w:t>
            </w:r>
            <w:r>
              <w:rPr>
                <w:i/>
                <w:sz w:val="18"/>
              </w:rPr>
              <w:t>S .mutans, </w:t>
            </w:r>
            <w:r>
              <w:rPr>
                <w:sz w:val="18"/>
              </w:rPr>
              <w:t>grupo con Fluoruro etapa 3</w:t>
            </w:r>
          </w:p>
        </w:tc>
        <w:tc>
          <w:tcPr>
            <w:tcW w:w="2257" w:type="dxa"/>
          </w:tcPr>
          <w:p>
            <w:pPr>
              <w:pStyle w:val="TableParagraph"/>
              <w:spacing w:before="86"/>
              <w:ind w:left="0" w:right="364"/>
              <w:jc w:val="right"/>
              <w:rPr>
                <w:sz w:val="22"/>
              </w:rPr>
            </w:pPr>
            <w:r>
              <w:rPr>
                <w:sz w:val="22"/>
              </w:rPr>
              <w:t>15750.03</w:t>
            </w:r>
          </w:p>
        </w:tc>
        <w:tc>
          <w:tcPr>
            <w:tcW w:w="2259" w:type="dxa"/>
            <w:vMerge/>
          </w:tcPr>
          <w:p>
            <w:pPr/>
          </w:p>
        </w:tc>
        <w:tc>
          <w:tcPr>
            <w:tcW w:w="2257" w:type="dxa"/>
            <w:vMerge/>
          </w:tcPr>
          <w:p>
            <w:pPr/>
          </w:p>
        </w:tc>
      </w:tr>
      <w:tr>
        <w:trPr>
          <w:trHeight w:val="631" w:hRule="exact"/>
        </w:trPr>
        <w:tc>
          <w:tcPr>
            <w:tcW w:w="2256" w:type="dxa"/>
          </w:tcPr>
          <w:p>
            <w:pPr>
              <w:pStyle w:val="TableParagraph"/>
              <w:spacing w:line="242" w:lineRule="auto"/>
              <w:ind w:right="362"/>
              <w:rPr>
                <w:sz w:val="18"/>
              </w:rPr>
            </w:pPr>
            <w:r>
              <w:rPr>
                <w:sz w:val="18"/>
              </w:rPr>
              <w:t>UfC </w:t>
            </w:r>
            <w:r>
              <w:rPr>
                <w:i/>
                <w:sz w:val="18"/>
              </w:rPr>
              <w:t>S. mutans, </w:t>
            </w:r>
            <w:r>
              <w:rPr>
                <w:sz w:val="18"/>
              </w:rPr>
              <w:t>grupo con Fluoruro y clorhexidina  etapa 1</w:t>
            </w:r>
          </w:p>
        </w:tc>
        <w:tc>
          <w:tcPr>
            <w:tcW w:w="2257" w:type="dxa"/>
          </w:tcPr>
          <w:p>
            <w:pPr>
              <w:pStyle w:val="TableParagraph"/>
              <w:spacing w:before="86"/>
              <w:ind w:left="0" w:right="364"/>
              <w:jc w:val="right"/>
              <w:rPr>
                <w:sz w:val="22"/>
              </w:rPr>
            </w:pPr>
            <w:r>
              <w:rPr>
                <w:sz w:val="22"/>
              </w:rPr>
              <w:t>382195.12</w:t>
            </w:r>
          </w:p>
        </w:tc>
        <w:tc>
          <w:tcPr>
            <w:tcW w:w="2259" w:type="dxa"/>
            <w:vMerge w:val="restart"/>
          </w:tcPr>
          <w:p>
            <w:pPr>
              <w:pStyle w:val="TableParagraph"/>
              <w:spacing w:before="86"/>
              <w:ind w:left="542" w:right="415"/>
              <w:rPr>
                <w:sz w:val="22"/>
              </w:rPr>
            </w:pPr>
            <w:r>
              <w:rPr>
                <w:sz w:val="22"/>
              </w:rPr>
              <w:t>354390.244</w:t>
            </w:r>
          </w:p>
        </w:tc>
        <w:tc>
          <w:tcPr>
            <w:tcW w:w="2257" w:type="dxa"/>
            <w:vMerge w:val="restart"/>
          </w:tcPr>
          <w:p>
            <w:pPr>
              <w:pStyle w:val="TableParagraph"/>
              <w:spacing w:before="86"/>
              <w:ind w:left="905" w:right="105"/>
              <w:rPr>
                <w:sz w:val="22"/>
              </w:rPr>
            </w:pPr>
            <w:r>
              <w:rPr>
                <w:sz w:val="22"/>
              </w:rPr>
              <w:t>0.000***</w:t>
            </w:r>
          </w:p>
        </w:tc>
      </w:tr>
      <w:tr>
        <w:trPr>
          <w:trHeight w:val="631" w:hRule="exact"/>
        </w:trPr>
        <w:tc>
          <w:tcPr>
            <w:tcW w:w="2256" w:type="dxa"/>
          </w:tcPr>
          <w:p>
            <w:pPr>
              <w:pStyle w:val="TableParagraph"/>
              <w:spacing w:line="242" w:lineRule="auto"/>
              <w:ind w:right="392"/>
              <w:rPr>
                <w:sz w:val="18"/>
              </w:rPr>
            </w:pPr>
            <w:r>
              <w:rPr>
                <w:sz w:val="18"/>
              </w:rPr>
              <w:t>UfC </w:t>
            </w:r>
            <w:r>
              <w:rPr>
                <w:i/>
                <w:sz w:val="18"/>
              </w:rPr>
              <w:t>S. Mutans, </w:t>
            </w:r>
            <w:r>
              <w:rPr>
                <w:sz w:val="18"/>
              </w:rPr>
              <w:t>grupo con Fluoruro y clorhexidina etapa 2</w:t>
            </w:r>
          </w:p>
        </w:tc>
        <w:tc>
          <w:tcPr>
            <w:tcW w:w="2257" w:type="dxa"/>
          </w:tcPr>
          <w:p>
            <w:pPr>
              <w:pStyle w:val="TableParagraph"/>
              <w:spacing w:before="86"/>
              <w:ind w:left="0" w:right="364"/>
              <w:jc w:val="right"/>
              <w:rPr>
                <w:sz w:val="22"/>
              </w:rPr>
            </w:pPr>
            <w:r>
              <w:rPr>
                <w:sz w:val="22"/>
              </w:rPr>
              <w:t>27804.88</w:t>
            </w:r>
          </w:p>
        </w:tc>
        <w:tc>
          <w:tcPr>
            <w:tcW w:w="2259" w:type="dxa"/>
            <w:vMerge/>
          </w:tcPr>
          <w:p>
            <w:pPr/>
          </w:p>
        </w:tc>
        <w:tc>
          <w:tcPr>
            <w:tcW w:w="2257" w:type="dxa"/>
            <w:vMerge/>
          </w:tcPr>
          <w:p>
            <w:pPr/>
          </w:p>
        </w:tc>
      </w:tr>
      <w:tr>
        <w:trPr>
          <w:trHeight w:val="631" w:hRule="exact"/>
        </w:trPr>
        <w:tc>
          <w:tcPr>
            <w:tcW w:w="2256" w:type="dxa"/>
          </w:tcPr>
          <w:p>
            <w:pPr>
              <w:pStyle w:val="TableParagraph"/>
              <w:spacing w:line="242" w:lineRule="auto"/>
              <w:ind w:right="362"/>
              <w:rPr>
                <w:sz w:val="18"/>
              </w:rPr>
            </w:pPr>
            <w:r>
              <w:rPr>
                <w:sz w:val="18"/>
              </w:rPr>
              <w:t>UfC </w:t>
            </w:r>
            <w:r>
              <w:rPr>
                <w:i/>
                <w:sz w:val="18"/>
              </w:rPr>
              <w:t>S. mutans, </w:t>
            </w:r>
            <w:r>
              <w:rPr>
                <w:sz w:val="18"/>
              </w:rPr>
              <w:t>grupo con Fluoruro y clorhexidina  etapa 1</w:t>
            </w:r>
          </w:p>
        </w:tc>
        <w:tc>
          <w:tcPr>
            <w:tcW w:w="2257" w:type="dxa"/>
          </w:tcPr>
          <w:p>
            <w:pPr>
              <w:pStyle w:val="TableParagraph"/>
              <w:spacing w:before="86"/>
              <w:ind w:left="0" w:right="304"/>
              <w:jc w:val="right"/>
              <w:rPr>
                <w:sz w:val="22"/>
              </w:rPr>
            </w:pPr>
            <w:r>
              <w:rPr>
                <w:sz w:val="22"/>
              </w:rPr>
              <w:t>556000.00</w:t>
            </w:r>
          </w:p>
        </w:tc>
        <w:tc>
          <w:tcPr>
            <w:tcW w:w="2259" w:type="dxa"/>
            <w:vMerge w:val="restart"/>
          </w:tcPr>
          <w:p>
            <w:pPr>
              <w:pStyle w:val="TableParagraph"/>
              <w:spacing w:before="86"/>
              <w:ind w:left="542" w:right="415"/>
              <w:rPr>
                <w:sz w:val="22"/>
              </w:rPr>
            </w:pPr>
            <w:r>
              <w:rPr>
                <w:sz w:val="22"/>
              </w:rPr>
              <w:t>503500.000</w:t>
            </w:r>
          </w:p>
        </w:tc>
        <w:tc>
          <w:tcPr>
            <w:tcW w:w="2257" w:type="dxa"/>
            <w:vMerge w:val="restart"/>
          </w:tcPr>
          <w:p>
            <w:pPr>
              <w:pStyle w:val="TableParagraph"/>
              <w:spacing w:before="86"/>
              <w:ind w:left="845" w:right="105"/>
              <w:rPr>
                <w:sz w:val="22"/>
              </w:rPr>
            </w:pPr>
            <w:r>
              <w:rPr>
                <w:sz w:val="22"/>
              </w:rPr>
              <w:t>0.004***</w:t>
            </w:r>
          </w:p>
        </w:tc>
      </w:tr>
      <w:tr>
        <w:trPr>
          <w:trHeight w:val="631" w:hRule="exact"/>
        </w:trPr>
        <w:tc>
          <w:tcPr>
            <w:tcW w:w="2256" w:type="dxa"/>
          </w:tcPr>
          <w:p>
            <w:pPr>
              <w:pStyle w:val="TableParagraph"/>
              <w:spacing w:line="242" w:lineRule="auto"/>
              <w:ind w:right="392"/>
              <w:rPr>
                <w:sz w:val="18"/>
              </w:rPr>
            </w:pPr>
            <w:r>
              <w:rPr>
                <w:sz w:val="18"/>
              </w:rPr>
              <w:t>UfC </w:t>
            </w:r>
            <w:r>
              <w:rPr>
                <w:i/>
                <w:sz w:val="18"/>
              </w:rPr>
              <w:t>S. mutans, </w:t>
            </w:r>
            <w:r>
              <w:rPr>
                <w:sz w:val="18"/>
              </w:rPr>
              <w:t>grupo con Fluoruro y clorhexidina etapa 3</w:t>
            </w:r>
          </w:p>
        </w:tc>
        <w:tc>
          <w:tcPr>
            <w:tcW w:w="2257" w:type="dxa"/>
          </w:tcPr>
          <w:p>
            <w:pPr>
              <w:pStyle w:val="TableParagraph"/>
              <w:spacing w:before="86"/>
              <w:ind w:left="0" w:right="304"/>
              <w:jc w:val="right"/>
              <w:rPr>
                <w:sz w:val="22"/>
              </w:rPr>
            </w:pPr>
            <w:r>
              <w:rPr>
                <w:sz w:val="22"/>
              </w:rPr>
              <w:t>52500.00</w:t>
            </w:r>
          </w:p>
        </w:tc>
        <w:tc>
          <w:tcPr>
            <w:tcW w:w="2259" w:type="dxa"/>
            <w:vMerge/>
          </w:tcPr>
          <w:p>
            <w:pPr/>
          </w:p>
        </w:tc>
        <w:tc>
          <w:tcPr>
            <w:tcW w:w="2257" w:type="dxa"/>
            <w:vMerge/>
          </w:tcPr>
          <w:p>
            <w:pPr/>
          </w:p>
        </w:tc>
      </w:tr>
      <w:tr>
        <w:trPr>
          <w:trHeight w:val="632" w:hRule="exact"/>
        </w:trPr>
        <w:tc>
          <w:tcPr>
            <w:tcW w:w="2256" w:type="dxa"/>
          </w:tcPr>
          <w:p>
            <w:pPr>
              <w:pStyle w:val="TableParagraph"/>
              <w:ind w:right="392"/>
              <w:rPr>
                <w:sz w:val="18"/>
              </w:rPr>
            </w:pPr>
            <w:r>
              <w:rPr>
                <w:sz w:val="18"/>
              </w:rPr>
              <w:t>UfC </w:t>
            </w:r>
            <w:r>
              <w:rPr>
                <w:i/>
                <w:sz w:val="18"/>
              </w:rPr>
              <w:t>S. mutans, </w:t>
            </w:r>
            <w:r>
              <w:rPr>
                <w:sz w:val="18"/>
              </w:rPr>
              <w:t>grupo con Fluoruro y clorhexidina  etapa 2</w:t>
            </w:r>
          </w:p>
        </w:tc>
        <w:tc>
          <w:tcPr>
            <w:tcW w:w="2257" w:type="dxa"/>
          </w:tcPr>
          <w:p>
            <w:pPr>
              <w:pStyle w:val="TableParagraph"/>
              <w:spacing w:before="87"/>
              <w:ind w:left="0" w:right="304"/>
              <w:jc w:val="right"/>
              <w:rPr>
                <w:sz w:val="22"/>
              </w:rPr>
            </w:pPr>
            <w:r>
              <w:rPr>
                <w:sz w:val="22"/>
              </w:rPr>
              <w:t>53947.37</w:t>
            </w:r>
          </w:p>
        </w:tc>
        <w:tc>
          <w:tcPr>
            <w:tcW w:w="2259" w:type="dxa"/>
            <w:vMerge w:val="restart"/>
          </w:tcPr>
          <w:p>
            <w:pPr>
              <w:pStyle w:val="TableParagraph"/>
              <w:spacing w:before="87"/>
              <w:ind w:left="566" w:right="415"/>
              <w:rPr>
                <w:sz w:val="22"/>
              </w:rPr>
            </w:pPr>
            <w:r>
              <w:rPr>
                <w:sz w:val="22"/>
              </w:rPr>
              <w:t>-2368.4210</w:t>
            </w:r>
          </w:p>
        </w:tc>
        <w:tc>
          <w:tcPr>
            <w:tcW w:w="2257" w:type="dxa"/>
            <w:vMerge w:val="restart"/>
          </w:tcPr>
          <w:p>
            <w:pPr>
              <w:pStyle w:val="TableParagraph"/>
              <w:ind w:left="0"/>
              <w:rPr>
                <w:sz w:val="22"/>
              </w:rPr>
            </w:pPr>
          </w:p>
          <w:p>
            <w:pPr>
              <w:pStyle w:val="TableParagraph"/>
              <w:spacing w:before="11"/>
              <w:ind w:left="0"/>
              <w:rPr>
                <w:sz w:val="24"/>
              </w:rPr>
            </w:pPr>
          </w:p>
          <w:p>
            <w:pPr>
              <w:pStyle w:val="TableParagraph"/>
              <w:ind w:left="430" w:right="303"/>
              <w:jc w:val="center"/>
              <w:rPr>
                <w:sz w:val="22"/>
              </w:rPr>
            </w:pPr>
            <w:r>
              <w:rPr>
                <w:sz w:val="22"/>
              </w:rPr>
              <w:t>0.952</w:t>
            </w:r>
          </w:p>
        </w:tc>
      </w:tr>
      <w:tr>
        <w:trPr>
          <w:trHeight w:val="631" w:hRule="exact"/>
        </w:trPr>
        <w:tc>
          <w:tcPr>
            <w:tcW w:w="2256" w:type="dxa"/>
          </w:tcPr>
          <w:p>
            <w:pPr>
              <w:pStyle w:val="TableParagraph"/>
              <w:ind w:right="392"/>
              <w:rPr>
                <w:sz w:val="18"/>
              </w:rPr>
            </w:pPr>
            <w:r>
              <w:rPr>
                <w:sz w:val="18"/>
              </w:rPr>
              <w:t>UfC </w:t>
            </w:r>
            <w:r>
              <w:rPr>
                <w:i/>
                <w:sz w:val="18"/>
              </w:rPr>
              <w:t>S. mutans, </w:t>
            </w:r>
            <w:r>
              <w:rPr>
                <w:sz w:val="18"/>
              </w:rPr>
              <w:t>grupo con Fluoruro y clorhexidina etapa 3</w:t>
            </w:r>
          </w:p>
        </w:tc>
        <w:tc>
          <w:tcPr>
            <w:tcW w:w="2257" w:type="dxa"/>
          </w:tcPr>
          <w:p>
            <w:pPr>
              <w:pStyle w:val="TableParagraph"/>
              <w:spacing w:before="86"/>
              <w:ind w:left="0" w:right="304"/>
              <w:jc w:val="right"/>
              <w:rPr>
                <w:sz w:val="22"/>
              </w:rPr>
            </w:pPr>
            <w:r>
              <w:rPr>
                <w:sz w:val="22"/>
              </w:rPr>
              <w:t>56315.79</w:t>
            </w:r>
          </w:p>
        </w:tc>
        <w:tc>
          <w:tcPr>
            <w:tcW w:w="2259" w:type="dxa"/>
            <w:vMerge/>
          </w:tcPr>
          <w:p>
            <w:pPr/>
          </w:p>
        </w:tc>
        <w:tc>
          <w:tcPr>
            <w:tcW w:w="2257" w:type="dxa"/>
            <w:vMerge/>
          </w:tcPr>
          <w:p>
            <w:pPr/>
          </w:p>
        </w:tc>
      </w:tr>
      <w:tr>
        <w:trPr>
          <w:trHeight w:val="631" w:hRule="exact"/>
        </w:trPr>
        <w:tc>
          <w:tcPr>
            <w:tcW w:w="2256" w:type="dxa"/>
          </w:tcPr>
          <w:p>
            <w:pPr>
              <w:pStyle w:val="TableParagraph"/>
              <w:ind w:right="442"/>
              <w:rPr>
                <w:sz w:val="18"/>
              </w:rPr>
            </w:pPr>
            <w:r>
              <w:rPr>
                <w:sz w:val="18"/>
              </w:rPr>
              <w:t>UfC </w:t>
            </w:r>
            <w:r>
              <w:rPr>
                <w:i/>
                <w:sz w:val="18"/>
              </w:rPr>
              <w:t>S. mutans </w:t>
            </w:r>
            <w:r>
              <w:rPr>
                <w:sz w:val="18"/>
              </w:rPr>
              <w:t>grupo con clorhexidina etapa 1</w:t>
            </w:r>
          </w:p>
        </w:tc>
        <w:tc>
          <w:tcPr>
            <w:tcW w:w="2257" w:type="dxa"/>
          </w:tcPr>
          <w:p>
            <w:pPr>
              <w:pStyle w:val="TableParagraph"/>
              <w:spacing w:before="86"/>
              <w:ind w:left="0" w:right="304"/>
              <w:jc w:val="right"/>
              <w:rPr>
                <w:sz w:val="22"/>
              </w:rPr>
            </w:pPr>
            <w:r>
              <w:rPr>
                <w:sz w:val="22"/>
              </w:rPr>
              <w:t>498611.11</w:t>
            </w:r>
          </w:p>
        </w:tc>
        <w:tc>
          <w:tcPr>
            <w:tcW w:w="2259" w:type="dxa"/>
            <w:vMerge w:val="restart"/>
          </w:tcPr>
          <w:p>
            <w:pPr>
              <w:pStyle w:val="TableParagraph"/>
              <w:spacing w:before="86"/>
              <w:ind w:left="542" w:right="415"/>
              <w:rPr>
                <w:sz w:val="22"/>
              </w:rPr>
            </w:pPr>
            <w:r>
              <w:rPr>
                <w:sz w:val="22"/>
              </w:rPr>
              <w:t>441388.889</w:t>
            </w:r>
          </w:p>
        </w:tc>
        <w:tc>
          <w:tcPr>
            <w:tcW w:w="2257" w:type="dxa"/>
            <w:vMerge w:val="restart"/>
          </w:tcPr>
          <w:p>
            <w:pPr>
              <w:pStyle w:val="TableParagraph"/>
              <w:spacing w:before="86"/>
              <w:ind w:left="874" w:right="105"/>
              <w:rPr>
                <w:sz w:val="22"/>
              </w:rPr>
            </w:pPr>
            <w:r>
              <w:rPr>
                <w:sz w:val="22"/>
              </w:rPr>
              <w:t>0.005***</w:t>
            </w:r>
          </w:p>
        </w:tc>
      </w:tr>
      <w:tr>
        <w:trPr>
          <w:trHeight w:val="629" w:hRule="exact"/>
        </w:trPr>
        <w:tc>
          <w:tcPr>
            <w:tcW w:w="2256" w:type="dxa"/>
          </w:tcPr>
          <w:p>
            <w:pPr>
              <w:pStyle w:val="TableParagraph"/>
              <w:ind w:right="409"/>
              <w:rPr>
                <w:sz w:val="18"/>
              </w:rPr>
            </w:pPr>
            <w:r>
              <w:rPr>
                <w:sz w:val="18"/>
              </w:rPr>
              <w:t>UfC </w:t>
            </w:r>
            <w:r>
              <w:rPr>
                <w:i/>
                <w:sz w:val="18"/>
              </w:rPr>
              <w:t>S .mutans </w:t>
            </w:r>
            <w:r>
              <w:rPr>
                <w:sz w:val="18"/>
              </w:rPr>
              <w:t>grupo con clorhexidina etapa 2</w:t>
            </w:r>
          </w:p>
        </w:tc>
        <w:tc>
          <w:tcPr>
            <w:tcW w:w="2257" w:type="dxa"/>
          </w:tcPr>
          <w:p>
            <w:pPr>
              <w:pStyle w:val="TableParagraph"/>
              <w:spacing w:before="48"/>
              <w:ind w:left="0" w:right="304"/>
              <w:jc w:val="right"/>
              <w:rPr>
                <w:sz w:val="22"/>
              </w:rPr>
            </w:pPr>
            <w:r>
              <w:rPr>
                <w:sz w:val="22"/>
              </w:rPr>
              <w:t>57222.22</w:t>
            </w:r>
          </w:p>
        </w:tc>
        <w:tc>
          <w:tcPr>
            <w:tcW w:w="2259" w:type="dxa"/>
            <w:vMerge/>
          </w:tcPr>
          <w:p>
            <w:pPr/>
          </w:p>
        </w:tc>
        <w:tc>
          <w:tcPr>
            <w:tcW w:w="2257" w:type="dxa"/>
            <w:vMerge/>
          </w:tcPr>
          <w:p>
            <w:pPr/>
          </w:p>
        </w:tc>
      </w:tr>
      <w:tr>
        <w:trPr>
          <w:trHeight w:val="631" w:hRule="exact"/>
        </w:trPr>
        <w:tc>
          <w:tcPr>
            <w:tcW w:w="2256" w:type="dxa"/>
          </w:tcPr>
          <w:p>
            <w:pPr>
              <w:pStyle w:val="TableParagraph"/>
              <w:ind w:right="442"/>
              <w:rPr>
                <w:sz w:val="18"/>
              </w:rPr>
            </w:pPr>
            <w:r>
              <w:rPr>
                <w:sz w:val="18"/>
              </w:rPr>
              <w:t>UfC </w:t>
            </w:r>
            <w:r>
              <w:rPr>
                <w:i/>
                <w:sz w:val="18"/>
              </w:rPr>
              <w:t>S .mutans </w:t>
            </w:r>
            <w:r>
              <w:rPr>
                <w:sz w:val="18"/>
              </w:rPr>
              <w:t>grupo clorhexidina</w:t>
            </w:r>
          </w:p>
          <w:p>
            <w:pPr>
              <w:pStyle w:val="TableParagraph"/>
              <w:spacing w:line="206" w:lineRule="exact"/>
              <w:ind w:right="362"/>
              <w:rPr>
                <w:sz w:val="18"/>
              </w:rPr>
            </w:pPr>
            <w:r>
              <w:rPr>
                <w:sz w:val="18"/>
              </w:rPr>
              <w:t>etapa 1</w:t>
            </w:r>
          </w:p>
        </w:tc>
        <w:tc>
          <w:tcPr>
            <w:tcW w:w="2257" w:type="dxa"/>
          </w:tcPr>
          <w:p>
            <w:pPr>
              <w:pStyle w:val="TableParagraph"/>
              <w:spacing w:before="89"/>
              <w:ind w:left="0" w:right="242"/>
              <w:jc w:val="right"/>
              <w:rPr>
                <w:sz w:val="22"/>
              </w:rPr>
            </w:pPr>
            <w:r>
              <w:rPr>
                <w:sz w:val="22"/>
              </w:rPr>
              <w:t>556388.89</w:t>
            </w:r>
          </w:p>
        </w:tc>
        <w:tc>
          <w:tcPr>
            <w:tcW w:w="2259" w:type="dxa"/>
            <w:vMerge w:val="restart"/>
          </w:tcPr>
          <w:p>
            <w:pPr>
              <w:pStyle w:val="TableParagraph"/>
              <w:spacing w:before="89"/>
              <w:ind w:left="542" w:right="415"/>
              <w:rPr>
                <w:sz w:val="22"/>
              </w:rPr>
            </w:pPr>
            <w:r>
              <w:rPr>
                <w:sz w:val="22"/>
              </w:rPr>
              <w:t>543888.889</w:t>
            </w:r>
          </w:p>
        </w:tc>
        <w:tc>
          <w:tcPr>
            <w:tcW w:w="2257" w:type="dxa"/>
            <w:vMerge w:val="restart"/>
          </w:tcPr>
          <w:p>
            <w:pPr>
              <w:pStyle w:val="TableParagraph"/>
              <w:spacing w:before="89"/>
              <w:ind w:left="905" w:right="105"/>
              <w:rPr>
                <w:sz w:val="22"/>
              </w:rPr>
            </w:pPr>
            <w:r>
              <w:rPr>
                <w:sz w:val="22"/>
              </w:rPr>
              <w:t>0.001***</w:t>
            </w:r>
          </w:p>
        </w:tc>
      </w:tr>
      <w:tr>
        <w:trPr>
          <w:trHeight w:val="632" w:hRule="exact"/>
        </w:trPr>
        <w:tc>
          <w:tcPr>
            <w:tcW w:w="2256" w:type="dxa"/>
          </w:tcPr>
          <w:p>
            <w:pPr>
              <w:pStyle w:val="TableParagraph"/>
              <w:spacing w:line="244" w:lineRule="auto"/>
              <w:ind w:right="362"/>
              <w:rPr>
                <w:sz w:val="18"/>
              </w:rPr>
            </w:pPr>
            <w:r>
              <w:rPr>
                <w:sz w:val="18"/>
              </w:rPr>
              <w:t>UfC </w:t>
            </w:r>
            <w:r>
              <w:rPr>
                <w:i/>
                <w:sz w:val="18"/>
              </w:rPr>
              <w:t>S. mutans </w:t>
            </w:r>
            <w:r>
              <w:rPr>
                <w:sz w:val="18"/>
              </w:rPr>
              <w:t>grupo clorhexidina</w:t>
            </w:r>
          </w:p>
          <w:p>
            <w:pPr>
              <w:pStyle w:val="TableParagraph"/>
              <w:spacing w:line="202" w:lineRule="exact"/>
              <w:ind w:left="153" w:right="362"/>
              <w:rPr>
                <w:sz w:val="18"/>
              </w:rPr>
            </w:pPr>
            <w:r>
              <w:rPr>
                <w:sz w:val="18"/>
              </w:rPr>
              <w:t>etapa 3</w:t>
            </w:r>
          </w:p>
        </w:tc>
        <w:tc>
          <w:tcPr>
            <w:tcW w:w="2257" w:type="dxa"/>
          </w:tcPr>
          <w:p>
            <w:pPr>
              <w:pStyle w:val="TableParagraph"/>
              <w:spacing w:before="87"/>
              <w:ind w:left="0" w:right="242"/>
              <w:jc w:val="right"/>
              <w:rPr>
                <w:sz w:val="22"/>
              </w:rPr>
            </w:pPr>
            <w:r>
              <w:rPr>
                <w:sz w:val="22"/>
              </w:rPr>
              <w:t>12500.00</w:t>
            </w:r>
          </w:p>
        </w:tc>
        <w:tc>
          <w:tcPr>
            <w:tcW w:w="2259" w:type="dxa"/>
            <w:vMerge/>
          </w:tcPr>
          <w:p>
            <w:pPr/>
          </w:p>
        </w:tc>
        <w:tc>
          <w:tcPr>
            <w:tcW w:w="2257" w:type="dxa"/>
            <w:vMerge/>
          </w:tcPr>
          <w:p>
            <w:pPr/>
          </w:p>
        </w:tc>
      </w:tr>
      <w:tr>
        <w:trPr>
          <w:trHeight w:val="631" w:hRule="exact"/>
        </w:trPr>
        <w:tc>
          <w:tcPr>
            <w:tcW w:w="2256" w:type="dxa"/>
          </w:tcPr>
          <w:p>
            <w:pPr>
              <w:pStyle w:val="TableParagraph"/>
              <w:spacing w:line="244" w:lineRule="auto"/>
              <w:ind w:right="362"/>
              <w:rPr>
                <w:sz w:val="18"/>
              </w:rPr>
            </w:pPr>
            <w:r>
              <w:rPr>
                <w:sz w:val="18"/>
              </w:rPr>
              <w:t>UfC </w:t>
            </w:r>
            <w:r>
              <w:rPr>
                <w:i/>
                <w:sz w:val="18"/>
              </w:rPr>
              <w:t>S. mutans </w:t>
            </w:r>
            <w:r>
              <w:rPr>
                <w:sz w:val="18"/>
              </w:rPr>
              <w:t>grupo clorhexidina</w:t>
            </w:r>
          </w:p>
          <w:p>
            <w:pPr>
              <w:pStyle w:val="TableParagraph"/>
              <w:spacing w:line="202" w:lineRule="exact"/>
              <w:ind w:right="362"/>
              <w:rPr>
                <w:sz w:val="18"/>
              </w:rPr>
            </w:pPr>
            <w:r>
              <w:rPr>
                <w:sz w:val="18"/>
              </w:rPr>
              <w:t>Etapa 2</w:t>
            </w:r>
          </w:p>
        </w:tc>
        <w:tc>
          <w:tcPr>
            <w:tcW w:w="2257" w:type="dxa"/>
          </w:tcPr>
          <w:p>
            <w:pPr>
              <w:pStyle w:val="TableParagraph"/>
              <w:spacing w:before="86"/>
              <w:ind w:left="0" w:right="242"/>
              <w:jc w:val="right"/>
              <w:rPr>
                <w:sz w:val="22"/>
              </w:rPr>
            </w:pPr>
            <w:r>
              <w:rPr>
                <w:sz w:val="22"/>
              </w:rPr>
              <w:t>54210.53</w:t>
            </w:r>
          </w:p>
        </w:tc>
        <w:tc>
          <w:tcPr>
            <w:tcW w:w="2259" w:type="dxa"/>
            <w:vMerge w:val="restart"/>
          </w:tcPr>
          <w:p>
            <w:pPr>
              <w:pStyle w:val="TableParagraph"/>
              <w:spacing w:before="86"/>
              <w:ind w:left="602" w:right="415"/>
              <w:rPr>
                <w:sz w:val="22"/>
              </w:rPr>
            </w:pPr>
            <w:r>
              <w:rPr>
                <w:sz w:val="22"/>
              </w:rPr>
              <w:t>42631.579</w:t>
            </w:r>
          </w:p>
        </w:tc>
        <w:tc>
          <w:tcPr>
            <w:tcW w:w="2257" w:type="dxa"/>
            <w:vMerge w:val="restart"/>
          </w:tcPr>
          <w:p>
            <w:pPr>
              <w:pStyle w:val="TableParagraph"/>
              <w:ind w:left="0"/>
              <w:rPr>
                <w:sz w:val="22"/>
              </w:rPr>
            </w:pPr>
          </w:p>
          <w:p>
            <w:pPr>
              <w:pStyle w:val="TableParagraph"/>
              <w:spacing w:before="2"/>
              <w:ind w:left="0"/>
              <w:rPr>
                <w:sz w:val="25"/>
              </w:rPr>
            </w:pPr>
          </w:p>
          <w:p>
            <w:pPr>
              <w:pStyle w:val="TableParagraph"/>
              <w:ind w:left="428" w:right="427"/>
              <w:jc w:val="center"/>
              <w:rPr>
                <w:sz w:val="22"/>
              </w:rPr>
            </w:pPr>
            <w:r>
              <w:rPr>
                <w:sz w:val="22"/>
              </w:rPr>
              <w:t>0.161</w:t>
            </w:r>
          </w:p>
        </w:tc>
      </w:tr>
      <w:tr>
        <w:trPr>
          <w:trHeight w:val="631" w:hRule="exact"/>
        </w:trPr>
        <w:tc>
          <w:tcPr>
            <w:tcW w:w="2256" w:type="dxa"/>
          </w:tcPr>
          <w:p>
            <w:pPr>
              <w:pStyle w:val="TableParagraph"/>
              <w:spacing w:line="244" w:lineRule="auto"/>
              <w:ind w:right="362"/>
              <w:rPr>
                <w:sz w:val="18"/>
              </w:rPr>
            </w:pPr>
            <w:r>
              <w:rPr>
                <w:sz w:val="18"/>
              </w:rPr>
              <w:t>UfC </w:t>
            </w:r>
            <w:r>
              <w:rPr>
                <w:i/>
                <w:sz w:val="18"/>
              </w:rPr>
              <w:t>S.mutans </w:t>
            </w:r>
            <w:r>
              <w:rPr>
                <w:sz w:val="18"/>
              </w:rPr>
              <w:t>grupo clorhexidina</w:t>
            </w:r>
          </w:p>
          <w:p>
            <w:pPr>
              <w:pStyle w:val="TableParagraph"/>
              <w:spacing w:line="202" w:lineRule="exact"/>
              <w:ind w:right="362"/>
              <w:rPr>
                <w:sz w:val="18"/>
              </w:rPr>
            </w:pPr>
            <w:r>
              <w:rPr>
                <w:sz w:val="18"/>
              </w:rPr>
              <w:t>etapa 3</w:t>
            </w:r>
          </w:p>
        </w:tc>
        <w:tc>
          <w:tcPr>
            <w:tcW w:w="2257" w:type="dxa"/>
          </w:tcPr>
          <w:p>
            <w:pPr>
              <w:pStyle w:val="TableParagraph"/>
              <w:spacing w:before="86"/>
              <w:ind w:left="0" w:right="242"/>
              <w:jc w:val="right"/>
              <w:rPr>
                <w:sz w:val="22"/>
              </w:rPr>
            </w:pPr>
            <w:r>
              <w:rPr>
                <w:sz w:val="22"/>
              </w:rPr>
              <w:t>11578.95</w:t>
            </w:r>
          </w:p>
        </w:tc>
        <w:tc>
          <w:tcPr>
            <w:tcW w:w="2259" w:type="dxa"/>
            <w:vMerge/>
          </w:tcPr>
          <w:p>
            <w:pPr/>
          </w:p>
        </w:tc>
        <w:tc>
          <w:tcPr>
            <w:tcW w:w="2257" w:type="dxa"/>
            <w:vMerge/>
          </w:tcPr>
          <w:p>
            <w:pPr/>
          </w:p>
        </w:tc>
      </w:tr>
    </w:tbl>
    <w:p>
      <w:pPr>
        <w:spacing w:line="183" w:lineRule="exact" w:before="0"/>
        <w:ind w:left="222" w:right="0" w:firstLine="0"/>
        <w:jc w:val="left"/>
        <w:rPr>
          <w:sz w:val="16"/>
        </w:rPr>
      </w:pPr>
      <w:r>
        <w:rPr>
          <w:sz w:val="16"/>
        </w:rPr>
        <w:t>Valor de p≤0.05**  p≤0.001 ***    UFC (Unidad  Formadora de Colonias)</w:t>
      </w:r>
    </w:p>
    <w:p>
      <w:pPr>
        <w:spacing w:after="0" w:line="183" w:lineRule="exact"/>
        <w:jc w:val="left"/>
        <w:rPr>
          <w:sz w:val="16"/>
        </w:rPr>
        <w:sectPr>
          <w:footerReference w:type="default" r:id="rId29"/>
          <w:pgSz w:w="12240" w:h="15840"/>
          <w:pgMar w:footer="1003" w:header="729" w:top="1180" w:bottom="1200" w:left="1480" w:right="1020"/>
          <w:pgNumType w:start="51"/>
        </w:sectPr>
      </w:pPr>
    </w:p>
    <w:p>
      <w:pPr>
        <w:pStyle w:val="BodyText"/>
        <w:spacing w:before="2"/>
        <w:rPr>
          <w:sz w:val="13"/>
        </w:rPr>
      </w:pPr>
      <w:r>
        <w:rPr/>
        <w:pict>
          <v:group style="position:absolute;margin-left:79.550003pt;margin-top:711.258972pt;width:286.1pt;height:17.3pt;mso-position-horizontal-relative:page;mso-position-vertical-relative:page;z-index:-101752" coordorigin="1591,14225" coordsize="5722,346">
            <v:shape style="position:absolute;left:1591;top:14225;width:5722;height:346" type="#_x0000_t75" stroked="false">
              <v:imagedata r:id="rId30" o:title=""/>
            </v:shape>
            <v:shape style="position:absolute;left:1591;top:14225;width:5722;height:346" type="#_x0000_t202" filled="false" stroked="false">
              <v:textbox inset="0,0,0,0">
                <w:txbxContent>
                  <w:p>
                    <w:pPr>
                      <w:spacing w:before="79"/>
                      <w:ind w:left="154" w:right="0" w:firstLine="0"/>
                      <w:jc w:val="left"/>
                      <w:rPr>
                        <w:sz w:val="16"/>
                      </w:rPr>
                    </w:pPr>
                    <w:r>
                      <w:rPr>
                        <w:sz w:val="16"/>
                      </w:rPr>
                      <w:t>Valor de p≤0.05**,  p≤0.001***,  *Error estándar</w:t>
                    </w:r>
                  </w:p>
                </w:txbxContent>
              </v:textbox>
              <w10:wrap type="none"/>
            </v:shape>
            <w10:wrap type="none"/>
          </v:group>
        </w:pict>
      </w:r>
      <w:r>
        <w:rPr/>
        <w:pict>
          <v:shape style="position:absolute;margin-left:85.103996pt;margin-top:97.82pt;width:139.6pt;height:613.950pt;mso-position-horizontal-relative:page;mso-position-vertical-relative:page;z-index:17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701"/>
                    <w:gridCol w:w="845"/>
                  </w:tblGrid>
                  <w:tr>
                    <w:trPr>
                      <w:trHeight w:val="564" w:hRule="exact"/>
                    </w:trPr>
                    <w:tc>
                      <w:tcPr>
                        <w:tcW w:w="2777" w:type="dxa"/>
                        <w:gridSpan w:val="3"/>
                      </w:tcPr>
                      <w:p>
                        <w:pPr>
                          <w:pStyle w:val="TableParagraph"/>
                          <w:ind w:left="343" w:right="339"/>
                          <w:jc w:val="center"/>
                          <w:rPr>
                            <w:b/>
                            <w:sz w:val="16"/>
                          </w:rPr>
                        </w:pPr>
                        <w:r>
                          <w:rPr>
                            <w:b/>
                            <w:sz w:val="16"/>
                          </w:rPr>
                          <w:t>Grupo con aplicaciones de fluoruro de sodio al 0 .02% medición basal</w:t>
                        </w:r>
                      </w:p>
                    </w:tc>
                  </w:tr>
                  <w:tr>
                    <w:trPr>
                      <w:trHeight w:val="334" w:hRule="exact"/>
                    </w:trPr>
                    <w:tc>
                      <w:tcPr>
                        <w:tcW w:w="1231" w:type="dxa"/>
                      </w:tcPr>
                      <w:p>
                        <w:pPr>
                          <w:pStyle w:val="TableParagraph"/>
                          <w:spacing w:line="180" w:lineRule="exact"/>
                          <w:ind w:left="314" w:right="93"/>
                          <w:rPr>
                            <w:sz w:val="16"/>
                          </w:rPr>
                        </w:pPr>
                        <w:r>
                          <w:rPr>
                            <w:sz w:val="16"/>
                          </w:rPr>
                          <w:t>Variable</w:t>
                        </w:r>
                      </w:p>
                    </w:tc>
                    <w:tc>
                      <w:tcPr>
                        <w:tcW w:w="701" w:type="dxa"/>
                      </w:tcPr>
                      <w:p>
                        <w:pPr>
                          <w:pStyle w:val="TableParagraph"/>
                          <w:spacing w:line="180" w:lineRule="exact"/>
                          <w:ind w:left="184"/>
                          <w:rPr>
                            <w:sz w:val="16"/>
                          </w:rPr>
                        </w:pPr>
                        <w:r>
                          <w:rPr>
                            <w:sz w:val="16"/>
                          </w:rPr>
                          <w:t>prob</w:t>
                        </w:r>
                      </w:p>
                    </w:tc>
                    <w:tc>
                      <w:tcPr>
                        <w:tcW w:w="845" w:type="dxa"/>
                      </w:tcPr>
                      <w:p>
                        <w:pPr>
                          <w:pStyle w:val="TableParagraph"/>
                          <w:spacing w:line="180" w:lineRule="exact"/>
                          <w:ind w:left="257"/>
                          <w:rPr>
                            <w:sz w:val="16"/>
                          </w:rPr>
                        </w:pPr>
                        <w:r>
                          <w:rPr>
                            <w:sz w:val="16"/>
                          </w:rPr>
                          <w:t>E:E*</w:t>
                        </w:r>
                      </w:p>
                    </w:tc>
                  </w:tr>
                  <w:tr>
                    <w:trPr>
                      <w:trHeight w:val="377" w:hRule="exact"/>
                    </w:trPr>
                    <w:tc>
                      <w:tcPr>
                        <w:tcW w:w="1231" w:type="dxa"/>
                      </w:tcPr>
                      <w:p>
                        <w:pPr>
                          <w:pStyle w:val="TableParagraph"/>
                          <w:ind w:right="93"/>
                          <w:rPr>
                            <w:sz w:val="16"/>
                          </w:rPr>
                        </w:pPr>
                        <w:r>
                          <w:rPr>
                            <w:sz w:val="16"/>
                          </w:rPr>
                          <w:t>Carbohidratos en desayuno</w:t>
                        </w:r>
                      </w:p>
                    </w:tc>
                    <w:tc>
                      <w:tcPr>
                        <w:tcW w:w="701" w:type="dxa"/>
                      </w:tcPr>
                      <w:p>
                        <w:pPr>
                          <w:pStyle w:val="TableParagraph"/>
                          <w:spacing w:before="133"/>
                          <w:ind w:left="134"/>
                          <w:rPr>
                            <w:sz w:val="16"/>
                          </w:rPr>
                        </w:pPr>
                        <w:r>
                          <w:rPr>
                            <w:sz w:val="16"/>
                          </w:rPr>
                          <w:t>-0.903</w:t>
                        </w:r>
                      </w:p>
                    </w:tc>
                    <w:tc>
                      <w:tcPr>
                        <w:tcW w:w="845" w:type="dxa"/>
                      </w:tcPr>
                      <w:p>
                        <w:pPr>
                          <w:pStyle w:val="TableParagraph"/>
                          <w:spacing w:before="133"/>
                          <w:ind w:left="331"/>
                          <w:rPr>
                            <w:sz w:val="16"/>
                          </w:rPr>
                        </w:pPr>
                        <w:r>
                          <w:rPr>
                            <w:sz w:val="16"/>
                          </w:rPr>
                          <w:t>1.221</w:t>
                        </w:r>
                      </w:p>
                    </w:tc>
                  </w:tr>
                  <w:tr>
                    <w:trPr>
                      <w:trHeight w:val="379" w:hRule="exact"/>
                    </w:trPr>
                    <w:tc>
                      <w:tcPr>
                        <w:tcW w:w="1231" w:type="dxa"/>
                      </w:tcPr>
                      <w:p>
                        <w:pPr>
                          <w:pStyle w:val="TableParagraph"/>
                          <w:ind w:right="360"/>
                          <w:rPr>
                            <w:sz w:val="16"/>
                          </w:rPr>
                        </w:pPr>
                        <w:r>
                          <w:rPr>
                            <w:sz w:val="16"/>
                          </w:rPr>
                          <w:t>Lípidos en desayuno</w:t>
                        </w:r>
                      </w:p>
                    </w:tc>
                    <w:tc>
                      <w:tcPr>
                        <w:tcW w:w="701" w:type="dxa"/>
                      </w:tcPr>
                      <w:p>
                        <w:pPr>
                          <w:pStyle w:val="TableParagraph"/>
                          <w:spacing w:before="133"/>
                          <w:ind w:left="187"/>
                          <w:rPr>
                            <w:sz w:val="16"/>
                          </w:rPr>
                        </w:pPr>
                        <w:r>
                          <w:rPr>
                            <w:sz w:val="16"/>
                          </w:rPr>
                          <w:t>0.188</w:t>
                        </w:r>
                      </w:p>
                    </w:tc>
                    <w:tc>
                      <w:tcPr>
                        <w:tcW w:w="845" w:type="dxa"/>
                      </w:tcPr>
                      <w:p>
                        <w:pPr>
                          <w:pStyle w:val="TableParagraph"/>
                          <w:spacing w:before="133"/>
                          <w:ind w:left="331"/>
                          <w:rPr>
                            <w:sz w:val="16"/>
                          </w:rPr>
                        </w:pPr>
                        <w:r>
                          <w:rPr>
                            <w:sz w:val="16"/>
                          </w:rPr>
                          <w:t>0.395</w:t>
                        </w:r>
                      </w:p>
                    </w:tc>
                  </w:tr>
                  <w:tr>
                    <w:trPr>
                      <w:trHeight w:val="377" w:hRule="exact"/>
                    </w:trPr>
                    <w:tc>
                      <w:tcPr>
                        <w:tcW w:w="1231" w:type="dxa"/>
                      </w:tcPr>
                      <w:p>
                        <w:pPr>
                          <w:pStyle w:val="TableParagraph"/>
                          <w:ind w:right="191"/>
                          <w:rPr>
                            <w:sz w:val="16"/>
                          </w:rPr>
                        </w:pPr>
                        <w:r>
                          <w:rPr>
                            <w:sz w:val="16"/>
                          </w:rPr>
                          <w:t>Proteínas en desayuno</w:t>
                        </w:r>
                      </w:p>
                    </w:tc>
                    <w:tc>
                      <w:tcPr>
                        <w:tcW w:w="701" w:type="dxa"/>
                      </w:tcPr>
                      <w:p>
                        <w:pPr>
                          <w:pStyle w:val="TableParagraph"/>
                          <w:spacing w:before="133"/>
                          <w:ind w:left="187"/>
                          <w:rPr>
                            <w:sz w:val="16"/>
                          </w:rPr>
                        </w:pPr>
                        <w:r>
                          <w:rPr>
                            <w:sz w:val="16"/>
                          </w:rPr>
                          <w:t>0.388</w:t>
                        </w:r>
                      </w:p>
                    </w:tc>
                    <w:tc>
                      <w:tcPr>
                        <w:tcW w:w="845" w:type="dxa"/>
                      </w:tcPr>
                      <w:p>
                        <w:pPr>
                          <w:pStyle w:val="TableParagraph"/>
                          <w:spacing w:before="133"/>
                          <w:ind w:left="331"/>
                          <w:rPr>
                            <w:sz w:val="16"/>
                          </w:rPr>
                        </w:pPr>
                        <w:r>
                          <w:rPr>
                            <w:sz w:val="16"/>
                          </w:rPr>
                          <w:t>0.436</w:t>
                        </w:r>
                      </w:p>
                    </w:tc>
                  </w:tr>
                  <w:tr>
                    <w:trPr>
                      <w:trHeight w:val="379" w:hRule="exact"/>
                    </w:trPr>
                    <w:tc>
                      <w:tcPr>
                        <w:tcW w:w="1231" w:type="dxa"/>
                      </w:tcPr>
                      <w:p>
                        <w:pPr>
                          <w:pStyle w:val="TableParagraph"/>
                          <w:ind w:right="93"/>
                          <w:rPr>
                            <w:sz w:val="16"/>
                          </w:rPr>
                        </w:pPr>
                        <w:r>
                          <w:rPr>
                            <w:sz w:val="16"/>
                          </w:rPr>
                          <w:t>Carbohidratos en comida</w:t>
                        </w:r>
                      </w:p>
                    </w:tc>
                    <w:tc>
                      <w:tcPr>
                        <w:tcW w:w="701" w:type="dxa"/>
                      </w:tcPr>
                      <w:p>
                        <w:pPr>
                          <w:pStyle w:val="TableParagraph"/>
                          <w:spacing w:before="133"/>
                          <w:ind w:left="187"/>
                          <w:rPr>
                            <w:sz w:val="16"/>
                          </w:rPr>
                        </w:pPr>
                        <w:r>
                          <w:rPr>
                            <w:sz w:val="16"/>
                          </w:rPr>
                          <w:t>0.107</w:t>
                        </w:r>
                      </w:p>
                    </w:tc>
                    <w:tc>
                      <w:tcPr>
                        <w:tcW w:w="845" w:type="dxa"/>
                      </w:tcPr>
                      <w:p>
                        <w:pPr>
                          <w:pStyle w:val="TableParagraph"/>
                          <w:spacing w:before="133"/>
                          <w:ind w:left="331"/>
                          <w:rPr>
                            <w:sz w:val="16"/>
                          </w:rPr>
                        </w:pPr>
                        <w:r>
                          <w:rPr>
                            <w:sz w:val="16"/>
                          </w:rPr>
                          <w:t>1.328</w:t>
                        </w:r>
                      </w:p>
                    </w:tc>
                  </w:tr>
                  <w:tr>
                    <w:trPr>
                      <w:trHeight w:val="377" w:hRule="exact"/>
                    </w:trPr>
                    <w:tc>
                      <w:tcPr>
                        <w:tcW w:w="1231" w:type="dxa"/>
                      </w:tcPr>
                      <w:p>
                        <w:pPr>
                          <w:pStyle w:val="TableParagraph"/>
                          <w:spacing w:line="182" w:lineRule="exact"/>
                          <w:ind w:right="360"/>
                          <w:rPr>
                            <w:sz w:val="16"/>
                          </w:rPr>
                        </w:pPr>
                        <w:r>
                          <w:rPr>
                            <w:sz w:val="16"/>
                          </w:rPr>
                          <w:t>Lípidos en comida</w:t>
                        </w:r>
                      </w:p>
                    </w:tc>
                    <w:tc>
                      <w:tcPr>
                        <w:tcW w:w="701" w:type="dxa"/>
                      </w:tcPr>
                      <w:p>
                        <w:pPr>
                          <w:pStyle w:val="TableParagraph"/>
                          <w:spacing w:before="133"/>
                          <w:ind w:left="134"/>
                          <w:rPr>
                            <w:sz w:val="16"/>
                          </w:rPr>
                        </w:pPr>
                        <w:r>
                          <w:rPr>
                            <w:sz w:val="16"/>
                          </w:rPr>
                          <w:t>-0.083</w:t>
                        </w:r>
                      </w:p>
                    </w:tc>
                    <w:tc>
                      <w:tcPr>
                        <w:tcW w:w="845" w:type="dxa"/>
                      </w:tcPr>
                      <w:p>
                        <w:pPr>
                          <w:pStyle w:val="TableParagraph"/>
                          <w:spacing w:before="133"/>
                          <w:ind w:left="278"/>
                          <w:rPr>
                            <w:sz w:val="16"/>
                          </w:rPr>
                        </w:pPr>
                        <w:r>
                          <w:rPr>
                            <w:sz w:val="16"/>
                          </w:rPr>
                          <w:t>-0.083</w:t>
                        </w:r>
                      </w:p>
                    </w:tc>
                  </w:tr>
                  <w:tr>
                    <w:trPr>
                      <w:trHeight w:val="380" w:hRule="exact"/>
                    </w:trPr>
                    <w:tc>
                      <w:tcPr>
                        <w:tcW w:w="1231" w:type="dxa"/>
                      </w:tcPr>
                      <w:p>
                        <w:pPr>
                          <w:pStyle w:val="TableParagraph"/>
                          <w:spacing w:line="242" w:lineRule="auto"/>
                          <w:ind w:right="191"/>
                          <w:rPr>
                            <w:sz w:val="16"/>
                          </w:rPr>
                        </w:pPr>
                        <w:r>
                          <w:rPr>
                            <w:sz w:val="16"/>
                          </w:rPr>
                          <w:t>Proteínas en comida</w:t>
                        </w:r>
                      </w:p>
                    </w:tc>
                    <w:tc>
                      <w:tcPr>
                        <w:tcW w:w="701" w:type="dxa"/>
                      </w:tcPr>
                      <w:p>
                        <w:pPr>
                          <w:pStyle w:val="TableParagraph"/>
                          <w:spacing w:before="133"/>
                          <w:ind w:left="187"/>
                          <w:rPr>
                            <w:sz w:val="16"/>
                          </w:rPr>
                        </w:pPr>
                        <w:r>
                          <w:rPr>
                            <w:sz w:val="16"/>
                          </w:rPr>
                          <w:t>0.134</w:t>
                        </w:r>
                      </w:p>
                    </w:tc>
                    <w:tc>
                      <w:tcPr>
                        <w:tcW w:w="845" w:type="dxa"/>
                      </w:tcPr>
                      <w:p>
                        <w:pPr>
                          <w:pStyle w:val="TableParagraph"/>
                          <w:spacing w:before="133"/>
                          <w:ind w:left="331"/>
                          <w:rPr>
                            <w:sz w:val="16"/>
                          </w:rPr>
                        </w:pPr>
                        <w:r>
                          <w:rPr>
                            <w:sz w:val="16"/>
                          </w:rPr>
                          <w:t>0.134</w:t>
                        </w:r>
                      </w:p>
                    </w:tc>
                  </w:tr>
                  <w:tr>
                    <w:trPr>
                      <w:trHeight w:val="562" w:hRule="exact"/>
                    </w:trPr>
                    <w:tc>
                      <w:tcPr>
                        <w:tcW w:w="1231" w:type="dxa"/>
                      </w:tcPr>
                      <w:p>
                        <w:pPr>
                          <w:pStyle w:val="TableParagraph"/>
                          <w:spacing w:line="182" w:lineRule="exact"/>
                          <w:ind w:right="351"/>
                          <w:rPr>
                            <w:i/>
                            <w:sz w:val="16"/>
                          </w:rPr>
                        </w:pPr>
                        <w:r>
                          <w:rPr>
                            <w:sz w:val="16"/>
                          </w:rPr>
                          <w:t>Cuenta de UFC de </w:t>
                        </w:r>
                        <w:r>
                          <w:rPr>
                            <w:i/>
                            <w:sz w:val="16"/>
                          </w:rPr>
                          <w:t>S.</w:t>
                        </w:r>
                      </w:p>
                      <w:p>
                        <w:pPr>
                          <w:pStyle w:val="TableParagraph"/>
                          <w:spacing w:line="182" w:lineRule="exact"/>
                          <w:ind w:right="93"/>
                          <w:rPr>
                            <w:i/>
                            <w:sz w:val="16"/>
                          </w:rPr>
                        </w:pPr>
                        <w:r>
                          <w:rPr>
                            <w:i/>
                            <w:sz w:val="16"/>
                          </w:rPr>
                          <w:t>mutans</w:t>
                        </w:r>
                      </w:p>
                    </w:tc>
                    <w:tc>
                      <w:tcPr>
                        <w:tcW w:w="701" w:type="dxa"/>
                      </w:tcPr>
                      <w:p>
                        <w:pPr>
                          <w:pStyle w:val="TableParagraph"/>
                          <w:spacing w:before="133"/>
                          <w:ind w:left="134"/>
                          <w:rPr>
                            <w:sz w:val="16"/>
                          </w:rPr>
                        </w:pPr>
                        <w:r>
                          <w:rPr>
                            <w:sz w:val="16"/>
                          </w:rPr>
                          <w:t>-0.051</w:t>
                        </w:r>
                      </w:p>
                    </w:tc>
                    <w:tc>
                      <w:tcPr>
                        <w:tcW w:w="845" w:type="dxa"/>
                      </w:tcPr>
                      <w:p>
                        <w:pPr>
                          <w:pStyle w:val="TableParagraph"/>
                          <w:spacing w:before="133"/>
                          <w:ind w:left="331"/>
                          <w:rPr>
                            <w:sz w:val="16"/>
                          </w:rPr>
                        </w:pPr>
                        <w:r>
                          <w:rPr>
                            <w:sz w:val="16"/>
                          </w:rPr>
                          <w:t>0.000</w:t>
                        </w:r>
                      </w:p>
                    </w:tc>
                  </w:tr>
                  <w:tr>
                    <w:trPr>
                      <w:trHeight w:val="329" w:hRule="exact"/>
                    </w:trPr>
                    <w:tc>
                      <w:tcPr>
                        <w:tcW w:w="1231" w:type="dxa"/>
                      </w:tcPr>
                      <w:p>
                        <w:pPr>
                          <w:pStyle w:val="TableParagraph"/>
                          <w:spacing w:line="180" w:lineRule="exact"/>
                          <w:ind w:right="93"/>
                          <w:rPr>
                            <w:sz w:val="16"/>
                          </w:rPr>
                        </w:pPr>
                        <w:r>
                          <w:rPr>
                            <w:sz w:val="16"/>
                          </w:rPr>
                          <w:t>pH</w:t>
                        </w:r>
                      </w:p>
                    </w:tc>
                    <w:tc>
                      <w:tcPr>
                        <w:tcW w:w="701" w:type="dxa"/>
                      </w:tcPr>
                      <w:p>
                        <w:pPr>
                          <w:pStyle w:val="TableParagraph"/>
                          <w:spacing w:before="133"/>
                          <w:ind w:left="187"/>
                          <w:rPr>
                            <w:sz w:val="16"/>
                          </w:rPr>
                        </w:pPr>
                        <w:r>
                          <w:rPr>
                            <w:sz w:val="16"/>
                          </w:rPr>
                          <w:t>0.102</w:t>
                        </w:r>
                      </w:p>
                    </w:tc>
                    <w:tc>
                      <w:tcPr>
                        <w:tcW w:w="845" w:type="dxa"/>
                      </w:tcPr>
                      <w:p>
                        <w:pPr>
                          <w:pStyle w:val="TableParagraph"/>
                          <w:spacing w:before="133"/>
                          <w:ind w:left="331"/>
                          <w:rPr>
                            <w:sz w:val="16"/>
                          </w:rPr>
                        </w:pPr>
                        <w:r>
                          <w:rPr>
                            <w:sz w:val="16"/>
                          </w:rPr>
                          <w:t>0.263</w:t>
                        </w:r>
                      </w:p>
                    </w:tc>
                  </w:tr>
                  <w:tr>
                    <w:trPr>
                      <w:trHeight w:val="194" w:hRule="exact"/>
                    </w:trPr>
                    <w:tc>
                      <w:tcPr>
                        <w:tcW w:w="1231" w:type="dxa"/>
                        <w:tcBorders>
                          <w:right w:val="nil"/>
                        </w:tcBorders>
                      </w:tcPr>
                      <w:p>
                        <w:pPr>
                          <w:pStyle w:val="TableParagraph"/>
                          <w:spacing w:line="181" w:lineRule="exact"/>
                          <w:rPr>
                            <w:sz w:val="10"/>
                          </w:rPr>
                        </w:pPr>
                        <w:r>
                          <w:rPr>
                            <w:position w:val="-7"/>
                            <w:sz w:val="16"/>
                          </w:rPr>
                          <w:t>R</w:t>
                        </w:r>
                        <w:r>
                          <w:rPr>
                            <w:sz w:val="10"/>
                          </w:rPr>
                          <w:t>2</w:t>
                        </w:r>
                      </w:p>
                    </w:tc>
                    <w:tc>
                      <w:tcPr>
                        <w:tcW w:w="701" w:type="dxa"/>
                        <w:tcBorders>
                          <w:left w:val="nil"/>
                          <w:right w:val="nil"/>
                        </w:tcBorders>
                      </w:tcPr>
                      <w:p>
                        <w:pPr>
                          <w:pStyle w:val="TableParagraph"/>
                          <w:spacing w:line="180" w:lineRule="exact"/>
                          <w:ind w:left="0" w:right="26"/>
                          <w:jc w:val="right"/>
                          <w:rPr>
                            <w:sz w:val="16"/>
                          </w:rPr>
                        </w:pPr>
                        <w:r>
                          <w:rPr>
                            <w:sz w:val="16"/>
                          </w:rPr>
                          <w:t>0.069</w:t>
                        </w:r>
                      </w:p>
                    </w:tc>
                    <w:tc>
                      <w:tcPr>
                        <w:tcW w:w="845" w:type="dxa"/>
                        <w:tcBorders>
                          <w:left w:val="nil"/>
                        </w:tcBorders>
                      </w:tcPr>
                      <w:p>
                        <w:pPr/>
                      </w:p>
                    </w:tc>
                  </w:tr>
                  <w:tr>
                    <w:trPr>
                      <w:trHeight w:val="562" w:hRule="exact"/>
                    </w:trPr>
                    <w:tc>
                      <w:tcPr>
                        <w:tcW w:w="2777" w:type="dxa"/>
                        <w:gridSpan w:val="3"/>
                      </w:tcPr>
                      <w:p>
                        <w:pPr>
                          <w:pStyle w:val="TableParagraph"/>
                          <w:ind w:left="343" w:right="339"/>
                          <w:jc w:val="center"/>
                          <w:rPr>
                            <w:b/>
                            <w:sz w:val="16"/>
                          </w:rPr>
                        </w:pPr>
                        <w:r>
                          <w:rPr>
                            <w:b/>
                            <w:sz w:val="16"/>
                          </w:rPr>
                          <w:t>Grupo con aplicaciones de fluoruro de sodio al 0 .02%</w:t>
                        </w:r>
                      </w:p>
                      <w:p>
                        <w:pPr>
                          <w:pStyle w:val="TableParagraph"/>
                          <w:spacing w:before="1"/>
                          <w:ind w:left="340" w:right="339"/>
                          <w:jc w:val="center"/>
                          <w:rPr>
                            <w:b/>
                            <w:sz w:val="16"/>
                          </w:rPr>
                        </w:pPr>
                        <w:r>
                          <w:rPr>
                            <w:b/>
                            <w:sz w:val="16"/>
                          </w:rPr>
                          <w:t>medición  3 meses</w:t>
                        </w:r>
                      </w:p>
                    </w:tc>
                  </w:tr>
                  <w:tr>
                    <w:trPr>
                      <w:trHeight w:val="379" w:hRule="exact"/>
                    </w:trPr>
                    <w:tc>
                      <w:tcPr>
                        <w:tcW w:w="1231" w:type="dxa"/>
                      </w:tcPr>
                      <w:p>
                        <w:pPr>
                          <w:pStyle w:val="TableParagraph"/>
                          <w:ind w:right="93"/>
                          <w:rPr>
                            <w:sz w:val="16"/>
                          </w:rPr>
                        </w:pPr>
                        <w:r>
                          <w:rPr>
                            <w:sz w:val="16"/>
                          </w:rPr>
                          <w:t>Carbohidratos en desayuno</w:t>
                        </w:r>
                      </w:p>
                    </w:tc>
                    <w:tc>
                      <w:tcPr>
                        <w:tcW w:w="701" w:type="dxa"/>
                      </w:tcPr>
                      <w:p>
                        <w:pPr>
                          <w:pStyle w:val="TableParagraph"/>
                          <w:spacing w:before="133"/>
                          <w:ind w:left="134"/>
                          <w:rPr>
                            <w:sz w:val="16"/>
                          </w:rPr>
                        </w:pPr>
                        <w:r>
                          <w:rPr>
                            <w:sz w:val="16"/>
                          </w:rPr>
                          <w:t>-1.001</w:t>
                        </w:r>
                      </w:p>
                    </w:tc>
                    <w:tc>
                      <w:tcPr>
                        <w:tcW w:w="845" w:type="dxa"/>
                      </w:tcPr>
                      <w:p>
                        <w:pPr>
                          <w:pStyle w:val="TableParagraph"/>
                          <w:spacing w:before="133"/>
                          <w:ind w:left="331"/>
                          <w:rPr>
                            <w:sz w:val="16"/>
                          </w:rPr>
                        </w:pPr>
                        <w:r>
                          <w:rPr>
                            <w:sz w:val="16"/>
                          </w:rPr>
                          <w:t>0.787</w:t>
                        </w:r>
                      </w:p>
                    </w:tc>
                  </w:tr>
                  <w:tr>
                    <w:trPr>
                      <w:trHeight w:val="377" w:hRule="exact"/>
                    </w:trPr>
                    <w:tc>
                      <w:tcPr>
                        <w:tcW w:w="1231" w:type="dxa"/>
                      </w:tcPr>
                      <w:p>
                        <w:pPr>
                          <w:pStyle w:val="TableParagraph"/>
                          <w:ind w:right="360"/>
                          <w:rPr>
                            <w:sz w:val="16"/>
                          </w:rPr>
                        </w:pPr>
                        <w:r>
                          <w:rPr>
                            <w:sz w:val="16"/>
                          </w:rPr>
                          <w:t>Lípidos en desayuno</w:t>
                        </w:r>
                      </w:p>
                    </w:tc>
                    <w:tc>
                      <w:tcPr>
                        <w:tcW w:w="701" w:type="dxa"/>
                      </w:tcPr>
                      <w:p>
                        <w:pPr>
                          <w:pStyle w:val="TableParagraph"/>
                          <w:spacing w:before="133"/>
                          <w:ind w:left="134"/>
                          <w:rPr>
                            <w:sz w:val="16"/>
                          </w:rPr>
                        </w:pPr>
                        <w:r>
                          <w:rPr>
                            <w:sz w:val="16"/>
                          </w:rPr>
                          <w:t>-0.437</w:t>
                        </w:r>
                      </w:p>
                    </w:tc>
                    <w:tc>
                      <w:tcPr>
                        <w:tcW w:w="845" w:type="dxa"/>
                      </w:tcPr>
                      <w:p>
                        <w:pPr>
                          <w:pStyle w:val="TableParagraph"/>
                          <w:spacing w:before="133"/>
                          <w:ind w:left="331"/>
                          <w:rPr>
                            <w:sz w:val="16"/>
                          </w:rPr>
                        </w:pPr>
                        <w:r>
                          <w:rPr>
                            <w:sz w:val="16"/>
                          </w:rPr>
                          <w:t>0.257</w:t>
                        </w:r>
                      </w:p>
                    </w:tc>
                  </w:tr>
                  <w:tr>
                    <w:trPr>
                      <w:trHeight w:val="379" w:hRule="exact"/>
                    </w:trPr>
                    <w:tc>
                      <w:tcPr>
                        <w:tcW w:w="1231" w:type="dxa"/>
                      </w:tcPr>
                      <w:p>
                        <w:pPr>
                          <w:pStyle w:val="TableParagraph"/>
                          <w:ind w:right="191"/>
                          <w:rPr>
                            <w:sz w:val="16"/>
                          </w:rPr>
                        </w:pPr>
                        <w:r>
                          <w:rPr>
                            <w:sz w:val="16"/>
                          </w:rPr>
                          <w:t>Proteínas en desayuno</w:t>
                        </w:r>
                      </w:p>
                    </w:tc>
                    <w:tc>
                      <w:tcPr>
                        <w:tcW w:w="701" w:type="dxa"/>
                      </w:tcPr>
                      <w:p>
                        <w:pPr>
                          <w:pStyle w:val="TableParagraph"/>
                          <w:spacing w:before="133"/>
                          <w:ind w:left="187"/>
                          <w:rPr>
                            <w:sz w:val="16"/>
                          </w:rPr>
                        </w:pPr>
                        <w:r>
                          <w:rPr>
                            <w:sz w:val="16"/>
                          </w:rPr>
                          <w:t>1.051</w:t>
                        </w:r>
                      </w:p>
                    </w:tc>
                    <w:tc>
                      <w:tcPr>
                        <w:tcW w:w="845" w:type="dxa"/>
                      </w:tcPr>
                      <w:p>
                        <w:pPr>
                          <w:pStyle w:val="TableParagraph"/>
                          <w:spacing w:before="133"/>
                          <w:ind w:left="331"/>
                          <w:rPr>
                            <w:sz w:val="16"/>
                          </w:rPr>
                        </w:pPr>
                        <w:r>
                          <w:rPr>
                            <w:sz w:val="16"/>
                          </w:rPr>
                          <w:t>0.359</w:t>
                        </w:r>
                      </w:p>
                    </w:tc>
                  </w:tr>
                  <w:tr>
                    <w:trPr>
                      <w:trHeight w:val="377" w:hRule="exact"/>
                    </w:trPr>
                    <w:tc>
                      <w:tcPr>
                        <w:tcW w:w="1231" w:type="dxa"/>
                      </w:tcPr>
                      <w:p>
                        <w:pPr>
                          <w:pStyle w:val="TableParagraph"/>
                          <w:ind w:right="93"/>
                          <w:rPr>
                            <w:sz w:val="16"/>
                          </w:rPr>
                        </w:pPr>
                        <w:r>
                          <w:rPr>
                            <w:sz w:val="16"/>
                          </w:rPr>
                          <w:t>Carbohidratos en comida</w:t>
                        </w:r>
                      </w:p>
                    </w:tc>
                    <w:tc>
                      <w:tcPr>
                        <w:tcW w:w="701" w:type="dxa"/>
                      </w:tcPr>
                      <w:p>
                        <w:pPr>
                          <w:pStyle w:val="TableParagraph"/>
                          <w:spacing w:before="133"/>
                          <w:ind w:left="134"/>
                          <w:rPr>
                            <w:sz w:val="16"/>
                          </w:rPr>
                        </w:pPr>
                        <w:r>
                          <w:rPr>
                            <w:sz w:val="16"/>
                          </w:rPr>
                          <w:t>-0.036</w:t>
                        </w:r>
                      </w:p>
                    </w:tc>
                    <w:tc>
                      <w:tcPr>
                        <w:tcW w:w="845" w:type="dxa"/>
                      </w:tcPr>
                      <w:p>
                        <w:pPr>
                          <w:pStyle w:val="TableParagraph"/>
                          <w:spacing w:before="133"/>
                          <w:ind w:left="331"/>
                          <w:rPr>
                            <w:sz w:val="16"/>
                          </w:rPr>
                        </w:pPr>
                        <w:r>
                          <w:rPr>
                            <w:sz w:val="16"/>
                          </w:rPr>
                          <w:t>1.183</w:t>
                        </w:r>
                      </w:p>
                    </w:tc>
                  </w:tr>
                  <w:tr>
                    <w:trPr>
                      <w:trHeight w:val="380" w:hRule="exact"/>
                    </w:trPr>
                    <w:tc>
                      <w:tcPr>
                        <w:tcW w:w="1231" w:type="dxa"/>
                      </w:tcPr>
                      <w:p>
                        <w:pPr>
                          <w:pStyle w:val="TableParagraph"/>
                          <w:ind w:right="360"/>
                          <w:rPr>
                            <w:sz w:val="16"/>
                          </w:rPr>
                        </w:pPr>
                        <w:r>
                          <w:rPr>
                            <w:sz w:val="16"/>
                          </w:rPr>
                          <w:t>Lípidos en comida</w:t>
                        </w:r>
                      </w:p>
                    </w:tc>
                    <w:tc>
                      <w:tcPr>
                        <w:tcW w:w="701" w:type="dxa"/>
                      </w:tcPr>
                      <w:p>
                        <w:pPr>
                          <w:pStyle w:val="TableParagraph"/>
                          <w:spacing w:before="133"/>
                          <w:ind w:left="134"/>
                          <w:rPr>
                            <w:sz w:val="16"/>
                          </w:rPr>
                        </w:pPr>
                        <w:r>
                          <w:rPr>
                            <w:sz w:val="16"/>
                          </w:rPr>
                          <w:t>-0.207</w:t>
                        </w:r>
                      </w:p>
                    </w:tc>
                    <w:tc>
                      <w:tcPr>
                        <w:tcW w:w="845" w:type="dxa"/>
                      </w:tcPr>
                      <w:p>
                        <w:pPr>
                          <w:pStyle w:val="TableParagraph"/>
                          <w:spacing w:before="133"/>
                          <w:ind w:left="331"/>
                          <w:rPr>
                            <w:sz w:val="16"/>
                          </w:rPr>
                        </w:pPr>
                        <w:r>
                          <w:rPr>
                            <w:sz w:val="16"/>
                          </w:rPr>
                          <w:t>1.191</w:t>
                        </w:r>
                      </w:p>
                    </w:tc>
                  </w:tr>
                  <w:tr>
                    <w:trPr>
                      <w:trHeight w:val="377" w:hRule="exact"/>
                    </w:trPr>
                    <w:tc>
                      <w:tcPr>
                        <w:tcW w:w="1231" w:type="dxa"/>
                      </w:tcPr>
                      <w:p>
                        <w:pPr>
                          <w:pStyle w:val="TableParagraph"/>
                          <w:ind w:right="191"/>
                          <w:rPr>
                            <w:sz w:val="16"/>
                          </w:rPr>
                        </w:pPr>
                        <w:r>
                          <w:rPr>
                            <w:sz w:val="16"/>
                          </w:rPr>
                          <w:t>Proteínas en comida</w:t>
                        </w:r>
                      </w:p>
                    </w:tc>
                    <w:tc>
                      <w:tcPr>
                        <w:tcW w:w="701" w:type="dxa"/>
                      </w:tcPr>
                      <w:p>
                        <w:pPr>
                          <w:pStyle w:val="TableParagraph"/>
                          <w:spacing w:before="133"/>
                          <w:ind w:left="187"/>
                          <w:rPr>
                            <w:sz w:val="16"/>
                          </w:rPr>
                        </w:pPr>
                        <w:r>
                          <w:rPr>
                            <w:sz w:val="16"/>
                          </w:rPr>
                          <w:t>0.095</w:t>
                        </w:r>
                      </w:p>
                    </w:tc>
                    <w:tc>
                      <w:tcPr>
                        <w:tcW w:w="845" w:type="dxa"/>
                      </w:tcPr>
                      <w:p>
                        <w:pPr>
                          <w:pStyle w:val="TableParagraph"/>
                          <w:spacing w:before="133"/>
                          <w:ind w:left="331"/>
                          <w:rPr>
                            <w:sz w:val="16"/>
                          </w:rPr>
                        </w:pPr>
                        <w:r>
                          <w:rPr>
                            <w:sz w:val="16"/>
                          </w:rPr>
                          <w:t>0.405</w:t>
                        </w:r>
                      </w:p>
                    </w:tc>
                  </w:tr>
                  <w:tr>
                    <w:trPr>
                      <w:trHeight w:val="562" w:hRule="exact"/>
                    </w:trPr>
                    <w:tc>
                      <w:tcPr>
                        <w:tcW w:w="1231" w:type="dxa"/>
                      </w:tcPr>
                      <w:p>
                        <w:pPr>
                          <w:pStyle w:val="TableParagraph"/>
                          <w:ind w:right="351"/>
                          <w:rPr>
                            <w:i/>
                            <w:sz w:val="16"/>
                          </w:rPr>
                        </w:pPr>
                        <w:r>
                          <w:rPr>
                            <w:sz w:val="16"/>
                          </w:rPr>
                          <w:t>Cuenta de UFC de </w:t>
                        </w:r>
                        <w:r>
                          <w:rPr>
                            <w:i/>
                            <w:sz w:val="16"/>
                          </w:rPr>
                          <w:t>S.</w:t>
                        </w:r>
                      </w:p>
                      <w:p>
                        <w:pPr>
                          <w:pStyle w:val="TableParagraph"/>
                          <w:spacing w:before="1"/>
                          <w:ind w:right="93"/>
                          <w:rPr>
                            <w:i/>
                            <w:sz w:val="16"/>
                          </w:rPr>
                        </w:pPr>
                        <w:r>
                          <w:rPr>
                            <w:i/>
                            <w:sz w:val="16"/>
                          </w:rPr>
                          <w:t>mutans</w:t>
                        </w:r>
                      </w:p>
                    </w:tc>
                    <w:tc>
                      <w:tcPr>
                        <w:tcW w:w="701" w:type="dxa"/>
                      </w:tcPr>
                      <w:p>
                        <w:pPr>
                          <w:pStyle w:val="TableParagraph"/>
                          <w:spacing w:before="133"/>
                          <w:ind w:left="134"/>
                          <w:rPr>
                            <w:sz w:val="16"/>
                          </w:rPr>
                        </w:pPr>
                        <w:r>
                          <w:rPr>
                            <w:sz w:val="16"/>
                          </w:rPr>
                          <w:t>-0.042</w:t>
                        </w:r>
                      </w:p>
                    </w:tc>
                    <w:tc>
                      <w:tcPr>
                        <w:tcW w:w="845" w:type="dxa"/>
                      </w:tcPr>
                      <w:p>
                        <w:pPr>
                          <w:pStyle w:val="TableParagraph"/>
                          <w:spacing w:before="133"/>
                          <w:ind w:left="331"/>
                          <w:rPr>
                            <w:sz w:val="16"/>
                          </w:rPr>
                        </w:pPr>
                        <w:r>
                          <w:rPr>
                            <w:sz w:val="16"/>
                          </w:rPr>
                          <w:t>0.000</w:t>
                        </w:r>
                      </w:p>
                    </w:tc>
                  </w:tr>
                  <w:tr>
                    <w:trPr>
                      <w:trHeight w:val="331" w:hRule="exact"/>
                    </w:trPr>
                    <w:tc>
                      <w:tcPr>
                        <w:tcW w:w="1231" w:type="dxa"/>
                      </w:tcPr>
                      <w:p>
                        <w:pPr>
                          <w:pStyle w:val="TableParagraph"/>
                          <w:spacing w:line="180" w:lineRule="exact"/>
                          <w:ind w:right="93"/>
                          <w:rPr>
                            <w:sz w:val="16"/>
                          </w:rPr>
                        </w:pPr>
                        <w:r>
                          <w:rPr>
                            <w:sz w:val="16"/>
                          </w:rPr>
                          <w:t>pH</w:t>
                        </w:r>
                      </w:p>
                    </w:tc>
                    <w:tc>
                      <w:tcPr>
                        <w:tcW w:w="701" w:type="dxa"/>
                      </w:tcPr>
                      <w:p>
                        <w:pPr>
                          <w:pStyle w:val="TableParagraph"/>
                          <w:spacing w:before="133"/>
                          <w:ind w:left="134"/>
                          <w:rPr>
                            <w:sz w:val="16"/>
                          </w:rPr>
                        </w:pPr>
                        <w:r>
                          <w:rPr>
                            <w:sz w:val="16"/>
                          </w:rPr>
                          <w:t>-0.006</w:t>
                        </w:r>
                      </w:p>
                    </w:tc>
                    <w:tc>
                      <w:tcPr>
                        <w:tcW w:w="845" w:type="dxa"/>
                      </w:tcPr>
                      <w:p>
                        <w:pPr>
                          <w:pStyle w:val="TableParagraph"/>
                          <w:spacing w:before="133"/>
                          <w:ind w:left="331"/>
                          <w:rPr>
                            <w:sz w:val="16"/>
                          </w:rPr>
                        </w:pPr>
                        <w:r>
                          <w:rPr>
                            <w:sz w:val="16"/>
                          </w:rPr>
                          <w:t>0.405</w:t>
                        </w:r>
                      </w:p>
                    </w:tc>
                  </w:tr>
                  <w:tr>
                    <w:trPr>
                      <w:trHeight w:val="221" w:hRule="exact"/>
                    </w:trPr>
                    <w:tc>
                      <w:tcPr>
                        <w:tcW w:w="1231" w:type="dxa"/>
                        <w:tcBorders>
                          <w:right w:val="nil"/>
                        </w:tcBorders>
                      </w:tcPr>
                      <w:p>
                        <w:pPr>
                          <w:pStyle w:val="TableParagraph"/>
                          <w:spacing w:line="181" w:lineRule="exact"/>
                          <w:rPr>
                            <w:sz w:val="10"/>
                          </w:rPr>
                        </w:pPr>
                        <w:r>
                          <w:rPr>
                            <w:position w:val="-7"/>
                            <w:sz w:val="16"/>
                          </w:rPr>
                          <w:t>R</w:t>
                        </w:r>
                        <w:r>
                          <w:rPr>
                            <w:sz w:val="10"/>
                          </w:rPr>
                          <w:t>2</w:t>
                        </w:r>
                      </w:p>
                    </w:tc>
                    <w:tc>
                      <w:tcPr>
                        <w:tcW w:w="701" w:type="dxa"/>
                        <w:tcBorders>
                          <w:left w:val="nil"/>
                          <w:right w:val="nil"/>
                        </w:tcBorders>
                      </w:tcPr>
                      <w:p>
                        <w:pPr>
                          <w:pStyle w:val="TableParagraph"/>
                          <w:spacing w:line="180" w:lineRule="exact"/>
                          <w:ind w:left="244"/>
                          <w:rPr>
                            <w:sz w:val="16"/>
                          </w:rPr>
                        </w:pPr>
                        <w:r>
                          <w:rPr>
                            <w:sz w:val="16"/>
                          </w:rPr>
                          <w:t>0.256</w:t>
                        </w:r>
                      </w:p>
                    </w:tc>
                    <w:tc>
                      <w:tcPr>
                        <w:tcW w:w="845" w:type="dxa"/>
                        <w:tcBorders>
                          <w:left w:val="nil"/>
                        </w:tcBorders>
                      </w:tcPr>
                      <w:p>
                        <w:pPr/>
                      </w:p>
                    </w:tc>
                  </w:tr>
                  <w:tr>
                    <w:trPr>
                      <w:trHeight w:val="562" w:hRule="exact"/>
                    </w:trPr>
                    <w:tc>
                      <w:tcPr>
                        <w:tcW w:w="2777" w:type="dxa"/>
                        <w:gridSpan w:val="3"/>
                      </w:tcPr>
                      <w:p>
                        <w:pPr>
                          <w:pStyle w:val="TableParagraph"/>
                          <w:ind w:left="343" w:right="339"/>
                          <w:jc w:val="center"/>
                          <w:rPr>
                            <w:b/>
                            <w:sz w:val="16"/>
                          </w:rPr>
                        </w:pPr>
                        <w:r>
                          <w:rPr>
                            <w:b/>
                            <w:sz w:val="16"/>
                          </w:rPr>
                          <w:t>Grupo con aplicaciones de fluoruro de sodio al 0.02% medición 6 meses</w:t>
                        </w:r>
                      </w:p>
                    </w:tc>
                  </w:tr>
                  <w:tr>
                    <w:trPr>
                      <w:trHeight w:val="398" w:hRule="exact"/>
                    </w:trPr>
                    <w:tc>
                      <w:tcPr>
                        <w:tcW w:w="1231" w:type="dxa"/>
                      </w:tcPr>
                      <w:p>
                        <w:pPr>
                          <w:pStyle w:val="TableParagraph"/>
                          <w:ind w:right="93"/>
                          <w:rPr>
                            <w:sz w:val="16"/>
                          </w:rPr>
                        </w:pPr>
                        <w:r>
                          <w:rPr>
                            <w:sz w:val="16"/>
                          </w:rPr>
                          <w:t>Carbohidratos en desayuno</w:t>
                        </w:r>
                      </w:p>
                    </w:tc>
                    <w:tc>
                      <w:tcPr>
                        <w:tcW w:w="701" w:type="dxa"/>
                      </w:tcPr>
                      <w:p>
                        <w:pPr>
                          <w:pStyle w:val="TableParagraph"/>
                          <w:spacing w:before="135"/>
                          <w:ind w:left="134"/>
                          <w:rPr>
                            <w:sz w:val="16"/>
                          </w:rPr>
                        </w:pPr>
                        <w:r>
                          <w:rPr>
                            <w:sz w:val="16"/>
                          </w:rPr>
                          <w:t>-1.797</w:t>
                        </w:r>
                      </w:p>
                    </w:tc>
                    <w:tc>
                      <w:tcPr>
                        <w:tcW w:w="845" w:type="dxa"/>
                      </w:tcPr>
                      <w:p>
                        <w:pPr>
                          <w:pStyle w:val="TableParagraph"/>
                          <w:spacing w:before="135"/>
                          <w:ind w:left="331"/>
                          <w:rPr>
                            <w:sz w:val="16"/>
                          </w:rPr>
                        </w:pPr>
                        <w:r>
                          <w:rPr>
                            <w:sz w:val="16"/>
                          </w:rPr>
                          <w:t>0.733</w:t>
                        </w:r>
                      </w:p>
                    </w:tc>
                  </w:tr>
                  <w:tr>
                    <w:trPr>
                      <w:trHeight w:val="418" w:hRule="exact"/>
                    </w:trPr>
                    <w:tc>
                      <w:tcPr>
                        <w:tcW w:w="1231" w:type="dxa"/>
                      </w:tcPr>
                      <w:p>
                        <w:pPr>
                          <w:pStyle w:val="TableParagraph"/>
                          <w:ind w:right="360"/>
                          <w:rPr>
                            <w:sz w:val="16"/>
                          </w:rPr>
                        </w:pPr>
                        <w:r>
                          <w:rPr>
                            <w:sz w:val="16"/>
                          </w:rPr>
                          <w:t>Lípidos en desayuno</w:t>
                        </w:r>
                      </w:p>
                    </w:tc>
                    <w:tc>
                      <w:tcPr>
                        <w:tcW w:w="701" w:type="dxa"/>
                      </w:tcPr>
                      <w:p>
                        <w:pPr>
                          <w:pStyle w:val="TableParagraph"/>
                          <w:spacing w:before="133"/>
                          <w:ind w:left="134"/>
                          <w:rPr>
                            <w:sz w:val="16"/>
                          </w:rPr>
                        </w:pPr>
                        <w:r>
                          <w:rPr>
                            <w:sz w:val="16"/>
                          </w:rPr>
                          <w:t>-0.381</w:t>
                        </w:r>
                      </w:p>
                    </w:tc>
                    <w:tc>
                      <w:tcPr>
                        <w:tcW w:w="845" w:type="dxa"/>
                      </w:tcPr>
                      <w:p>
                        <w:pPr>
                          <w:pStyle w:val="TableParagraph"/>
                          <w:spacing w:before="133"/>
                          <w:ind w:left="331"/>
                          <w:rPr>
                            <w:sz w:val="16"/>
                          </w:rPr>
                        </w:pPr>
                        <w:r>
                          <w:rPr>
                            <w:sz w:val="16"/>
                          </w:rPr>
                          <w:t>0.195</w:t>
                        </w:r>
                      </w:p>
                    </w:tc>
                  </w:tr>
                  <w:tr>
                    <w:trPr>
                      <w:trHeight w:val="380" w:hRule="exact"/>
                    </w:trPr>
                    <w:tc>
                      <w:tcPr>
                        <w:tcW w:w="1231" w:type="dxa"/>
                      </w:tcPr>
                      <w:p>
                        <w:pPr>
                          <w:pStyle w:val="TableParagraph"/>
                          <w:spacing w:line="242" w:lineRule="auto"/>
                          <w:ind w:right="191"/>
                          <w:rPr>
                            <w:sz w:val="16"/>
                          </w:rPr>
                        </w:pPr>
                        <w:r>
                          <w:rPr>
                            <w:sz w:val="16"/>
                          </w:rPr>
                          <w:t>Proteínas en desayuno</w:t>
                        </w:r>
                      </w:p>
                    </w:tc>
                    <w:tc>
                      <w:tcPr>
                        <w:tcW w:w="701" w:type="dxa"/>
                      </w:tcPr>
                      <w:p>
                        <w:pPr>
                          <w:pStyle w:val="TableParagraph"/>
                          <w:spacing w:before="133"/>
                          <w:ind w:left="187"/>
                          <w:rPr>
                            <w:sz w:val="16"/>
                          </w:rPr>
                        </w:pPr>
                        <w:r>
                          <w:rPr>
                            <w:sz w:val="16"/>
                          </w:rPr>
                          <w:t>1.551</w:t>
                        </w:r>
                      </w:p>
                    </w:tc>
                    <w:tc>
                      <w:tcPr>
                        <w:tcW w:w="845" w:type="dxa"/>
                      </w:tcPr>
                      <w:p>
                        <w:pPr>
                          <w:pStyle w:val="TableParagraph"/>
                          <w:spacing w:before="133"/>
                          <w:ind w:left="331"/>
                          <w:rPr>
                            <w:sz w:val="16"/>
                          </w:rPr>
                        </w:pPr>
                        <w:r>
                          <w:rPr>
                            <w:sz w:val="16"/>
                          </w:rPr>
                          <w:t>0.334</w:t>
                        </w:r>
                      </w:p>
                    </w:tc>
                  </w:tr>
                  <w:tr>
                    <w:trPr>
                      <w:trHeight w:val="377" w:hRule="exact"/>
                    </w:trPr>
                    <w:tc>
                      <w:tcPr>
                        <w:tcW w:w="1231" w:type="dxa"/>
                      </w:tcPr>
                      <w:p>
                        <w:pPr>
                          <w:pStyle w:val="TableParagraph"/>
                          <w:spacing w:line="182" w:lineRule="exact" w:before="1"/>
                          <w:ind w:right="93"/>
                          <w:rPr>
                            <w:sz w:val="16"/>
                          </w:rPr>
                        </w:pPr>
                        <w:r>
                          <w:rPr>
                            <w:sz w:val="16"/>
                          </w:rPr>
                          <w:t>Carbohidratos en comida</w:t>
                        </w:r>
                      </w:p>
                    </w:tc>
                    <w:tc>
                      <w:tcPr>
                        <w:tcW w:w="701" w:type="dxa"/>
                      </w:tcPr>
                      <w:p>
                        <w:pPr>
                          <w:pStyle w:val="TableParagraph"/>
                          <w:spacing w:before="133"/>
                          <w:ind w:left="187"/>
                          <w:rPr>
                            <w:sz w:val="16"/>
                          </w:rPr>
                        </w:pPr>
                        <w:r>
                          <w:rPr>
                            <w:sz w:val="16"/>
                          </w:rPr>
                          <w:t>0.206</w:t>
                        </w:r>
                      </w:p>
                    </w:tc>
                    <w:tc>
                      <w:tcPr>
                        <w:tcW w:w="845" w:type="dxa"/>
                      </w:tcPr>
                      <w:p>
                        <w:pPr>
                          <w:pStyle w:val="TableParagraph"/>
                          <w:spacing w:before="133"/>
                          <w:ind w:left="331"/>
                          <w:rPr>
                            <w:sz w:val="16"/>
                          </w:rPr>
                        </w:pPr>
                        <w:r>
                          <w:rPr>
                            <w:sz w:val="16"/>
                          </w:rPr>
                          <w:t>0.341</w:t>
                        </w:r>
                      </w:p>
                    </w:tc>
                  </w:tr>
                  <w:tr>
                    <w:trPr>
                      <w:trHeight w:val="379" w:hRule="exact"/>
                    </w:trPr>
                    <w:tc>
                      <w:tcPr>
                        <w:tcW w:w="1231" w:type="dxa"/>
                      </w:tcPr>
                      <w:p>
                        <w:pPr>
                          <w:pStyle w:val="TableParagraph"/>
                          <w:ind w:right="360"/>
                          <w:rPr>
                            <w:sz w:val="16"/>
                          </w:rPr>
                        </w:pPr>
                        <w:r>
                          <w:rPr>
                            <w:sz w:val="16"/>
                          </w:rPr>
                          <w:t>Lípidos en comida</w:t>
                        </w:r>
                      </w:p>
                    </w:tc>
                    <w:tc>
                      <w:tcPr>
                        <w:tcW w:w="701" w:type="dxa"/>
                      </w:tcPr>
                      <w:p>
                        <w:pPr>
                          <w:pStyle w:val="TableParagraph"/>
                          <w:spacing w:line="180" w:lineRule="exact"/>
                          <w:ind w:left="100"/>
                          <w:rPr>
                            <w:sz w:val="16"/>
                          </w:rPr>
                        </w:pPr>
                        <w:r>
                          <w:rPr>
                            <w:sz w:val="16"/>
                          </w:rPr>
                          <w:t>-0.253</w:t>
                        </w:r>
                      </w:p>
                    </w:tc>
                    <w:tc>
                      <w:tcPr>
                        <w:tcW w:w="845" w:type="dxa"/>
                      </w:tcPr>
                      <w:p>
                        <w:pPr>
                          <w:pStyle w:val="TableParagraph"/>
                          <w:spacing w:line="180" w:lineRule="exact"/>
                          <w:ind w:left="329"/>
                          <w:rPr>
                            <w:sz w:val="16"/>
                          </w:rPr>
                        </w:pPr>
                        <w:r>
                          <w:rPr>
                            <w:sz w:val="16"/>
                          </w:rPr>
                          <w:t>0.575</w:t>
                        </w:r>
                      </w:p>
                    </w:tc>
                  </w:tr>
                  <w:tr>
                    <w:trPr>
                      <w:trHeight w:val="377" w:hRule="exact"/>
                    </w:trPr>
                    <w:tc>
                      <w:tcPr>
                        <w:tcW w:w="1231" w:type="dxa"/>
                      </w:tcPr>
                      <w:p>
                        <w:pPr>
                          <w:pStyle w:val="TableParagraph"/>
                          <w:spacing w:line="182" w:lineRule="exact" w:before="1"/>
                          <w:ind w:right="191"/>
                          <w:rPr>
                            <w:sz w:val="16"/>
                          </w:rPr>
                        </w:pPr>
                        <w:r>
                          <w:rPr>
                            <w:sz w:val="16"/>
                          </w:rPr>
                          <w:t>Proteínas en comida</w:t>
                        </w:r>
                      </w:p>
                    </w:tc>
                    <w:tc>
                      <w:tcPr>
                        <w:tcW w:w="701" w:type="dxa"/>
                      </w:tcPr>
                      <w:p>
                        <w:pPr>
                          <w:pStyle w:val="TableParagraph"/>
                          <w:spacing w:before="133"/>
                          <w:ind w:left="187"/>
                          <w:rPr>
                            <w:sz w:val="16"/>
                          </w:rPr>
                        </w:pPr>
                        <w:r>
                          <w:rPr>
                            <w:sz w:val="16"/>
                          </w:rPr>
                          <w:t>0.433</w:t>
                        </w:r>
                      </w:p>
                    </w:tc>
                    <w:tc>
                      <w:tcPr>
                        <w:tcW w:w="845" w:type="dxa"/>
                      </w:tcPr>
                      <w:p>
                        <w:pPr>
                          <w:pStyle w:val="TableParagraph"/>
                          <w:spacing w:before="133"/>
                          <w:ind w:left="331"/>
                          <w:rPr>
                            <w:sz w:val="16"/>
                          </w:rPr>
                        </w:pPr>
                        <w:r>
                          <w:rPr>
                            <w:sz w:val="16"/>
                          </w:rPr>
                          <w:t>0.362</w:t>
                        </w:r>
                      </w:p>
                    </w:tc>
                  </w:tr>
                  <w:tr>
                    <w:trPr>
                      <w:trHeight w:val="562" w:hRule="exact"/>
                    </w:trPr>
                    <w:tc>
                      <w:tcPr>
                        <w:tcW w:w="1231" w:type="dxa"/>
                      </w:tcPr>
                      <w:p>
                        <w:pPr>
                          <w:pStyle w:val="TableParagraph"/>
                          <w:ind w:right="351"/>
                          <w:rPr>
                            <w:i/>
                            <w:sz w:val="16"/>
                          </w:rPr>
                        </w:pPr>
                        <w:r>
                          <w:rPr>
                            <w:sz w:val="16"/>
                          </w:rPr>
                          <w:t>Cuenta de UFC de </w:t>
                        </w:r>
                        <w:r>
                          <w:rPr>
                            <w:i/>
                            <w:sz w:val="16"/>
                          </w:rPr>
                          <w:t>S.</w:t>
                        </w:r>
                      </w:p>
                      <w:p>
                        <w:pPr>
                          <w:pStyle w:val="TableParagraph"/>
                          <w:spacing w:line="182" w:lineRule="exact"/>
                          <w:ind w:right="93"/>
                          <w:rPr>
                            <w:i/>
                            <w:sz w:val="16"/>
                          </w:rPr>
                        </w:pPr>
                        <w:r>
                          <w:rPr>
                            <w:i/>
                            <w:sz w:val="16"/>
                          </w:rPr>
                          <w:t>mutans</w:t>
                        </w:r>
                      </w:p>
                    </w:tc>
                    <w:tc>
                      <w:tcPr>
                        <w:tcW w:w="701" w:type="dxa"/>
                      </w:tcPr>
                      <w:p>
                        <w:pPr>
                          <w:pStyle w:val="TableParagraph"/>
                          <w:spacing w:before="133"/>
                          <w:ind w:left="134"/>
                          <w:rPr>
                            <w:sz w:val="16"/>
                          </w:rPr>
                        </w:pPr>
                        <w:r>
                          <w:rPr>
                            <w:sz w:val="16"/>
                          </w:rPr>
                          <w:t>-0.258</w:t>
                        </w:r>
                      </w:p>
                    </w:tc>
                    <w:tc>
                      <w:tcPr>
                        <w:tcW w:w="845" w:type="dxa"/>
                      </w:tcPr>
                      <w:p>
                        <w:pPr>
                          <w:pStyle w:val="TableParagraph"/>
                          <w:spacing w:before="133"/>
                          <w:ind w:left="331"/>
                          <w:rPr>
                            <w:sz w:val="16"/>
                          </w:rPr>
                        </w:pPr>
                        <w:r>
                          <w:rPr>
                            <w:sz w:val="16"/>
                          </w:rPr>
                          <w:t>0.000</w:t>
                        </w:r>
                      </w:p>
                    </w:tc>
                  </w:tr>
                  <w:tr>
                    <w:trPr>
                      <w:trHeight w:val="338" w:hRule="exact"/>
                    </w:trPr>
                    <w:tc>
                      <w:tcPr>
                        <w:tcW w:w="1231" w:type="dxa"/>
                      </w:tcPr>
                      <w:p>
                        <w:pPr>
                          <w:pStyle w:val="TableParagraph"/>
                          <w:spacing w:line="180" w:lineRule="exact"/>
                          <w:ind w:right="93"/>
                          <w:rPr>
                            <w:sz w:val="16"/>
                          </w:rPr>
                        </w:pPr>
                        <w:r>
                          <w:rPr>
                            <w:sz w:val="16"/>
                          </w:rPr>
                          <w:t>pH</w:t>
                        </w:r>
                      </w:p>
                    </w:tc>
                    <w:tc>
                      <w:tcPr>
                        <w:tcW w:w="701" w:type="dxa"/>
                      </w:tcPr>
                      <w:p>
                        <w:pPr>
                          <w:pStyle w:val="TableParagraph"/>
                          <w:spacing w:before="133"/>
                          <w:ind w:left="187"/>
                          <w:rPr>
                            <w:sz w:val="16"/>
                          </w:rPr>
                        </w:pPr>
                        <w:r>
                          <w:rPr>
                            <w:sz w:val="16"/>
                          </w:rPr>
                          <w:t>0.178</w:t>
                        </w:r>
                      </w:p>
                    </w:tc>
                    <w:tc>
                      <w:tcPr>
                        <w:tcW w:w="845" w:type="dxa"/>
                      </w:tcPr>
                      <w:p>
                        <w:pPr>
                          <w:pStyle w:val="TableParagraph"/>
                          <w:spacing w:before="133"/>
                          <w:ind w:left="331"/>
                          <w:rPr>
                            <w:sz w:val="16"/>
                          </w:rPr>
                        </w:pPr>
                        <w:r>
                          <w:rPr>
                            <w:sz w:val="16"/>
                          </w:rPr>
                          <w:t>0.395</w:t>
                        </w:r>
                      </w:p>
                    </w:tc>
                  </w:tr>
                  <w:tr>
                    <w:trPr>
                      <w:trHeight w:val="284" w:hRule="exact"/>
                    </w:trPr>
                    <w:tc>
                      <w:tcPr>
                        <w:tcW w:w="1231" w:type="dxa"/>
                        <w:tcBorders>
                          <w:bottom w:val="nil"/>
                          <w:right w:val="nil"/>
                        </w:tcBorders>
                      </w:tcPr>
                      <w:p>
                        <w:pPr>
                          <w:pStyle w:val="TableParagraph"/>
                          <w:spacing w:before="110"/>
                          <w:rPr>
                            <w:sz w:val="10"/>
                          </w:rPr>
                        </w:pPr>
                        <w:r>
                          <w:rPr>
                            <w:position w:val="-7"/>
                            <w:sz w:val="16"/>
                          </w:rPr>
                          <w:t>R</w:t>
                        </w:r>
                        <w:r>
                          <w:rPr>
                            <w:sz w:val="10"/>
                          </w:rPr>
                          <w:t>2</w:t>
                        </w:r>
                      </w:p>
                    </w:tc>
                    <w:tc>
                      <w:tcPr>
                        <w:tcW w:w="701" w:type="dxa"/>
                        <w:tcBorders>
                          <w:left w:val="nil"/>
                          <w:bottom w:val="nil"/>
                          <w:right w:val="nil"/>
                        </w:tcBorders>
                      </w:tcPr>
                      <w:p>
                        <w:pPr>
                          <w:pStyle w:val="TableParagraph"/>
                          <w:spacing w:before="133"/>
                          <w:ind w:left="0" w:right="19"/>
                          <w:jc w:val="right"/>
                          <w:rPr>
                            <w:sz w:val="16"/>
                          </w:rPr>
                        </w:pPr>
                        <w:r>
                          <w:rPr>
                            <w:sz w:val="16"/>
                          </w:rPr>
                          <w:t>0.346</w:t>
                        </w:r>
                      </w:p>
                    </w:tc>
                    <w:tc>
                      <w:tcPr>
                        <w:tcW w:w="845" w:type="dxa"/>
                        <w:tcBorders>
                          <w:left w:val="nil"/>
                          <w:bottom w:val="nil"/>
                        </w:tcBorders>
                      </w:tcPr>
                      <w:p>
                        <w:pPr/>
                      </w:p>
                    </w:tc>
                  </w:tr>
                </w:tbl>
                <w:p>
                  <w:pPr>
                    <w:pStyle w:val="BodyText"/>
                  </w:pPr>
                </w:p>
              </w:txbxContent>
            </v:textbox>
            <w10:wrap type="none"/>
          </v:shape>
        </w:pict>
      </w:r>
    </w:p>
    <w:p>
      <w:pPr>
        <w:pStyle w:val="BodyText"/>
        <w:spacing w:before="69"/>
        <w:ind w:left="222"/>
      </w:pPr>
      <w:r>
        <w:rPr/>
        <w:t>Tabla 10. 5.  Modelo de Regresión lineal múltiple</w:t>
      </w:r>
    </w:p>
    <w:p>
      <w:pPr>
        <w:pStyle w:val="BodyText"/>
        <w:spacing w:before="7"/>
        <w:rPr>
          <w:sz w:val="1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3"/>
        <w:gridCol w:w="113"/>
        <w:gridCol w:w="1270"/>
        <w:gridCol w:w="816"/>
        <w:gridCol w:w="110"/>
        <w:gridCol w:w="402"/>
        <w:gridCol w:w="340"/>
        <w:gridCol w:w="113"/>
        <w:gridCol w:w="113"/>
        <w:gridCol w:w="1244"/>
        <w:gridCol w:w="876"/>
        <w:gridCol w:w="756"/>
        <w:gridCol w:w="134"/>
      </w:tblGrid>
      <w:tr>
        <w:trPr>
          <w:trHeight w:val="599" w:hRule="exact"/>
        </w:trPr>
        <w:tc>
          <w:tcPr>
            <w:tcW w:w="3003" w:type="dxa"/>
            <w:vMerge w:val="restart"/>
          </w:tcPr>
          <w:p>
            <w:pPr/>
          </w:p>
        </w:tc>
        <w:tc>
          <w:tcPr>
            <w:tcW w:w="113" w:type="dxa"/>
            <w:vMerge w:val="restart"/>
          </w:tcPr>
          <w:p>
            <w:pPr/>
          </w:p>
        </w:tc>
        <w:tc>
          <w:tcPr>
            <w:tcW w:w="2938" w:type="dxa"/>
            <w:gridSpan w:val="5"/>
            <w:tcBorders>
              <w:top w:val="double" w:sz="8" w:space="0" w:color="000000"/>
            </w:tcBorders>
          </w:tcPr>
          <w:p>
            <w:pPr>
              <w:pStyle w:val="TableParagraph"/>
              <w:spacing w:before="18"/>
              <w:ind w:left="164" w:right="163"/>
              <w:jc w:val="center"/>
              <w:rPr>
                <w:b/>
                <w:sz w:val="16"/>
              </w:rPr>
            </w:pPr>
            <w:r>
              <w:rPr>
                <w:b/>
                <w:sz w:val="16"/>
              </w:rPr>
              <w:t>Grupo fluoruro de sodio al 0 .02% y clorhexidina al 2% medición basal</w:t>
            </w:r>
          </w:p>
        </w:tc>
        <w:tc>
          <w:tcPr>
            <w:tcW w:w="113" w:type="dxa"/>
            <w:vMerge w:val="restart"/>
          </w:tcPr>
          <w:p>
            <w:pPr/>
          </w:p>
        </w:tc>
        <w:tc>
          <w:tcPr>
            <w:tcW w:w="113" w:type="dxa"/>
            <w:vMerge w:val="restart"/>
          </w:tcPr>
          <w:p>
            <w:pPr/>
          </w:p>
        </w:tc>
        <w:tc>
          <w:tcPr>
            <w:tcW w:w="2876" w:type="dxa"/>
            <w:gridSpan w:val="3"/>
            <w:tcBorders>
              <w:top w:val="single" w:sz="8" w:space="0" w:color="000000"/>
            </w:tcBorders>
          </w:tcPr>
          <w:p>
            <w:pPr>
              <w:pStyle w:val="TableParagraph"/>
              <w:ind w:left="368" w:right="367"/>
              <w:jc w:val="center"/>
              <w:rPr>
                <w:b/>
                <w:sz w:val="16"/>
              </w:rPr>
            </w:pPr>
            <w:r>
              <w:rPr>
                <w:b/>
                <w:sz w:val="16"/>
              </w:rPr>
              <w:t>Grupo con aplicaciones de clorhexidina</w:t>
            </w:r>
          </w:p>
          <w:p>
            <w:pPr>
              <w:pStyle w:val="TableParagraph"/>
              <w:spacing w:line="182" w:lineRule="exact"/>
              <w:ind w:left="367" w:right="368"/>
              <w:jc w:val="center"/>
              <w:rPr>
                <w:b/>
                <w:sz w:val="16"/>
              </w:rPr>
            </w:pPr>
            <w:r>
              <w:rPr>
                <w:b/>
                <w:sz w:val="16"/>
              </w:rPr>
              <w:t>al 2 % medición basal</w:t>
            </w:r>
          </w:p>
        </w:tc>
        <w:tc>
          <w:tcPr>
            <w:tcW w:w="134" w:type="dxa"/>
            <w:tcBorders>
              <w:bottom w:val="nil"/>
            </w:tcBorders>
          </w:tcPr>
          <w:p>
            <w:pPr/>
          </w:p>
        </w:tc>
      </w:tr>
      <w:tr>
        <w:trPr>
          <w:trHeight w:val="354" w:hRule="exact"/>
        </w:trPr>
        <w:tc>
          <w:tcPr>
            <w:tcW w:w="3003" w:type="dxa"/>
            <w:vMerge/>
          </w:tcPr>
          <w:p>
            <w:pPr/>
          </w:p>
        </w:tc>
        <w:tc>
          <w:tcPr>
            <w:tcW w:w="113" w:type="dxa"/>
            <w:vMerge/>
          </w:tcPr>
          <w:p>
            <w:pPr/>
          </w:p>
        </w:tc>
        <w:tc>
          <w:tcPr>
            <w:tcW w:w="1270" w:type="dxa"/>
          </w:tcPr>
          <w:p>
            <w:pPr>
              <w:pStyle w:val="TableParagraph"/>
              <w:spacing w:before="24"/>
              <w:ind w:left="335" w:right="132"/>
              <w:rPr>
                <w:sz w:val="16"/>
              </w:rPr>
            </w:pPr>
            <w:r>
              <w:rPr>
                <w:sz w:val="16"/>
              </w:rPr>
              <w:t>Variable</w:t>
            </w:r>
          </w:p>
        </w:tc>
        <w:tc>
          <w:tcPr>
            <w:tcW w:w="816" w:type="dxa"/>
          </w:tcPr>
          <w:p>
            <w:pPr>
              <w:pStyle w:val="TableParagraph"/>
              <w:spacing w:before="24"/>
              <w:ind w:left="227"/>
              <w:rPr>
                <w:sz w:val="16"/>
              </w:rPr>
            </w:pPr>
            <w:r>
              <w:rPr>
                <w:sz w:val="16"/>
              </w:rPr>
              <w:t>prob</w:t>
            </w:r>
          </w:p>
        </w:tc>
        <w:tc>
          <w:tcPr>
            <w:tcW w:w="852" w:type="dxa"/>
            <w:gridSpan w:val="3"/>
          </w:tcPr>
          <w:p>
            <w:pPr>
              <w:pStyle w:val="TableParagraph"/>
              <w:spacing w:before="24"/>
              <w:ind w:left="247"/>
              <w:rPr>
                <w:sz w:val="16"/>
              </w:rPr>
            </w:pPr>
            <w:r>
              <w:rPr>
                <w:sz w:val="16"/>
              </w:rPr>
              <w:t>E:E*</w:t>
            </w:r>
          </w:p>
        </w:tc>
        <w:tc>
          <w:tcPr>
            <w:tcW w:w="113" w:type="dxa"/>
            <w:vMerge/>
          </w:tcPr>
          <w:p>
            <w:pPr/>
          </w:p>
        </w:tc>
        <w:tc>
          <w:tcPr>
            <w:tcW w:w="113" w:type="dxa"/>
            <w:vMerge/>
          </w:tcPr>
          <w:p>
            <w:pPr/>
          </w:p>
        </w:tc>
        <w:tc>
          <w:tcPr>
            <w:tcW w:w="1244" w:type="dxa"/>
          </w:tcPr>
          <w:p>
            <w:pPr>
              <w:pStyle w:val="TableParagraph"/>
              <w:spacing w:line="153" w:lineRule="exact"/>
              <w:ind w:left="321"/>
              <w:rPr>
                <w:sz w:val="16"/>
              </w:rPr>
            </w:pPr>
            <w:r>
              <w:rPr>
                <w:sz w:val="16"/>
              </w:rPr>
              <w:t>Variable</w:t>
            </w:r>
          </w:p>
        </w:tc>
        <w:tc>
          <w:tcPr>
            <w:tcW w:w="876" w:type="dxa"/>
          </w:tcPr>
          <w:p>
            <w:pPr>
              <w:pStyle w:val="TableParagraph"/>
              <w:spacing w:line="153" w:lineRule="exact"/>
              <w:ind w:left="271"/>
              <w:rPr>
                <w:sz w:val="16"/>
              </w:rPr>
            </w:pPr>
            <w:r>
              <w:rPr>
                <w:sz w:val="16"/>
              </w:rPr>
              <w:t>prob</w:t>
            </w:r>
          </w:p>
        </w:tc>
        <w:tc>
          <w:tcPr>
            <w:tcW w:w="756" w:type="dxa"/>
          </w:tcPr>
          <w:p>
            <w:pPr>
              <w:pStyle w:val="TableParagraph"/>
              <w:spacing w:line="153" w:lineRule="exact"/>
              <w:ind w:left="213"/>
              <w:rPr>
                <w:sz w:val="16"/>
              </w:rPr>
            </w:pPr>
            <w:r>
              <w:rPr>
                <w:sz w:val="16"/>
              </w:rPr>
              <w:t>E:E*</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spacing w:before="13"/>
              <w:ind w:right="132"/>
              <w:rPr>
                <w:sz w:val="16"/>
              </w:rPr>
            </w:pPr>
            <w:r>
              <w:rPr>
                <w:sz w:val="16"/>
              </w:rPr>
              <w:t>Carbohidratos en desayuno</w:t>
            </w:r>
          </w:p>
        </w:tc>
        <w:tc>
          <w:tcPr>
            <w:tcW w:w="816" w:type="dxa"/>
          </w:tcPr>
          <w:p>
            <w:pPr>
              <w:pStyle w:val="TableParagraph"/>
              <w:ind w:left="0"/>
              <w:rPr>
                <w:sz w:val="13"/>
              </w:rPr>
            </w:pPr>
          </w:p>
          <w:p>
            <w:pPr>
              <w:pStyle w:val="TableParagraph"/>
              <w:ind w:left="273"/>
              <w:rPr>
                <w:sz w:val="16"/>
              </w:rPr>
            </w:pPr>
            <w:r>
              <w:rPr>
                <w:sz w:val="16"/>
              </w:rPr>
              <w:t>0.500</w:t>
            </w:r>
          </w:p>
        </w:tc>
        <w:tc>
          <w:tcPr>
            <w:tcW w:w="852" w:type="dxa"/>
            <w:gridSpan w:val="3"/>
          </w:tcPr>
          <w:p>
            <w:pPr>
              <w:pStyle w:val="TableParagraph"/>
              <w:ind w:left="0"/>
              <w:rPr>
                <w:sz w:val="13"/>
              </w:rPr>
            </w:pPr>
          </w:p>
          <w:p>
            <w:pPr>
              <w:pStyle w:val="TableParagraph"/>
              <w:ind w:left="338"/>
              <w:rPr>
                <w:sz w:val="16"/>
              </w:rPr>
            </w:pPr>
            <w:r>
              <w:rPr>
                <w:sz w:val="16"/>
              </w:rPr>
              <w:t>1.070</w:t>
            </w:r>
          </w:p>
        </w:tc>
        <w:tc>
          <w:tcPr>
            <w:tcW w:w="113" w:type="dxa"/>
            <w:vMerge/>
          </w:tcPr>
          <w:p>
            <w:pPr/>
          </w:p>
        </w:tc>
        <w:tc>
          <w:tcPr>
            <w:tcW w:w="113" w:type="dxa"/>
            <w:vMerge/>
          </w:tcPr>
          <w:p>
            <w:pPr/>
          </w:p>
        </w:tc>
        <w:tc>
          <w:tcPr>
            <w:tcW w:w="1244" w:type="dxa"/>
          </w:tcPr>
          <w:p>
            <w:pPr>
              <w:pStyle w:val="TableParagraph"/>
              <w:spacing w:line="165" w:lineRule="exact"/>
              <w:rPr>
                <w:sz w:val="16"/>
              </w:rPr>
            </w:pPr>
            <w:r>
              <w:rPr>
                <w:sz w:val="16"/>
              </w:rPr>
              <w:t>Carbohidratos</w:t>
            </w:r>
          </w:p>
          <w:p>
            <w:pPr>
              <w:pStyle w:val="TableParagraph"/>
              <w:spacing w:line="183" w:lineRule="exact"/>
              <w:rPr>
                <w:sz w:val="16"/>
              </w:rPr>
            </w:pPr>
            <w:r>
              <w:rPr>
                <w:sz w:val="16"/>
              </w:rPr>
              <w:t>en desayuno</w:t>
            </w:r>
          </w:p>
        </w:tc>
        <w:tc>
          <w:tcPr>
            <w:tcW w:w="876" w:type="dxa"/>
          </w:tcPr>
          <w:p>
            <w:pPr>
              <w:pStyle w:val="TableParagraph"/>
              <w:spacing w:before="118"/>
              <w:ind w:left="0" w:right="100"/>
              <w:jc w:val="right"/>
              <w:rPr>
                <w:sz w:val="16"/>
              </w:rPr>
            </w:pPr>
            <w:r>
              <w:rPr>
                <w:sz w:val="16"/>
              </w:rPr>
              <w:t>0.709</w:t>
            </w:r>
          </w:p>
        </w:tc>
        <w:tc>
          <w:tcPr>
            <w:tcW w:w="756" w:type="dxa"/>
          </w:tcPr>
          <w:p>
            <w:pPr>
              <w:pStyle w:val="TableParagraph"/>
              <w:spacing w:before="118"/>
              <w:ind w:left="242"/>
              <w:rPr>
                <w:sz w:val="16"/>
              </w:rPr>
            </w:pPr>
            <w:r>
              <w:rPr>
                <w:sz w:val="16"/>
              </w:rPr>
              <w:t>1.750</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spacing w:before="12"/>
              <w:ind w:right="398"/>
              <w:rPr>
                <w:sz w:val="16"/>
              </w:rPr>
            </w:pPr>
            <w:r>
              <w:rPr>
                <w:sz w:val="16"/>
              </w:rPr>
              <w:t>Lípidos en desayuno</w:t>
            </w:r>
          </w:p>
        </w:tc>
        <w:tc>
          <w:tcPr>
            <w:tcW w:w="816" w:type="dxa"/>
          </w:tcPr>
          <w:p>
            <w:pPr>
              <w:pStyle w:val="TableParagraph"/>
              <w:spacing w:before="10"/>
              <w:ind w:left="0"/>
              <w:rPr>
                <w:sz w:val="12"/>
              </w:rPr>
            </w:pPr>
          </w:p>
          <w:p>
            <w:pPr>
              <w:pStyle w:val="TableParagraph"/>
              <w:ind w:left="273"/>
              <w:rPr>
                <w:sz w:val="16"/>
              </w:rPr>
            </w:pPr>
            <w:r>
              <w:rPr>
                <w:sz w:val="16"/>
              </w:rPr>
              <w:t>0.007</w:t>
            </w:r>
          </w:p>
        </w:tc>
        <w:tc>
          <w:tcPr>
            <w:tcW w:w="852" w:type="dxa"/>
            <w:gridSpan w:val="3"/>
          </w:tcPr>
          <w:p>
            <w:pPr>
              <w:pStyle w:val="TableParagraph"/>
              <w:spacing w:before="10"/>
              <w:ind w:left="0"/>
              <w:rPr>
                <w:sz w:val="12"/>
              </w:rPr>
            </w:pPr>
          </w:p>
          <w:p>
            <w:pPr>
              <w:pStyle w:val="TableParagraph"/>
              <w:ind w:left="338"/>
              <w:rPr>
                <w:sz w:val="16"/>
              </w:rPr>
            </w:pPr>
            <w:r>
              <w:rPr>
                <w:sz w:val="16"/>
              </w:rPr>
              <w:t>0.346</w:t>
            </w:r>
          </w:p>
        </w:tc>
        <w:tc>
          <w:tcPr>
            <w:tcW w:w="113" w:type="dxa"/>
            <w:vMerge/>
          </w:tcPr>
          <w:p>
            <w:pPr/>
          </w:p>
        </w:tc>
        <w:tc>
          <w:tcPr>
            <w:tcW w:w="113" w:type="dxa"/>
            <w:vMerge/>
          </w:tcPr>
          <w:p>
            <w:pPr/>
          </w:p>
        </w:tc>
        <w:tc>
          <w:tcPr>
            <w:tcW w:w="1244" w:type="dxa"/>
          </w:tcPr>
          <w:p>
            <w:pPr>
              <w:pStyle w:val="TableParagraph"/>
              <w:spacing w:line="165" w:lineRule="exact"/>
              <w:rPr>
                <w:sz w:val="16"/>
              </w:rPr>
            </w:pPr>
            <w:r>
              <w:rPr>
                <w:sz w:val="16"/>
              </w:rPr>
              <w:t>Lípidos en</w:t>
            </w:r>
          </w:p>
          <w:p>
            <w:pPr>
              <w:pStyle w:val="TableParagraph"/>
              <w:spacing w:before="1"/>
              <w:rPr>
                <w:sz w:val="16"/>
              </w:rPr>
            </w:pPr>
            <w:r>
              <w:rPr>
                <w:sz w:val="16"/>
              </w:rPr>
              <w:t>desayuno</w:t>
            </w:r>
          </w:p>
        </w:tc>
        <w:tc>
          <w:tcPr>
            <w:tcW w:w="876" w:type="dxa"/>
          </w:tcPr>
          <w:p>
            <w:pPr>
              <w:pStyle w:val="TableParagraph"/>
              <w:spacing w:before="117"/>
              <w:ind w:left="0" w:right="100"/>
              <w:jc w:val="right"/>
              <w:rPr>
                <w:sz w:val="16"/>
              </w:rPr>
            </w:pPr>
            <w:r>
              <w:rPr>
                <w:sz w:val="16"/>
              </w:rPr>
              <w:t>-0.253</w:t>
            </w:r>
          </w:p>
        </w:tc>
        <w:tc>
          <w:tcPr>
            <w:tcW w:w="756" w:type="dxa"/>
          </w:tcPr>
          <w:p>
            <w:pPr>
              <w:pStyle w:val="TableParagraph"/>
              <w:spacing w:before="117"/>
              <w:ind w:left="242"/>
              <w:rPr>
                <w:sz w:val="16"/>
              </w:rPr>
            </w:pPr>
            <w:r>
              <w:rPr>
                <w:sz w:val="16"/>
              </w:rPr>
              <w:t>0.575</w:t>
            </w:r>
          </w:p>
        </w:tc>
        <w:tc>
          <w:tcPr>
            <w:tcW w:w="134" w:type="dxa"/>
            <w:tcBorders>
              <w:top w:val="nil"/>
              <w:bottom w:val="nil"/>
            </w:tcBorders>
          </w:tcPr>
          <w:p>
            <w:pPr/>
          </w:p>
        </w:tc>
      </w:tr>
      <w:tr>
        <w:trPr>
          <w:trHeight w:val="383" w:hRule="exact"/>
        </w:trPr>
        <w:tc>
          <w:tcPr>
            <w:tcW w:w="3003" w:type="dxa"/>
            <w:vMerge/>
          </w:tcPr>
          <w:p>
            <w:pPr/>
          </w:p>
        </w:tc>
        <w:tc>
          <w:tcPr>
            <w:tcW w:w="113" w:type="dxa"/>
            <w:vMerge/>
          </w:tcPr>
          <w:p>
            <w:pPr/>
          </w:p>
        </w:tc>
        <w:tc>
          <w:tcPr>
            <w:tcW w:w="1270" w:type="dxa"/>
          </w:tcPr>
          <w:p>
            <w:pPr>
              <w:pStyle w:val="TableParagraph"/>
              <w:spacing w:before="13"/>
              <w:ind w:right="229"/>
              <w:rPr>
                <w:sz w:val="16"/>
              </w:rPr>
            </w:pPr>
            <w:r>
              <w:rPr>
                <w:sz w:val="16"/>
              </w:rPr>
              <w:t>Proteínas en desayuno</w:t>
            </w:r>
          </w:p>
        </w:tc>
        <w:tc>
          <w:tcPr>
            <w:tcW w:w="816" w:type="dxa"/>
          </w:tcPr>
          <w:p>
            <w:pPr>
              <w:pStyle w:val="TableParagraph"/>
              <w:ind w:left="0"/>
              <w:rPr>
                <w:sz w:val="13"/>
              </w:rPr>
            </w:pPr>
          </w:p>
          <w:p>
            <w:pPr>
              <w:pStyle w:val="TableParagraph"/>
              <w:ind w:left="220"/>
              <w:rPr>
                <w:sz w:val="16"/>
              </w:rPr>
            </w:pPr>
            <w:r>
              <w:rPr>
                <w:sz w:val="16"/>
              </w:rPr>
              <w:t>-0.334</w:t>
            </w:r>
          </w:p>
        </w:tc>
        <w:tc>
          <w:tcPr>
            <w:tcW w:w="852" w:type="dxa"/>
            <w:gridSpan w:val="3"/>
          </w:tcPr>
          <w:p>
            <w:pPr>
              <w:pStyle w:val="TableParagraph"/>
              <w:ind w:left="0"/>
              <w:rPr>
                <w:sz w:val="13"/>
              </w:rPr>
            </w:pPr>
          </w:p>
          <w:p>
            <w:pPr>
              <w:pStyle w:val="TableParagraph"/>
              <w:ind w:left="338"/>
              <w:rPr>
                <w:sz w:val="16"/>
              </w:rPr>
            </w:pPr>
            <w:r>
              <w:rPr>
                <w:sz w:val="16"/>
              </w:rPr>
              <w:t>0.357</w:t>
            </w:r>
          </w:p>
        </w:tc>
        <w:tc>
          <w:tcPr>
            <w:tcW w:w="113" w:type="dxa"/>
            <w:vMerge/>
          </w:tcPr>
          <w:p>
            <w:pPr/>
          </w:p>
        </w:tc>
        <w:tc>
          <w:tcPr>
            <w:tcW w:w="113" w:type="dxa"/>
            <w:vMerge/>
          </w:tcPr>
          <w:p>
            <w:pPr/>
          </w:p>
        </w:tc>
        <w:tc>
          <w:tcPr>
            <w:tcW w:w="1244" w:type="dxa"/>
          </w:tcPr>
          <w:p>
            <w:pPr>
              <w:pStyle w:val="TableParagraph"/>
              <w:spacing w:line="165" w:lineRule="exact"/>
              <w:rPr>
                <w:sz w:val="16"/>
              </w:rPr>
            </w:pPr>
            <w:r>
              <w:rPr>
                <w:sz w:val="16"/>
              </w:rPr>
              <w:t>Proteínas en</w:t>
            </w:r>
          </w:p>
          <w:p>
            <w:pPr>
              <w:pStyle w:val="TableParagraph"/>
              <w:spacing w:line="183" w:lineRule="exact"/>
              <w:rPr>
                <w:sz w:val="16"/>
              </w:rPr>
            </w:pPr>
            <w:r>
              <w:rPr>
                <w:sz w:val="16"/>
              </w:rPr>
              <w:t>desayuno</w:t>
            </w:r>
          </w:p>
        </w:tc>
        <w:tc>
          <w:tcPr>
            <w:tcW w:w="876" w:type="dxa"/>
          </w:tcPr>
          <w:p>
            <w:pPr>
              <w:pStyle w:val="TableParagraph"/>
              <w:spacing w:before="118"/>
              <w:ind w:left="0" w:right="100"/>
              <w:jc w:val="right"/>
              <w:rPr>
                <w:sz w:val="16"/>
              </w:rPr>
            </w:pPr>
            <w:r>
              <w:rPr>
                <w:sz w:val="16"/>
              </w:rPr>
              <w:t>-0.212</w:t>
            </w:r>
          </w:p>
        </w:tc>
        <w:tc>
          <w:tcPr>
            <w:tcW w:w="756" w:type="dxa"/>
          </w:tcPr>
          <w:p>
            <w:pPr>
              <w:pStyle w:val="TableParagraph"/>
              <w:spacing w:before="118"/>
              <w:ind w:left="242"/>
              <w:rPr>
                <w:sz w:val="16"/>
              </w:rPr>
            </w:pPr>
            <w:r>
              <w:rPr>
                <w:sz w:val="16"/>
              </w:rPr>
              <w:t>0.607</w:t>
            </w:r>
          </w:p>
        </w:tc>
        <w:tc>
          <w:tcPr>
            <w:tcW w:w="134" w:type="dxa"/>
            <w:tcBorders>
              <w:top w:val="nil"/>
              <w:bottom w:val="nil"/>
            </w:tcBorders>
          </w:tcPr>
          <w:p>
            <w:pPr/>
          </w:p>
        </w:tc>
      </w:tr>
      <w:tr>
        <w:trPr>
          <w:trHeight w:val="379" w:hRule="exact"/>
        </w:trPr>
        <w:tc>
          <w:tcPr>
            <w:tcW w:w="3003" w:type="dxa"/>
            <w:vMerge/>
          </w:tcPr>
          <w:p>
            <w:pPr/>
          </w:p>
        </w:tc>
        <w:tc>
          <w:tcPr>
            <w:tcW w:w="113" w:type="dxa"/>
            <w:vMerge/>
          </w:tcPr>
          <w:p>
            <w:pPr/>
          </w:p>
        </w:tc>
        <w:tc>
          <w:tcPr>
            <w:tcW w:w="1270" w:type="dxa"/>
          </w:tcPr>
          <w:p>
            <w:pPr>
              <w:pStyle w:val="TableParagraph"/>
              <w:spacing w:before="16"/>
              <w:ind w:right="132"/>
              <w:rPr>
                <w:sz w:val="16"/>
              </w:rPr>
            </w:pPr>
            <w:r>
              <w:rPr>
                <w:sz w:val="16"/>
              </w:rPr>
              <w:t>Carbohidratos en comida</w:t>
            </w:r>
          </w:p>
        </w:tc>
        <w:tc>
          <w:tcPr>
            <w:tcW w:w="816" w:type="dxa"/>
          </w:tcPr>
          <w:p>
            <w:pPr>
              <w:pStyle w:val="TableParagraph"/>
              <w:spacing w:before="4"/>
              <w:ind w:left="0"/>
              <w:rPr>
                <w:sz w:val="13"/>
              </w:rPr>
            </w:pPr>
          </w:p>
          <w:p>
            <w:pPr>
              <w:pStyle w:val="TableParagraph"/>
              <w:ind w:left="220"/>
              <w:rPr>
                <w:sz w:val="16"/>
              </w:rPr>
            </w:pPr>
            <w:r>
              <w:rPr>
                <w:sz w:val="16"/>
              </w:rPr>
              <w:t>-1.171</w:t>
            </w:r>
          </w:p>
        </w:tc>
        <w:tc>
          <w:tcPr>
            <w:tcW w:w="852" w:type="dxa"/>
            <w:gridSpan w:val="3"/>
          </w:tcPr>
          <w:p>
            <w:pPr>
              <w:pStyle w:val="TableParagraph"/>
              <w:spacing w:before="4"/>
              <w:ind w:left="0"/>
              <w:rPr>
                <w:sz w:val="13"/>
              </w:rPr>
            </w:pPr>
          </w:p>
          <w:p>
            <w:pPr>
              <w:pStyle w:val="TableParagraph"/>
              <w:ind w:left="338"/>
              <w:rPr>
                <w:sz w:val="16"/>
              </w:rPr>
            </w:pPr>
            <w:r>
              <w:rPr>
                <w:sz w:val="16"/>
              </w:rPr>
              <w:t>1.104</w:t>
            </w:r>
          </w:p>
        </w:tc>
        <w:tc>
          <w:tcPr>
            <w:tcW w:w="113" w:type="dxa"/>
            <w:vMerge/>
          </w:tcPr>
          <w:p>
            <w:pPr/>
          </w:p>
        </w:tc>
        <w:tc>
          <w:tcPr>
            <w:tcW w:w="113" w:type="dxa"/>
            <w:vMerge/>
          </w:tcPr>
          <w:p>
            <w:pPr/>
          </w:p>
        </w:tc>
        <w:tc>
          <w:tcPr>
            <w:tcW w:w="1244" w:type="dxa"/>
          </w:tcPr>
          <w:p>
            <w:pPr>
              <w:pStyle w:val="TableParagraph"/>
              <w:spacing w:line="160" w:lineRule="exact"/>
              <w:rPr>
                <w:sz w:val="16"/>
              </w:rPr>
            </w:pPr>
            <w:r>
              <w:rPr>
                <w:sz w:val="16"/>
              </w:rPr>
              <w:t>Carbohidratos</w:t>
            </w:r>
          </w:p>
          <w:p>
            <w:pPr>
              <w:pStyle w:val="TableParagraph"/>
              <w:spacing w:before="1"/>
              <w:rPr>
                <w:sz w:val="16"/>
              </w:rPr>
            </w:pPr>
            <w:r>
              <w:rPr>
                <w:sz w:val="16"/>
              </w:rPr>
              <w:t>en comida</w:t>
            </w:r>
          </w:p>
        </w:tc>
        <w:tc>
          <w:tcPr>
            <w:tcW w:w="876" w:type="dxa"/>
          </w:tcPr>
          <w:p>
            <w:pPr>
              <w:pStyle w:val="TableParagraph"/>
              <w:spacing w:before="112"/>
              <w:ind w:left="0" w:right="100"/>
              <w:jc w:val="right"/>
              <w:rPr>
                <w:sz w:val="16"/>
              </w:rPr>
            </w:pPr>
            <w:r>
              <w:rPr>
                <w:sz w:val="16"/>
              </w:rPr>
              <w:t>0.274</w:t>
            </w:r>
          </w:p>
        </w:tc>
        <w:tc>
          <w:tcPr>
            <w:tcW w:w="756" w:type="dxa"/>
          </w:tcPr>
          <w:p>
            <w:pPr>
              <w:pStyle w:val="TableParagraph"/>
              <w:spacing w:before="112"/>
              <w:ind w:left="242"/>
              <w:rPr>
                <w:sz w:val="16"/>
              </w:rPr>
            </w:pPr>
            <w:r>
              <w:rPr>
                <w:sz w:val="16"/>
              </w:rPr>
              <w:t>1.804</w:t>
            </w:r>
          </w:p>
        </w:tc>
        <w:tc>
          <w:tcPr>
            <w:tcW w:w="134" w:type="dxa"/>
            <w:tcBorders>
              <w:top w:val="nil"/>
              <w:bottom w:val="nil"/>
            </w:tcBorders>
          </w:tcPr>
          <w:p>
            <w:pPr/>
          </w:p>
        </w:tc>
      </w:tr>
      <w:tr>
        <w:trPr>
          <w:trHeight w:val="377" w:hRule="exact"/>
        </w:trPr>
        <w:tc>
          <w:tcPr>
            <w:tcW w:w="3003" w:type="dxa"/>
            <w:vMerge/>
          </w:tcPr>
          <w:p>
            <w:pPr/>
          </w:p>
        </w:tc>
        <w:tc>
          <w:tcPr>
            <w:tcW w:w="113" w:type="dxa"/>
            <w:vMerge/>
          </w:tcPr>
          <w:p>
            <w:pPr/>
          </w:p>
        </w:tc>
        <w:tc>
          <w:tcPr>
            <w:tcW w:w="1270" w:type="dxa"/>
          </w:tcPr>
          <w:p>
            <w:pPr>
              <w:pStyle w:val="TableParagraph"/>
              <w:spacing w:before="16"/>
              <w:ind w:right="398"/>
              <w:rPr>
                <w:sz w:val="16"/>
              </w:rPr>
            </w:pPr>
            <w:r>
              <w:rPr>
                <w:sz w:val="16"/>
              </w:rPr>
              <w:t>Lípidos en comida</w:t>
            </w:r>
          </w:p>
        </w:tc>
        <w:tc>
          <w:tcPr>
            <w:tcW w:w="816" w:type="dxa"/>
          </w:tcPr>
          <w:p>
            <w:pPr>
              <w:pStyle w:val="TableParagraph"/>
              <w:spacing w:before="4"/>
              <w:ind w:left="0"/>
              <w:rPr>
                <w:sz w:val="13"/>
              </w:rPr>
            </w:pPr>
          </w:p>
          <w:p>
            <w:pPr>
              <w:pStyle w:val="TableParagraph"/>
              <w:ind w:left="220"/>
              <w:rPr>
                <w:sz w:val="16"/>
              </w:rPr>
            </w:pPr>
            <w:r>
              <w:rPr>
                <w:sz w:val="16"/>
              </w:rPr>
              <w:t>-0.345</w:t>
            </w:r>
          </w:p>
        </w:tc>
        <w:tc>
          <w:tcPr>
            <w:tcW w:w="852" w:type="dxa"/>
            <w:gridSpan w:val="3"/>
          </w:tcPr>
          <w:p>
            <w:pPr>
              <w:pStyle w:val="TableParagraph"/>
              <w:spacing w:before="4"/>
              <w:ind w:left="0"/>
              <w:rPr>
                <w:sz w:val="13"/>
              </w:rPr>
            </w:pPr>
          </w:p>
          <w:p>
            <w:pPr>
              <w:pStyle w:val="TableParagraph"/>
              <w:ind w:left="338"/>
              <w:rPr>
                <w:sz w:val="16"/>
              </w:rPr>
            </w:pPr>
            <w:r>
              <w:rPr>
                <w:sz w:val="16"/>
              </w:rPr>
              <w:t>1.119</w:t>
            </w:r>
          </w:p>
        </w:tc>
        <w:tc>
          <w:tcPr>
            <w:tcW w:w="113" w:type="dxa"/>
            <w:vMerge/>
          </w:tcPr>
          <w:p>
            <w:pPr/>
          </w:p>
        </w:tc>
        <w:tc>
          <w:tcPr>
            <w:tcW w:w="113" w:type="dxa"/>
            <w:vMerge/>
          </w:tcPr>
          <w:p>
            <w:pPr/>
          </w:p>
        </w:tc>
        <w:tc>
          <w:tcPr>
            <w:tcW w:w="1244" w:type="dxa"/>
          </w:tcPr>
          <w:p>
            <w:pPr>
              <w:pStyle w:val="TableParagraph"/>
              <w:spacing w:line="159" w:lineRule="exact"/>
              <w:rPr>
                <w:sz w:val="16"/>
              </w:rPr>
            </w:pPr>
            <w:r>
              <w:rPr>
                <w:sz w:val="16"/>
              </w:rPr>
              <w:t>Lípidos en</w:t>
            </w:r>
          </w:p>
          <w:p>
            <w:pPr>
              <w:pStyle w:val="TableParagraph"/>
              <w:spacing w:line="183" w:lineRule="exact"/>
              <w:rPr>
                <w:sz w:val="16"/>
              </w:rPr>
            </w:pPr>
            <w:r>
              <w:rPr>
                <w:sz w:val="16"/>
              </w:rPr>
              <w:t>comida</w:t>
            </w:r>
          </w:p>
        </w:tc>
        <w:tc>
          <w:tcPr>
            <w:tcW w:w="876" w:type="dxa"/>
          </w:tcPr>
          <w:p>
            <w:pPr>
              <w:pStyle w:val="TableParagraph"/>
              <w:spacing w:before="112"/>
              <w:ind w:left="0" w:right="100"/>
              <w:jc w:val="right"/>
              <w:rPr>
                <w:sz w:val="16"/>
              </w:rPr>
            </w:pPr>
            <w:r>
              <w:rPr>
                <w:sz w:val="16"/>
              </w:rPr>
              <w:t>0.482</w:t>
            </w:r>
          </w:p>
        </w:tc>
        <w:tc>
          <w:tcPr>
            <w:tcW w:w="756" w:type="dxa"/>
          </w:tcPr>
          <w:p>
            <w:pPr>
              <w:pStyle w:val="TableParagraph"/>
              <w:spacing w:before="112"/>
              <w:ind w:left="242"/>
              <w:rPr>
                <w:sz w:val="16"/>
              </w:rPr>
            </w:pPr>
            <w:r>
              <w:rPr>
                <w:sz w:val="16"/>
              </w:rPr>
              <w:t>1.785</w:t>
            </w:r>
          </w:p>
        </w:tc>
        <w:tc>
          <w:tcPr>
            <w:tcW w:w="134" w:type="dxa"/>
            <w:tcBorders>
              <w:top w:val="nil"/>
              <w:bottom w:val="nil"/>
            </w:tcBorders>
          </w:tcPr>
          <w:p>
            <w:pPr/>
          </w:p>
        </w:tc>
      </w:tr>
      <w:tr>
        <w:trPr>
          <w:trHeight w:val="383" w:hRule="exact"/>
        </w:trPr>
        <w:tc>
          <w:tcPr>
            <w:tcW w:w="3003" w:type="dxa"/>
            <w:vMerge/>
          </w:tcPr>
          <w:p>
            <w:pPr/>
          </w:p>
        </w:tc>
        <w:tc>
          <w:tcPr>
            <w:tcW w:w="113" w:type="dxa"/>
            <w:vMerge/>
          </w:tcPr>
          <w:p>
            <w:pPr/>
          </w:p>
        </w:tc>
        <w:tc>
          <w:tcPr>
            <w:tcW w:w="1270" w:type="dxa"/>
          </w:tcPr>
          <w:p>
            <w:pPr>
              <w:pStyle w:val="TableParagraph"/>
              <w:spacing w:before="16"/>
              <w:ind w:right="229"/>
              <w:rPr>
                <w:sz w:val="16"/>
              </w:rPr>
            </w:pPr>
            <w:r>
              <w:rPr>
                <w:sz w:val="16"/>
              </w:rPr>
              <w:t>Proteínas en comida</w:t>
            </w:r>
          </w:p>
        </w:tc>
        <w:tc>
          <w:tcPr>
            <w:tcW w:w="816" w:type="dxa"/>
          </w:tcPr>
          <w:p>
            <w:pPr>
              <w:pStyle w:val="TableParagraph"/>
              <w:spacing w:before="4"/>
              <w:ind w:left="0"/>
              <w:rPr>
                <w:sz w:val="13"/>
              </w:rPr>
            </w:pPr>
          </w:p>
          <w:p>
            <w:pPr>
              <w:pStyle w:val="TableParagraph"/>
              <w:ind w:left="273"/>
              <w:rPr>
                <w:sz w:val="16"/>
              </w:rPr>
            </w:pPr>
            <w:r>
              <w:rPr>
                <w:sz w:val="16"/>
              </w:rPr>
              <w:t>1.015</w:t>
            </w:r>
          </w:p>
        </w:tc>
        <w:tc>
          <w:tcPr>
            <w:tcW w:w="852" w:type="dxa"/>
            <w:gridSpan w:val="3"/>
          </w:tcPr>
          <w:p>
            <w:pPr>
              <w:pStyle w:val="TableParagraph"/>
              <w:spacing w:before="4"/>
              <w:ind w:left="0"/>
              <w:rPr>
                <w:sz w:val="13"/>
              </w:rPr>
            </w:pPr>
          </w:p>
          <w:p>
            <w:pPr>
              <w:pStyle w:val="TableParagraph"/>
              <w:ind w:left="338"/>
              <w:rPr>
                <w:sz w:val="16"/>
              </w:rPr>
            </w:pPr>
            <w:r>
              <w:rPr>
                <w:sz w:val="16"/>
              </w:rPr>
              <w:t>0.487</w:t>
            </w:r>
          </w:p>
        </w:tc>
        <w:tc>
          <w:tcPr>
            <w:tcW w:w="113" w:type="dxa"/>
            <w:vMerge/>
          </w:tcPr>
          <w:p>
            <w:pPr/>
          </w:p>
        </w:tc>
        <w:tc>
          <w:tcPr>
            <w:tcW w:w="113" w:type="dxa"/>
            <w:vMerge/>
          </w:tcPr>
          <w:p>
            <w:pPr/>
          </w:p>
        </w:tc>
        <w:tc>
          <w:tcPr>
            <w:tcW w:w="1244" w:type="dxa"/>
          </w:tcPr>
          <w:p>
            <w:pPr>
              <w:pStyle w:val="TableParagraph"/>
              <w:spacing w:line="160" w:lineRule="exact"/>
              <w:rPr>
                <w:sz w:val="16"/>
              </w:rPr>
            </w:pPr>
            <w:r>
              <w:rPr>
                <w:sz w:val="16"/>
              </w:rPr>
              <w:t>Proteínas en</w:t>
            </w:r>
          </w:p>
          <w:p>
            <w:pPr>
              <w:pStyle w:val="TableParagraph"/>
              <w:spacing w:before="1"/>
              <w:rPr>
                <w:sz w:val="16"/>
              </w:rPr>
            </w:pPr>
            <w:r>
              <w:rPr>
                <w:sz w:val="16"/>
              </w:rPr>
              <w:t>comida</w:t>
            </w:r>
          </w:p>
        </w:tc>
        <w:tc>
          <w:tcPr>
            <w:tcW w:w="876" w:type="dxa"/>
          </w:tcPr>
          <w:p>
            <w:pPr>
              <w:pStyle w:val="TableParagraph"/>
              <w:spacing w:before="112"/>
              <w:ind w:left="0" w:right="100"/>
              <w:jc w:val="right"/>
              <w:rPr>
                <w:sz w:val="16"/>
              </w:rPr>
            </w:pPr>
            <w:r>
              <w:rPr>
                <w:sz w:val="16"/>
              </w:rPr>
              <w:t>-0.026</w:t>
            </w:r>
          </w:p>
        </w:tc>
        <w:tc>
          <w:tcPr>
            <w:tcW w:w="756" w:type="dxa"/>
          </w:tcPr>
          <w:p>
            <w:pPr>
              <w:pStyle w:val="TableParagraph"/>
              <w:spacing w:before="112"/>
              <w:ind w:left="242"/>
              <w:rPr>
                <w:sz w:val="16"/>
              </w:rPr>
            </w:pPr>
            <w:r>
              <w:rPr>
                <w:sz w:val="16"/>
              </w:rPr>
              <w:t>0.839</w:t>
            </w:r>
          </w:p>
        </w:tc>
        <w:tc>
          <w:tcPr>
            <w:tcW w:w="134" w:type="dxa"/>
            <w:tcBorders>
              <w:top w:val="nil"/>
              <w:bottom w:val="nil"/>
            </w:tcBorders>
          </w:tcPr>
          <w:p>
            <w:pPr/>
          </w:p>
        </w:tc>
      </w:tr>
      <w:tr>
        <w:trPr>
          <w:trHeight w:val="564" w:hRule="exact"/>
        </w:trPr>
        <w:tc>
          <w:tcPr>
            <w:tcW w:w="3003" w:type="dxa"/>
            <w:vMerge/>
          </w:tcPr>
          <w:p>
            <w:pPr/>
          </w:p>
        </w:tc>
        <w:tc>
          <w:tcPr>
            <w:tcW w:w="113" w:type="dxa"/>
            <w:vMerge/>
          </w:tcPr>
          <w:p>
            <w:pPr/>
          </w:p>
        </w:tc>
        <w:tc>
          <w:tcPr>
            <w:tcW w:w="1270" w:type="dxa"/>
          </w:tcPr>
          <w:p>
            <w:pPr>
              <w:pStyle w:val="TableParagraph"/>
              <w:spacing w:before="22"/>
              <w:ind w:right="390"/>
              <w:rPr>
                <w:i/>
                <w:sz w:val="16"/>
              </w:rPr>
            </w:pPr>
            <w:r>
              <w:rPr>
                <w:sz w:val="16"/>
              </w:rPr>
              <w:t>Cuenta de UFC de </w:t>
            </w:r>
            <w:r>
              <w:rPr>
                <w:i/>
                <w:sz w:val="16"/>
              </w:rPr>
              <w:t>S.</w:t>
            </w:r>
          </w:p>
          <w:p>
            <w:pPr>
              <w:pStyle w:val="TableParagraph"/>
              <w:spacing w:line="182" w:lineRule="exact"/>
              <w:ind w:right="132"/>
              <w:rPr>
                <w:i/>
                <w:sz w:val="16"/>
              </w:rPr>
            </w:pPr>
            <w:r>
              <w:rPr>
                <w:i/>
                <w:sz w:val="16"/>
              </w:rPr>
              <w:t>mutans</w:t>
            </w:r>
          </w:p>
        </w:tc>
        <w:tc>
          <w:tcPr>
            <w:tcW w:w="816" w:type="dxa"/>
          </w:tcPr>
          <w:p>
            <w:pPr>
              <w:pStyle w:val="TableParagraph"/>
              <w:spacing w:before="10"/>
              <w:ind w:left="0"/>
              <w:rPr>
                <w:sz w:val="13"/>
              </w:rPr>
            </w:pPr>
          </w:p>
          <w:p>
            <w:pPr>
              <w:pStyle w:val="TableParagraph"/>
              <w:ind w:left="220"/>
              <w:rPr>
                <w:sz w:val="16"/>
              </w:rPr>
            </w:pPr>
            <w:r>
              <w:rPr>
                <w:sz w:val="16"/>
              </w:rPr>
              <w:t>-0.115</w:t>
            </w:r>
          </w:p>
        </w:tc>
        <w:tc>
          <w:tcPr>
            <w:tcW w:w="852" w:type="dxa"/>
            <w:gridSpan w:val="3"/>
          </w:tcPr>
          <w:p>
            <w:pPr>
              <w:pStyle w:val="TableParagraph"/>
              <w:spacing w:before="10"/>
              <w:ind w:left="0"/>
              <w:rPr>
                <w:sz w:val="13"/>
              </w:rPr>
            </w:pPr>
          </w:p>
          <w:p>
            <w:pPr>
              <w:pStyle w:val="TableParagraph"/>
              <w:ind w:left="338"/>
              <w:rPr>
                <w:sz w:val="16"/>
              </w:rPr>
            </w:pPr>
            <w:r>
              <w:rPr>
                <w:sz w:val="16"/>
              </w:rPr>
              <w:t>0.000</w:t>
            </w:r>
          </w:p>
        </w:tc>
        <w:tc>
          <w:tcPr>
            <w:tcW w:w="113" w:type="dxa"/>
            <w:vMerge/>
          </w:tcPr>
          <w:p>
            <w:pPr/>
          </w:p>
        </w:tc>
        <w:tc>
          <w:tcPr>
            <w:tcW w:w="113" w:type="dxa"/>
            <w:vMerge/>
          </w:tcPr>
          <w:p>
            <w:pPr/>
          </w:p>
        </w:tc>
        <w:tc>
          <w:tcPr>
            <w:tcW w:w="1244" w:type="dxa"/>
          </w:tcPr>
          <w:p>
            <w:pPr>
              <w:pStyle w:val="TableParagraph"/>
              <w:spacing w:line="156" w:lineRule="exact"/>
              <w:rPr>
                <w:sz w:val="16"/>
              </w:rPr>
            </w:pPr>
            <w:r>
              <w:rPr>
                <w:sz w:val="16"/>
              </w:rPr>
              <w:t>Cuenta de</w:t>
            </w:r>
          </w:p>
          <w:p>
            <w:pPr>
              <w:pStyle w:val="TableParagraph"/>
              <w:spacing w:line="183" w:lineRule="exact"/>
              <w:rPr>
                <w:i/>
                <w:sz w:val="16"/>
              </w:rPr>
            </w:pPr>
            <w:r>
              <w:rPr>
                <w:sz w:val="16"/>
              </w:rPr>
              <w:t>UFC de </w:t>
            </w:r>
            <w:r>
              <w:rPr>
                <w:i/>
                <w:sz w:val="16"/>
              </w:rPr>
              <w:t>S.</w:t>
            </w:r>
          </w:p>
          <w:p>
            <w:pPr>
              <w:pStyle w:val="TableParagraph"/>
              <w:spacing w:before="1"/>
              <w:rPr>
                <w:i/>
                <w:sz w:val="16"/>
              </w:rPr>
            </w:pPr>
            <w:r>
              <w:rPr>
                <w:i/>
                <w:sz w:val="16"/>
              </w:rPr>
              <w:t>mutans</w:t>
            </w:r>
          </w:p>
        </w:tc>
        <w:tc>
          <w:tcPr>
            <w:tcW w:w="876" w:type="dxa"/>
          </w:tcPr>
          <w:p>
            <w:pPr>
              <w:pStyle w:val="TableParagraph"/>
              <w:spacing w:before="109"/>
              <w:ind w:left="0" w:right="100"/>
              <w:jc w:val="right"/>
              <w:rPr>
                <w:sz w:val="16"/>
              </w:rPr>
            </w:pPr>
            <w:r>
              <w:rPr>
                <w:sz w:val="16"/>
              </w:rPr>
              <w:t>-0.006</w:t>
            </w:r>
          </w:p>
        </w:tc>
        <w:tc>
          <w:tcPr>
            <w:tcW w:w="756" w:type="dxa"/>
          </w:tcPr>
          <w:p>
            <w:pPr>
              <w:pStyle w:val="TableParagraph"/>
              <w:spacing w:before="109"/>
              <w:ind w:left="242"/>
              <w:rPr>
                <w:sz w:val="16"/>
              </w:rPr>
            </w:pPr>
            <w:r>
              <w:rPr>
                <w:sz w:val="16"/>
              </w:rPr>
              <w:t>0.000</w:t>
            </w:r>
          </w:p>
        </w:tc>
        <w:tc>
          <w:tcPr>
            <w:tcW w:w="134" w:type="dxa"/>
            <w:tcBorders>
              <w:top w:val="nil"/>
              <w:bottom w:val="nil"/>
            </w:tcBorders>
          </w:tcPr>
          <w:p>
            <w:pPr/>
          </w:p>
        </w:tc>
      </w:tr>
      <w:tr>
        <w:trPr>
          <w:trHeight w:val="331" w:hRule="exact"/>
        </w:trPr>
        <w:tc>
          <w:tcPr>
            <w:tcW w:w="3003" w:type="dxa"/>
            <w:vMerge/>
          </w:tcPr>
          <w:p>
            <w:pPr/>
          </w:p>
        </w:tc>
        <w:tc>
          <w:tcPr>
            <w:tcW w:w="113" w:type="dxa"/>
            <w:vMerge/>
          </w:tcPr>
          <w:p>
            <w:pPr/>
          </w:p>
        </w:tc>
        <w:tc>
          <w:tcPr>
            <w:tcW w:w="1270" w:type="dxa"/>
          </w:tcPr>
          <w:p>
            <w:pPr>
              <w:pStyle w:val="TableParagraph"/>
              <w:spacing w:before="22"/>
              <w:ind w:right="132"/>
              <w:rPr>
                <w:sz w:val="16"/>
              </w:rPr>
            </w:pPr>
            <w:r>
              <w:rPr>
                <w:sz w:val="16"/>
              </w:rPr>
              <w:t>pH</w:t>
            </w:r>
          </w:p>
        </w:tc>
        <w:tc>
          <w:tcPr>
            <w:tcW w:w="816" w:type="dxa"/>
          </w:tcPr>
          <w:p>
            <w:pPr>
              <w:pStyle w:val="TableParagraph"/>
              <w:spacing w:before="10"/>
              <w:ind w:left="0"/>
              <w:rPr>
                <w:sz w:val="13"/>
              </w:rPr>
            </w:pPr>
          </w:p>
          <w:p>
            <w:pPr>
              <w:pStyle w:val="TableParagraph"/>
              <w:ind w:left="273"/>
              <w:rPr>
                <w:sz w:val="16"/>
              </w:rPr>
            </w:pPr>
            <w:r>
              <w:rPr>
                <w:sz w:val="16"/>
              </w:rPr>
              <w:t>0.243</w:t>
            </w:r>
          </w:p>
        </w:tc>
        <w:tc>
          <w:tcPr>
            <w:tcW w:w="852" w:type="dxa"/>
            <w:gridSpan w:val="3"/>
          </w:tcPr>
          <w:p>
            <w:pPr>
              <w:pStyle w:val="TableParagraph"/>
              <w:spacing w:before="10"/>
              <w:ind w:left="0"/>
              <w:rPr>
                <w:sz w:val="13"/>
              </w:rPr>
            </w:pPr>
          </w:p>
          <w:p>
            <w:pPr>
              <w:pStyle w:val="TableParagraph"/>
              <w:ind w:left="338"/>
              <w:rPr>
                <w:sz w:val="16"/>
              </w:rPr>
            </w:pPr>
            <w:r>
              <w:rPr>
                <w:sz w:val="16"/>
              </w:rPr>
              <w:t>0.312</w:t>
            </w:r>
          </w:p>
        </w:tc>
        <w:tc>
          <w:tcPr>
            <w:tcW w:w="113" w:type="dxa"/>
            <w:vMerge/>
          </w:tcPr>
          <w:p>
            <w:pPr/>
          </w:p>
        </w:tc>
        <w:tc>
          <w:tcPr>
            <w:tcW w:w="113" w:type="dxa"/>
            <w:vMerge/>
          </w:tcPr>
          <w:p>
            <w:pPr/>
          </w:p>
        </w:tc>
        <w:tc>
          <w:tcPr>
            <w:tcW w:w="1244" w:type="dxa"/>
          </w:tcPr>
          <w:p>
            <w:pPr>
              <w:pStyle w:val="TableParagraph"/>
              <w:spacing w:line="154" w:lineRule="exact"/>
              <w:rPr>
                <w:sz w:val="16"/>
              </w:rPr>
            </w:pPr>
            <w:r>
              <w:rPr>
                <w:sz w:val="16"/>
              </w:rPr>
              <w:t>pH</w:t>
            </w:r>
          </w:p>
        </w:tc>
        <w:tc>
          <w:tcPr>
            <w:tcW w:w="876" w:type="dxa"/>
          </w:tcPr>
          <w:p>
            <w:pPr>
              <w:pStyle w:val="TableParagraph"/>
              <w:spacing w:before="106"/>
              <w:ind w:left="0" w:right="100"/>
              <w:jc w:val="right"/>
              <w:rPr>
                <w:sz w:val="16"/>
              </w:rPr>
            </w:pPr>
            <w:r>
              <w:rPr>
                <w:sz w:val="16"/>
              </w:rPr>
              <w:t>-0.188</w:t>
            </w:r>
          </w:p>
        </w:tc>
        <w:tc>
          <w:tcPr>
            <w:tcW w:w="756" w:type="dxa"/>
          </w:tcPr>
          <w:p>
            <w:pPr>
              <w:pStyle w:val="TableParagraph"/>
              <w:spacing w:before="106"/>
              <w:ind w:left="242"/>
              <w:rPr>
                <w:sz w:val="16"/>
              </w:rPr>
            </w:pPr>
            <w:r>
              <w:rPr>
                <w:sz w:val="16"/>
              </w:rPr>
              <w:t>0.865</w:t>
            </w:r>
          </w:p>
        </w:tc>
        <w:tc>
          <w:tcPr>
            <w:tcW w:w="134" w:type="dxa"/>
            <w:tcBorders>
              <w:top w:val="nil"/>
              <w:bottom w:val="nil"/>
            </w:tcBorders>
          </w:tcPr>
          <w:p>
            <w:pPr/>
          </w:p>
        </w:tc>
      </w:tr>
      <w:tr>
        <w:trPr>
          <w:trHeight w:val="205" w:hRule="exact"/>
        </w:trPr>
        <w:tc>
          <w:tcPr>
            <w:tcW w:w="3003" w:type="dxa"/>
            <w:vMerge/>
          </w:tcPr>
          <w:p>
            <w:pPr/>
          </w:p>
        </w:tc>
        <w:tc>
          <w:tcPr>
            <w:tcW w:w="113" w:type="dxa"/>
            <w:vMerge/>
          </w:tcPr>
          <w:p>
            <w:pPr/>
          </w:p>
        </w:tc>
        <w:tc>
          <w:tcPr>
            <w:tcW w:w="1270" w:type="dxa"/>
            <w:tcBorders>
              <w:right w:val="nil"/>
            </w:tcBorders>
          </w:tcPr>
          <w:p>
            <w:pPr>
              <w:pStyle w:val="TableParagraph"/>
              <w:spacing w:before="2"/>
              <w:rPr>
                <w:sz w:val="10"/>
              </w:rPr>
            </w:pPr>
            <w:r>
              <w:rPr>
                <w:position w:val="-7"/>
                <w:sz w:val="16"/>
              </w:rPr>
              <w:t>R</w:t>
            </w:r>
            <w:r>
              <w:rPr>
                <w:sz w:val="10"/>
              </w:rPr>
              <w:t>2</w:t>
            </w:r>
          </w:p>
        </w:tc>
        <w:tc>
          <w:tcPr>
            <w:tcW w:w="927" w:type="dxa"/>
            <w:gridSpan w:val="2"/>
            <w:tcBorders>
              <w:left w:val="nil"/>
              <w:right w:val="nil"/>
            </w:tcBorders>
          </w:tcPr>
          <w:p>
            <w:pPr>
              <w:pStyle w:val="TableParagraph"/>
              <w:spacing w:before="25"/>
              <w:ind w:left="345"/>
              <w:rPr>
                <w:sz w:val="16"/>
              </w:rPr>
            </w:pPr>
            <w:r>
              <w:rPr>
                <w:sz w:val="16"/>
              </w:rPr>
              <w:t>0.347</w:t>
            </w:r>
          </w:p>
        </w:tc>
        <w:tc>
          <w:tcPr>
            <w:tcW w:w="742" w:type="dxa"/>
            <w:gridSpan w:val="2"/>
            <w:tcBorders>
              <w:left w:val="nil"/>
            </w:tcBorders>
          </w:tcPr>
          <w:p>
            <w:pPr/>
          </w:p>
        </w:tc>
        <w:tc>
          <w:tcPr>
            <w:tcW w:w="113" w:type="dxa"/>
            <w:vMerge/>
          </w:tcPr>
          <w:p>
            <w:pPr/>
          </w:p>
        </w:tc>
        <w:tc>
          <w:tcPr>
            <w:tcW w:w="113" w:type="dxa"/>
            <w:vMerge/>
          </w:tcPr>
          <w:p>
            <w:pPr/>
          </w:p>
        </w:tc>
        <w:tc>
          <w:tcPr>
            <w:tcW w:w="1244" w:type="dxa"/>
            <w:tcBorders>
              <w:right w:val="nil"/>
            </w:tcBorders>
          </w:tcPr>
          <w:p>
            <w:pPr>
              <w:pStyle w:val="TableParagraph"/>
              <w:spacing w:line="152" w:lineRule="exact"/>
              <w:rPr>
                <w:sz w:val="10"/>
              </w:rPr>
            </w:pPr>
            <w:r>
              <w:rPr>
                <w:position w:val="-7"/>
                <w:sz w:val="16"/>
              </w:rPr>
              <w:t>R </w:t>
            </w:r>
            <w:r>
              <w:rPr>
                <w:sz w:val="10"/>
              </w:rPr>
              <w:t>2</w:t>
            </w:r>
          </w:p>
        </w:tc>
        <w:tc>
          <w:tcPr>
            <w:tcW w:w="1632" w:type="dxa"/>
            <w:gridSpan w:val="2"/>
            <w:tcBorders>
              <w:left w:val="nil"/>
            </w:tcBorders>
          </w:tcPr>
          <w:p>
            <w:pPr>
              <w:pStyle w:val="TableParagraph"/>
              <w:spacing w:line="152" w:lineRule="exact"/>
              <w:ind w:left="499"/>
              <w:rPr>
                <w:sz w:val="16"/>
              </w:rPr>
            </w:pPr>
            <w:r>
              <w:rPr>
                <w:sz w:val="16"/>
              </w:rPr>
              <w:t>0.051</w:t>
            </w:r>
          </w:p>
        </w:tc>
        <w:tc>
          <w:tcPr>
            <w:tcW w:w="134" w:type="dxa"/>
            <w:tcBorders>
              <w:top w:val="nil"/>
              <w:bottom w:val="nil"/>
            </w:tcBorders>
          </w:tcPr>
          <w:p>
            <w:pPr/>
          </w:p>
        </w:tc>
      </w:tr>
      <w:tr>
        <w:trPr>
          <w:trHeight w:val="563" w:hRule="exact"/>
        </w:trPr>
        <w:tc>
          <w:tcPr>
            <w:tcW w:w="3003" w:type="dxa"/>
            <w:vMerge/>
          </w:tcPr>
          <w:p>
            <w:pPr/>
          </w:p>
        </w:tc>
        <w:tc>
          <w:tcPr>
            <w:tcW w:w="113" w:type="dxa"/>
            <w:vMerge/>
          </w:tcPr>
          <w:p>
            <w:pPr/>
          </w:p>
        </w:tc>
        <w:tc>
          <w:tcPr>
            <w:tcW w:w="2938" w:type="dxa"/>
            <w:gridSpan w:val="5"/>
          </w:tcPr>
          <w:p>
            <w:pPr>
              <w:pStyle w:val="TableParagraph"/>
              <w:spacing w:before="12"/>
              <w:ind w:left="164" w:right="164"/>
              <w:jc w:val="center"/>
              <w:rPr>
                <w:b/>
                <w:sz w:val="16"/>
              </w:rPr>
            </w:pPr>
            <w:r>
              <w:rPr>
                <w:b/>
                <w:sz w:val="16"/>
              </w:rPr>
              <w:t>Grupo fluoruro de sodio al 0 .02% y clorhexidina al 2%medición 3 meses</w:t>
            </w:r>
          </w:p>
        </w:tc>
        <w:tc>
          <w:tcPr>
            <w:tcW w:w="113" w:type="dxa"/>
            <w:vMerge/>
          </w:tcPr>
          <w:p>
            <w:pPr/>
          </w:p>
        </w:tc>
        <w:tc>
          <w:tcPr>
            <w:tcW w:w="113" w:type="dxa"/>
            <w:vMerge/>
          </w:tcPr>
          <w:p>
            <w:pPr/>
          </w:p>
        </w:tc>
        <w:tc>
          <w:tcPr>
            <w:tcW w:w="2876" w:type="dxa"/>
            <w:gridSpan w:val="3"/>
          </w:tcPr>
          <w:p>
            <w:pPr>
              <w:pStyle w:val="TableParagraph"/>
              <w:spacing w:line="160" w:lineRule="exact"/>
              <w:ind w:left="368" w:right="368"/>
              <w:jc w:val="center"/>
              <w:rPr>
                <w:b/>
                <w:sz w:val="16"/>
              </w:rPr>
            </w:pPr>
            <w:r>
              <w:rPr>
                <w:b/>
                <w:sz w:val="16"/>
              </w:rPr>
              <w:t>Grupo  con aplicaciones de</w:t>
            </w:r>
          </w:p>
          <w:p>
            <w:pPr>
              <w:pStyle w:val="TableParagraph"/>
              <w:spacing w:before="1"/>
              <w:ind w:left="368" w:right="368"/>
              <w:jc w:val="center"/>
              <w:rPr>
                <w:b/>
                <w:sz w:val="16"/>
              </w:rPr>
            </w:pPr>
            <w:r>
              <w:rPr>
                <w:b/>
                <w:sz w:val="16"/>
              </w:rPr>
              <w:t>clorhexidina</w:t>
            </w:r>
          </w:p>
          <w:p>
            <w:pPr>
              <w:pStyle w:val="TableParagraph"/>
              <w:spacing w:before="1"/>
              <w:ind w:left="368" w:right="367"/>
              <w:jc w:val="center"/>
              <w:rPr>
                <w:b/>
                <w:sz w:val="16"/>
              </w:rPr>
            </w:pPr>
            <w:r>
              <w:rPr>
                <w:b/>
                <w:sz w:val="16"/>
              </w:rPr>
              <w:t>al 2 % medición  3 meses</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spacing w:before="15"/>
              <w:ind w:right="132"/>
              <w:rPr>
                <w:sz w:val="16"/>
              </w:rPr>
            </w:pPr>
            <w:r>
              <w:rPr>
                <w:sz w:val="16"/>
              </w:rPr>
              <w:t>Carbohidratos en desayuno</w:t>
            </w:r>
          </w:p>
        </w:tc>
        <w:tc>
          <w:tcPr>
            <w:tcW w:w="816" w:type="dxa"/>
          </w:tcPr>
          <w:p>
            <w:pPr>
              <w:pStyle w:val="TableParagraph"/>
              <w:spacing w:before="2"/>
              <w:ind w:left="0"/>
              <w:rPr>
                <w:sz w:val="13"/>
              </w:rPr>
            </w:pPr>
          </w:p>
          <w:p>
            <w:pPr>
              <w:pStyle w:val="TableParagraph"/>
              <w:spacing w:before="1"/>
              <w:ind w:left="273"/>
              <w:rPr>
                <w:sz w:val="16"/>
              </w:rPr>
            </w:pPr>
            <w:r>
              <w:rPr>
                <w:sz w:val="16"/>
              </w:rPr>
              <w:t>-1.358</w:t>
            </w:r>
          </w:p>
        </w:tc>
        <w:tc>
          <w:tcPr>
            <w:tcW w:w="852" w:type="dxa"/>
            <w:gridSpan w:val="3"/>
          </w:tcPr>
          <w:p>
            <w:pPr>
              <w:pStyle w:val="TableParagraph"/>
              <w:spacing w:before="2"/>
              <w:ind w:left="0"/>
              <w:rPr>
                <w:sz w:val="13"/>
              </w:rPr>
            </w:pPr>
          </w:p>
          <w:p>
            <w:pPr>
              <w:pStyle w:val="TableParagraph"/>
              <w:spacing w:before="1"/>
              <w:ind w:left="338"/>
              <w:rPr>
                <w:sz w:val="16"/>
              </w:rPr>
            </w:pPr>
            <w:r>
              <w:rPr>
                <w:sz w:val="16"/>
              </w:rPr>
              <w:t>0.849</w:t>
            </w:r>
          </w:p>
        </w:tc>
        <w:tc>
          <w:tcPr>
            <w:tcW w:w="113" w:type="dxa"/>
            <w:vMerge/>
          </w:tcPr>
          <w:p>
            <w:pPr/>
          </w:p>
        </w:tc>
        <w:tc>
          <w:tcPr>
            <w:tcW w:w="113" w:type="dxa"/>
            <w:vMerge/>
          </w:tcPr>
          <w:p>
            <w:pPr/>
          </w:p>
        </w:tc>
        <w:tc>
          <w:tcPr>
            <w:tcW w:w="1244" w:type="dxa"/>
          </w:tcPr>
          <w:p>
            <w:pPr>
              <w:pStyle w:val="TableParagraph"/>
              <w:spacing w:line="161" w:lineRule="exact"/>
              <w:rPr>
                <w:sz w:val="16"/>
              </w:rPr>
            </w:pPr>
            <w:r>
              <w:rPr>
                <w:sz w:val="16"/>
              </w:rPr>
              <w:t>Carbohidratos</w:t>
            </w:r>
          </w:p>
          <w:p>
            <w:pPr>
              <w:pStyle w:val="TableParagraph"/>
              <w:spacing w:before="1"/>
              <w:rPr>
                <w:sz w:val="16"/>
              </w:rPr>
            </w:pPr>
            <w:r>
              <w:rPr>
                <w:sz w:val="16"/>
              </w:rPr>
              <w:t>en desayuno</w:t>
            </w:r>
          </w:p>
        </w:tc>
        <w:tc>
          <w:tcPr>
            <w:tcW w:w="876" w:type="dxa"/>
          </w:tcPr>
          <w:p>
            <w:pPr>
              <w:pStyle w:val="TableParagraph"/>
              <w:spacing w:before="114"/>
              <w:ind w:left="0" w:right="100"/>
              <w:jc w:val="right"/>
              <w:rPr>
                <w:sz w:val="16"/>
              </w:rPr>
            </w:pPr>
            <w:r>
              <w:rPr>
                <w:sz w:val="16"/>
              </w:rPr>
              <w:t>-.221</w:t>
            </w:r>
          </w:p>
        </w:tc>
        <w:tc>
          <w:tcPr>
            <w:tcW w:w="756" w:type="dxa"/>
          </w:tcPr>
          <w:p>
            <w:pPr>
              <w:pStyle w:val="TableParagraph"/>
              <w:spacing w:before="114"/>
              <w:ind w:left="242"/>
              <w:rPr>
                <w:sz w:val="16"/>
              </w:rPr>
            </w:pPr>
            <w:r>
              <w:rPr>
                <w:sz w:val="16"/>
              </w:rPr>
              <w:t>0.878</w:t>
            </w:r>
          </w:p>
        </w:tc>
        <w:tc>
          <w:tcPr>
            <w:tcW w:w="134" w:type="dxa"/>
            <w:tcBorders>
              <w:top w:val="nil"/>
              <w:bottom w:val="nil"/>
            </w:tcBorders>
          </w:tcPr>
          <w:p>
            <w:pPr/>
          </w:p>
        </w:tc>
      </w:tr>
      <w:tr>
        <w:trPr>
          <w:trHeight w:val="383" w:hRule="exact"/>
        </w:trPr>
        <w:tc>
          <w:tcPr>
            <w:tcW w:w="3003" w:type="dxa"/>
            <w:vMerge/>
          </w:tcPr>
          <w:p>
            <w:pPr/>
          </w:p>
        </w:tc>
        <w:tc>
          <w:tcPr>
            <w:tcW w:w="113" w:type="dxa"/>
            <w:vMerge/>
          </w:tcPr>
          <w:p>
            <w:pPr/>
          </w:p>
        </w:tc>
        <w:tc>
          <w:tcPr>
            <w:tcW w:w="1270" w:type="dxa"/>
          </w:tcPr>
          <w:p>
            <w:pPr>
              <w:pStyle w:val="TableParagraph"/>
              <w:spacing w:before="14"/>
              <w:ind w:right="398"/>
              <w:rPr>
                <w:sz w:val="16"/>
              </w:rPr>
            </w:pPr>
            <w:r>
              <w:rPr>
                <w:sz w:val="16"/>
              </w:rPr>
              <w:t>Lípidos en desayuno</w:t>
            </w:r>
          </w:p>
        </w:tc>
        <w:tc>
          <w:tcPr>
            <w:tcW w:w="816" w:type="dxa"/>
          </w:tcPr>
          <w:p>
            <w:pPr>
              <w:pStyle w:val="TableParagraph"/>
              <w:spacing w:before="1"/>
              <w:ind w:left="0"/>
              <w:rPr>
                <w:sz w:val="13"/>
              </w:rPr>
            </w:pPr>
          </w:p>
          <w:p>
            <w:pPr>
              <w:pStyle w:val="TableParagraph"/>
              <w:ind w:left="326"/>
              <w:rPr>
                <w:sz w:val="16"/>
              </w:rPr>
            </w:pPr>
            <w:r>
              <w:rPr>
                <w:sz w:val="16"/>
              </w:rPr>
              <w:t>0.169</w:t>
            </w:r>
          </w:p>
        </w:tc>
        <w:tc>
          <w:tcPr>
            <w:tcW w:w="852" w:type="dxa"/>
            <w:gridSpan w:val="3"/>
          </w:tcPr>
          <w:p>
            <w:pPr>
              <w:pStyle w:val="TableParagraph"/>
              <w:spacing w:before="1"/>
              <w:ind w:left="0"/>
              <w:rPr>
                <w:sz w:val="13"/>
              </w:rPr>
            </w:pPr>
          </w:p>
          <w:p>
            <w:pPr>
              <w:pStyle w:val="TableParagraph"/>
              <w:ind w:left="338"/>
              <w:rPr>
                <w:sz w:val="16"/>
              </w:rPr>
            </w:pPr>
            <w:r>
              <w:rPr>
                <w:sz w:val="16"/>
              </w:rPr>
              <w:t>0.285</w:t>
            </w:r>
          </w:p>
        </w:tc>
        <w:tc>
          <w:tcPr>
            <w:tcW w:w="113" w:type="dxa"/>
            <w:vMerge/>
          </w:tcPr>
          <w:p>
            <w:pPr/>
          </w:p>
        </w:tc>
        <w:tc>
          <w:tcPr>
            <w:tcW w:w="113" w:type="dxa"/>
            <w:vMerge/>
          </w:tcPr>
          <w:p>
            <w:pPr/>
          </w:p>
        </w:tc>
        <w:tc>
          <w:tcPr>
            <w:tcW w:w="1244" w:type="dxa"/>
          </w:tcPr>
          <w:p>
            <w:pPr>
              <w:pStyle w:val="TableParagraph"/>
              <w:spacing w:line="162" w:lineRule="exact"/>
              <w:rPr>
                <w:sz w:val="16"/>
              </w:rPr>
            </w:pPr>
            <w:r>
              <w:rPr>
                <w:sz w:val="16"/>
              </w:rPr>
              <w:t>Lípidos en</w:t>
            </w:r>
          </w:p>
          <w:p>
            <w:pPr>
              <w:pStyle w:val="TableParagraph"/>
              <w:spacing w:before="1"/>
              <w:rPr>
                <w:sz w:val="16"/>
              </w:rPr>
            </w:pPr>
            <w:r>
              <w:rPr>
                <w:sz w:val="16"/>
              </w:rPr>
              <w:t>desayuno</w:t>
            </w:r>
          </w:p>
        </w:tc>
        <w:tc>
          <w:tcPr>
            <w:tcW w:w="876" w:type="dxa"/>
          </w:tcPr>
          <w:p>
            <w:pPr>
              <w:pStyle w:val="TableParagraph"/>
              <w:spacing w:before="115"/>
              <w:ind w:left="0" w:right="100"/>
              <w:jc w:val="right"/>
              <w:rPr>
                <w:sz w:val="16"/>
              </w:rPr>
            </w:pPr>
            <w:r>
              <w:rPr>
                <w:sz w:val="16"/>
              </w:rPr>
              <w:t>-0.031</w:t>
            </w:r>
          </w:p>
        </w:tc>
        <w:tc>
          <w:tcPr>
            <w:tcW w:w="756" w:type="dxa"/>
          </w:tcPr>
          <w:p>
            <w:pPr>
              <w:pStyle w:val="TableParagraph"/>
              <w:spacing w:before="115"/>
              <w:ind w:left="242"/>
              <w:rPr>
                <w:sz w:val="16"/>
              </w:rPr>
            </w:pPr>
            <w:r>
              <w:rPr>
                <w:sz w:val="16"/>
              </w:rPr>
              <w:t>0.266</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spacing w:before="20"/>
              <w:ind w:right="229"/>
              <w:rPr>
                <w:sz w:val="16"/>
              </w:rPr>
            </w:pPr>
            <w:r>
              <w:rPr>
                <w:sz w:val="16"/>
              </w:rPr>
              <w:t>Proteínas en desayuno</w:t>
            </w:r>
          </w:p>
        </w:tc>
        <w:tc>
          <w:tcPr>
            <w:tcW w:w="816" w:type="dxa"/>
          </w:tcPr>
          <w:p>
            <w:pPr>
              <w:pStyle w:val="TableParagraph"/>
              <w:spacing w:before="7"/>
              <w:ind w:left="0"/>
              <w:rPr>
                <w:sz w:val="13"/>
              </w:rPr>
            </w:pPr>
          </w:p>
          <w:p>
            <w:pPr>
              <w:pStyle w:val="TableParagraph"/>
              <w:ind w:left="326"/>
              <w:rPr>
                <w:sz w:val="16"/>
              </w:rPr>
            </w:pPr>
            <w:r>
              <w:rPr>
                <w:sz w:val="16"/>
              </w:rPr>
              <w:t>0.141</w:t>
            </w:r>
          </w:p>
        </w:tc>
        <w:tc>
          <w:tcPr>
            <w:tcW w:w="852" w:type="dxa"/>
            <w:gridSpan w:val="3"/>
          </w:tcPr>
          <w:p>
            <w:pPr>
              <w:pStyle w:val="TableParagraph"/>
              <w:spacing w:before="7"/>
              <w:ind w:left="0"/>
              <w:rPr>
                <w:sz w:val="13"/>
              </w:rPr>
            </w:pPr>
          </w:p>
          <w:p>
            <w:pPr>
              <w:pStyle w:val="TableParagraph"/>
              <w:ind w:left="338"/>
              <w:rPr>
                <w:sz w:val="16"/>
              </w:rPr>
            </w:pPr>
            <w:r>
              <w:rPr>
                <w:sz w:val="16"/>
              </w:rPr>
              <w:t>0.276</w:t>
            </w:r>
          </w:p>
        </w:tc>
        <w:tc>
          <w:tcPr>
            <w:tcW w:w="113" w:type="dxa"/>
            <w:vMerge/>
          </w:tcPr>
          <w:p>
            <w:pPr/>
          </w:p>
        </w:tc>
        <w:tc>
          <w:tcPr>
            <w:tcW w:w="113" w:type="dxa"/>
            <w:vMerge/>
          </w:tcPr>
          <w:p>
            <w:pPr/>
          </w:p>
        </w:tc>
        <w:tc>
          <w:tcPr>
            <w:tcW w:w="1244" w:type="dxa"/>
          </w:tcPr>
          <w:p>
            <w:pPr>
              <w:pStyle w:val="TableParagraph"/>
              <w:spacing w:line="156" w:lineRule="exact"/>
              <w:rPr>
                <w:sz w:val="16"/>
              </w:rPr>
            </w:pPr>
            <w:r>
              <w:rPr>
                <w:sz w:val="16"/>
              </w:rPr>
              <w:t>Proteínas en</w:t>
            </w:r>
          </w:p>
          <w:p>
            <w:pPr>
              <w:pStyle w:val="TableParagraph"/>
              <w:spacing w:before="1"/>
              <w:rPr>
                <w:sz w:val="16"/>
              </w:rPr>
            </w:pPr>
            <w:r>
              <w:rPr>
                <w:sz w:val="16"/>
              </w:rPr>
              <w:t>desayuno</w:t>
            </w:r>
          </w:p>
        </w:tc>
        <w:tc>
          <w:tcPr>
            <w:tcW w:w="876" w:type="dxa"/>
          </w:tcPr>
          <w:p>
            <w:pPr>
              <w:pStyle w:val="TableParagraph"/>
              <w:spacing w:before="109"/>
              <w:ind w:left="0" w:right="100"/>
              <w:jc w:val="right"/>
              <w:rPr>
                <w:sz w:val="16"/>
              </w:rPr>
            </w:pPr>
            <w:r>
              <w:rPr>
                <w:sz w:val="16"/>
              </w:rPr>
              <w:t>-0.087</w:t>
            </w:r>
          </w:p>
        </w:tc>
        <w:tc>
          <w:tcPr>
            <w:tcW w:w="756" w:type="dxa"/>
          </w:tcPr>
          <w:p>
            <w:pPr>
              <w:pStyle w:val="TableParagraph"/>
              <w:spacing w:before="109"/>
              <w:ind w:left="242"/>
              <w:rPr>
                <w:sz w:val="16"/>
              </w:rPr>
            </w:pPr>
            <w:r>
              <w:rPr>
                <w:sz w:val="16"/>
              </w:rPr>
              <w:t>0.299</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spacing w:before="21"/>
              <w:ind w:right="132"/>
              <w:rPr>
                <w:sz w:val="16"/>
              </w:rPr>
            </w:pPr>
            <w:r>
              <w:rPr>
                <w:sz w:val="16"/>
              </w:rPr>
              <w:t>Carbohidratos en comida</w:t>
            </w:r>
          </w:p>
        </w:tc>
        <w:tc>
          <w:tcPr>
            <w:tcW w:w="816" w:type="dxa"/>
          </w:tcPr>
          <w:p>
            <w:pPr>
              <w:pStyle w:val="TableParagraph"/>
              <w:spacing w:before="8"/>
              <w:ind w:left="0"/>
              <w:rPr>
                <w:sz w:val="13"/>
              </w:rPr>
            </w:pPr>
          </w:p>
          <w:p>
            <w:pPr>
              <w:pStyle w:val="TableParagraph"/>
              <w:spacing w:before="1"/>
              <w:ind w:left="273"/>
              <w:rPr>
                <w:sz w:val="16"/>
              </w:rPr>
            </w:pPr>
            <w:r>
              <w:rPr>
                <w:sz w:val="16"/>
              </w:rPr>
              <w:t>-0.546</w:t>
            </w:r>
          </w:p>
        </w:tc>
        <w:tc>
          <w:tcPr>
            <w:tcW w:w="852" w:type="dxa"/>
            <w:gridSpan w:val="3"/>
          </w:tcPr>
          <w:p>
            <w:pPr>
              <w:pStyle w:val="TableParagraph"/>
              <w:spacing w:before="8"/>
              <w:ind w:left="0"/>
              <w:rPr>
                <w:sz w:val="13"/>
              </w:rPr>
            </w:pPr>
          </w:p>
          <w:p>
            <w:pPr>
              <w:pStyle w:val="TableParagraph"/>
              <w:spacing w:before="1"/>
              <w:ind w:left="338"/>
              <w:rPr>
                <w:sz w:val="16"/>
              </w:rPr>
            </w:pPr>
            <w:r>
              <w:rPr>
                <w:sz w:val="16"/>
              </w:rPr>
              <w:t>0.801</w:t>
            </w:r>
          </w:p>
        </w:tc>
        <w:tc>
          <w:tcPr>
            <w:tcW w:w="113" w:type="dxa"/>
            <w:vMerge/>
          </w:tcPr>
          <w:p>
            <w:pPr/>
          </w:p>
        </w:tc>
        <w:tc>
          <w:tcPr>
            <w:tcW w:w="113" w:type="dxa"/>
            <w:vMerge/>
          </w:tcPr>
          <w:p>
            <w:pPr/>
          </w:p>
        </w:tc>
        <w:tc>
          <w:tcPr>
            <w:tcW w:w="1244" w:type="dxa"/>
          </w:tcPr>
          <w:p>
            <w:pPr>
              <w:pStyle w:val="TableParagraph"/>
              <w:spacing w:line="158" w:lineRule="exact"/>
              <w:rPr>
                <w:sz w:val="16"/>
              </w:rPr>
            </w:pPr>
            <w:r>
              <w:rPr>
                <w:sz w:val="16"/>
              </w:rPr>
              <w:t>Carbohidratos</w:t>
            </w:r>
          </w:p>
          <w:p>
            <w:pPr>
              <w:pStyle w:val="TableParagraph"/>
              <w:spacing w:before="1"/>
              <w:rPr>
                <w:sz w:val="16"/>
              </w:rPr>
            </w:pPr>
            <w:r>
              <w:rPr>
                <w:sz w:val="16"/>
              </w:rPr>
              <w:t>en comida</w:t>
            </w:r>
          </w:p>
        </w:tc>
        <w:tc>
          <w:tcPr>
            <w:tcW w:w="876" w:type="dxa"/>
          </w:tcPr>
          <w:p>
            <w:pPr>
              <w:pStyle w:val="TableParagraph"/>
              <w:spacing w:before="110"/>
              <w:ind w:left="0" w:right="100"/>
              <w:jc w:val="right"/>
              <w:rPr>
                <w:sz w:val="16"/>
              </w:rPr>
            </w:pPr>
            <w:r>
              <w:rPr>
                <w:sz w:val="16"/>
              </w:rPr>
              <w:t>0.145</w:t>
            </w:r>
          </w:p>
        </w:tc>
        <w:tc>
          <w:tcPr>
            <w:tcW w:w="756" w:type="dxa"/>
          </w:tcPr>
          <w:p>
            <w:pPr>
              <w:pStyle w:val="TableParagraph"/>
              <w:spacing w:before="110"/>
              <w:ind w:left="242"/>
              <w:rPr>
                <w:sz w:val="16"/>
              </w:rPr>
            </w:pPr>
            <w:r>
              <w:rPr>
                <w:sz w:val="16"/>
              </w:rPr>
              <w:t>0.819</w:t>
            </w:r>
          </w:p>
        </w:tc>
        <w:tc>
          <w:tcPr>
            <w:tcW w:w="134" w:type="dxa"/>
            <w:tcBorders>
              <w:top w:val="nil"/>
              <w:bottom w:val="nil"/>
            </w:tcBorders>
          </w:tcPr>
          <w:p>
            <w:pPr/>
          </w:p>
        </w:tc>
      </w:tr>
      <w:tr>
        <w:trPr>
          <w:trHeight w:val="384" w:hRule="exact"/>
        </w:trPr>
        <w:tc>
          <w:tcPr>
            <w:tcW w:w="3003" w:type="dxa"/>
            <w:vMerge/>
          </w:tcPr>
          <w:p>
            <w:pPr/>
          </w:p>
        </w:tc>
        <w:tc>
          <w:tcPr>
            <w:tcW w:w="113" w:type="dxa"/>
            <w:vMerge/>
          </w:tcPr>
          <w:p>
            <w:pPr/>
          </w:p>
        </w:tc>
        <w:tc>
          <w:tcPr>
            <w:tcW w:w="1270" w:type="dxa"/>
          </w:tcPr>
          <w:p>
            <w:pPr>
              <w:pStyle w:val="TableParagraph"/>
              <w:spacing w:before="20"/>
              <w:ind w:right="398"/>
              <w:rPr>
                <w:sz w:val="16"/>
              </w:rPr>
            </w:pPr>
            <w:r>
              <w:rPr>
                <w:sz w:val="16"/>
              </w:rPr>
              <w:t>Lípidos en comida</w:t>
            </w:r>
          </w:p>
        </w:tc>
        <w:tc>
          <w:tcPr>
            <w:tcW w:w="816" w:type="dxa"/>
          </w:tcPr>
          <w:p>
            <w:pPr>
              <w:pStyle w:val="TableParagraph"/>
              <w:spacing w:before="8"/>
              <w:ind w:left="0"/>
              <w:rPr>
                <w:sz w:val="13"/>
              </w:rPr>
            </w:pPr>
          </w:p>
          <w:p>
            <w:pPr>
              <w:pStyle w:val="TableParagraph"/>
              <w:ind w:left="273"/>
              <w:rPr>
                <w:sz w:val="16"/>
              </w:rPr>
            </w:pPr>
            <w:r>
              <w:rPr>
                <w:sz w:val="16"/>
              </w:rPr>
              <w:t>-1.082</w:t>
            </w:r>
          </w:p>
        </w:tc>
        <w:tc>
          <w:tcPr>
            <w:tcW w:w="852" w:type="dxa"/>
            <w:gridSpan w:val="3"/>
          </w:tcPr>
          <w:p>
            <w:pPr>
              <w:pStyle w:val="TableParagraph"/>
              <w:spacing w:before="8"/>
              <w:ind w:left="0"/>
              <w:rPr>
                <w:sz w:val="13"/>
              </w:rPr>
            </w:pPr>
          </w:p>
          <w:p>
            <w:pPr>
              <w:pStyle w:val="TableParagraph"/>
              <w:ind w:left="338"/>
              <w:rPr>
                <w:sz w:val="16"/>
              </w:rPr>
            </w:pPr>
            <w:r>
              <w:rPr>
                <w:sz w:val="16"/>
              </w:rPr>
              <w:t>0.773</w:t>
            </w:r>
          </w:p>
        </w:tc>
        <w:tc>
          <w:tcPr>
            <w:tcW w:w="113" w:type="dxa"/>
            <w:vMerge/>
          </w:tcPr>
          <w:p>
            <w:pPr/>
          </w:p>
        </w:tc>
        <w:tc>
          <w:tcPr>
            <w:tcW w:w="113" w:type="dxa"/>
            <w:vMerge/>
          </w:tcPr>
          <w:p>
            <w:pPr/>
          </w:p>
        </w:tc>
        <w:tc>
          <w:tcPr>
            <w:tcW w:w="1244" w:type="dxa"/>
          </w:tcPr>
          <w:p>
            <w:pPr>
              <w:pStyle w:val="TableParagraph"/>
              <w:spacing w:line="157" w:lineRule="exact"/>
              <w:rPr>
                <w:sz w:val="16"/>
              </w:rPr>
            </w:pPr>
            <w:r>
              <w:rPr>
                <w:sz w:val="16"/>
              </w:rPr>
              <w:t>Lípidos en</w:t>
            </w:r>
          </w:p>
          <w:p>
            <w:pPr>
              <w:pStyle w:val="TableParagraph"/>
              <w:spacing w:before="1"/>
              <w:rPr>
                <w:sz w:val="16"/>
              </w:rPr>
            </w:pPr>
            <w:r>
              <w:rPr>
                <w:sz w:val="16"/>
              </w:rPr>
              <w:t>comida</w:t>
            </w:r>
          </w:p>
        </w:tc>
        <w:tc>
          <w:tcPr>
            <w:tcW w:w="876" w:type="dxa"/>
          </w:tcPr>
          <w:p>
            <w:pPr>
              <w:pStyle w:val="TableParagraph"/>
              <w:spacing w:before="109"/>
              <w:ind w:left="0" w:right="100"/>
              <w:jc w:val="right"/>
              <w:rPr>
                <w:sz w:val="16"/>
              </w:rPr>
            </w:pPr>
            <w:r>
              <w:rPr>
                <w:sz w:val="16"/>
              </w:rPr>
              <w:t>0.542</w:t>
            </w:r>
          </w:p>
        </w:tc>
        <w:tc>
          <w:tcPr>
            <w:tcW w:w="756" w:type="dxa"/>
          </w:tcPr>
          <w:p>
            <w:pPr>
              <w:pStyle w:val="TableParagraph"/>
              <w:spacing w:before="109"/>
              <w:ind w:left="242"/>
              <w:rPr>
                <w:sz w:val="16"/>
              </w:rPr>
            </w:pPr>
            <w:r>
              <w:rPr>
                <w:sz w:val="16"/>
              </w:rPr>
              <w:t>0.858</w:t>
            </w:r>
          </w:p>
        </w:tc>
        <w:tc>
          <w:tcPr>
            <w:tcW w:w="134" w:type="dxa"/>
            <w:tcBorders>
              <w:top w:val="nil"/>
              <w:bottom w:val="nil"/>
            </w:tcBorders>
          </w:tcPr>
          <w:p>
            <w:pPr/>
          </w:p>
        </w:tc>
      </w:tr>
      <w:tr>
        <w:trPr>
          <w:trHeight w:val="377" w:hRule="exact"/>
        </w:trPr>
        <w:tc>
          <w:tcPr>
            <w:tcW w:w="3003" w:type="dxa"/>
            <w:vMerge/>
          </w:tcPr>
          <w:p>
            <w:pPr/>
          </w:p>
        </w:tc>
        <w:tc>
          <w:tcPr>
            <w:tcW w:w="113" w:type="dxa"/>
            <w:vMerge/>
          </w:tcPr>
          <w:p>
            <w:pPr/>
          </w:p>
        </w:tc>
        <w:tc>
          <w:tcPr>
            <w:tcW w:w="1270" w:type="dxa"/>
          </w:tcPr>
          <w:p>
            <w:pPr>
              <w:pStyle w:val="TableParagraph"/>
              <w:spacing w:before="25"/>
              <w:ind w:right="229"/>
              <w:rPr>
                <w:sz w:val="16"/>
              </w:rPr>
            </w:pPr>
            <w:r>
              <w:rPr>
                <w:sz w:val="16"/>
              </w:rPr>
              <w:t>Proteínas en comida</w:t>
            </w:r>
          </w:p>
        </w:tc>
        <w:tc>
          <w:tcPr>
            <w:tcW w:w="816" w:type="dxa"/>
          </w:tcPr>
          <w:p>
            <w:pPr>
              <w:pStyle w:val="TableParagraph"/>
              <w:ind w:left="0"/>
              <w:rPr>
                <w:sz w:val="14"/>
              </w:rPr>
            </w:pPr>
          </w:p>
          <w:p>
            <w:pPr>
              <w:pStyle w:val="TableParagraph"/>
              <w:spacing w:before="1"/>
              <w:ind w:left="326"/>
              <w:rPr>
                <w:sz w:val="16"/>
              </w:rPr>
            </w:pPr>
            <w:r>
              <w:rPr>
                <w:sz w:val="16"/>
              </w:rPr>
              <w:t>0.636</w:t>
            </w:r>
          </w:p>
        </w:tc>
        <w:tc>
          <w:tcPr>
            <w:tcW w:w="852" w:type="dxa"/>
            <w:gridSpan w:val="3"/>
          </w:tcPr>
          <w:p>
            <w:pPr>
              <w:pStyle w:val="TableParagraph"/>
              <w:ind w:left="0"/>
              <w:rPr>
                <w:sz w:val="14"/>
              </w:rPr>
            </w:pPr>
          </w:p>
          <w:p>
            <w:pPr>
              <w:pStyle w:val="TableParagraph"/>
              <w:spacing w:before="1"/>
              <w:ind w:left="338"/>
              <w:rPr>
                <w:sz w:val="16"/>
              </w:rPr>
            </w:pPr>
            <w:r>
              <w:rPr>
                <w:sz w:val="16"/>
              </w:rPr>
              <w:t>0.390</w:t>
            </w:r>
          </w:p>
        </w:tc>
        <w:tc>
          <w:tcPr>
            <w:tcW w:w="113" w:type="dxa"/>
            <w:vMerge/>
          </w:tcPr>
          <w:p>
            <w:pPr/>
          </w:p>
        </w:tc>
        <w:tc>
          <w:tcPr>
            <w:tcW w:w="113" w:type="dxa"/>
            <w:vMerge/>
          </w:tcPr>
          <w:p>
            <w:pPr/>
          </w:p>
        </w:tc>
        <w:tc>
          <w:tcPr>
            <w:tcW w:w="1244" w:type="dxa"/>
          </w:tcPr>
          <w:p>
            <w:pPr>
              <w:pStyle w:val="TableParagraph"/>
              <w:spacing w:line="152" w:lineRule="exact"/>
              <w:rPr>
                <w:sz w:val="16"/>
              </w:rPr>
            </w:pPr>
            <w:r>
              <w:rPr>
                <w:sz w:val="16"/>
              </w:rPr>
              <w:t>Proteínas en</w:t>
            </w:r>
          </w:p>
          <w:p>
            <w:pPr>
              <w:pStyle w:val="TableParagraph"/>
              <w:spacing w:before="1"/>
              <w:rPr>
                <w:sz w:val="16"/>
              </w:rPr>
            </w:pPr>
            <w:r>
              <w:rPr>
                <w:sz w:val="16"/>
              </w:rPr>
              <w:t>comida</w:t>
            </w:r>
          </w:p>
        </w:tc>
        <w:tc>
          <w:tcPr>
            <w:tcW w:w="876" w:type="dxa"/>
          </w:tcPr>
          <w:p>
            <w:pPr>
              <w:pStyle w:val="TableParagraph"/>
              <w:spacing w:before="104"/>
              <w:ind w:left="0" w:right="100"/>
              <w:jc w:val="right"/>
              <w:rPr>
                <w:sz w:val="16"/>
              </w:rPr>
            </w:pPr>
            <w:r>
              <w:rPr>
                <w:sz w:val="16"/>
              </w:rPr>
              <w:t>0.680</w:t>
            </w:r>
          </w:p>
        </w:tc>
        <w:tc>
          <w:tcPr>
            <w:tcW w:w="756" w:type="dxa"/>
          </w:tcPr>
          <w:p>
            <w:pPr>
              <w:pStyle w:val="TableParagraph"/>
              <w:spacing w:before="104"/>
              <w:ind w:left="242"/>
              <w:rPr>
                <w:sz w:val="16"/>
              </w:rPr>
            </w:pPr>
            <w:r>
              <w:rPr>
                <w:sz w:val="16"/>
              </w:rPr>
              <w:t>0.532</w:t>
            </w:r>
          </w:p>
        </w:tc>
        <w:tc>
          <w:tcPr>
            <w:tcW w:w="134" w:type="dxa"/>
            <w:tcBorders>
              <w:top w:val="nil"/>
              <w:bottom w:val="nil"/>
            </w:tcBorders>
          </w:tcPr>
          <w:p>
            <w:pPr/>
          </w:p>
        </w:tc>
      </w:tr>
      <w:tr>
        <w:trPr>
          <w:trHeight w:val="563" w:hRule="exact"/>
        </w:trPr>
        <w:tc>
          <w:tcPr>
            <w:tcW w:w="3003" w:type="dxa"/>
            <w:vMerge/>
          </w:tcPr>
          <w:p>
            <w:pPr/>
          </w:p>
        </w:tc>
        <w:tc>
          <w:tcPr>
            <w:tcW w:w="113" w:type="dxa"/>
            <w:vMerge/>
          </w:tcPr>
          <w:p>
            <w:pPr/>
          </w:p>
        </w:tc>
        <w:tc>
          <w:tcPr>
            <w:tcW w:w="1270" w:type="dxa"/>
          </w:tcPr>
          <w:p>
            <w:pPr>
              <w:pStyle w:val="TableParagraph"/>
              <w:spacing w:before="25"/>
              <w:ind w:right="390"/>
              <w:rPr>
                <w:i/>
                <w:sz w:val="16"/>
              </w:rPr>
            </w:pPr>
            <w:r>
              <w:rPr>
                <w:sz w:val="16"/>
              </w:rPr>
              <w:t>Cuenta de UFC de </w:t>
            </w:r>
            <w:r>
              <w:rPr>
                <w:i/>
                <w:sz w:val="16"/>
              </w:rPr>
              <w:t>S.</w:t>
            </w:r>
          </w:p>
          <w:p>
            <w:pPr>
              <w:pStyle w:val="TableParagraph"/>
              <w:spacing w:before="1"/>
              <w:ind w:right="132"/>
              <w:rPr>
                <w:i/>
                <w:sz w:val="16"/>
              </w:rPr>
            </w:pPr>
            <w:r>
              <w:rPr>
                <w:i/>
                <w:sz w:val="16"/>
              </w:rPr>
              <w:t>mutans</w:t>
            </w:r>
          </w:p>
        </w:tc>
        <w:tc>
          <w:tcPr>
            <w:tcW w:w="816" w:type="dxa"/>
          </w:tcPr>
          <w:p>
            <w:pPr>
              <w:pStyle w:val="TableParagraph"/>
              <w:ind w:left="0"/>
              <w:rPr>
                <w:sz w:val="14"/>
              </w:rPr>
            </w:pPr>
          </w:p>
          <w:p>
            <w:pPr>
              <w:pStyle w:val="TableParagraph"/>
              <w:spacing w:before="1"/>
              <w:ind w:left="326"/>
              <w:rPr>
                <w:sz w:val="16"/>
              </w:rPr>
            </w:pPr>
            <w:r>
              <w:rPr>
                <w:sz w:val="16"/>
              </w:rPr>
              <w:t>0.502</w:t>
            </w:r>
          </w:p>
        </w:tc>
        <w:tc>
          <w:tcPr>
            <w:tcW w:w="852" w:type="dxa"/>
            <w:gridSpan w:val="3"/>
          </w:tcPr>
          <w:p>
            <w:pPr>
              <w:pStyle w:val="TableParagraph"/>
              <w:spacing w:before="10"/>
              <w:ind w:left="0"/>
              <w:rPr>
                <w:sz w:val="13"/>
              </w:rPr>
            </w:pPr>
          </w:p>
          <w:p>
            <w:pPr>
              <w:pStyle w:val="TableParagraph"/>
              <w:ind w:left="213"/>
              <w:rPr>
                <w:b/>
                <w:sz w:val="16"/>
              </w:rPr>
            </w:pPr>
            <w:r>
              <w:rPr>
                <w:b/>
                <w:color w:val="FF0000"/>
                <w:sz w:val="16"/>
              </w:rPr>
              <w:t>0.000**</w:t>
            </w:r>
          </w:p>
        </w:tc>
        <w:tc>
          <w:tcPr>
            <w:tcW w:w="113" w:type="dxa"/>
            <w:vMerge/>
          </w:tcPr>
          <w:p>
            <w:pPr/>
          </w:p>
        </w:tc>
        <w:tc>
          <w:tcPr>
            <w:tcW w:w="113" w:type="dxa"/>
            <w:vMerge/>
          </w:tcPr>
          <w:p>
            <w:pPr/>
          </w:p>
        </w:tc>
        <w:tc>
          <w:tcPr>
            <w:tcW w:w="1244" w:type="dxa"/>
          </w:tcPr>
          <w:p>
            <w:pPr>
              <w:pStyle w:val="TableParagraph"/>
              <w:spacing w:line="152" w:lineRule="exact"/>
              <w:rPr>
                <w:sz w:val="16"/>
              </w:rPr>
            </w:pPr>
            <w:r>
              <w:rPr>
                <w:sz w:val="16"/>
              </w:rPr>
              <w:t>Cuenta de</w:t>
            </w:r>
          </w:p>
          <w:p>
            <w:pPr>
              <w:pStyle w:val="TableParagraph"/>
              <w:spacing w:before="1"/>
              <w:rPr>
                <w:i/>
                <w:sz w:val="16"/>
              </w:rPr>
            </w:pPr>
            <w:r>
              <w:rPr>
                <w:sz w:val="16"/>
              </w:rPr>
              <w:t>UFC de </w:t>
            </w:r>
            <w:r>
              <w:rPr>
                <w:i/>
                <w:sz w:val="16"/>
              </w:rPr>
              <w:t>S.</w:t>
            </w:r>
          </w:p>
          <w:p>
            <w:pPr>
              <w:pStyle w:val="TableParagraph"/>
              <w:spacing w:before="1"/>
              <w:rPr>
                <w:i/>
                <w:sz w:val="16"/>
              </w:rPr>
            </w:pPr>
            <w:r>
              <w:rPr>
                <w:i/>
                <w:sz w:val="16"/>
              </w:rPr>
              <w:t>mutans</w:t>
            </w:r>
          </w:p>
        </w:tc>
        <w:tc>
          <w:tcPr>
            <w:tcW w:w="876" w:type="dxa"/>
          </w:tcPr>
          <w:p>
            <w:pPr>
              <w:pStyle w:val="TableParagraph"/>
              <w:spacing w:before="104"/>
              <w:ind w:left="0" w:right="100"/>
              <w:jc w:val="right"/>
              <w:rPr>
                <w:sz w:val="16"/>
              </w:rPr>
            </w:pPr>
            <w:r>
              <w:rPr>
                <w:sz w:val="16"/>
              </w:rPr>
              <w:t>-0.069</w:t>
            </w:r>
          </w:p>
        </w:tc>
        <w:tc>
          <w:tcPr>
            <w:tcW w:w="756" w:type="dxa"/>
          </w:tcPr>
          <w:p>
            <w:pPr>
              <w:pStyle w:val="TableParagraph"/>
              <w:spacing w:before="104"/>
              <w:ind w:left="242"/>
              <w:rPr>
                <w:sz w:val="16"/>
              </w:rPr>
            </w:pPr>
            <w:r>
              <w:rPr>
                <w:sz w:val="16"/>
              </w:rPr>
              <w:t>0.000</w:t>
            </w:r>
          </w:p>
        </w:tc>
        <w:tc>
          <w:tcPr>
            <w:tcW w:w="134" w:type="dxa"/>
            <w:tcBorders>
              <w:top w:val="nil"/>
              <w:bottom w:val="nil"/>
            </w:tcBorders>
          </w:tcPr>
          <w:p>
            <w:pPr/>
          </w:p>
        </w:tc>
      </w:tr>
      <w:tr>
        <w:trPr>
          <w:trHeight w:val="332" w:hRule="exact"/>
        </w:trPr>
        <w:tc>
          <w:tcPr>
            <w:tcW w:w="3003" w:type="dxa"/>
            <w:vMerge/>
          </w:tcPr>
          <w:p>
            <w:pPr/>
          </w:p>
        </w:tc>
        <w:tc>
          <w:tcPr>
            <w:tcW w:w="113" w:type="dxa"/>
            <w:vMerge/>
          </w:tcPr>
          <w:p>
            <w:pPr/>
          </w:p>
        </w:tc>
        <w:tc>
          <w:tcPr>
            <w:tcW w:w="1270" w:type="dxa"/>
          </w:tcPr>
          <w:p>
            <w:pPr>
              <w:pStyle w:val="TableParagraph"/>
              <w:spacing w:before="26"/>
              <w:ind w:right="132"/>
              <w:rPr>
                <w:sz w:val="16"/>
              </w:rPr>
            </w:pPr>
            <w:r>
              <w:rPr>
                <w:sz w:val="16"/>
              </w:rPr>
              <w:t>pH</w:t>
            </w:r>
          </w:p>
        </w:tc>
        <w:tc>
          <w:tcPr>
            <w:tcW w:w="816" w:type="dxa"/>
          </w:tcPr>
          <w:p>
            <w:pPr>
              <w:pStyle w:val="TableParagraph"/>
              <w:spacing w:before="2"/>
              <w:ind w:left="0"/>
              <w:rPr>
                <w:sz w:val="14"/>
              </w:rPr>
            </w:pPr>
          </w:p>
          <w:p>
            <w:pPr>
              <w:pStyle w:val="TableParagraph"/>
              <w:ind w:left="273"/>
              <w:rPr>
                <w:sz w:val="16"/>
              </w:rPr>
            </w:pPr>
            <w:r>
              <w:rPr>
                <w:sz w:val="16"/>
              </w:rPr>
              <w:t>-0.033</w:t>
            </w:r>
          </w:p>
        </w:tc>
        <w:tc>
          <w:tcPr>
            <w:tcW w:w="852" w:type="dxa"/>
            <w:gridSpan w:val="3"/>
          </w:tcPr>
          <w:p>
            <w:pPr>
              <w:pStyle w:val="TableParagraph"/>
              <w:spacing w:before="2"/>
              <w:ind w:left="0"/>
              <w:rPr>
                <w:sz w:val="14"/>
              </w:rPr>
            </w:pPr>
          </w:p>
          <w:p>
            <w:pPr>
              <w:pStyle w:val="TableParagraph"/>
              <w:ind w:left="338"/>
              <w:rPr>
                <w:sz w:val="16"/>
              </w:rPr>
            </w:pPr>
            <w:r>
              <w:rPr>
                <w:sz w:val="16"/>
              </w:rPr>
              <w:t>0.325</w:t>
            </w:r>
          </w:p>
        </w:tc>
        <w:tc>
          <w:tcPr>
            <w:tcW w:w="113" w:type="dxa"/>
            <w:vMerge/>
          </w:tcPr>
          <w:p>
            <w:pPr/>
          </w:p>
        </w:tc>
        <w:tc>
          <w:tcPr>
            <w:tcW w:w="113" w:type="dxa"/>
            <w:vMerge/>
          </w:tcPr>
          <w:p>
            <w:pPr/>
          </w:p>
        </w:tc>
        <w:tc>
          <w:tcPr>
            <w:tcW w:w="1244" w:type="dxa"/>
          </w:tcPr>
          <w:p>
            <w:pPr>
              <w:pStyle w:val="TableParagraph"/>
              <w:spacing w:line="153" w:lineRule="exact"/>
              <w:rPr>
                <w:sz w:val="16"/>
              </w:rPr>
            </w:pPr>
            <w:r>
              <w:rPr>
                <w:sz w:val="16"/>
              </w:rPr>
              <w:t>pH</w:t>
            </w:r>
          </w:p>
        </w:tc>
        <w:tc>
          <w:tcPr>
            <w:tcW w:w="876" w:type="dxa"/>
          </w:tcPr>
          <w:p>
            <w:pPr>
              <w:pStyle w:val="TableParagraph"/>
              <w:spacing w:before="105"/>
              <w:ind w:left="0" w:right="100"/>
              <w:jc w:val="right"/>
              <w:rPr>
                <w:sz w:val="16"/>
              </w:rPr>
            </w:pPr>
            <w:r>
              <w:rPr>
                <w:sz w:val="16"/>
              </w:rPr>
              <w:t>-0.126</w:t>
            </w:r>
          </w:p>
        </w:tc>
        <w:tc>
          <w:tcPr>
            <w:tcW w:w="756" w:type="dxa"/>
          </w:tcPr>
          <w:p>
            <w:pPr>
              <w:pStyle w:val="TableParagraph"/>
              <w:spacing w:before="105"/>
              <w:ind w:left="242"/>
              <w:rPr>
                <w:sz w:val="16"/>
              </w:rPr>
            </w:pPr>
            <w:r>
              <w:rPr>
                <w:sz w:val="16"/>
              </w:rPr>
              <w:t>0.404</w:t>
            </w:r>
          </w:p>
        </w:tc>
        <w:tc>
          <w:tcPr>
            <w:tcW w:w="134" w:type="dxa"/>
            <w:tcBorders>
              <w:top w:val="nil"/>
              <w:bottom w:val="nil"/>
            </w:tcBorders>
          </w:tcPr>
          <w:p>
            <w:pPr/>
          </w:p>
        </w:tc>
      </w:tr>
      <w:tr>
        <w:trPr>
          <w:trHeight w:val="234" w:hRule="exact"/>
        </w:trPr>
        <w:tc>
          <w:tcPr>
            <w:tcW w:w="3003" w:type="dxa"/>
            <w:vMerge/>
          </w:tcPr>
          <w:p>
            <w:pPr/>
          </w:p>
        </w:tc>
        <w:tc>
          <w:tcPr>
            <w:tcW w:w="113" w:type="dxa"/>
            <w:vMerge/>
          </w:tcPr>
          <w:p>
            <w:pPr/>
          </w:p>
        </w:tc>
        <w:tc>
          <w:tcPr>
            <w:tcW w:w="1270" w:type="dxa"/>
            <w:tcBorders>
              <w:right w:val="nil"/>
            </w:tcBorders>
          </w:tcPr>
          <w:p>
            <w:pPr>
              <w:pStyle w:val="TableParagraph"/>
              <w:spacing w:before="4"/>
              <w:rPr>
                <w:sz w:val="10"/>
              </w:rPr>
            </w:pPr>
            <w:r>
              <w:rPr>
                <w:position w:val="-7"/>
                <w:sz w:val="16"/>
              </w:rPr>
              <w:t>R</w:t>
            </w:r>
            <w:r>
              <w:rPr>
                <w:sz w:val="10"/>
              </w:rPr>
              <w:t>2</w:t>
            </w:r>
          </w:p>
        </w:tc>
        <w:tc>
          <w:tcPr>
            <w:tcW w:w="927" w:type="dxa"/>
            <w:gridSpan w:val="2"/>
            <w:tcBorders>
              <w:left w:val="nil"/>
              <w:right w:val="nil"/>
            </w:tcBorders>
          </w:tcPr>
          <w:p>
            <w:pPr>
              <w:pStyle w:val="TableParagraph"/>
              <w:spacing w:before="27"/>
              <w:ind w:left="434"/>
              <w:rPr>
                <w:sz w:val="16"/>
              </w:rPr>
            </w:pPr>
            <w:r>
              <w:rPr>
                <w:sz w:val="16"/>
              </w:rPr>
              <w:t>0.130</w:t>
            </w:r>
          </w:p>
        </w:tc>
        <w:tc>
          <w:tcPr>
            <w:tcW w:w="742" w:type="dxa"/>
            <w:gridSpan w:val="2"/>
            <w:tcBorders>
              <w:left w:val="nil"/>
            </w:tcBorders>
          </w:tcPr>
          <w:p>
            <w:pPr/>
          </w:p>
        </w:tc>
        <w:tc>
          <w:tcPr>
            <w:tcW w:w="113" w:type="dxa"/>
            <w:vMerge/>
          </w:tcPr>
          <w:p>
            <w:pPr/>
          </w:p>
        </w:tc>
        <w:tc>
          <w:tcPr>
            <w:tcW w:w="113" w:type="dxa"/>
            <w:vMerge/>
          </w:tcPr>
          <w:p>
            <w:pPr/>
          </w:p>
        </w:tc>
        <w:tc>
          <w:tcPr>
            <w:tcW w:w="1244" w:type="dxa"/>
            <w:tcBorders>
              <w:right w:val="nil"/>
            </w:tcBorders>
          </w:tcPr>
          <w:p>
            <w:pPr>
              <w:pStyle w:val="TableParagraph"/>
              <w:spacing w:line="150" w:lineRule="exact"/>
              <w:rPr>
                <w:sz w:val="10"/>
              </w:rPr>
            </w:pPr>
            <w:r>
              <w:rPr>
                <w:position w:val="-7"/>
                <w:sz w:val="16"/>
              </w:rPr>
              <w:t>R</w:t>
            </w:r>
            <w:r>
              <w:rPr>
                <w:sz w:val="10"/>
              </w:rPr>
              <w:t>2</w:t>
            </w:r>
          </w:p>
        </w:tc>
        <w:tc>
          <w:tcPr>
            <w:tcW w:w="1632" w:type="dxa"/>
            <w:gridSpan w:val="2"/>
            <w:tcBorders>
              <w:left w:val="nil"/>
            </w:tcBorders>
          </w:tcPr>
          <w:p>
            <w:pPr>
              <w:pStyle w:val="TableParagraph"/>
              <w:spacing w:line="149" w:lineRule="exact"/>
              <w:ind w:left="506"/>
              <w:rPr>
                <w:sz w:val="16"/>
              </w:rPr>
            </w:pPr>
            <w:r>
              <w:rPr>
                <w:sz w:val="16"/>
              </w:rPr>
              <w:t>0.041</w:t>
            </w:r>
          </w:p>
        </w:tc>
        <w:tc>
          <w:tcPr>
            <w:tcW w:w="134" w:type="dxa"/>
            <w:tcBorders>
              <w:top w:val="nil"/>
              <w:bottom w:val="nil"/>
            </w:tcBorders>
          </w:tcPr>
          <w:p>
            <w:pPr/>
          </w:p>
        </w:tc>
      </w:tr>
      <w:tr>
        <w:trPr>
          <w:trHeight w:val="557" w:hRule="exact"/>
        </w:trPr>
        <w:tc>
          <w:tcPr>
            <w:tcW w:w="3003" w:type="dxa"/>
            <w:vMerge/>
          </w:tcPr>
          <w:p>
            <w:pPr/>
          </w:p>
        </w:tc>
        <w:tc>
          <w:tcPr>
            <w:tcW w:w="113" w:type="dxa"/>
            <w:vMerge/>
          </w:tcPr>
          <w:p>
            <w:pPr/>
          </w:p>
        </w:tc>
        <w:tc>
          <w:tcPr>
            <w:tcW w:w="2938" w:type="dxa"/>
            <w:gridSpan w:val="5"/>
          </w:tcPr>
          <w:p>
            <w:pPr>
              <w:pStyle w:val="TableParagraph"/>
              <w:spacing w:line="170" w:lineRule="exact"/>
              <w:ind w:left="213" w:hanging="53"/>
              <w:rPr>
                <w:b/>
                <w:sz w:val="16"/>
              </w:rPr>
            </w:pPr>
            <w:r>
              <w:rPr>
                <w:b/>
                <w:sz w:val="16"/>
              </w:rPr>
              <w:t>Grupo  fluoruro de sodio al 0 .02%</w:t>
            </w:r>
          </w:p>
          <w:p>
            <w:pPr>
              <w:pStyle w:val="TableParagraph"/>
              <w:spacing w:before="1"/>
              <w:ind w:left="213"/>
              <w:rPr>
                <w:b/>
                <w:sz w:val="16"/>
              </w:rPr>
            </w:pPr>
            <w:r>
              <w:rPr>
                <w:b/>
                <w:sz w:val="16"/>
              </w:rPr>
              <w:t>y clorhexidina medición 6 meses</w:t>
            </w:r>
          </w:p>
        </w:tc>
        <w:tc>
          <w:tcPr>
            <w:tcW w:w="113" w:type="dxa"/>
            <w:vMerge/>
          </w:tcPr>
          <w:p>
            <w:pPr/>
          </w:p>
        </w:tc>
        <w:tc>
          <w:tcPr>
            <w:tcW w:w="113" w:type="dxa"/>
            <w:vMerge/>
          </w:tcPr>
          <w:p>
            <w:pPr/>
          </w:p>
        </w:tc>
        <w:tc>
          <w:tcPr>
            <w:tcW w:w="2876" w:type="dxa"/>
            <w:gridSpan w:val="3"/>
          </w:tcPr>
          <w:p>
            <w:pPr>
              <w:pStyle w:val="TableParagraph"/>
              <w:spacing w:before="2"/>
              <w:ind w:left="368" w:right="367"/>
              <w:jc w:val="center"/>
              <w:rPr>
                <w:b/>
                <w:sz w:val="16"/>
              </w:rPr>
            </w:pPr>
            <w:r>
              <w:rPr>
                <w:b/>
                <w:sz w:val="16"/>
              </w:rPr>
              <w:t>Grupo con aplicaciones de clorhexidina</w:t>
            </w:r>
          </w:p>
          <w:p>
            <w:pPr>
              <w:pStyle w:val="TableParagraph"/>
              <w:spacing w:line="182" w:lineRule="exact"/>
              <w:ind w:left="367" w:right="368"/>
              <w:jc w:val="center"/>
              <w:rPr>
                <w:b/>
                <w:sz w:val="16"/>
              </w:rPr>
            </w:pPr>
            <w:r>
              <w:rPr>
                <w:b/>
                <w:sz w:val="16"/>
              </w:rPr>
              <w:t>al 2% medición basal</w:t>
            </w:r>
          </w:p>
        </w:tc>
        <w:tc>
          <w:tcPr>
            <w:tcW w:w="134" w:type="dxa"/>
            <w:tcBorders>
              <w:top w:val="nil"/>
              <w:bottom w:val="nil"/>
            </w:tcBorders>
          </w:tcPr>
          <w:p>
            <w:pPr/>
          </w:p>
        </w:tc>
      </w:tr>
      <w:tr>
        <w:trPr>
          <w:trHeight w:val="384" w:hRule="exact"/>
        </w:trPr>
        <w:tc>
          <w:tcPr>
            <w:tcW w:w="3003" w:type="dxa"/>
            <w:vMerge/>
          </w:tcPr>
          <w:p>
            <w:pPr/>
          </w:p>
        </w:tc>
        <w:tc>
          <w:tcPr>
            <w:tcW w:w="113" w:type="dxa"/>
            <w:vMerge/>
          </w:tcPr>
          <w:p>
            <w:pPr/>
          </w:p>
        </w:tc>
        <w:tc>
          <w:tcPr>
            <w:tcW w:w="1270" w:type="dxa"/>
          </w:tcPr>
          <w:p>
            <w:pPr>
              <w:pStyle w:val="TableParagraph"/>
              <w:spacing w:line="169" w:lineRule="exact"/>
              <w:rPr>
                <w:sz w:val="16"/>
              </w:rPr>
            </w:pPr>
            <w:r>
              <w:rPr>
                <w:sz w:val="16"/>
              </w:rPr>
              <w:t>Carbohidratos</w:t>
            </w:r>
          </w:p>
          <w:p>
            <w:pPr>
              <w:pStyle w:val="TableParagraph"/>
              <w:spacing w:line="183" w:lineRule="exact"/>
              <w:ind w:right="132"/>
              <w:rPr>
                <w:sz w:val="16"/>
              </w:rPr>
            </w:pPr>
            <w:r>
              <w:rPr>
                <w:sz w:val="16"/>
              </w:rPr>
              <w:t>en desayuno</w:t>
            </w:r>
          </w:p>
        </w:tc>
        <w:tc>
          <w:tcPr>
            <w:tcW w:w="927" w:type="dxa"/>
            <w:gridSpan w:val="2"/>
          </w:tcPr>
          <w:p>
            <w:pPr>
              <w:pStyle w:val="TableParagraph"/>
              <w:spacing w:before="122"/>
              <w:ind w:left="357"/>
              <w:rPr>
                <w:sz w:val="16"/>
              </w:rPr>
            </w:pPr>
            <w:r>
              <w:rPr>
                <w:sz w:val="16"/>
              </w:rPr>
              <w:t>-1.375</w:t>
            </w:r>
          </w:p>
        </w:tc>
        <w:tc>
          <w:tcPr>
            <w:tcW w:w="742" w:type="dxa"/>
            <w:gridSpan w:val="2"/>
          </w:tcPr>
          <w:p>
            <w:pPr>
              <w:pStyle w:val="TableParagraph"/>
              <w:spacing w:before="122"/>
              <w:ind w:left="227"/>
              <w:rPr>
                <w:sz w:val="16"/>
              </w:rPr>
            </w:pPr>
            <w:r>
              <w:rPr>
                <w:sz w:val="16"/>
              </w:rPr>
              <w:t>0.600</w:t>
            </w:r>
          </w:p>
        </w:tc>
        <w:tc>
          <w:tcPr>
            <w:tcW w:w="113" w:type="dxa"/>
            <w:vMerge/>
          </w:tcPr>
          <w:p>
            <w:pPr/>
          </w:p>
        </w:tc>
        <w:tc>
          <w:tcPr>
            <w:tcW w:w="113" w:type="dxa"/>
            <w:vMerge/>
          </w:tcPr>
          <w:p>
            <w:pPr/>
          </w:p>
        </w:tc>
        <w:tc>
          <w:tcPr>
            <w:tcW w:w="1244" w:type="dxa"/>
          </w:tcPr>
          <w:p>
            <w:pPr>
              <w:pStyle w:val="TableParagraph"/>
              <w:spacing w:before="9"/>
              <w:ind w:right="106"/>
              <w:rPr>
                <w:sz w:val="16"/>
              </w:rPr>
            </w:pPr>
            <w:r>
              <w:rPr>
                <w:sz w:val="16"/>
              </w:rPr>
              <w:t>Carbohidratos en desayuno</w:t>
            </w:r>
          </w:p>
        </w:tc>
        <w:tc>
          <w:tcPr>
            <w:tcW w:w="876" w:type="dxa"/>
          </w:tcPr>
          <w:p>
            <w:pPr>
              <w:pStyle w:val="TableParagraph"/>
              <w:spacing w:before="8"/>
              <w:ind w:left="0"/>
              <w:rPr>
                <w:sz w:val="12"/>
              </w:rPr>
            </w:pPr>
          </w:p>
          <w:p>
            <w:pPr>
              <w:pStyle w:val="TableParagraph"/>
              <w:ind w:left="0" w:right="100"/>
              <w:jc w:val="right"/>
              <w:rPr>
                <w:sz w:val="16"/>
              </w:rPr>
            </w:pPr>
            <w:r>
              <w:rPr>
                <w:sz w:val="16"/>
              </w:rPr>
              <w:t>-0.742</w:t>
            </w:r>
          </w:p>
        </w:tc>
        <w:tc>
          <w:tcPr>
            <w:tcW w:w="756" w:type="dxa"/>
          </w:tcPr>
          <w:p>
            <w:pPr>
              <w:pStyle w:val="TableParagraph"/>
              <w:spacing w:before="8"/>
              <w:ind w:left="0"/>
              <w:rPr>
                <w:sz w:val="12"/>
              </w:rPr>
            </w:pPr>
          </w:p>
          <w:p>
            <w:pPr>
              <w:pStyle w:val="TableParagraph"/>
              <w:ind w:left="242"/>
              <w:rPr>
                <w:sz w:val="16"/>
              </w:rPr>
            </w:pPr>
            <w:r>
              <w:rPr>
                <w:sz w:val="16"/>
              </w:rPr>
              <w:t>1.045</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spacing w:line="172" w:lineRule="exact"/>
              <w:ind w:right="132"/>
              <w:rPr>
                <w:sz w:val="16"/>
              </w:rPr>
            </w:pPr>
            <w:r>
              <w:rPr>
                <w:sz w:val="16"/>
              </w:rPr>
              <w:t>Lípidos en</w:t>
            </w:r>
          </w:p>
          <w:p>
            <w:pPr>
              <w:pStyle w:val="TableParagraph"/>
              <w:spacing w:before="1"/>
              <w:ind w:right="132"/>
              <w:rPr>
                <w:sz w:val="16"/>
              </w:rPr>
            </w:pPr>
            <w:r>
              <w:rPr>
                <w:sz w:val="16"/>
              </w:rPr>
              <w:t>desayuno</w:t>
            </w:r>
          </w:p>
        </w:tc>
        <w:tc>
          <w:tcPr>
            <w:tcW w:w="927" w:type="dxa"/>
            <w:gridSpan w:val="2"/>
          </w:tcPr>
          <w:p>
            <w:pPr>
              <w:pStyle w:val="TableParagraph"/>
              <w:spacing w:before="124"/>
              <w:ind w:left="410"/>
              <w:rPr>
                <w:sz w:val="16"/>
              </w:rPr>
            </w:pPr>
            <w:r>
              <w:rPr>
                <w:sz w:val="16"/>
              </w:rPr>
              <w:t>0.455</w:t>
            </w:r>
          </w:p>
        </w:tc>
        <w:tc>
          <w:tcPr>
            <w:tcW w:w="742" w:type="dxa"/>
            <w:gridSpan w:val="2"/>
          </w:tcPr>
          <w:p>
            <w:pPr>
              <w:pStyle w:val="TableParagraph"/>
              <w:spacing w:before="124"/>
              <w:ind w:left="227"/>
              <w:rPr>
                <w:sz w:val="16"/>
              </w:rPr>
            </w:pPr>
            <w:r>
              <w:rPr>
                <w:sz w:val="16"/>
              </w:rPr>
              <w:t>0.246</w:t>
            </w:r>
          </w:p>
        </w:tc>
        <w:tc>
          <w:tcPr>
            <w:tcW w:w="113" w:type="dxa"/>
            <w:vMerge/>
          </w:tcPr>
          <w:p>
            <w:pPr/>
          </w:p>
        </w:tc>
        <w:tc>
          <w:tcPr>
            <w:tcW w:w="113" w:type="dxa"/>
            <w:vMerge/>
          </w:tcPr>
          <w:p>
            <w:pPr/>
          </w:p>
        </w:tc>
        <w:tc>
          <w:tcPr>
            <w:tcW w:w="1244" w:type="dxa"/>
          </w:tcPr>
          <w:p>
            <w:pPr>
              <w:pStyle w:val="TableParagraph"/>
              <w:spacing w:before="4"/>
              <w:ind w:right="372"/>
              <w:rPr>
                <w:sz w:val="16"/>
              </w:rPr>
            </w:pPr>
            <w:r>
              <w:rPr>
                <w:sz w:val="16"/>
              </w:rPr>
              <w:t>Lípidos en desayuno</w:t>
            </w:r>
          </w:p>
        </w:tc>
        <w:tc>
          <w:tcPr>
            <w:tcW w:w="876" w:type="dxa"/>
          </w:tcPr>
          <w:p>
            <w:pPr>
              <w:pStyle w:val="TableParagraph"/>
              <w:spacing w:before="141"/>
              <w:ind w:left="0" w:right="100"/>
              <w:jc w:val="right"/>
              <w:rPr>
                <w:sz w:val="16"/>
              </w:rPr>
            </w:pPr>
            <w:r>
              <w:rPr>
                <w:sz w:val="16"/>
              </w:rPr>
              <w:t>0.204</w:t>
            </w:r>
          </w:p>
        </w:tc>
        <w:tc>
          <w:tcPr>
            <w:tcW w:w="756" w:type="dxa"/>
          </w:tcPr>
          <w:p>
            <w:pPr>
              <w:pStyle w:val="TableParagraph"/>
              <w:spacing w:before="141"/>
              <w:ind w:left="242"/>
              <w:rPr>
                <w:sz w:val="16"/>
              </w:rPr>
            </w:pPr>
            <w:r>
              <w:rPr>
                <w:sz w:val="16"/>
              </w:rPr>
              <w:t>0.375</w:t>
            </w:r>
          </w:p>
        </w:tc>
        <w:tc>
          <w:tcPr>
            <w:tcW w:w="134" w:type="dxa"/>
            <w:tcBorders>
              <w:top w:val="nil"/>
              <w:bottom w:val="nil"/>
            </w:tcBorders>
          </w:tcPr>
          <w:p>
            <w:pPr/>
          </w:p>
        </w:tc>
      </w:tr>
      <w:tr>
        <w:trPr>
          <w:trHeight w:val="379" w:hRule="exact"/>
        </w:trPr>
        <w:tc>
          <w:tcPr>
            <w:tcW w:w="3003" w:type="dxa"/>
            <w:vMerge/>
          </w:tcPr>
          <w:p>
            <w:pPr/>
          </w:p>
        </w:tc>
        <w:tc>
          <w:tcPr>
            <w:tcW w:w="113" w:type="dxa"/>
            <w:vMerge/>
          </w:tcPr>
          <w:p>
            <w:pPr/>
          </w:p>
        </w:tc>
        <w:tc>
          <w:tcPr>
            <w:tcW w:w="1270" w:type="dxa"/>
          </w:tcPr>
          <w:p>
            <w:pPr>
              <w:pStyle w:val="TableParagraph"/>
              <w:spacing w:line="173" w:lineRule="exact"/>
              <w:ind w:right="132"/>
              <w:rPr>
                <w:sz w:val="16"/>
              </w:rPr>
            </w:pPr>
            <w:r>
              <w:rPr>
                <w:sz w:val="16"/>
              </w:rPr>
              <w:t>Proteínas en</w:t>
            </w:r>
          </w:p>
          <w:p>
            <w:pPr>
              <w:pStyle w:val="TableParagraph"/>
              <w:spacing w:line="183" w:lineRule="exact"/>
              <w:ind w:right="132"/>
              <w:rPr>
                <w:sz w:val="16"/>
              </w:rPr>
            </w:pPr>
            <w:r>
              <w:rPr>
                <w:sz w:val="16"/>
              </w:rPr>
              <w:t>desayuno</w:t>
            </w:r>
          </w:p>
        </w:tc>
        <w:tc>
          <w:tcPr>
            <w:tcW w:w="927" w:type="dxa"/>
            <w:gridSpan w:val="2"/>
          </w:tcPr>
          <w:p>
            <w:pPr>
              <w:pStyle w:val="TableParagraph"/>
              <w:spacing w:before="126"/>
              <w:ind w:left="410"/>
              <w:rPr>
                <w:sz w:val="16"/>
              </w:rPr>
            </w:pPr>
            <w:r>
              <w:rPr>
                <w:sz w:val="16"/>
              </w:rPr>
              <w:t>0.309</w:t>
            </w:r>
          </w:p>
        </w:tc>
        <w:tc>
          <w:tcPr>
            <w:tcW w:w="742" w:type="dxa"/>
            <w:gridSpan w:val="2"/>
          </w:tcPr>
          <w:p>
            <w:pPr>
              <w:pStyle w:val="TableParagraph"/>
              <w:spacing w:before="126"/>
              <w:ind w:left="227"/>
              <w:rPr>
                <w:sz w:val="16"/>
              </w:rPr>
            </w:pPr>
            <w:r>
              <w:rPr>
                <w:sz w:val="16"/>
              </w:rPr>
              <w:t>0.216</w:t>
            </w:r>
          </w:p>
        </w:tc>
        <w:tc>
          <w:tcPr>
            <w:tcW w:w="113" w:type="dxa"/>
            <w:vMerge/>
          </w:tcPr>
          <w:p>
            <w:pPr/>
          </w:p>
        </w:tc>
        <w:tc>
          <w:tcPr>
            <w:tcW w:w="113" w:type="dxa"/>
            <w:vMerge/>
          </w:tcPr>
          <w:p>
            <w:pPr/>
          </w:p>
        </w:tc>
        <w:tc>
          <w:tcPr>
            <w:tcW w:w="1244" w:type="dxa"/>
          </w:tcPr>
          <w:p>
            <w:pPr>
              <w:pStyle w:val="TableParagraph"/>
              <w:spacing w:before="3"/>
              <w:ind w:right="203"/>
              <w:rPr>
                <w:sz w:val="16"/>
              </w:rPr>
            </w:pPr>
            <w:r>
              <w:rPr>
                <w:sz w:val="16"/>
              </w:rPr>
              <w:t>Proteínas en desayuno</w:t>
            </w:r>
          </w:p>
        </w:tc>
        <w:tc>
          <w:tcPr>
            <w:tcW w:w="876" w:type="dxa"/>
          </w:tcPr>
          <w:p>
            <w:pPr>
              <w:pStyle w:val="TableParagraph"/>
              <w:spacing w:before="141"/>
              <w:ind w:left="0" w:right="100"/>
              <w:jc w:val="right"/>
              <w:rPr>
                <w:sz w:val="16"/>
              </w:rPr>
            </w:pPr>
            <w:r>
              <w:rPr>
                <w:sz w:val="16"/>
              </w:rPr>
              <w:t>-0.169</w:t>
            </w:r>
          </w:p>
        </w:tc>
        <w:tc>
          <w:tcPr>
            <w:tcW w:w="756" w:type="dxa"/>
          </w:tcPr>
          <w:p>
            <w:pPr>
              <w:pStyle w:val="TableParagraph"/>
              <w:spacing w:before="141"/>
              <w:ind w:left="242"/>
              <w:rPr>
                <w:sz w:val="16"/>
              </w:rPr>
            </w:pPr>
            <w:r>
              <w:rPr>
                <w:sz w:val="16"/>
              </w:rPr>
              <w:t>0.353</w:t>
            </w:r>
          </w:p>
        </w:tc>
        <w:tc>
          <w:tcPr>
            <w:tcW w:w="134" w:type="dxa"/>
            <w:tcBorders>
              <w:top w:val="nil"/>
              <w:bottom w:val="nil"/>
            </w:tcBorders>
          </w:tcPr>
          <w:p>
            <w:pPr/>
          </w:p>
        </w:tc>
      </w:tr>
      <w:tr>
        <w:trPr>
          <w:trHeight w:val="383" w:hRule="exact"/>
        </w:trPr>
        <w:tc>
          <w:tcPr>
            <w:tcW w:w="3003" w:type="dxa"/>
            <w:vMerge/>
          </w:tcPr>
          <w:p>
            <w:pPr/>
          </w:p>
        </w:tc>
        <w:tc>
          <w:tcPr>
            <w:tcW w:w="113" w:type="dxa"/>
            <w:vMerge/>
          </w:tcPr>
          <w:p>
            <w:pPr/>
          </w:p>
        </w:tc>
        <w:tc>
          <w:tcPr>
            <w:tcW w:w="1270" w:type="dxa"/>
          </w:tcPr>
          <w:p>
            <w:pPr>
              <w:pStyle w:val="TableParagraph"/>
              <w:spacing w:line="172" w:lineRule="exact"/>
              <w:rPr>
                <w:sz w:val="16"/>
              </w:rPr>
            </w:pPr>
            <w:r>
              <w:rPr>
                <w:sz w:val="16"/>
              </w:rPr>
              <w:t>Carbohidratos</w:t>
            </w:r>
          </w:p>
          <w:p>
            <w:pPr>
              <w:pStyle w:val="TableParagraph"/>
              <w:spacing w:before="1"/>
              <w:ind w:right="132"/>
              <w:rPr>
                <w:sz w:val="16"/>
              </w:rPr>
            </w:pPr>
            <w:r>
              <w:rPr>
                <w:sz w:val="16"/>
              </w:rPr>
              <w:t>en comida</w:t>
            </w:r>
          </w:p>
        </w:tc>
        <w:tc>
          <w:tcPr>
            <w:tcW w:w="927" w:type="dxa"/>
            <w:gridSpan w:val="2"/>
          </w:tcPr>
          <w:p>
            <w:pPr>
              <w:pStyle w:val="TableParagraph"/>
              <w:spacing w:before="124"/>
              <w:ind w:left="357"/>
              <w:rPr>
                <w:sz w:val="16"/>
              </w:rPr>
            </w:pPr>
            <w:r>
              <w:rPr>
                <w:sz w:val="16"/>
              </w:rPr>
              <w:t>-0.141</w:t>
            </w:r>
          </w:p>
        </w:tc>
        <w:tc>
          <w:tcPr>
            <w:tcW w:w="742" w:type="dxa"/>
            <w:gridSpan w:val="2"/>
          </w:tcPr>
          <w:p>
            <w:pPr>
              <w:pStyle w:val="TableParagraph"/>
              <w:spacing w:before="124"/>
              <w:ind w:left="227"/>
              <w:rPr>
                <w:sz w:val="16"/>
              </w:rPr>
            </w:pPr>
            <w:r>
              <w:rPr>
                <w:sz w:val="16"/>
              </w:rPr>
              <w:t>0.578</w:t>
            </w:r>
          </w:p>
        </w:tc>
        <w:tc>
          <w:tcPr>
            <w:tcW w:w="113" w:type="dxa"/>
            <w:vMerge/>
          </w:tcPr>
          <w:p>
            <w:pPr/>
          </w:p>
        </w:tc>
        <w:tc>
          <w:tcPr>
            <w:tcW w:w="113" w:type="dxa"/>
            <w:vMerge/>
          </w:tcPr>
          <w:p>
            <w:pPr/>
          </w:p>
        </w:tc>
        <w:tc>
          <w:tcPr>
            <w:tcW w:w="1244" w:type="dxa"/>
          </w:tcPr>
          <w:p>
            <w:pPr>
              <w:pStyle w:val="TableParagraph"/>
              <w:spacing w:before="4"/>
              <w:ind w:right="106"/>
              <w:rPr>
                <w:sz w:val="16"/>
              </w:rPr>
            </w:pPr>
            <w:r>
              <w:rPr>
                <w:sz w:val="16"/>
              </w:rPr>
              <w:t>Carbohidratos en comida</w:t>
            </w:r>
          </w:p>
        </w:tc>
        <w:tc>
          <w:tcPr>
            <w:tcW w:w="876" w:type="dxa"/>
          </w:tcPr>
          <w:p>
            <w:pPr>
              <w:pStyle w:val="TableParagraph"/>
              <w:spacing w:before="141"/>
              <w:ind w:left="0" w:right="100"/>
              <w:jc w:val="right"/>
              <w:rPr>
                <w:sz w:val="16"/>
              </w:rPr>
            </w:pPr>
            <w:r>
              <w:rPr>
                <w:sz w:val="16"/>
              </w:rPr>
              <w:t>-0.094</w:t>
            </w:r>
          </w:p>
        </w:tc>
        <w:tc>
          <w:tcPr>
            <w:tcW w:w="756" w:type="dxa"/>
          </w:tcPr>
          <w:p>
            <w:pPr>
              <w:pStyle w:val="TableParagraph"/>
              <w:spacing w:before="141"/>
              <w:ind w:left="242"/>
              <w:rPr>
                <w:sz w:val="16"/>
              </w:rPr>
            </w:pPr>
            <w:r>
              <w:rPr>
                <w:sz w:val="16"/>
              </w:rPr>
              <w:t>1.328</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ind w:right="398"/>
              <w:rPr>
                <w:sz w:val="16"/>
              </w:rPr>
            </w:pPr>
            <w:r>
              <w:rPr>
                <w:sz w:val="16"/>
              </w:rPr>
              <w:t>Lípidos en comida</w:t>
            </w:r>
          </w:p>
        </w:tc>
        <w:tc>
          <w:tcPr>
            <w:tcW w:w="927" w:type="dxa"/>
            <w:gridSpan w:val="2"/>
          </w:tcPr>
          <w:p>
            <w:pPr>
              <w:pStyle w:val="TableParagraph"/>
              <w:spacing w:before="130"/>
              <w:ind w:left="357"/>
              <w:rPr>
                <w:sz w:val="16"/>
              </w:rPr>
            </w:pPr>
            <w:r>
              <w:rPr>
                <w:sz w:val="16"/>
              </w:rPr>
              <w:t>-0.199</w:t>
            </w:r>
          </w:p>
        </w:tc>
        <w:tc>
          <w:tcPr>
            <w:tcW w:w="742" w:type="dxa"/>
            <w:gridSpan w:val="2"/>
          </w:tcPr>
          <w:p>
            <w:pPr>
              <w:pStyle w:val="TableParagraph"/>
              <w:spacing w:before="130"/>
              <w:ind w:left="227"/>
              <w:rPr>
                <w:sz w:val="16"/>
              </w:rPr>
            </w:pPr>
            <w:r>
              <w:rPr>
                <w:sz w:val="16"/>
              </w:rPr>
              <w:t>0.593</w:t>
            </w:r>
          </w:p>
        </w:tc>
        <w:tc>
          <w:tcPr>
            <w:tcW w:w="113" w:type="dxa"/>
            <w:vMerge/>
          </w:tcPr>
          <w:p>
            <w:pPr/>
          </w:p>
        </w:tc>
        <w:tc>
          <w:tcPr>
            <w:tcW w:w="113" w:type="dxa"/>
            <w:vMerge/>
          </w:tcPr>
          <w:p>
            <w:pPr/>
          </w:p>
        </w:tc>
        <w:tc>
          <w:tcPr>
            <w:tcW w:w="1244" w:type="dxa"/>
          </w:tcPr>
          <w:p>
            <w:pPr>
              <w:pStyle w:val="TableParagraph"/>
              <w:ind w:right="372"/>
              <w:rPr>
                <w:sz w:val="16"/>
              </w:rPr>
            </w:pPr>
            <w:r>
              <w:rPr>
                <w:sz w:val="16"/>
              </w:rPr>
              <w:t>Lípidos en comida</w:t>
            </w:r>
          </w:p>
        </w:tc>
        <w:tc>
          <w:tcPr>
            <w:tcW w:w="876" w:type="dxa"/>
          </w:tcPr>
          <w:p>
            <w:pPr>
              <w:pStyle w:val="TableParagraph"/>
              <w:spacing w:before="135"/>
              <w:ind w:left="0" w:right="100"/>
              <w:jc w:val="right"/>
              <w:rPr>
                <w:sz w:val="16"/>
              </w:rPr>
            </w:pPr>
            <w:r>
              <w:rPr>
                <w:sz w:val="16"/>
              </w:rPr>
              <w:t>-0.319</w:t>
            </w:r>
          </w:p>
        </w:tc>
        <w:tc>
          <w:tcPr>
            <w:tcW w:w="756" w:type="dxa"/>
          </w:tcPr>
          <w:p>
            <w:pPr>
              <w:pStyle w:val="TableParagraph"/>
              <w:spacing w:before="135"/>
              <w:ind w:left="242"/>
              <w:rPr>
                <w:sz w:val="16"/>
              </w:rPr>
            </w:pPr>
            <w:r>
              <w:rPr>
                <w:sz w:val="16"/>
              </w:rPr>
              <w:t>1.382</w:t>
            </w:r>
          </w:p>
        </w:tc>
        <w:tc>
          <w:tcPr>
            <w:tcW w:w="134" w:type="dxa"/>
            <w:tcBorders>
              <w:top w:val="nil"/>
              <w:bottom w:val="nil"/>
            </w:tcBorders>
          </w:tcPr>
          <w:p>
            <w:pPr/>
          </w:p>
        </w:tc>
      </w:tr>
      <w:tr>
        <w:trPr>
          <w:trHeight w:val="378" w:hRule="exact"/>
        </w:trPr>
        <w:tc>
          <w:tcPr>
            <w:tcW w:w="3003" w:type="dxa"/>
            <w:vMerge/>
          </w:tcPr>
          <w:p>
            <w:pPr/>
          </w:p>
        </w:tc>
        <w:tc>
          <w:tcPr>
            <w:tcW w:w="113" w:type="dxa"/>
            <w:vMerge/>
          </w:tcPr>
          <w:p>
            <w:pPr/>
          </w:p>
        </w:tc>
        <w:tc>
          <w:tcPr>
            <w:tcW w:w="1270" w:type="dxa"/>
          </w:tcPr>
          <w:p>
            <w:pPr>
              <w:pStyle w:val="TableParagraph"/>
              <w:ind w:right="229"/>
              <w:rPr>
                <w:sz w:val="16"/>
              </w:rPr>
            </w:pPr>
            <w:r>
              <w:rPr>
                <w:sz w:val="16"/>
              </w:rPr>
              <w:t>Proteínas en comida</w:t>
            </w:r>
          </w:p>
        </w:tc>
        <w:tc>
          <w:tcPr>
            <w:tcW w:w="927" w:type="dxa"/>
            <w:gridSpan w:val="2"/>
          </w:tcPr>
          <w:p>
            <w:pPr>
              <w:pStyle w:val="TableParagraph"/>
              <w:spacing w:before="129"/>
              <w:ind w:left="410"/>
              <w:rPr>
                <w:sz w:val="16"/>
              </w:rPr>
            </w:pPr>
            <w:r>
              <w:rPr>
                <w:sz w:val="16"/>
              </w:rPr>
              <w:t>0.833</w:t>
            </w:r>
          </w:p>
        </w:tc>
        <w:tc>
          <w:tcPr>
            <w:tcW w:w="742" w:type="dxa"/>
            <w:gridSpan w:val="2"/>
          </w:tcPr>
          <w:p>
            <w:pPr>
              <w:pStyle w:val="TableParagraph"/>
              <w:spacing w:before="129"/>
              <w:ind w:left="227"/>
              <w:rPr>
                <w:sz w:val="16"/>
              </w:rPr>
            </w:pPr>
            <w:r>
              <w:rPr>
                <w:sz w:val="16"/>
              </w:rPr>
              <w:t>0.364</w:t>
            </w:r>
          </w:p>
        </w:tc>
        <w:tc>
          <w:tcPr>
            <w:tcW w:w="113" w:type="dxa"/>
            <w:vMerge/>
          </w:tcPr>
          <w:p>
            <w:pPr/>
          </w:p>
        </w:tc>
        <w:tc>
          <w:tcPr>
            <w:tcW w:w="113" w:type="dxa"/>
            <w:vMerge/>
          </w:tcPr>
          <w:p>
            <w:pPr/>
          </w:p>
        </w:tc>
        <w:tc>
          <w:tcPr>
            <w:tcW w:w="1244" w:type="dxa"/>
          </w:tcPr>
          <w:p>
            <w:pPr>
              <w:pStyle w:val="TableParagraph"/>
              <w:ind w:right="203"/>
              <w:rPr>
                <w:sz w:val="16"/>
              </w:rPr>
            </w:pPr>
            <w:r>
              <w:rPr>
                <w:sz w:val="16"/>
              </w:rPr>
              <w:t>Proteínas en comida</w:t>
            </w:r>
          </w:p>
        </w:tc>
        <w:tc>
          <w:tcPr>
            <w:tcW w:w="876" w:type="dxa"/>
          </w:tcPr>
          <w:p>
            <w:pPr>
              <w:pStyle w:val="TableParagraph"/>
              <w:spacing w:before="136"/>
              <w:ind w:left="0" w:right="100"/>
              <w:jc w:val="right"/>
              <w:rPr>
                <w:sz w:val="16"/>
              </w:rPr>
            </w:pPr>
            <w:r>
              <w:rPr>
                <w:sz w:val="16"/>
              </w:rPr>
              <w:t>0.360</w:t>
            </w:r>
          </w:p>
        </w:tc>
        <w:tc>
          <w:tcPr>
            <w:tcW w:w="756" w:type="dxa"/>
          </w:tcPr>
          <w:p>
            <w:pPr>
              <w:pStyle w:val="TableParagraph"/>
              <w:spacing w:before="136"/>
              <w:ind w:left="242"/>
              <w:rPr>
                <w:sz w:val="16"/>
              </w:rPr>
            </w:pPr>
            <w:r>
              <w:rPr>
                <w:sz w:val="16"/>
              </w:rPr>
              <w:t>0.516</w:t>
            </w:r>
          </w:p>
        </w:tc>
        <w:tc>
          <w:tcPr>
            <w:tcW w:w="134" w:type="dxa"/>
            <w:tcBorders>
              <w:top w:val="nil"/>
              <w:bottom w:val="nil"/>
            </w:tcBorders>
          </w:tcPr>
          <w:p>
            <w:pPr/>
          </w:p>
        </w:tc>
      </w:tr>
      <w:tr>
        <w:trPr>
          <w:trHeight w:val="562" w:hRule="exact"/>
        </w:trPr>
        <w:tc>
          <w:tcPr>
            <w:tcW w:w="3003" w:type="dxa"/>
            <w:vMerge/>
          </w:tcPr>
          <w:p>
            <w:pPr/>
          </w:p>
        </w:tc>
        <w:tc>
          <w:tcPr>
            <w:tcW w:w="113" w:type="dxa"/>
            <w:vMerge/>
          </w:tcPr>
          <w:p>
            <w:pPr/>
          </w:p>
        </w:tc>
        <w:tc>
          <w:tcPr>
            <w:tcW w:w="1270" w:type="dxa"/>
          </w:tcPr>
          <w:p>
            <w:pPr>
              <w:pStyle w:val="TableParagraph"/>
              <w:ind w:right="390"/>
              <w:rPr>
                <w:i/>
                <w:sz w:val="16"/>
              </w:rPr>
            </w:pPr>
            <w:r>
              <w:rPr>
                <w:sz w:val="16"/>
              </w:rPr>
              <w:t>Cuenta de UFC de </w:t>
            </w:r>
            <w:r>
              <w:rPr>
                <w:i/>
                <w:sz w:val="16"/>
              </w:rPr>
              <w:t>S.</w:t>
            </w:r>
          </w:p>
          <w:p>
            <w:pPr>
              <w:pStyle w:val="TableParagraph"/>
              <w:spacing w:line="182" w:lineRule="exact"/>
              <w:ind w:right="132"/>
              <w:rPr>
                <w:i/>
                <w:sz w:val="16"/>
              </w:rPr>
            </w:pPr>
            <w:r>
              <w:rPr>
                <w:i/>
                <w:sz w:val="16"/>
              </w:rPr>
              <w:t>mutans</w:t>
            </w:r>
          </w:p>
        </w:tc>
        <w:tc>
          <w:tcPr>
            <w:tcW w:w="927" w:type="dxa"/>
            <w:gridSpan w:val="2"/>
          </w:tcPr>
          <w:p>
            <w:pPr>
              <w:pStyle w:val="TableParagraph"/>
              <w:spacing w:before="130"/>
              <w:ind w:left="410"/>
              <w:rPr>
                <w:sz w:val="16"/>
              </w:rPr>
            </w:pPr>
            <w:r>
              <w:rPr>
                <w:sz w:val="16"/>
              </w:rPr>
              <w:t>0.476</w:t>
            </w:r>
          </w:p>
        </w:tc>
        <w:tc>
          <w:tcPr>
            <w:tcW w:w="742" w:type="dxa"/>
            <w:gridSpan w:val="2"/>
          </w:tcPr>
          <w:p>
            <w:pPr>
              <w:pStyle w:val="TableParagraph"/>
              <w:spacing w:before="128"/>
              <w:rPr>
                <w:b/>
                <w:sz w:val="16"/>
              </w:rPr>
            </w:pPr>
            <w:r>
              <w:rPr>
                <w:b/>
                <w:color w:val="FF0000"/>
                <w:sz w:val="16"/>
              </w:rPr>
              <w:t>0.000**</w:t>
            </w:r>
          </w:p>
        </w:tc>
        <w:tc>
          <w:tcPr>
            <w:tcW w:w="113" w:type="dxa"/>
            <w:vMerge/>
          </w:tcPr>
          <w:p>
            <w:pPr/>
          </w:p>
        </w:tc>
        <w:tc>
          <w:tcPr>
            <w:tcW w:w="113" w:type="dxa"/>
            <w:vMerge/>
          </w:tcPr>
          <w:p>
            <w:pPr/>
          </w:p>
        </w:tc>
        <w:tc>
          <w:tcPr>
            <w:tcW w:w="1244" w:type="dxa"/>
          </w:tcPr>
          <w:p>
            <w:pPr>
              <w:pStyle w:val="TableParagraph"/>
              <w:ind w:right="364"/>
              <w:rPr>
                <w:i/>
                <w:sz w:val="16"/>
              </w:rPr>
            </w:pPr>
            <w:r>
              <w:rPr>
                <w:sz w:val="16"/>
              </w:rPr>
              <w:t>Cuenta de UFC de </w:t>
            </w:r>
            <w:r>
              <w:rPr>
                <w:i/>
                <w:sz w:val="16"/>
              </w:rPr>
              <w:t>S.</w:t>
            </w:r>
          </w:p>
          <w:p>
            <w:pPr>
              <w:pStyle w:val="TableParagraph"/>
              <w:spacing w:before="1"/>
              <w:rPr>
                <w:i/>
                <w:sz w:val="16"/>
              </w:rPr>
            </w:pPr>
            <w:r>
              <w:rPr>
                <w:i/>
                <w:sz w:val="16"/>
              </w:rPr>
              <w:t>mutans</w:t>
            </w:r>
          </w:p>
        </w:tc>
        <w:tc>
          <w:tcPr>
            <w:tcW w:w="876" w:type="dxa"/>
          </w:tcPr>
          <w:p>
            <w:pPr>
              <w:pStyle w:val="TableParagraph"/>
              <w:spacing w:before="135"/>
              <w:ind w:left="0" w:right="100"/>
              <w:jc w:val="right"/>
              <w:rPr>
                <w:sz w:val="16"/>
              </w:rPr>
            </w:pPr>
            <w:r>
              <w:rPr>
                <w:sz w:val="16"/>
              </w:rPr>
              <w:t>-0.037</w:t>
            </w:r>
          </w:p>
        </w:tc>
        <w:tc>
          <w:tcPr>
            <w:tcW w:w="756" w:type="dxa"/>
          </w:tcPr>
          <w:p>
            <w:pPr>
              <w:pStyle w:val="TableParagraph"/>
              <w:spacing w:before="135"/>
              <w:ind w:left="242"/>
              <w:rPr>
                <w:sz w:val="16"/>
              </w:rPr>
            </w:pPr>
            <w:r>
              <w:rPr>
                <w:sz w:val="16"/>
              </w:rPr>
              <w:t>0.000</w:t>
            </w:r>
          </w:p>
        </w:tc>
        <w:tc>
          <w:tcPr>
            <w:tcW w:w="134" w:type="dxa"/>
            <w:tcBorders>
              <w:top w:val="nil"/>
              <w:bottom w:val="nil"/>
            </w:tcBorders>
          </w:tcPr>
          <w:p>
            <w:pPr/>
          </w:p>
        </w:tc>
      </w:tr>
      <w:tr>
        <w:trPr>
          <w:trHeight w:val="332" w:hRule="exact"/>
        </w:trPr>
        <w:tc>
          <w:tcPr>
            <w:tcW w:w="3003" w:type="dxa"/>
            <w:vMerge/>
          </w:tcPr>
          <w:p>
            <w:pPr/>
          </w:p>
        </w:tc>
        <w:tc>
          <w:tcPr>
            <w:tcW w:w="113" w:type="dxa"/>
            <w:vMerge/>
          </w:tcPr>
          <w:p>
            <w:pPr/>
          </w:p>
        </w:tc>
        <w:tc>
          <w:tcPr>
            <w:tcW w:w="1270" w:type="dxa"/>
          </w:tcPr>
          <w:p>
            <w:pPr>
              <w:pStyle w:val="TableParagraph"/>
              <w:spacing w:line="178" w:lineRule="exact"/>
              <w:ind w:right="132"/>
              <w:rPr>
                <w:sz w:val="16"/>
              </w:rPr>
            </w:pPr>
            <w:r>
              <w:rPr>
                <w:sz w:val="16"/>
              </w:rPr>
              <w:t>pH</w:t>
            </w:r>
          </w:p>
        </w:tc>
        <w:tc>
          <w:tcPr>
            <w:tcW w:w="927" w:type="dxa"/>
            <w:gridSpan w:val="2"/>
          </w:tcPr>
          <w:p>
            <w:pPr>
              <w:pStyle w:val="TableParagraph"/>
              <w:spacing w:before="130"/>
              <w:ind w:left="410"/>
              <w:rPr>
                <w:sz w:val="16"/>
              </w:rPr>
            </w:pPr>
            <w:r>
              <w:rPr>
                <w:sz w:val="16"/>
              </w:rPr>
              <w:t>0.195</w:t>
            </w:r>
          </w:p>
        </w:tc>
        <w:tc>
          <w:tcPr>
            <w:tcW w:w="742" w:type="dxa"/>
            <w:gridSpan w:val="2"/>
          </w:tcPr>
          <w:p>
            <w:pPr>
              <w:pStyle w:val="TableParagraph"/>
              <w:spacing w:before="130"/>
              <w:ind w:left="227"/>
              <w:rPr>
                <w:sz w:val="16"/>
              </w:rPr>
            </w:pPr>
            <w:r>
              <w:rPr>
                <w:sz w:val="16"/>
              </w:rPr>
              <w:t>0.346</w:t>
            </w:r>
          </w:p>
        </w:tc>
        <w:tc>
          <w:tcPr>
            <w:tcW w:w="113" w:type="dxa"/>
            <w:vMerge/>
          </w:tcPr>
          <w:p>
            <w:pPr/>
          </w:p>
        </w:tc>
        <w:tc>
          <w:tcPr>
            <w:tcW w:w="113" w:type="dxa"/>
            <w:vMerge/>
          </w:tcPr>
          <w:p>
            <w:pPr/>
          </w:p>
        </w:tc>
        <w:tc>
          <w:tcPr>
            <w:tcW w:w="1244" w:type="dxa"/>
          </w:tcPr>
          <w:p>
            <w:pPr>
              <w:pStyle w:val="TableParagraph"/>
              <w:spacing w:line="183" w:lineRule="exact"/>
              <w:rPr>
                <w:sz w:val="16"/>
              </w:rPr>
            </w:pPr>
            <w:r>
              <w:rPr>
                <w:sz w:val="16"/>
              </w:rPr>
              <w:t>pH</w:t>
            </w:r>
          </w:p>
        </w:tc>
        <w:tc>
          <w:tcPr>
            <w:tcW w:w="876" w:type="dxa"/>
          </w:tcPr>
          <w:p>
            <w:pPr>
              <w:pStyle w:val="TableParagraph"/>
              <w:spacing w:before="135"/>
              <w:ind w:left="0" w:right="100"/>
              <w:jc w:val="right"/>
              <w:rPr>
                <w:sz w:val="16"/>
              </w:rPr>
            </w:pPr>
            <w:r>
              <w:rPr>
                <w:sz w:val="16"/>
              </w:rPr>
              <w:t>0.207</w:t>
            </w:r>
          </w:p>
        </w:tc>
        <w:tc>
          <w:tcPr>
            <w:tcW w:w="756" w:type="dxa"/>
          </w:tcPr>
          <w:p>
            <w:pPr>
              <w:pStyle w:val="TableParagraph"/>
              <w:spacing w:before="135"/>
              <w:ind w:left="242"/>
              <w:rPr>
                <w:sz w:val="16"/>
              </w:rPr>
            </w:pPr>
            <w:r>
              <w:rPr>
                <w:sz w:val="16"/>
              </w:rPr>
              <w:t>0.657</w:t>
            </w:r>
          </w:p>
        </w:tc>
        <w:tc>
          <w:tcPr>
            <w:tcW w:w="134" w:type="dxa"/>
            <w:tcBorders>
              <w:top w:val="nil"/>
              <w:bottom w:val="nil"/>
            </w:tcBorders>
          </w:tcPr>
          <w:p>
            <w:pPr/>
          </w:p>
        </w:tc>
      </w:tr>
      <w:tr>
        <w:trPr>
          <w:trHeight w:val="384" w:hRule="exact"/>
        </w:trPr>
        <w:tc>
          <w:tcPr>
            <w:tcW w:w="3003" w:type="dxa"/>
            <w:vMerge/>
            <w:tcBorders>
              <w:bottom w:val="nil"/>
            </w:tcBorders>
          </w:tcPr>
          <w:p>
            <w:pPr/>
          </w:p>
        </w:tc>
        <w:tc>
          <w:tcPr>
            <w:tcW w:w="113" w:type="dxa"/>
            <w:vMerge/>
            <w:tcBorders>
              <w:bottom w:val="nil"/>
            </w:tcBorders>
          </w:tcPr>
          <w:p>
            <w:pPr/>
          </w:p>
        </w:tc>
        <w:tc>
          <w:tcPr>
            <w:tcW w:w="1270" w:type="dxa"/>
            <w:tcBorders>
              <w:bottom w:val="nil"/>
              <w:right w:val="nil"/>
            </w:tcBorders>
          </w:tcPr>
          <w:p>
            <w:pPr>
              <w:pStyle w:val="TableParagraph"/>
              <w:spacing w:before="109"/>
              <w:rPr>
                <w:sz w:val="10"/>
              </w:rPr>
            </w:pPr>
            <w:r>
              <w:rPr>
                <w:position w:val="-7"/>
                <w:sz w:val="16"/>
              </w:rPr>
              <w:t>R</w:t>
            </w:r>
            <w:r>
              <w:rPr>
                <w:sz w:val="10"/>
              </w:rPr>
              <w:t>2</w:t>
            </w:r>
          </w:p>
        </w:tc>
        <w:tc>
          <w:tcPr>
            <w:tcW w:w="1329" w:type="dxa"/>
            <w:gridSpan w:val="3"/>
            <w:tcBorders>
              <w:left w:val="nil"/>
              <w:bottom w:val="nil"/>
              <w:right w:val="nil"/>
            </w:tcBorders>
          </w:tcPr>
          <w:p>
            <w:pPr>
              <w:pStyle w:val="TableParagraph"/>
              <w:spacing w:before="132"/>
              <w:ind w:left="540"/>
              <w:rPr>
                <w:sz w:val="16"/>
              </w:rPr>
            </w:pPr>
            <w:r>
              <w:rPr>
                <w:sz w:val="16"/>
              </w:rPr>
              <w:t>0.130</w:t>
            </w:r>
          </w:p>
        </w:tc>
        <w:tc>
          <w:tcPr>
            <w:tcW w:w="340" w:type="dxa"/>
            <w:tcBorders>
              <w:left w:val="nil"/>
              <w:bottom w:val="double" w:sz="9" w:space="0" w:color="000000"/>
            </w:tcBorders>
          </w:tcPr>
          <w:p>
            <w:pPr/>
          </w:p>
        </w:tc>
        <w:tc>
          <w:tcPr>
            <w:tcW w:w="113" w:type="dxa"/>
            <w:vMerge/>
          </w:tcPr>
          <w:p>
            <w:pPr/>
          </w:p>
        </w:tc>
        <w:tc>
          <w:tcPr>
            <w:tcW w:w="113" w:type="dxa"/>
            <w:vMerge/>
          </w:tcPr>
          <w:p>
            <w:pPr/>
          </w:p>
        </w:tc>
        <w:tc>
          <w:tcPr>
            <w:tcW w:w="1244" w:type="dxa"/>
            <w:tcBorders>
              <w:bottom w:val="double" w:sz="3" w:space="0" w:color="000000"/>
              <w:right w:val="nil"/>
            </w:tcBorders>
          </w:tcPr>
          <w:p>
            <w:pPr>
              <w:pStyle w:val="TableParagraph"/>
              <w:spacing w:before="159"/>
              <w:rPr>
                <w:sz w:val="10"/>
              </w:rPr>
            </w:pPr>
            <w:r>
              <w:rPr>
                <w:position w:val="-7"/>
                <w:sz w:val="16"/>
              </w:rPr>
              <w:t>R</w:t>
            </w:r>
            <w:r>
              <w:rPr>
                <w:sz w:val="10"/>
              </w:rPr>
              <w:t>2</w:t>
            </w:r>
          </w:p>
        </w:tc>
        <w:tc>
          <w:tcPr>
            <w:tcW w:w="1632" w:type="dxa"/>
            <w:gridSpan w:val="2"/>
            <w:tcBorders>
              <w:left w:val="nil"/>
              <w:bottom w:val="double" w:sz="3" w:space="0" w:color="000000"/>
            </w:tcBorders>
          </w:tcPr>
          <w:p>
            <w:pPr>
              <w:pStyle w:val="TableParagraph"/>
              <w:spacing w:before="9"/>
              <w:ind w:left="0"/>
              <w:rPr>
                <w:sz w:val="15"/>
              </w:rPr>
            </w:pPr>
          </w:p>
          <w:p>
            <w:pPr>
              <w:pStyle w:val="TableParagraph"/>
              <w:spacing w:before="1"/>
              <w:ind w:left="427"/>
              <w:rPr>
                <w:sz w:val="16"/>
              </w:rPr>
            </w:pPr>
            <w:r>
              <w:rPr>
                <w:sz w:val="16"/>
              </w:rPr>
              <w:t>0 .100</w:t>
            </w:r>
          </w:p>
        </w:tc>
        <w:tc>
          <w:tcPr>
            <w:tcW w:w="134" w:type="dxa"/>
            <w:tcBorders>
              <w:top w:val="nil"/>
            </w:tcBorders>
          </w:tcPr>
          <w:p>
            <w:pPr/>
          </w:p>
        </w:tc>
      </w:tr>
    </w:tbl>
    <w:p>
      <w:pPr>
        <w:spacing w:after="0"/>
        <w:sectPr>
          <w:pgSz w:w="12240" w:h="15840"/>
          <w:pgMar w:header="729" w:footer="1003" w:top="1180" w:bottom="1200" w:left="14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6"/>
        </w:numPr>
        <w:tabs>
          <w:tab w:pos="3984" w:val="left" w:leader="none"/>
        </w:tabs>
        <w:spacing w:line="240" w:lineRule="auto" w:before="198" w:after="0"/>
        <w:ind w:left="3983" w:right="0" w:hanging="734"/>
        <w:jc w:val="left"/>
      </w:pPr>
      <w:bookmarkStart w:name="_TOC_250003" w:id="37"/>
      <w:bookmarkEnd w:id="37"/>
      <w:r>
        <w:rPr/>
        <w:t>DISCUSIÓN</w:t>
      </w:r>
    </w:p>
    <w:p>
      <w:pPr>
        <w:spacing w:after="0" w:line="240" w:lineRule="auto"/>
        <w:jc w:val="left"/>
        <w:sectPr>
          <w:pgSz w:w="12240" w:h="15840"/>
          <w:pgMar w:header="729" w:footer="1003" w:top="1180" w:bottom="1200" w:left="1540" w:right="1020"/>
        </w:sectPr>
      </w:pPr>
    </w:p>
    <w:p>
      <w:pPr>
        <w:pStyle w:val="BodyText"/>
        <w:spacing w:before="2"/>
        <w:rPr>
          <w:b/>
          <w:sz w:val="13"/>
        </w:rPr>
      </w:pPr>
    </w:p>
    <w:p>
      <w:pPr>
        <w:pStyle w:val="BodyText"/>
        <w:spacing w:line="276" w:lineRule="auto" w:before="69"/>
        <w:ind w:left="162" w:right="159"/>
        <w:jc w:val="both"/>
      </w:pPr>
      <w:r>
        <w:rPr/>
        <w:t>Los datos obtenidos sobre las características sociodemográficas, antecedentes patológicos, atención a la enfermedad, y hábitos higiénico-dietéticos del grupo de la primera infancia estudiado, no es posible compararlos con resultados de estudios previos, ya que lo reportado actualmente en la literatura no hace referencia de los mismos.</w:t>
      </w:r>
    </w:p>
    <w:p>
      <w:pPr>
        <w:pStyle w:val="BodyText"/>
        <w:spacing w:line="276" w:lineRule="auto" w:before="202"/>
        <w:ind w:left="162" w:right="157"/>
        <w:jc w:val="both"/>
      </w:pPr>
      <w:r>
        <w:rPr/>
        <w:t>En relación al pH salival, en el presente estudio no se encontraron diferencias estadísticamente significativas en la las 3 etapas: 1) medición basal, 2) la medición a los 3 meses y 3) medición a los 6 meses, con los diferentes esquemas de variables tratamiento: Grupo 1: aplicación de flúor al 0.02%; Grupo 2: aplicación de Flúor al 0.02% y Clorhexidina al 2% y Grupo 3: aplicación de Clorhexidina al 2%, al comparar las mediciones entre las 3 etapas. Lo anterior no concordando con lo reportado en la literatura, donde Giertsen E. y col.(1995) en estudio realizado sobre los efectos de la asociación del Clorhexidina y Flúor (NaF), reportaron una caída significativa del pH salival.(16)</w:t>
      </w:r>
    </w:p>
    <w:p>
      <w:pPr>
        <w:pStyle w:val="BodyText"/>
        <w:spacing w:line="276" w:lineRule="auto" w:before="197"/>
        <w:ind w:left="162" w:right="157"/>
        <w:jc w:val="both"/>
      </w:pPr>
      <w:r>
        <w:rPr/>
        <w:t>Las cuentas de </w:t>
      </w:r>
      <w:r>
        <w:rPr>
          <w:i/>
        </w:rPr>
        <w:t>Streptococcus mutans </w:t>
      </w:r>
      <w:r>
        <w:rPr/>
        <w:t>mostraron diferencias estadísticamente significativas al comparar las etapas de 3 y 6 meses respecto a la etapa basal en los 3 grupos de estudio, concordando con lo reportado por Roger A. Achong (1999)(17), quien reportó disminución de las cuentas bacterianas de </w:t>
      </w:r>
      <w:r>
        <w:rPr>
          <w:i/>
        </w:rPr>
        <w:t>Streptococcus mutans </w:t>
      </w:r>
      <w:r>
        <w:rPr/>
        <w:t>a los 2 y 3 meses posterior a la aplicación de clorhexidina en pacientes de 4 a 12 años de edad, aun cuando el grupo de estudio fue de edades distintas. Así también, Takeuchi y col.(2007)(18), reportaron disminución de las cuentas bacterias de </w:t>
      </w:r>
      <w:r>
        <w:rPr>
          <w:i/>
        </w:rPr>
        <w:t>Streptotoccus </w:t>
      </w:r>
      <w:r>
        <w:rPr>
          <w:i/>
        </w:rPr>
        <w:t>mutans </w:t>
      </w:r>
      <w:r>
        <w:rPr/>
        <w:t>aun cuando sólo fue con la aplicación e Clorhexidina. Sandhan H.J. y col. (1992)(19), reportaron disminución de los niveles de </w:t>
      </w:r>
      <w:r>
        <w:rPr>
          <w:i/>
        </w:rPr>
        <w:t>Streptococcus mutans </w:t>
      </w:r>
      <w:r>
        <w:rPr/>
        <w:t>a los 7 meses con la aplicación de</w:t>
      </w:r>
      <w:r>
        <w:rPr>
          <w:spacing w:val="-11"/>
        </w:rPr>
        <w:t> </w:t>
      </w:r>
      <w:r>
        <w:rPr/>
        <w:t>Clorhexidina.</w:t>
      </w:r>
    </w:p>
    <w:p>
      <w:pPr>
        <w:pStyle w:val="BodyText"/>
        <w:spacing w:line="276" w:lineRule="auto" w:before="200"/>
        <w:ind w:left="162" w:right="157"/>
        <w:jc w:val="both"/>
      </w:pPr>
      <w:r>
        <w:rPr/>
        <w:t>En el grupo donde se aplicó Fluoruro de Sodio al 0.02% y Clorhexidina al 2%, fue el único donde se encontraron diferencias estadísticamente significativas a los 3 y 6 meses respecto de la etapa basal, con una probabilidad de asociación a </w:t>
      </w:r>
      <w:r>
        <w:rPr>
          <w:spacing w:val="3"/>
        </w:rPr>
        <w:t>los </w:t>
      </w:r>
      <w:r>
        <w:rPr/>
        <w:t>3 meses  de 0.502 de Nm de desmineralización por cada UFC del </w:t>
      </w:r>
      <w:r>
        <w:rPr>
          <w:i/>
        </w:rPr>
        <w:t>Streptococcus mutans </w:t>
      </w:r>
      <w:r>
        <w:rPr/>
        <w:t>(p=0.039); y a los 6 meses una probabilidad de 0.476 Nm de desmineralización por cada UFC de </w:t>
      </w:r>
      <w:r>
        <w:rPr>
          <w:i/>
        </w:rPr>
        <w:t>Streptococcus mutans</w:t>
      </w:r>
      <w:r>
        <w:rPr/>
        <w:t>(p=0.004), concordando con lo reportado con Santos Alves y col.(2010)(20), quienes probaron la capacidad antimicrobiana de productos fluorados con Clorhexidina encontrando una disminución importante en la cuenta de colonias de </w:t>
      </w:r>
      <w:r>
        <w:rPr>
          <w:i/>
        </w:rPr>
        <w:t>Streptococcus mutans </w:t>
      </w:r>
      <w:r>
        <w:rPr/>
        <w:t>observándose diferencias significativas en la remineralización dental. Así mismo Luoma H y Col.(1992)(21) compararon diferentes presentaciones de Clorhexidina con o sin flúor, donde revelaron disminuían las cuentas de </w:t>
      </w:r>
      <w:r>
        <w:rPr>
          <w:i/>
        </w:rPr>
        <w:t>Streptococcus mutans</w:t>
      </w:r>
      <w:r>
        <w:rPr/>
        <w:t>. Sin embargo también los resultados de este estudio difieren con lo reportado por Gispert E. y col. (2003)(22), quienes refieren que la disminución de las cuentas de </w:t>
      </w:r>
      <w:r>
        <w:rPr>
          <w:i/>
        </w:rPr>
        <w:t>Streptococcus mutans </w:t>
      </w:r>
      <w:r>
        <w:rPr/>
        <w:t>fueron mayores sólo con la</w:t>
      </w:r>
      <w:r>
        <w:rPr>
          <w:spacing w:val="-24"/>
        </w:rPr>
        <w:t> </w:t>
      </w:r>
      <w:r>
        <w:rPr/>
        <w:t>Clorhexidina.</w:t>
      </w:r>
    </w:p>
    <w:p>
      <w:pPr>
        <w:spacing w:after="0" w:line="276" w:lineRule="auto"/>
        <w:jc w:val="both"/>
        <w:sectPr>
          <w:pgSz w:w="12240" w:h="15840"/>
          <w:pgMar w:header="729" w:footer="1003" w:top="1180" w:bottom="1200" w:left="1540" w:right="1020"/>
        </w:sectPr>
      </w:pPr>
    </w:p>
    <w:p>
      <w:pPr>
        <w:pStyle w:val="BodyText"/>
        <w:spacing w:before="2"/>
        <w:rPr>
          <w:sz w:val="13"/>
        </w:rPr>
      </w:pPr>
    </w:p>
    <w:p>
      <w:pPr>
        <w:pStyle w:val="BodyText"/>
        <w:spacing w:line="276" w:lineRule="auto" w:before="69"/>
        <w:ind w:left="162" w:right="159"/>
        <w:jc w:val="both"/>
      </w:pPr>
      <w:r>
        <w:rPr/>
        <w:t>Los datos obtenidos sobre la asociación de la desmineralización contra la ingesta de Carbohidratos, Lípidos y Proteínas en desayuno y comida, así como con el pH salival, no es posible contrastarlos, debido a que en estudios al respecto, no se han considerado.</w:t>
      </w:r>
    </w:p>
    <w:p>
      <w:pPr>
        <w:pStyle w:val="BodyText"/>
        <w:spacing w:line="276" w:lineRule="auto" w:before="202"/>
        <w:ind w:left="162" w:right="164"/>
        <w:jc w:val="both"/>
      </w:pPr>
      <w:r>
        <w:rPr/>
        <w:t>La mayoría de los estudios reportados en la literatura refieren datos concordantes y discordantes, pero no fueron realizados en un grupo de la primera infancia como en el presente estudio.</w:t>
      </w:r>
    </w:p>
    <w:p>
      <w:pPr>
        <w:spacing w:after="0" w:line="276" w:lineRule="auto"/>
        <w:jc w:val="both"/>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6"/>
        </w:numPr>
        <w:tabs>
          <w:tab w:pos="3434" w:val="left" w:leader="none"/>
        </w:tabs>
        <w:spacing w:line="240" w:lineRule="auto" w:before="176" w:after="0"/>
        <w:ind w:left="3433" w:right="0" w:hanging="734"/>
        <w:jc w:val="left"/>
      </w:pPr>
      <w:bookmarkStart w:name="_TOC_250002" w:id="38"/>
      <w:bookmarkEnd w:id="38"/>
      <w:r>
        <w:rPr/>
        <w:t>CONCLUSIONES</w:t>
      </w:r>
    </w:p>
    <w:p>
      <w:pPr>
        <w:spacing w:after="0" w:line="240" w:lineRule="auto"/>
        <w:jc w:val="left"/>
        <w:sectPr>
          <w:pgSz w:w="12240" w:h="15840"/>
          <w:pgMar w:header="729" w:footer="1003" w:top="1180" w:bottom="1200" w:left="1540" w:right="1020"/>
        </w:sectPr>
      </w:pPr>
    </w:p>
    <w:p>
      <w:pPr>
        <w:pStyle w:val="BodyText"/>
        <w:spacing w:before="2"/>
        <w:rPr>
          <w:b/>
          <w:sz w:val="13"/>
        </w:rPr>
      </w:pPr>
    </w:p>
    <w:p>
      <w:pPr>
        <w:pStyle w:val="BodyText"/>
        <w:spacing w:line="276" w:lineRule="auto" w:before="69"/>
        <w:ind w:left="162" w:right="157"/>
        <w:jc w:val="both"/>
      </w:pPr>
      <w:r>
        <w:rPr/>
        <w:t>Los estudios realizados previamente con las variables utilizadas en este estudio no han sido aplicados en las mismas dosis, por lo que los resultados obtenidos en general son discordantes con lo reportado en la literatura. Lo anterior debido a que el grupo de la primera infancia es al momento relegado de los estudios sobre la caries, al parecer debido a que los niños presentan una dentición temporal, aunado a la dificultad que puede implicar el atender a individuos de 0-3 años de edad.</w:t>
      </w:r>
    </w:p>
    <w:p>
      <w:pPr>
        <w:pStyle w:val="BodyText"/>
        <w:spacing w:line="276" w:lineRule="auto" w:before="200"/>
        <w:ind w:left="162" w:right="158"/>
        <w:jc w:val="both"/>
      </w:pPr>
      <w:r>
        <w:rPr/>
        <w:t>En los estudios realizados para prevenir la caries, además de que no han sido reportados en este grupo de edad (0-3 años), las características sociodemográficas, antecedentes patológicos, atención a la enfermedad y hábitos higiénico-dietéticos no han sido considerados en los estudios previos.</w:t>
      </w:r>
    </w:p>
    <w:p>
      <w:pPr>
        <w:pStyle w:val="BodyText"/>
        <w:spacing w:line="276" w:lineRule="auto" w:before="200"/>
        <w:ind w:left="162" w:right="162"/>
        <w:jc w:val="both"/>
      </w:pPr>
      <w:r>
        <w:rPr/>
        <w:t>Contrario a lo reportado por la mayoría de los estudios anteriores sobre el tema de prevención de la caries, en este estudio el pH salival se mantuvo en cifras constantes durante los 6 meses de seguimiento.</w:t>
      </w:r>
    </w:p>
    <w:p>
      <w:pPr>
        <w:pStyle w:val="BodyText"/>
        <w:spacing w:line="276" w:lineRule="auto" w:before="202"/>
        <w:ind w:left="162" w:right="156"/>
        <w:jc w:val="both"/>
      </w:pPr>
      <w:r>
        <w:rPr/>
        <w:t>La cuenta de colonias bacterianas se redujo en los 3 esquemas utilizados en el presente estudio, pero la disminución fue significativamente mayor en el grupo donde se combinó el Fluoruro de Sodio al 0.02% y la Clorhexidina al 2% (sobre todo a los 3 y 6 meses respecto de la medición basal); la que resultó ser la alternativa con un mejor efecto en la prevención de la caries en este grupo de la primera</w:t>
      </w:r>
      <w:r>
        <w:rPr>
          <w:spacing w:val="-28"/>
        </w:rPr>
        <w:t> </w:t>
      </w:r>
      <w:r>
        <w:rPr/>
        <w:t>infancia.</w:t>
      </w:r>
    </w:p>
    <w:p>
      <w:pPr>
        <w:pStyle w:val="BodyText"/>
        <w:spacing w:line="276" w:lineRule="auto" w:before="202"/>
        <w:ind w:left="162" w:right="156"/>
        <w:jc w:val="both"/>
      </w:pPr>
      <w:r>
        <w:rPr/>
        <w:t>En resumen, se puede concluir que la combinación de Clorhexidina y Fluoruros tópicos, sin duda pueden tener un efecto cariostático ya conocido, en comparación con el efecto que pueda lograrse con el tratamiento separado o independientemente de cada sustancia. Por lo que se podría inferir, que la aplicación de Fluoruro de Sodio debe de estar acompañada por un compuesto con efecto bactericida, para esperar tener mejores resultados en la prevención de la caries</w:t>
      </w:r>
      <w:r>
        <w:rPr>
          <w:spacing w:val="-14"/>
        </w:rPr>
        <w:t> </w:t>
      </w:r>
      <w:r>
        <w:rPr/>
        <w:t>dental.</w:t>
      </w:r>
    </w:p>
    <w:p>
      <w:pPr>
        <w:spacing w:after="0" w:line="276" w:lineRule="auto"/>
        <w:jc w:val="both"/>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1"/>
        <w:numPr>
          <w:ilvl w:val="1"/>
          <w:numId w:val="6"/>
        </w:numPr>
        <w:tabs>
          <w:tab w:pos="3729" w:val="left" w:leader="none"/>
        </w:tabs>
        <w:spacing w:line="240" w:lineRule="auto" w:before="43" w:after="0"/>
        <w:ind w:left="3729" w:right="0" w:hanging="720"/>
        <w:jc w:val="left"/>
      </w:pPr>
      <w:bookmarkStart w:name="_TOC_250001" w:id="39"/>
      <w:bookmarkEnd w:id="39"/>
      <w:r>
        <w:rPr/>
        <w:t>BIBLIOGRAFÍA.</w:t>
      </w:r>
    </w:p>
    <w:p>
      <w:pPr>
        <w:spacing w:after="0" w:line="240" w:lineRule="auto"/>
        <w:jc w:val="left"/>
        <w:sectPr>
          <w:pgSz w:w="12240" w:h="15840"/>
          <w:pgMar w:header="729" w:footer="1003" w:top="1180" w:bottom="1200" w:left="1540" w:right="1020"/>
        </w:sectPr>
      </w:pPr>
    </w:p>
    <w:p>
      <w:pPr>
        <w:pStyle w:val="BodyText"/>
        <w:spacing w:before="2"/>
        <w:rPr>
          <w:b/>
          <w:sz w:val="13"/>
        </w:rPr>
      </w:pPr>
    </w:p>
    <w:p>
      <w:pPr>
        <w:pStyle w:val="BodyText"/>
        <w:spacing w:line="276" w:lineRule="auto" w:before="69"/>
        <w:ind w:left="162" w:right="160"/>
        <w:jc w:val="both"/>
      </w:pPr>
      <w:r>
        <w:rPr/>
        <w:t>1.-Burnett George W., Sherp Henry W. Schuster George. Microbriología y enfermedades infecciosas de la boca. Pag.323 Editorial L Limusa. Primera edición. México D.F.1986.</w:t>
      </w:r>
    </w:p>
    <w:p>
      <w:pPr>
        <w:pStyle w:val="BodyText"/>
        <w:spacing w:line="276" w:lineRule="auto" w:before="200"/>
        <w:ind w:left="162" w:right="160"/>
        <w:jc w:val="both"/>
      </w:pPr>
      <w:r>
        <w:rPr/>
        <w:t>2.- Mendes Gonclaves Doris Dina, Caricote Lovera Nancy. Prevalencia de caries dental en escolares de 6 a 12 años de edad del municipio Antolin del Campo Estado de  Nueva Esparta, Venezuela.(200-2003). Revista Latinoamericana de Ortodoncia y Odontopediatría. Diciembre</w:t>
      </w:r>
      <w:r>
        <w:rPr>
          <w:spacing w:val="-12"/>
        </w:rPr>
        <w:t> </w:t>
      </w:r>
      <w:r>
        <w:rPr/>
        <w:t>2003.</w:t>
      </w:r>
    </w:p>
    <w:p>
      <w:pPr>
        <w:pStyle w:val="BodyText"/>
        <w:spacing w:line="276" w:lineRule="auto" w:before="202"/>
        <w:ind w:left="162" w:right="158"/>
        <w:jc w:val="both"/>
      </w:pPr>
      <w:r>
        <w:rPr/>
        <w:t>4.-John O. Forrest. Odontología Preventiva. Pag. 1. Editorial El Manual Moderno. Segunda edición.1983. México D.F .</w:t>
      </w:r>
    </w:p>
    <w:p>
      <w:pPr>
        <w:pStyle w:val="BodyText"/>
        <w:spacing w:before="203"/>
        <w:ind w:left="162"/>
        <w:jc w:val="both"/>
      </w:pPr>
      <w:r>
        <w:rPr/>
        <w:t>6.-Newbrum Ernest. Cariología Edit. Limusa.   Pag 39 México DF.1991.</w:t>
      </w:r>
    </w:p>
    <w:p>
      <w:pPr>
        <w:pStyle w:val="BodyText"/>
        <w:spacing w:before="10"/>
        <w:rPr>
          <w:sz w:val="20"/>
        </w:rPr>
      </w:pPr>
    </w:p>
    <w:p>
      <w:pPr>
        <w:pStyle w:val="BodyText"/>
        <w:spacing w:line="276" w:lineRule="auto"/>
        <w:ind w:left="162" w:right="164"/>
        <w:jc w:val="both"/>
      </w:pPr>
      <w:r>
        <w:rPr/>
        <w:t>7.-Filho C.F,LimaK.C. Eficacia del uso tópico de fluoruros y del cepillado dental en el control de caries Avances en  Odontoestomatología.Vol 24- Num 4. 2008.</w:t>
      </w:r>
    </w:p>
    <w:p>
      <w:pPr>
        <w:pStyle w:val="BodyText"/>
        <w:spacing w:before="200"/>
        <w:ind w:left="162" w:right="167"/>
        <w:jc w:val="both"/>
      </w:pPr>
      <w:r>
        <w:rPr/>
        <w:t>8.-Moreno-Altamirano A. Cartas al editor Propone aplicar un índice comunitario de fluorosis. Salud Pública Mex. 2001 43: 179-8142.</w:t>
      </w:r>
    </w:p>
    <w:p>
      <w:pPr>
        <w:pStyle w:val="BodyText"/>
        <w:spacing w:before="2"/>
      </w:pPr>
    </w:p>
    <w:p>
      <w:pPr>
        <w:pStyle w:val="BodyText"/>
        <w:spacing w:line="276" w:lineRule="auto"/>
        <w:ind w:left="162" w:right="160"/>
        <w:jc w:val="both"/>
      </w:pPr>
      <w:r>
        <w:rPr/>
        <w:t>9.-Secretaría de salud.Programa nacional de Salud 2001-2006. Estrategia: reducir los rezagos que afectan a los pobres.Programa de acción: Salud Bucal.SSA Mexico;2001.</w:t>
      </w:r>
    </w:p>
    <w:p>
      <w:pPr>
        <w:pStyle w:val="BodyText"/>
        <w:spacing w:line="276" w:lineRule="auto" w:before="202"/>
        <w:ind w:left="162" w:right="160"/>
        <w:jc w:val="both"/>
      </w:pPr>
      <w:r>
        <w:rPr/>
        <w:t>10.- Secretaria de Salud .Programa Nacional de Salud 2001 – 2006 SSA. Mexico,2001. P.97.</w:t>
      </w:r>
    </w:p>
    <w:p>
      <w:pPr>
        <w:pStyle w:val="BodyText"/>
        <w:spacing w:line="276" w:lineRule="auto" w:before="202"/>
        <w:ind w:left="162" w:right="157"/>
        <w:jc w:val="both"/>
      </w:pPr>
      <w:r>
        <w:rPr/>
        <w:t>11.-María de los Ángeles Cuellar González, Irma Hernández Gallardo, Mariana Mondragón Mojica, Eva Martínez Herrera, Amalia Rodríguez López. Prevalencia de caries y factores asociados en niños de estancias Estomatología.infantiles, Gac Méd Méx Vol. 136 No.4. 200</w:t>
      </w:r>
    </w:p>
    <w:p>
      <w:pPr>
        <w:pStyle w:val="BodyText"/>
        <w:spacing w:line="276" w:lineRule="auto" w:before="202"/>
        <w:ind w:left="162" w:right="161"/>
        <w:jc w:val="both"/>
      </w:pPr>
      <w:r>
        <w:rPr/>
        <w:t>13.- Rodriguez García Luiz Orlando, Giardiru Martinez Reina, Arte Loriga Manuela. Factores de riego y prevención de caries en la edad temprana en escolares y adolescentes.  Medicina estomatológica.</w:t>
      </w:r>
    </w:p>
    <w:p>
      <w:pPr>
        <w:pStyle w:val="ListParagraph"/>
        <w:numPr>
          <w:ilvl w:val="1"/>
          <w:numId w:val="6"/>
        </w:numPr>
        <w:tabs>
          <w:tab w:pos="652" w:val="left" w:leader="none"/>
        </w:tabs>
        <w:spacing w:line="240" w:lineRule="auto" w:before="200" w:after="0"/>
        <w:ind w:left="162" w:right="157" w:firstLine="0"/>
        <w:jc w:val="both"/>
        <w:rPr>
          <w:sz w:val="24"/>
        </w:rPr>
      </w:pPr>
      <w:r>
        <w:rPr>
          <w:sz w:val="24"/>
        </w:rPr>
        <w:t>-Westergren G, Krasse B. Evaluation of a micromethod for determination of Streptococcus mutans and Lactobacillusinfection. J. Clin. Microbiol. 1978;</w:t>
      </w:r>
      <w:r>
        <w:rPr>
          <w:spacing w:val="-24"/>
          <w:sz w:val="24"/>
        </w:rPr>
        <w:t> </w:t>
      </w:r>
      <w:r>
        <w:rPr>
          <w:sz w:val="24"/>
        </w:rPr>
        <w:t>7(1):82-83.</w:t>
      </w:r>
    </w:p>
    <w:p>
      <w:pPr>
        <w:pStyle w:val="BodyText"/>
      </w:pPr>
    </w:p>
    <w:p>
      <w:pPr>
        <w:pStyle w:val="BodyText"/>
        <w:rPr>
          <w:sz w:val="21"/>
        </w:rPr>
      </w:pPr>
    </w:p>
    <w:p>
      <w:pPr>
        <w:pStyle w:val="BodyText"/>
        <w:spacing w:line="278" w:lineRule="auto" w:before="1"/>
        <w:ind w:left="162" w:right="157"/>
        <w:jc w:val="both"/>
      </w:pPr>
      <w:r>
        <w:rPr/>
        <w:t>15.-Nolte William.Microbiologia odontológica.Edit. Interamericana. Cuarta edición.p.269. Mexico, D.F 1986</w:t>
      </w:r>
    </w:p>
    <w:p>
      <w:pPr>
        <w:pStyle w:val="BodyText"/>
        <w:spacing w:line="276" w:lineRule="auto" w:before="197"/>
        <w:ind w:left="162" w:right="161"/>
        <w:jc w:val="both"/>
      </w:pPr>
      <w:r>
        <w:rPr/>
        <w:t>16.-María Elena Díaz Pizan, Mónica Encinas De la Cuba, Caries de Infancia Temprana: Una nueva clasificación de Caries Dental en infantes, Revista. Visión Dental. Lima Perú 2009.</w:t>
      </w:r>
    </w:p>
    <w:p>
      <w:pPr>
        <w:spacing w:after="0" w:line="276" w:lineRule="auto"/>
        <w:jc w:val="both"/>
        <w:sectPr>
          <w:pgSz w:w="12240" w:h="15840"/>
          <w:pgMar w:header="729" w:footer="1003" w:top="1180" w:bottom="1200" w:left="1540" w:right="1020"/>
        </w:sectPr>
      </w:pPr>
    </w:p>
    <w:p>
      <w:pPr>
        <w:pStyle w:val="BodyText"/>
        <w:spacing w:before="2"/>
        <w:rPr>
          <w:sz w:val="13"/>
        </w:rPr>
      </w:pPr>
    </w:p>
    <w:p>
      <w:pPr>
        <w:pStyle w:val="BodyText"/>
        <w:spacing w:line="278" w:lineRule="auto" w:before="69"/>
        <w:ind w:left="162" w:right="158"/>
      </w:pPr>
      <w:r>
        <w:rPr/>
        <w:t>17.-Gonzalez Cristian, Garrocho Arturo; Pérez Felipe ; Amaury Pozos UASLP Revista Mexicana de Odontología Clínica Año 2/ Núm.XII/ 2009.</w:t>
      </w:r>
    </w:p>
    <w:p>
      <w:pPr>
        <w:pStyle w:val="BodyText"/>
        <w:spacing w:line="276" w:lineRule="auto" w:before="197"/>
        <w:ind w:left="162" w:right="319"/>
      </w:pPr>
      <w:r>
        <w:rPr/>
        <w:t>18.- Santos Alvares,TallytaMaria; Alves Silva, Camila;Braga da Silva, Naiana; Batista de Medeiros,Eliane,Gondim Valencia, Ana Maria .Actividad Antimicrobiana de Productos Fluorados sobre Bactérias.Revista Pesquisa Brasileira en odontopediatria y clínica integrada.Vol. 10 Num. 2 Mayo-Agosto  2010.  Pp 209-216.</w:t>
      </w:r>
    </w:p>
    <w:p>
      <w:pPr>
        <w:pStyle w:val="BodyText"/>
        <w:spacing w:line="276" w:lineRule="auto" w:before="202"/>
        <w:ind w:left="162" w:right="158"/>
      </w:pPr>
      <w:r>
        <w:rPr/>
        <w:t>19.- Leonor PalomerR.Caries dental en el niño. Una enfermedad contagiosa. Revista chilena de pediatría .Vol.77.n.1. Febrero 2006.</w:t>
      </w:r>
    </w:p>
    <w:p>
      <w:pPr>
        <w:pStyle w:val="BodyText"/>
        <w:spacing w:line="276" w:lineRule="auto" w:before="200"/>
        <w:ind w:left="162" w:right="160"/>
        <w:jc w:val="both"/>
      </w:pPr>
      <w:r>
        <w:rPr/>
        <w:t>20.-KohlerB, Andreen I, Jonsson B. Cuan anterior es la colonización por los estreptococos mutansmas alto es el predominio de caries en niños de 4 años de edad. Caries Res. 1997;31(2):91-96.</w:t>
      </w:r>
    </w:p>
    <w:p>
      <w:pPr>
        <w:pStyle w:val="BodyText"/>
        <w:spacing w:line="276" w:lineRule="auto" w:before="200"/>
        <w:ind w:left="162" w:right="157"/>
        <w:jc w:val="both"/>
      </w:pPr>
      <w:r>
        <w:rPr/>
        <w:t>21.-García-Santos, María C y Rioboo-García, R. Estudio sobre la prevención quimioterapéutica de la caries dental con barnices de clorhexidina y timol, en niños de 5-8 años de edad, con riesgo alto de caries.: Un reporte preliminar. Avances Odontoestomatológicos 2004, vol.20, n.1 [citado  2011-08-03], pp. 41-53</w:t>
      </w:r>
    </w:p>
    <w:p>
      <w:pPr>
        <w:pStyle w:val="BodyText"/>
        <w:spacing w:before="200"/>
        <w:ind w:left="162" w:right="158"/>
      </w:pPr>
      <w:r>
        <w:rPr/>
        <w:t>22.-Piedrola Gil. Medicina preventiva y salud Pública.Pag.789, 796. Editorial Masson,</w:t>
      </w:r>
    </w:p>
    <w:p>
      <w:pPr>
        <w:pStyle w:val="BodyText"/>
        <w:ind w:left="162" w:right="158"/>
      </w:pPr>
      <w:r>
        <w:rPr/>
        <w:t>S.A. Décima edición.2003.Barcelona, España.</w:t>
      </w:r>
    </w:p>
    <w:p>
      <w:pPr>
        <w:pStyle w:val="BodyText"/>
      </w:pPr>
    </w:p>
    <w:p>
      <w:pPr>
        <w:pStyle w:val="BodyText"/>
        <w:ind w:left="162" w:right="158"/>
      </w:pPr>
      <w:r>
        <w:rPr/>
        <w:t>23.- Henoztroza G, Henostroza N. Conceptos, teorías y factores etilógicos de la caries dental.Diagnostico de caries dental. 1era ed. Lima: Universidad Peruana Cayetano Heredia; 2005. p. 13-28.</w:t>
      </w:r>
    </w:p>
    <w:p>
      <w:pPr>
        <w:pStyle w:val="BodyText"/>
      </w:pPr>
    </w:p>
    <w:p>
      <w:pPr>
        <w:pStyle w:val="BodyText"/>
        <w:rPr>
          <w:sz w:val="21"/>
        </w:rPr>
      </w:pPr>
    </w:p>
    <w:p>
      <w:pPr>
        <w:pStyle w:val="BodyText"/>
        <w:spacing w:line="276" w:lineRule="auto" w:before="1"/>
        <w:ind w:left="162" w:right="167"/>
      </w:pPr>
      <w:r>
        <w:rPr/>
        <w:t>24.- Morales Bedoya Arturo. Historia Natural de la enfermedad y niveles de prevención. </w:t>
      </w:r>
      <w:hyperlink r:id="rId32">
        <w:r>
          <w:rPr/>
          <w:t>http://www.rcm.upr.edu/PublicHealth/medu6500/Unidad_1/Rodriguez_Historia-natural-</w:t>
        </w:r>
      </w:hyperlink>
      <w:r>
        <w:rPr/>
        <w:t> </w:t>
      </w:r>
      <w:hyperlink r:id="rId32">
        <w:r>
          <w:rPr/>
          <w:t>Prevencion.pdf</w:t>
        </w:r>
      </w:hyperlink>
      <w:r>
        <w:rPr/>
        <w:t>.</w:t>
      </w:r>
    </w:p>
    <w:p>
      <w:pPr>
        <w:pStyle w:val="BodyText"/>
        <w:spacing w:before="197"/>
        <w:ind w:left="162" w:right="574"/>
      </w:pPr>
      <w:r>
        <w:rPr/>
        <w:t>25.- .- Araujo AMPG, Naspitz GMCC, Chelotti A and Cai S. Effect of Cervitec on mutans streptococci in plaque and on caries formation on occlusal fissures of erupting permanent molars. Caries Res 2002; 36 373-376</w:t>
      </w:r>
    </w:p>
    <w:p>
      <w:pPr>
        <w:pStyle w:val="BodyText"/>
      </w:pPr>
    </w:p>
    <w:p>
      <w:pPr>
        <w:pStyle w:val="BodyText"/>
      </w:pPr>
    </w:p>
    <w:p>
      <w:pPr>
        <w:pStyle w:val="BodyText"/>
        <w:spacing w:before="4"/>
        <w:rPr>
          <w:sz w:val="21"/>
        </w:rPr>
      </w:pPr>
    </w:p>
    <w:p>
      <w:pPr>
        <w:pStyle w:val="BodyText"/>
        <w:tabs>
          <w:tab w:pos="838" w:val="left" w:leader="none"/>
          <w:tab w:pos="2036" w:val="left" w:leader="none"/>
          <w:tab w:pos="2657" w:val="left" w:leader="none"/>
          <w:tab w:pos="4292" w:val="left" w:leader="none"/>
          <w:tab w:pos="5627" w:val="left" w:leader="none"/>
          <w:tab w:pos="6356" w:val="left" w:leader="none"/>
          <w:tab w:pos="7083" w:val="left" w:leader="none"/>
          <w:tab w:pos="8214" w:val="left" w:leader="none"/>
        </w:tabs>
        <w:spacing w:line="276" w:lineRule="auto"/>
        <w:ind w:left="162" w:right="159"/>
      </w:pPr>
      <w:r>
        <w:rPr/>
        <w:t>26.-</w:t>
        <w:tab/>
        <w:t>Pinkham</w:t>
        <w:tab/>
        <w:t>J.R</w:t>
        <w:tab/>
        <w:t>.Odontología</w:t>
        <w:tab/>
        <w:t>Pediátrica</w:t>
        <w:tab/>
        <w:t>133,</w:t>
        <w:tab/>
        <w:t>134,</w:t>
        <w:tab/>
        <w:t>Editorial</w:t>
        <w:tab/>
      </w:r>
      <w:r>
        <w:rPr>
          <w:spacing w:val="-1"/>
        </w:rPr>
        <w:t>McGraw-Hill </w:t>
      </w:r>
      <w:r>
        <w:rPr/>
        <w:t>Interamericana. Tercera edición. México D.F.</w:t>
      </w:r>
      <w:r>
        <w:rPr>
          <w:spacing w:val="-17"/>
        </w:rPr>
        <w:t> </w:t>
      </w:r>
      <w:r>
        <w:rPr/>
        <w:t>2001.</w:t>
      </w:r>
    </w:p>
    <w:p>
      <w:pPr>
        <w:pStyle w:val="BodyText"/>
        <w:spacing w:line="276" w:lineRule="auto" w:before="202"/>
        <w:ind w:left="162" w:right="168"/>
      </w:pPr>
      <w:r>
        <w:rPr/>
        <w:t>27.- Bowden Gh. Estreptococos mutans y clorhexidina. Biol. Oral 1982 Del Arco; 27 (10):861-868</w:t>
      </w:r>
    </w:p>
    <w:p>
      <w:pPr>
        <w:pStyle w:val="BodyText"/>
        <w:tabs>
          <w:tab w:pos="6560" w:val="left" w:leader="none"/>
        </w:tabs>
        <w:spacing w:line="278" w:lineRule="auto" w:before="199"/>
        <w:ind w:left="162" w:right="166"/>
      </w:pPr>
      <w:r>
        <w:rPr/>
        <w:t>28.-Ciancio  Sebastián, </w:t>
      </w:r>
      <w:r>
        <w:rPr>
          <w:spacing w:val="33"/>
        </w:rPr>
        <w:t> </w:t>
      </w:r>
      <w:r>
        <w:rPr/>
        <w:t>BourgaultPricilla. </w:t>
      </w:r>
      <w:r>
        <w:rPr>
          <w:spacing w:val="18"/>
        </w:rPr>
        <w:t> </w:t>
      </w:r>
      <w:r>
        <w:rPr/>
        <w:t>Farmacología</w:t>
        <w:tab/>
        <w:t>Clínica </w:t>
      </w:r>
      <w:r>
        <w:rPr>
          <w:spacing w:val="19"/>
        </w:rPr>
        <w:t> </w:t>
      </w:r>
      <w:r>
        <w:rPr/>
        <w:t>para </w:t>
      </w:r>
      <w:r>
        <w:rPr>
          <w:spacing w:val="16"/>
        </w:rPr>
        <w:t> </w:t>
      </w:r>
      <w:r>
        <w:rPr/>
        <w:t>Odontólogos.</w:t>
      </w:r>
      <w:r>
        <w:rPr>
          <w:w w:val="100"/>
        </w:rPr>
        <w:t> </w:t>
      </w:r>
      <w:r>
        <w:rPr/>
        <w:t>Pag.191. Editorial  El Manual Moderno. Tercera edición.1990. México</w:t>
      </w:r>
      <w:r>
        <w:rPr>
          <w:spacing w:val="-32"/>
        </w:rPr>
        <w:t> </w:t>
      </w:r>
      <w:r>
        <w:rPr/>
        <w:t>D.F.</w:t>
      </w:r>
    </w:p>
    <w:p>
      <w:pPr>
        <w:spacing w:after="0" w:line="278" w:lineRule="auto"/>
        <w:sectPr>
          <w:footerReference w:type="default" r:id="rId31"/>
          <w:pgSz w:w="12240" w:h="15840"/>
          <w:pgMar w:footer="1003" w:header="729" w:top="1180" w:bottom="1200" w:left="1540" w:right="1020"/>
        </w:sectPr>
      </w:pPr>
    </w:p>
    <w:p>
      <w:pPr>
        <w:pStyle w:val="BodyText"/>
        <w:spacing w:before="2"/>
        <w:rPr>
          <w:sz w:val="13"/>
        </w:rPr>
      </w:pPr>
    </w:p>
    <w:p>
      <w:pPr>
        <w:pStyle w:val="BodyText"/>
        <w:spacing w:line="278" w:lineRule="auto" w:before="69"/>
        <w:ind w:left="162" w:right="169"/>
        <w:jc w:val="both"/>
      </w:pPr>
      <w:r>
        <w:rPr/>
        <w:t>29.-Cawson R.A., Spector R.G. FarmacologÍa Odontológica. Pag. 86,87.Editorial El Manual moderno S.A. de C.V .tercera edición.1984.  México D.F.</w:t>
      </w:r>
    </w:p>
    <w:p>
      <w:pPr>
        <w:pStyle w:val="BodyText"/>
        <w:spacing w:line="276" w:lineRule="auto" w:before="197"/>
        <w:ind w:left="162" w:right="153"/>
        <w:jc w:val="both"/>
      </w:pPr>
      <w:r>
        <w:rPr/>
        <w:t>30.-Toledano Pérez Manuel, Osorio Ruiz Raquel, Sanchez Aguilera Fátima. Arte y Ciencia de los Materiales Odontológicos.pag. 493,494. Ediciones Avances Medico- Dentales, S.L. 2003 Madrid España.</w:t>
      </w:r>
    </w:p>
    <w:p>
      <w:pPr>
        <w:pStyle w:val="BodyText"/>
        <w:spacing w:line="276" w:lineRule="auto" w:before="200"/>
        <w:ind w:left="162" w:right="167"/>
        <w:jc w:val="both"/>
      </w:pPr>
      <w:r>
        <w:rPr/>
        <w:t>31.- Marcia Cancado Figueiredo1*, Sandra Kalil Bussadori2, Lara J. Mota3, Carolina Cardoso Guedes4 y Olga Zambrano5. Barniz de fluoruro y clorhexidina en el control de la caries dental: Presentación de un protocolo. Ciencia Odontológica v.4 n.2 Maracaibo dic. 2007.</w:t>
      </w:r>
    </w:p>
    <w:p>
      <w:pPr>
        <w:pStyle w:val="BodyText"/>
        <w:spacing w:line="276" w:lineRule="auto" w:before="203"/>
        <w:ind w:left="162" w:right="157"/>
        <w:jc w:val="both"/>
      </w:pPr>
      <w:r>
        <w:rPr/>
        <w:t>32.- Pérez Torres Hernán. Farmacología y Terapéutica Odontológica. Pag. 349.EditorialMedica Celsus.2005 .Bogotá, Colombia.</w:t>
      </w:r>
    </w:p>
    <w:p>
      <w:pPr>
        <w:pStyle w:val="BodyText"/>
        <w:spacing w:line="276" w:lineRule="auto" w:before="200"/>
        <w:ind w:left="162" w:right="162"/>
        <w:jc w:val="both"/>
      </w:pPr>
      <w:r>
        <w:rPr/>
        <w:t>33.- Roger A. Achong, Daniel M. Driskie, DDs, Gary H. Hilderbrant, DDS MS. Effect of chlorexidine varnish mouthguards on the levels of selected oral microorganisms in pediatric patients.Pediatricdentristry.</w:t>
      </w:r>
    </w:p>
    <w:p>
      <w:pPr>
        <w:pStyle w:val="BodyText"/>
        <w:spacing w:line="278" w:lineRule="auto" w:before="200"/>
        <w:ind w:left="162" w:right="159"/>
        <w:jc w:val="both"/>
      </w:pPr>
      <w:r>
        <w:rPr/>
        <w:t>34.- Silverstone, L.M., Johnson N.M., Mordie J.M. Caries Dental. Pag. 245 Editorial el manual Moderno S.A. de C.V  México D.F.1985.</w:t>
      </w:r>
    </w:p>
    <w:p>
      <w:pPr>
        <w:pStyle w:val="BodyText"/>
        <w:spacing w:line="276" w:lineRule="auto" w:before="197"/>
        <w:ind w:left="162" w:right="163"/>
        <w:jc w:val="both"/>
      </w:pPr>
      <w:r>
        <w:rPr/>
        <w:t>35.- CasarinFernandes,Daniela S, Valesa Klein, Guirian, Oliveira Lippert, motivo de atendimiento odontológico en la primera infancia. Stomatos.Vol. 16, num. 30 Enero Junio 2010.</w:t>
      </w:r>
    </w:p>
    <w:p>
      <w:pPr>
        <w:pStyle w:val="BodyText"/>
        <w:spacing w:line="276" w:lineRule="auto" w:before="200"/>
        <w:ind w:left="162" w:right="163"/>
        <w:jc w:val="both"/>
      </w:pPr>
      <w:r>
        <w:rPr/>
        <w:t>36.- Santos Alvares,TallytaMaria; Alves Silva, Camila;Braga da Silva, Naiana; Batista  de Medeiros,Eliane,Gondim Valencia, Ana Maria .Actividad Antimicrobiana de Productos Fluorados sobre Bactérias.Revista Pesquisa Brasileira en odontopediatria y clínica integrada.Vol. 10 Num. 2 Mayo-Agosto  2010.  Pp</w:t>
      </w:r>
      <w:r>
        <w:rPr>
          <w:spacing w:val="-21"/>
        </w:rPr>
        <w:t> </w:t>
      </w:r>
      <w:r>
        <w:rPr/>
        <w:t>209-216.</w:t>
      </w:r>
    </w:p>
    <w:p>
      <w:pPr>
        <w:pStyle w:val="BodyText"/>
        <w:spacing w:line="276" w:lineRule="auto" w:before="202"/>
        <w:ind w:left="162" w:right="161"/>
        <w:jc w:val="both"/>
      </w:pPr>
      <w:r>
        <w:rPr/>
        <w:t>37.- Vaisman B y Martínez MG. Asesoramiento dietético para el control de caries en niños. Revista Latinoamericana de Ortodoncia y Odontopediatría.Caracas Venezuela.</w:t>
      </w:r>
    </w:p>
    <w:p>
      <w:pPr>
        <w:pStyle w:val="BodyText"/>
        <w:spacing w:line="278" w:lineRule="auto" w:before="200"/>
        <w:ind w:left="162" w:right="158"/>
        <w:jc w:val="both"/>
      </w:pPr>
      <w:r>
        <w:rPr/>
        <w:t>38.- Lazzari Eugene P. Bioquímica dental. Pag 236. Editorial Interamericana Segunda Edición 1978.</w:t>
      </w:r>
    </w:p>
    <w:p>
      <w:pPr>
        <w:pStyle w:val="BodyText"/>
        <w:spacing w:line="276" w:lineRule="auto" w:before="197"/>
        <w:ind w:left="162" w:right="159"/>
        <w:jc w:val="both"/>
      </w:pPr>
      <w:r>
        <w:rPr/>
        <w:t>39.- Woodall Irene, Dafoe Bonnie R, Stutsman Nancy .pag.143 Editorial Interamericana.Primera Edición.Mexico D.F. 1983.</w:t>
      </w:r>
    </w:p>
    <w:p>
      <w:pPr>
        <w:pStyle w:val="BodyText"/>
        <w:spacing w:line="276" w:lineRule="auto" w:before="202"/>
        <w:ind w:left="162" w:right="158"/>
        <w:jc w:val="both"/>
      </w:pPr>
      <w:r>
        <w:rPr/>
        <w:t>40.- García Suarez Alberto, De La Teja Angeles Eduardo. Caries temprana de la infancia. Prevención y Tratamiento. Acta pediátrica de México. Vol.29, Num 2 Marzo- Abril 2008.</w:t>
      </w:r>
    </w:p>
    <w:p>
      <w:pPr>
        <w:spacing w:after="0" w:line="276" w:lineRule="auto"/>
        <w:jc w:val="both"/>
        <w:sectPr>
          <w:footerReference w:type="default" r:id="rId33"/>
          <w:pgSz w:w="12240" w:h="15840"/>
          <w:pgMar w:footer="1003" w:header="729" w:top="1180" w:bottom="1200" w:left="1540" w:right="1020"/>
          <w:pgNumType w:start="61"/>
        </w:sectPr>
      </w:pPr>
    </w:p>
    <w:p>
      <w:pPr>
        <w:pStyle w:val="BodyText"/>
        <w:spacing w:before="2"/>
        <w:rPr>
          <w:sz w:val="13"/>
        </w:rPr>
      </w:pPr>
    </w:p>
    <w:p>
      <w:pPr>
        <w:pStyle w:val="BodyText"/>
        <w:spacing w:line="276" w:lineRule="auto" w:before="69"/>
        <w:ind w:left="162" w:right="160"/>
        <w:jc w:val="both"/>
      </w:pPr>
      <w:r>
        <w:rPr/>
        <w:t>41.- Medina Solis Carlo, Mauopome Gerardo, Avila Burgos Leticia.Politicas de salud bucal en Mexico: disminuir las principales enfermedades. Una descripción. Revista Biomédica. Vol.17 No. 4 Octubre- Diciembre,2006. 28.- Villaroel Laura. Geles y barnices de</w:t>
      </w:r>
      <w:r>
        <w:rPr>
          <w:spacing w:val="-5"/>
        </w:rPr>
        <w:t> </w:t>
      </w:r>
      <w:r>
        <w:rPr/>
        <w:t>Clorhexidina.</w:t>
      </w:r>
    </w:p>
    <w:p>
      <w:pPr>
        <w:pStyle w:val="BodyText"/>
        <w:tabs>
          <w:tab w:pos="778" w:val="left" w:leader="none"/>
          <w:tab w:pos="1900" w:val="left" w:leader="none"/>
          <w:tab w:pos="2368" w:val="left" w:leader="none"/>
          <w:tab w:pos="3941" w:val="left" w:leader="none"/>
          <w:tab w:pos="5411" w:val="left" w:leader="none"/>
          <w:tab w:pos="6614" w:val="left" w:leader="none"/>
          <w:tab w:pos="7868" w:val="left" w:leader="none"/>
          <w:tab w:pos="8765" w:val="left" w:leader="none"/>
        </w:tabs>
        <w:spacing w:line="276" w:lineRule="auto" w:before="202"/>
        <w:ind w:left="162" w:right="166"/>
      </w:pPr>
      <w:r>
        <w:rPr/>
        <w:t>42.-</w:t>
        <w:tab/>
        <w:t>Facultad</w:t>
        <w:tab/>
        <w:t>de</w:t>
        <w:tab/>
        <w:t>Odontología,</w:t>
        <w:tab/>
        <w:t>Universidad</w:t>
        <w:tab/>
        <w:t>de </w:t>
      </w:r>
      <w:r>
        <w:rPr>
          <w:spacing w:val="64"/>
        </w:rPr>
        <w:t> </w:t>
      </w:r>
      <w:r>
        <w:rPr/>
        <w:t>Lund</w:t>
        <w:tab/>
        <w:t>Suecia </w:t>
      </w:r>
      <w:r>
        <w:rPr>
          <w:spacing w:val="64"/>
        </w:rPr>
        <w:t> </w:t>
      </w:r>
      <w:r>
        <w:rPr/>
        <w:t>J</w:t>
        <w:tab/>
        <w:t>Puede</w:t>
        <w:tab/>
        <w:t>Abollar</w:t>
      </w:r>
      <w:r>
        <w:rPr>
          <w:w w:val="99"/>
        </w:rPr>
        <w:t> </w:t>
      </w:r>
      <w:r>
        <w:rPr/>
        <w:t>Assoc.1996 Sept; 62(9):</w:t>
      </w:r>
      <w:r>
        <w:rPr>
          <w:spacing w:val="-11"/>
        </w:rPr>
        <w:t> </w:t>
      </w:r>
      <w:r>
        <w:rPr/>
        <w:t>700</w:t>
      </w:r>
    </w:p>
    <w:p>
      <w:pPr>
        <w:pStyle w:val="BodyText"/>
        <w:spacing w:line="448" w:lineRule="auto" w:before="202"/>
        <w:ind w:left="162" w:right="574"/>
      </w:pPr>
      <w:r>
        <w:rPr/>
        <w:t>43.- ZicKert I, Emilson C.G Krasse  B. Abolladura  Res  J Marcha  73 (3):682-691. 44 .-  Emilson  CG. Microbiología  oral en marcha; 3(1):14-17</w:t>
      </w:r>
    </w:p>
    <w:p>
      <w:pPr>
        <w:pStyle w:val="ListParagraph"/>
        <w:numPr>
          <w:ilvl w:val="0"/>
          <w:numId w:val="17"/>
        </w:numPr>
        <w:tabs>
          <w:tab w:pos="498" w:val="left" w:leader="none"/>
        </w:tabs>
        <w:spacing w:line="240" w:lineRule="auto" w:before="6" w:after="0"/>
        <w:ind w:left="162" w:right="583" w:firstLine="0"/>
        <w:jc w:val="left"/>
        <w:rPr>
          <w:sz w:val="24"/>
        </w:rPr>
      </w:pPr>
      <w:r>
        <w:rPr>
          <w:sz w:val="24"/>
        </w:rPr>
        <w:t>.-Garcia Valoria ANa Citado en línea 2011 fecha de acceso 19 de junio de 2011. URL.</w:t>
      </w:r>
      <w:r>
        <w:rPr>
          <w:spacing w:val="-19"/>
          <w:sz w:val="24"/>
        </w:rPr>
        <w:t> </w:t>
      </w:r>
      <w:r>
        <w:rPr>
          <w:sz w:val="24"/>
        </w:rPr>
        <w:t>http:/</w:t>
      </w:r>
      <w:hyperlink r:id="rId34">
        <w:r>
          <w:rPr>
            <w:sz w:val="24"/>
          </w:rPr>
          <w:t>www.ada.org/prof/daily/0005/050jada.html.</w:t>
        </w:r>
      </w:hyperlink>
    </w:p>
    <w:p>
      <w:pPr>
        <w:pStyle w:val="BodyText"/>
        <w:spacing w:before="5"/>
      </w:pPr>
    </w:p>
    <w:p>
      <w:pPr>
        <w:pStyle w:val="ListParagraph"/>
        <w:numPr>
          <w:ilvl w:val="0"/>
          <w:numId w:val="17"/>
        </w:numPr>
        <w:tabs>
          <w:tab w:pos="498" w:val="left" w:leader="none"/>
        </w:tabs>
        <w:spacing w:line="274" w:lineRule="exact" w:before="1" w:after="0"/>
        <w:ind w:left="162" w:right="270" w:firstLine="0"/>
        <w:jc w:val="left"/>
        <w:rPr>
          <w:rFonts w:ascii="Times New Roman" w:hAnsi="Times New Roman"/>
          <w:sz w:val="24"/>
        </w:rPr>
      </w:pPr>
      <w:r>
        <w:rPr>
          <w:sz w:val="24"/>
        </w:rPr>
        <w:t>.- Solorzano del Río Héctor E. El debate sobre el uso de fluoruro. URL http// Hector splorzano.com.mx/artículos/Fluoruro.html. 19 junio</w:t>
      </w:r>
      <w:r>
        <w:rPr>
          <w:spacing w:val="-12"/>
          <w:sz w:val="24"/>
        </w:rPr>
        <w:t> </w:t>
      </w:r>
      <w:r>
        <w:rPr>
          <w:sz w:val="24"/>
        </w:rPr>
        <w:t>2011</w:t>
      </w:r>
      <w:r>
        <w:rPr>
          <w:rFonts w:ascii="Times New Roman" w:hAnsi="Times New Roman"/>
          <w:sz w:val="24"/>
        </w:rPr>
        <w:t>.</w:t>
      </w:r>
    </w:p>
    <w:p>
      <w:pPr>
        <w:pStyle w:val="BodyText"/>
        <w:spacing w:before="10"/>
        <w:rPr>
          <w:rFonts w:ascii="Times New Roman"/>
          <w:sz w:val="23"/>
        </w:rPr>
      </w:pPr>
    </w:p>
    <w:p>
      <w:pPr>
        <w:pStyle w:val="BodyText"/>
        <w:ind w:left="162" w:right="158"/>
      </w:pPr>
      <w:r>
        <w:rPr/>
        <w:t>47.-  Guía clínica practica para la  atención de caries dental en el adulto.</w:t>
      </w:r>
    </w:p>
    <w:p>
      <w:pPr>
        <w:pStyle w:val="BodyText"/>
      </w:pPr>
    </w:p>
    <w:p>
      <w:pPr>
        <w:pStyle w:val="BodyText"/>
        <w:spacing w:before="3"/>
        <w:rPr>
          <w:sz w:val="21"/>
        </w:rPr>
      </w:pPr>
    </w:p>
    <w:p>
      <w:pPr>
        <w:pStyle w:val="BodyText"/>
        <w:spacing w:line="276" w:lineRule="auto"/>
        <w:ind w:left="162" w:right="159"/>
      </w:pPr>
      <w:r>
        <w:rPr/>
        <w:t>48.- Alvarez Páucar María Angélica Tesis para obtener el grado académico de Maestría en Salud Pública. Universidad Nacional mayor de San Marcos.</w:t>
      </w:r>
    </w:p>
    <w:p>
      <w:pPr>
        <w:pStyle w:val="BodyText"/>
        <w:spacing w:before="197"/>
        <w:ind w:left="162" w:right="1520"/>
      </w:pPr>
      <w:r>
        <w:rPr/>
        <w:t>49.- Ogaard B, Seppaet col. Profesional topical fluoride applications clinical effication end mechanism of action. Adv Dent Res 1994; 8(2): 190-201.</w:t>
      </w:r>
    </w:p>
    <w:p>
      <w:pPr>
        <w:pStyle w:val="BodyText"/>
      </w:pPr>
    </w:p>
    <w:p>
      <w:pPr>
        <w:pStyle w:val="BodyText"/>
        <w:ind w:left="162" w:right="840"/>
      </w:pPr>
      <w:r>
        <w:rPr/>
        <w:t>50.- Wallman C, Krasse B, Birkhed D. Effect of chlorhexidine treatment followed by stannous fluoride gel application on mutans streptococci in margins of restorations. Caries Res 1994; 28: 435-440.</w:t>
      </w:r>
    </w:p>
    <w:p>
      <w:pPr>
        <w:pStyle w:val="BodyText"/>
      </w:pPr>
    </w:p>
    <w:p>
      <w:pPr>
        <w:pStyle w:val="BodyText"/>
        <w:ind w:left="162" w:right="1421"/>
      </w:pPr>
      <w:r>
        <w:rPr/>
        <w:t>51.- Sorvari R, Spets – Happonen S and Luoma H. Efficacy of chlorhexidine solution with fluoride varnishing in preventing enamel softening by streptococcusmutans in an artificial mouth. Scand j Dent Res 1994: 102; 296-209.</w:t>
      </w:r>
    </w:p>
    <w:p>
      <w:pPr>
        <w:pStyle w:val="BodyText"/>
      </w:pPr>
    </w:p>
    <w:p>
      <w:pPr>
        <w:pStyle w:val="BodyText"/>
        <w:ind w:left="162" w:right="1227"/>
      </w:pPr>
      <w:r>
        <w:rPr/>
        <w:t>52.-. Giertsen E, scheie AA. Effects of chlorhexidine – fluoride mouthrinses on viabilityacidogenic potential and glycoytic profile established dental plaque.</w:t>
      </w:r>
    </w:p>
    <w:p>
      <w:pPr>
        <w:pStyle w:val="BodyText"/>
        <w:ind w:left="162" w:right="158"/>
      </w:pPr>
      <w:r>
        <w:rPr/>
        <w:t>Caries Res 1995: 29 (3): 181-7.</w:t>
      </w:r>
    </w:p>
    <w:p>
      <w:pPr>
        <w:pStyle w:val="BodyText"/>
      </w:pPr>
    </w:p>
    <w:p>
      <w:pPr>
        <w:pStyle w:val="BodyText"/>
        <w:ind w:left="162" w:right="840"/>
      </w:pPr>
      <w:r>
        <w:rPr/>
        <w:t>53.- Bratthall D, Serinirach R, Rapisuwon S, Kuratana M, Luang-jarmekon V et al. Estudy into the prevention of fissure caries using an antimicrobial varnish.Int</w:t>
      </w:r>
    </w:p>
    <w:p>
      <w:pPr>
        <w:pStyle w:val="BodyText"/>
        <w:ind w:left="162" w:right="158"/>
      </w:pPr>
      <w:r>
        <w:rPr/>
        <w:t>Dent J 1995; 45: 245-54.</w:t>
      </w:r>
    </w:p>
    <w:p>
      <w:pPr>
        <w:pStyle w:val="BodyText"/>
      </w:pPr>
    </w:p>
    <w:p>
      <w:pPr>
        <w:pStyle w:val="BodyText"/>
        <w:ind w:left="162" w:right="574"/>
      </w:pPr>
      <w:r>
        <w:rPr/>
        <w:t>54-. Van Loveren C, Buijs JF, Buijs MJ and Ten Cate JM. Protection of bovine enamel and dentine by chlorhexidine and fluoride varnishes in a bacterial demineralization model. Caries Res 1996; 30: 45-51.</w:t>
      </w:r>
    </w:p>
    <w:p>
      <w:pPr>
        <w:spacing w:after="0"/>
        <w:sectPr>
          <w:pgSz w:w="12240" w:h="15840"/>
          <w:pgMar w:header="729" w:footer="1003" w:top="1180" w:bottom="1200" w:left="1540" w:right="1020"/>
        </w:sectPr>
      </w:pPr>
    </w:p>
    <w:p>
      <w:pPr>
        <w:pStyle w:val="BodyText"/>
        <w:rPr>
          <w:sz w:val="20"/>
        </w:rPr>
      </w:pPr>
    </w:p>
    <w:p>
      <w:pPr>
        <w:pStyle w:val="BodyText"/>
        <w:rPr>
          <w:sz w:val="17"/>
        </w:rPr>
      </w:pPr>
    </w:p>
    <w:p>
      <w:pPr>
        <w:pStyle w:val="BodyText"/>
        <w:spacing w:before="70"/>
        <w:ind w:left="162" w:right="226"/>
      </w:pPr>
      <w:r>
        <w:rPr/>
        <w:t>55.- Twetman S., Peterson L.G. Efficacy of a chlorhexidine and chlorhexidinefluoride varnish mixture to decrease interdental levels of mutans streptococci.Caries Res. 1997; 31: 361-65.</w:t>
      </w:r>
    </w:p>
    <w:p>
      <w:pPr>
        <w:pStyle w:val="BodyText"/>
      </w:pPr>
    </w:p>
    <w:p>
      <w:pPr>
        <w:pStyle w:val="BodyText"/>
        <w:ind w:left="162" w:right="1227"/>
      </w:pPr>
      <w:r>
        <w:rPr/>
        <w:t>56.- Peterson L; Magnusson K., Anderson H., Deierborg G. and Twetman S. Effect of semiannual applications of a chlorhexidine/ fluoride varnish mixture onapproximal caries incidence in schoolchildren. A three year radiographic study. Eur J Oral Sci 1998; 106: 623-27.</w:t>
      </w:r>
    </w:p>
    <w:p>
      <w:pPr>
        <w:pStyle w:val="BodyText"/>
      </w:pPr>
    </w:p>
    <w:p>
      <w:pPr>
        <w:pStyle w:val="BodyText"/>
        <w:ind w:left="162" w:right="1493"/>
      </w:pPr>
      <w:r>
        <w:rPr/>
        <w:t>57.-Guitellman I, Sebelli P, Delgado M. Efectividad de dos barnices en la remineralización de la mancha blanca. Rev. Asoc. Arg de Odont para niños 1999; 28 (3), pp. 11-13.</w:t>
      </w:r>
    </w:p>
    <w:p>
      <w:pPr>
        <w:pStyle w:val="BodyText"/>
      </w:pPr>
    </w:p>
    <w:p>
      <w:pPr>
        <w:pStyle w:val="BodyText"/>
        <w:ind w:left="162" w:right="1213"/>
      </w:pPr>
      <w:r>
        <w:rPr/>
        <w:t>58. Pettersson LG; Magnusson K et al. Effect of quarterly treatments with chlorhexidine and a fluoride varnish on approximal caries in caries susceptible teenagers: a 3- year clinical study. Caries Res 2000; 34(2):140-3.</w:t>
      </w:r>
    </w:p>
    <w:p>
      <w:pPr>
        <w:pStyle w:val="BodyText"/>
      </w:pPr>
    </w:p>
    <w:p>
      <w:pPr>
        <w:pStyle w:val="BodyText"/>
        <w:ind w:left="162" w:right="1227"/>
      </w:pPr>
      <w:r>
        <w:rPr/>
        <w:t>59.-Muñoz Mulero M. José. Eficiencia del barniz de clorhexidina y timol en la prevención de caries dental en escolares (Tesis Doctoral) Univ. Granada; 2000.</w:t>
      </w:r>
    </w:p>
    <w:p>
      <w:pPr>
        <w:pStyle w:val="BodyText"/>
      </w:pPr>
    </w:p>
    <w:p>
      <w:pPr>
        <w:pStyle w:val="BodyText"/>
        <w:ind w:left="162" w:right="319"/>
      </w:pPr>
      <w:r>
        <w:rPr/>
        <w:t>60.- Bradshaw DJ, Marsh PD, Hodgson RJ, Visser JM. Effects of glucose and fluoride on competition and metabolism within in vitro Dental bacterial</w:t>
      </w:r>
    </w:p>
    <w:p>
      <w:pPr>
        <w:pStyle w:val="BodyText"/>
        <w:ind w:left="162" w:right="158"/>
      </w:pPr>
      <w:r>
        <w:rPr/>
        <w:t>Communities and Biofilms. Caries Res 2002; 36: 81-86.</w:t>
      </w:r>
    </w:p>
    <w:p>
      <w:pPr>
        <w:spacing w:after="0"/>
        <w:sectPr>
          <w:pgSz w:w="12240" w:h="15840"/>
          <w:pgMar w:header="729" w:footer="1003" w:top="1180" w:bottom="1200" w:left="154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76"/>
        <w:ind w:left="3731" w:right="158" w:firstLine="0"/>
      </w:pPr>
      <w:bookmarkStart w:name="_TOC_250000" w:id="40"/>
      <w:bookmarkEnd w:id="40"/>
      <w:r>
        <w:rPr/>
        <w:t>14. ANEXOS</w:t>
      </w:r>
    </w:p>
    <w:p>
      <w:pPr>
        <w:spacing w:after="0"/>
        <w:sectPr>
          <w:pgSz w:w="12240" w:h="15840"/>
          <w:pgMar w:header="729" w:footer="1003" w:top="1180" w:bottom="1200" w:left="1540" w:right="1020"/>
        </w:sectPr>
      </w:pPr>
    </w:p>
    <w:p>
      <w:pPr>
        <w:pStyle w:val="BodyText"/>
        <w:spacing w:before="5"/>
        <w:rPr>
          <w:b/>
          <w:sz w:val="13"/>
        </w:rPr>
      </w:pPr>
      <w:r>
        <w:rPr/>
        <w:pict>
          <v:group style="position:absolute;margin-left:76.704002pt;margin-top:118.519997pt;width:484.65pt;height:552pt;mso-position-horizontal-relative:page;mso-position-vertical-relative:page;z-index:-101584" coordorigin="1534,2370" coordsize="9693,11040">
            <v:line style="position:absolute" from="1594,2430" to="11167,2430" stroked="true" strokeweight="3pt" strokecolor="#c2d59b"/>
            <v:line style="position:absolute" from="1594,13350" to="11167,13350" stroked="true" strokeweight="3pt" strokecolor="#c2d59b"/>
            <v:line style="position:absolute" from="1564,2400" to="1564,13380" stroked="true" strokeweight="3pt" strokecolor="#c2d59b"/>
            <v:line style="position:absolute" from="11197,2400" to="11197,13380" stroked="true" strokeweight="3pt" strokecolor="#c2d59b"/>
            <v:shape style="position:absolute;left:5596;top:3434;width:1565;height:1158" type="#_x0000_t75" stroked="false">
              <v:imagedata r:id="rId35" o:title=""/>
            </v:shape>
            <w10:wrap type="none"/>
          </v:group>
        </w:pict>
      </w:r>
    </w:p>
    <w:p>
      <w:pPr>
        <w:pStyle w:val="Heading4"/>
        <w:numPr>
          <w:ilvl w:val="1"/>
          <w:numId w:val="18"/>
        </w:numPr>
        <w:tabs>
          <w:tab w:pos="906" w:val="left" w:leader="none"/>
        </w:tabs>
        <w:spacing w:line="240" w:lineRule="auto" w:before="65" w:after="0"/>
        <w:ind w:left="162" w:right="0" w:firstLine="120"/>
        <w:jc w:val="left"/>
      </w:pPr>
      <w:r>
        <w:rPr/>
        <w:t>Instrumento de Recolección de</w:t>
      </w:r>
      <w:r>
        <w:rPr>
          <w:spacing w:val="-18"/>
        </w:rPr>
        <w:t> </w:t>
      </w:r>
      <w:r>
        <w:rPr/>
        <w:t>información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3"/>
        </w:rPr>
      </w:pPr>
      <w:r>
        <w:rPr/>
        <w:pict>
          <v:shape style="position:absolute;margin-left:217.970001pt;margin-top:14.513304pt;width:202.05pt;height:12pt;mso-position-horizontal-relative:page;mso-position-vertical-relative:paragraph;z-index:1744;mso-wrap-distance-left:0;mso-wrap-distance-right:0" type="#_x0000_t202" filled="false" stroked="false">
            <v:textbox inset="0,0,0,0">
              <w:txbxContent>
                <w:p>
                  <w:pPr>
                    <w:spacing w:line="240" w:lineRule="exact" w:before="0"/>
                    <w:ind w:left="0" w:right="-20" w:firstLine="0"/>
                    <w:jc w:val="left"/>
                    <w:rPr>
                      <w:b/>
                      <w:sz w:val="24"/>
                    </w:rPr>
                  </w:pPr>
                  <w:r>
                    <w:rPr>
                      <w:b/>
                      <w:sz w:val="24"/>
                    </w:rPr>
                    <w:t>Ficha de identificación del paciente</w:t>
                  </w:r>
                </w:p>
              </w:txbxContent>
            </v:textbox>
            <w10:wrap type="topAndBottom"/>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3"/>
        </w:rPr>
      </w:pPr>
      <w:r>
        <w:rPr/>
        <w:pict>
          <v:shape style="position:absolute;margin-left:118.580002pt;margin-top:14.76586pt;width:363pt;height:89.65pt;mso-position-horizontal-relative:page;mso-position-vertical-relative:paragraph;z-index:1768;mso-wrap-distance-left:0;mso-wrap-distance-right:0" type="#_x0000_t202" filled="false" stroked="false">
            <v:textbox inset="0,0,0,0">
              <w:txbxContent>
                <w:p>
                  <w:pPr>
                    <w:tabs>
                      <w:tab w:pos="7232" w:val="left" w:leader="none"/>
                    </w:tabs>
                    <w:spacing w:line="245" w:lineRule="exact" w:before="0"/>
                    <w:ind w:left="0" w:right="0" w:firstLine="0"/>
                    <w:jc w:val="left"/>
                    <w:rPr>
                      <w:b/>
                      <w:sz w:val="24"/>
                    </w:rPr>
                  </w:pPr>
                  <w:r>
                    <w:rPr>
                      <w:b/>
                      <w:sz w:val="24"/>
                    </w:rPr>
                    <w:t>Código:</w:t>
                  </w:r>
                  <w:r>
                    <w:rPr>
                      <w:b/>
                      <w:sz w:val="24"/>
                      <w:u w:val="thick"/>
                    </w:rPr>
                    <w:t> </w:t>
                    <w:tab/>
                  </w:r>
                </w:p>
                <w:p>
                  <w:pPr>
                    <w:pStyle w:val="BodyText"/>
                    <w:rPr>
                      <w:b/>
                      <w:sz w:val="21"/>
                    </w:rPr>
                  </w:pPr>
                </w:p>
                <w:p>
                  <w:pPr>
                    <w:tabs>
                      <w:tab w:pos="3939" w:val="left" w:leader="none"/>
                      <w:tab w:pos="7231" w:val="left" w:leader="none"/>
                    </w:tabs>
                    <w:spacing w:line="448" w:lineRule="auto" w:before="1"/>
                    <w:ind w:left="0" w:right="0" w:firstLine="0"/>
                    <w:jc w:val="left"/>
                    <w:rPr>
                      <w:b/>
                      <w:sz w:val="24"/>
                    </w:rPr>
                  </w:pPr>
                  <w:r>
                    <w:rPr>
                      <w:b/>
                      <w:sz w:val="24"/>
                    </w:rPr>
                    <w:t>Edad</w:t>
                  </w:r>
                  <w:r>
                    <w:rPr>
                      <w:b/>
                      <w:spacing w:val="-3"/>
                      <w:sz w:val="24"/>
                    </w:rPr>
                    <w:t> </w:t>
                  </w:r>
                  <w:r>
                    <w:rPr>
                      <w:b/>
                      <w:sz w:val="24"/>
                    </w:rPr>
                    <w:t>en</w:t>
                  </w:r>
                  <w:r>
                    <w:rPr>
                      <w:b/>
                      <w:spacing w:val="-3"/>
                      <w:sz w:val="24"/>
                    </w:rPr>
                    <w:t> </w:t>
                  </w:r>
                  <w:r>
                    <w:rPr>
                      <w:b/>
                      <w:sz w:val="24"/>
                    </w:rPr>
                    <w:t>meses</w:t>
                  </w:r>
                  <w:r>
                    <w:rPr>
                      <w:b/>
                      <w:sz w:val="24"/>
                      <w:u w:val="thick"/>
                    </w:rPr>
                    <w:t> </w:t>
                    <w:tab/>
                  </w:r>
                  <w:r>
                    <w:rPr>
                      <w:b/>
                      <w:sz w:val="24"/>
                    </w:rPr>
                    <w:t>Sexo</w:t>
                  </w:r>
                  <w:r>
                    <w:rPr>
                      <w:b/>
                      <w:sz w:val="24"/>
                      <w:u w:val="thick"/>
                    </w:rPr>
                    <w:tab/>
                  </w:r>
                  <w:r>
                    <w:rPr>
                      <w:b/>
                      <w:sz w:val="24"/>
                    </w:rPr>
                    <w:t> Dirección:</w:t>
                  </w:r>
                  <w:r>
                    <w:rPr>
                      <w:b/>
                      <w:sz w:val="24"/>
                      <w:u w:val="thick"/>
                    </w:rPr>
                    <w:t> </w:t>
                    <w:tab/>
                    <w:tab/>
                  </w:r>
                </w:p>
                <w:p>
                  <w:pPr>
                    <w:tabs>
                      <w:tab w:pos="7259" w:val="left" w:leader="none"/>
                    </w:tabs>
                    <w:spacing w:line="271" w:lineRule="exact" w:before="9"/>
                    <w:ind w:left="0" w:right="0" w:firstLine="0"/>
                    <w:jc w:val="left"/>
                    <w:rPr>
                      <w:b/>
                      <w:sz w:val="24"/>
                    </w:rPr>
                  </w:pPr>
                  <w:r>
                    <w:rPr>
                      <w:b/>
                      <w:sz w:val="24"/>
                    </w:rPr>
                    <w:t>Nombre de la estancia</w:t>
                  </w:r>
                  <w:r>
                    <w:rPr>
                      <w:b/>
                      <w:spacing w:val="-10"/>
                      <w:sz w:val="24"/>
                    </w:rPr>
                    <w:t> </w:t>
                  </w:r>
                  <w:r>
                    <w:rPr>
                      <w:b/>
                      <w:sz w:val="24"/>
                    </w:rPr>
                    <w:t>Infantil.</w:t>
                  </w:r>
                  <w:r>
                    <w:rPr>
                      <w:b/>
                      <w:sz w:val="24"/>
                      <w:u w:val="thick"/>
                    </w:rPr>
                    <w:t> </w:t>
                    <w:tab/>
                  </w:r>
                </w:p>
              </w:txbxContent>
            </v:textbox>
            <w10:wrap type="topAndBottom"/>
          </v:shape>
        </w:pict>
      </w:r>
      <w:r>
        <w:rPr/>
        <w:pict>
          <v:shape style="position:absolute;margin-left:118.580002pt;margin-top:118.205856pt;width:61.15pt;height:12pt;mso-position-horizontal-relative:page;mso-position-vertical-relative:paragraph;z-index:1792;mso-wrap-distance-left:0;mso-wrap-distance-right:0" type="#_x0000_t202" filled="false" stroked="false">
            <v:textbox inset="0,0,0,0">
              <w:txbxContent>
                <w:p>
                  <w:pPr>
                    <w:spacing w:line="240" w:lineRule="exact" w:before="0"/>
                    <w:ind w:left="0" w:right="-15" w:firstLine="0"/>
                    <w:jc w:val="left"/>
                    <w:rPr>
                      <w:b/>
                      <w:sz w:val="24"/>
                    </w:rPr>
                  </w:pPr>
                  <w:r>
                    <w:rPr>
                      <w:b/>
                      <w:sz w:val="24"/>
                    </w:rPr>
                    <w:t>PH.</w:t>
                  </w:r>
                  <w:r>
                    <w:rPr>
                      <w:b/>
                      <w:spacing w:val="-10"/>
                      <w:sz w:val="24"/>
                    </w:rPr>
                    <w:t> </w:t>
                  </w:r>
                  <w:r>
                    <w:rPr>
                      <w:b/>
                      <w:sz w:val="24"/>
                    </w:rPr>
                    <w:t>Salival</w:t>
                  </w:r>
                </w:p>
              </w:txbxContent>
            </v:textbox>
            <w10:wrap type="topAndBottom"/>
          </v:shape>
        </w:pict>
      </w:r>
      <w:r>
        <w:rPr/>
        <w:pict>
          <v:shape style="position:absolute;margin-left:269.81601pt;margin-top:118.205856pt;width:208.3pt;height:12pt;mso-position-horizontal-relative:page;mso-position-vertical-relative:paragraph;z-index:1816;mso-wrap-distance-left:0;mso-wrap-distance-right:0" type="#_x0000_t202" filled="false" stroked="false">
            <v:textbox inset="0,0,0,0">
              <w:txbxContent>
                <w:p>
                  <w:pPr>
                    <w:tabs>
                      <w:tab w:pos="2487" w:val="left" w:leader="none"/>
                      <w:tab w:pos="4165" w:val="left" w:leader="none"/>
                    </w:tabs>
                    <w:spacing w:line="240" w:lineRule="exact" w:before="0"/>
                    <w:ind w:left="0" w:right="0" w:firstLine="0"/>
                    <w:jc w:val="left"/>
                    <w:rPr>
                      <w:b/>
                      <w:sz w:val="24"/>
                    </w:rPr>
                  </w:pPr>
                  <w:r>
                    <w:rPr>
                      <w:b/>
                      <w:sz w:val="24"/>
                    </w:rPr>
                    <w:t>Inicial  </w:t>
                  </w:r>
                  <w:r>
                    <w:rPr>
                      <w:b/>
                      <w:spacing w:val="62"/>
                      <w:sz w:val="24"/>
                    </w:rPr>
                    <w:t> </w:t>
                  </w:r>
                  <w:r>
                    <w:rPr>
                      <w:b/>
                      <w:sz w:val="24"/>
                    </w:rPr>
                    <w:t>3</w:t>
                  </w:r>
                  <w:r>
                    <w:rPr>
                      <w:b/>
                      <w:spacing w:val="-3"/>
                      <w:sz w:val="24"/>
                    </w:rPr>
                    <w:t> </w:t>
                  </w:r>
                  <w:r>
                    <w:rPr>
                      <w:b/>
                      <w:sz w:val="24"/>
                    </w:rPr>
                    <w:t>meses</w:t>
                  </w:r>
                  <w:r>
                    <w:rPr>
                      <w:b/>
                      <w:sz w:val="24"/>
                      <w:u w:val="thick"/>
                    </w:rPr>
                    <w:t> </w:t>
                    <w:tab/>
                  </w:r>
                  <w:r>
                    <w:rPr>
                      <w:b/>
                      <w:sz w:val="24"/>
                    </w:rPr>
                    <w:t>6</w:t>
                  </w:r>
                  <w:r>
                    <w:rPr>
                      <w:b/>
                      <w:spacing w:val="-5"/>
                      <w:sz w:val="24"/>
                    </w:rPr>
                    <w:t> </w:t>
                  </w:r>
                  <w:r>
                    <w:rPr>
                      <w:b/>
                      <w:sz w:val="24"/>
                    </w:rPr>
                    <w:t>meses</w:t>
                  </w:r>
                  <w:r>
                    <w:rPr>
                      <w:b/>
                      <w:sz w:val="24"/>
                      <w:u w:val="thick"/>
                    </w:rPr>
                    <w:t> </w:t>
                    <w:tab/>
                  </w:r>
                </w:p>
              </w:txbxContent>
            </v:textbox>
            <w10:wrap type="topAndBottom"/>
          </v:shape>
        </w:pict>
      </w:r>
      <w:r>
        <w:rPr/>
        <w:pict>
          <v:shape style="position:absolute;margin-left:118.580002pt;margin-top:144.125854pt;width:366.35pt;height:254.7pt;mso-position-horizontal-relative:page;mso-position-vertical-relative:paragraph;z-index:1840;mso-wrap-distance-left:0;mso-wrap-distance-right:0" type="#_x0000_t202" filled="false" stroked="false">
            <v:textbox inset="0,0,0,0">
              <w:txbxContent>
                <w:p>
                  <w:pPr>
                    <w:spacing w:line="245" w:lineRule="exact" w:before="0"/>
                    <w:ind w:left="0" w:right="0" w:firstLine="0"/>
                    <w:jc w:val="both"/>
                    <w:rPr>
                      <w:b/>
                      <w:sz w:val="24"/>
                    </w:rPr>
                  </w:pPr>
                  <w:r>
                    <w:rPr>
                      <w:b/>
                      <w:sz w:val="24"/>
                    </w:rPr>
                    <w:t>Muestreo  microbiológico  Inicial    3 meses         6 meses</w:t>
                  </w:r>
                  <w:r>
                    <w:rPr>
                      <w:b/>
                      <w:sz w:val="24"/>
                      <w:u w:val="thick"/>
                    </w:rPr>
                    <w:t>           </w:t>
                  </w:r>
                </w:p>
                <w:p>
                  <w:pPr>
                    <w:pStyle w:val="BodyText"/>
                    <w:spacing w:before="10"/>
                    <w:rPr>
                      <w:b/>
                      <w:sz w:val="20"/>
                    </w:rPr>
                  </w:pPr>
                </w:p>
                <w:p>
                  <w:pPr>
                    <w:tabs>
                      <w:tab w:pos="7249" w:val="left" w:leader="none"/>
                    </w:tabs>
                    <w:spacing w:line="451" w:lineRule="auto" w:before="0"/>
                    <w:ind w:left="67" w:right="45" w:hanging="68"/>
                    <w:jc w:val="both"/>
                    <w:rPr>
                      <w:b/>
                      <w:sz w:val="24"/>
                    </w:rPr>
                  </w:pPr>
                  <w:r>
                    <w:rPr>
                      <w:b/>
                      <w:sz w:val="24"/>
                    </w:rPr>
                    <w:t>Tipo</w:t>
                  </w:r>
                  <w:r>
                    <w:rPr>
                      <w:b/>
                      <w:spacing w:val="-3"/>
                      <w:sz w:val="24"/>
                    </w:rPr>
                    <w:t> </w:t>
                  </w:r>
                  <w:r>
                    <w:rPr>
                      <w:b/>
                      <w:sz w:val="24"/>
                    </w:rPr>
                    <w:t>de</w:t>
                  </w:r>
                  <w:r>
                    <w:rPr>
                      <w:b/>
                      <w:spacing w:val="-3"/>
                      <w:sz w:val="24"/>
                    </w:rPr>
                    <w:t> </w:t>
                  </w:r>
                  <w:r>
                    <w:rPr>
                      <w:b/>
                      <w:sz w:val="24"/>
                    </w:rPr>
                    <w:t>dieta</w:t>
                  </w:r>
                  <w:r>
                    <w:rPr>
                      <w:b/>
                      <w:sz w:val="24"/>
                      <w:u w:val="thick"/>
                    </w:rPr>
                    <w:t> </w:t>
                    <w:tab/>
                  </w:r>
                  <w:r>
                    <w:rPr>
                      <w:b/>
                      <w:w w:val="19"/>
                      <w:sz w:val="24"/>
                      <w:u w:val="thick"/>
                    </w:rPr>
                    <w:t> </w:t>
                  </w:r>
                  <w:r>
                    <w:rPr>
                      <w:b/>
                      <w:sz w:val="24"/>
                    </w:rPr>
                    <w:t> Fecha de inicio</w:t>
                  </w:r>
                  <w:r>
                    <w:rPr>
                      <w:b/>
                      <w:spacing w:val="-8"/>
                      <w:sz w:val="24"/>
                    </w:rPr>
                    <w:t> </w:t>
                  </w:r>
                  <w:r>
                    <w:rPr>
                      <w:b/>
                      <w:sz w:val="24"/>
                    </w:rPr>
                    <w:t>de</w:t>
                  </w:r>
                  <w:r>
                    <w:rPr>
                      <w:b/>
                      <w:spacing w:val="-3"/>
                      <w:sz w:val="24"/>
                    </w:rPr>
                    <w:t> </w:t>
                  </w:r>
                  <w:r>
                    <w:rPr>
                      <w:b/>
                      <w:sz w:val="24"/>
                    </w:rPr>
                    <w:t>Tratamiento</w:t>
                  </w:r>
                  <w:r>
                    <w:rPr>
                      <w:b/>
                      <w:w w:val="99"/>
                      <w:sz w:val="24"/>
                      <w:u w:val="thick"/>
                    </w:rPr>
                    <w:t> </w:t>
                    <w:tab/>
                  </w:r>
                  <w:r>
                    <w:rPr>
                      <w:b/>
                      <w:w w:val="99"/>
                      <w:sz w:val="24"/>
                    </w:rPr>
                    <w:t> </w:t>
                  </w:r>
                  <w:r>
                    <w:rPr>
                      <w:b/>
                      <w:sz w:val="24"/>
                    </w:rPr>
                    <w:t>Fechas de tratamientos</w:t>
                  </w:r>
                  <w:r>
                    <w:rPr>
                      <w:b/>
                      <w:spacing w:val="-11"/>
                      <w:sz w:val="24"/>
                    </w:rPr>
                    <w:t> </w:t>
                  </w:r>
                  <w:r>
                    <w:rPr>
                      <w:b/>
                      <w:sz w:val="24"/>
                    </w:rPr>
                    <w:t>subsecuentes:</w:t>
                  </w:r>
                </w:p>
                <w:p>
                  <w:pPr>
                    <w:spacing w:before="4"/>
                    <w:ind w:left="67" w:right="0" w:firstLine="0"/>
                    <w:jc w:val="both"/>
                    <w:rPr>
                      <w:b/>
                      <w:sz w:val="24"/>
                    </w:rPr>
                  </w:pPr>
                  <w:r>
                    <w:rPr>
                      <w:b/>
                      <w:sz w:val="24"/>
                    </w:rPr>
                    <w:t>Clorhexidina Al 1% en gel</w:t>
                  </w:r>
                </w:p>
                <w:p>
                  <w:pPr>
                    <w:pStyle w:val="BodyText"/>
                    <w:rPr>
                      <w:b/>
                      <w:sz w:val="21"/>
                    </w:rPr>
                  </w:pPr>
                </w:p>
                <w:p>
                  <w:pPr>
                    <w:tabs>
                      <w:tab w:pos="1059" w:val="left" w:leader="none"/>
                      <w:tab w:pos="2325" w:val="left" w:leader="none"/>
                      <w:tab w:pos="3459" w:val="left" w:leader="none"/>
                      <w:tab w:pos="4665" w:val="left" w:leader="none"/>
                      <w:tab w:pos="5732" w:val="left" w:leader="none"/>
                      <w:tab w:pos="7259" w:val="left" w:leader="none"/>
                    </w:tabs>
                    <w:spacing w:line="448" w:lineRule="auto" w:before="1"/>
                    <w:ind w:left="67" w:right="64" w:hanging="3"/>
                    <w:jc w:val="both"/>
                    <w:rPr>
                      <w:b/>
                      <w:sz w:val="24"/>
                    </w:rPr>
                  </w:pPr>
                  <w:r>
                    <w:rPr>
                      <w:b/>
                      <w:sz w:val="24"/>
                    </w:rPr>
                    <w:t>1</w:t>
                  </w:r>
                  <w:r>
                    <w:rPr>
                      <w:b/>
                      <w:sz w:val="24"/>
                      <w:u w:val="thick"/>
                    </w:rPr>
                    <w:tab/>
                  </w:r>
                  <w:r>
                    <w:rPr>
                      <w:b/>
                      <w:sz w:val="24"/>
                    </w:rPr>
                    <w:t>2</w:t>
                  </w:r>
                  <w:r>
                    <w:rPr>
                      <w:b/>
                      <w:sz w:val="24"/>
                      <w:u w:val="thick"/>
                    </w:rPr>
                    <w:t> </w:t>
                    <w:tab/>
                  </w:r>
                  <w:r>
                    <w:rPr>
                      <w:b/>
                      <w:sz w:val="24"/>
                    </w:rPr>
                    <w:t>3</w:t>
                  </w:r>
                  <w:r>
                    <w:rPr>
                      <w:b/>
                      <w:sz w:val="24"/>
                      <w:u w:val="thick"/>
                    </w:rPr>
                    <w:t> </w:t>
                    <w:tab/>
                  </w:r>
                  <w:r>
                    <w:rPr>
                      <w:b/>
                      <w:sz w:val="24"/>
                    </w:rPr>
                    <w:t>4</w:t>
                  </w:r>
                  <w:r>
                    <w:rPr>
                      <w:b/>
                      <w:sz w:val="24"/>
                      <w:u w:val="thick"/>
                    </w:rPr>
                    <w:t> </w:t>
                    <w:tab/>
                  </w:r>
                  <w:r>
                    <w:rPr>
                      <w:b/>
                      <w:sz w:val="24"/>
                    </w:rPr>
                    <w:t>5</w:t>
                  </w:r>
                  <w:r>
                    <w:rPr>
                      <w:b/>
                      <w:sz w:val="24"/>
                      <w:u w:val="thick"/>
                    </w:rPr>
                    <w:t> </w:t>
                    <w:tab/>
                  </w:r>
                  <w:r>
                    <w:rPr>
                      <w:b/>
                      <w:sz w:val="24"/>
                    </w:rPr>
                    <w:t>6</w:t>
                  </w:r>
                  <w:r>
                    <w:rPr>
                      <w:b/>
                      <w:sz w:val="24"/>
                      <w:u w:val="thick"/>
                    </w:rPr>
                    <w:tab/>
                  </w:r>
                  <w:r>
                    <w:rPr>
                      <w:b/>
                      <w:sz w:val="24"/>
                    </w:rPr>
                    <w:t> Fluoruro de Sodio al</w:t>
                  </w:r>
                  <w:r>
                    <w:rPr>
                      <w:b/>
                      <w:spacing w:val="-5"/>
                      <w:sz w:val="24"/>
                    </w:rPr>
                    <w:t> </w:t>
                  </w:r>
                  <w:r>
                    <w:rPr>
                      <w:b/>
                      <w:sz w:val="24"/>
                    </w:rPr>
                    <w:t>2%</w:t>
                  </w:r>
                </w:p>
                <w:p>
                  <w:pPr>
                    <w:tabs>
                      <w:tab w:pos="999" w:val="left" w:leader="none"/>
                      <w:tab w:pos="1932" w:val="left" w:leader="none"/>
                      <w:tab w:pos="2864" w:val="left" w:leader="none"/>
                      <w:tab w:pos="3799" w:val="left" w:leader="none"/>
                      <w:tab w:pos="4732" w:val="left" w:leader="none"/>
                      <w:tab w:pos="5664" w:val="left" w:leader="none"/>
                      <w:tab w:pos="6597" w:val="left" w:leader="none"/>
                    </w:tabs>
                    <w:spacing w:before="9"/>
                    <w:ind w:left="64" w:right="0" w:firstLine="0"/>
                    <w:jc w:val="both"/>
                    <w:rPr>
                      <w:b/>
                      <w:sz w:val="24"/>
                    </w:rPr>
                  </w:pPr>
                  <w:r>
                    <w:rPr>
                      <w:b/>
                      <w:sz w:val="24"/>
                    </w:rPr>
                    <w:t>1</w:t>
                  </w:r>
                  <w:r>
                    <w:rPr>
                      <w:b/>
                      <w:sz w:val="24"/>
                      <w:u w:val="thick"/>
                    </w:rPr>
                    <w:t> </w:t>
                    <w:tab/>
                  </w:r>
                  <w:r>
                    <w:rPr>
                      <w:b/>
                      <w:sz w:val="24"/>
                    </w:rPr>
                    <w:t>2</w:t>
                  </w:r>
                  <w:r>
                    <w:rPr>
                      <w:b/>
                      <w:sz w:val="24"/>
                      <w:u w:val="thick"/>
                    </w:rPr>
                    <w:t> </w:t>
                    <w:tab/>
                  </w:r>
                  <w:r>
                    <w:rPr>
                      <w:b/>
                      <w:sz w:val="24"/>
                    </w:rPr>
                    <w:t>3</w:t>
                  </w:r>
                  <w:r>
                    <w:rPr>
                      <w:b/>
                      <w:sz w:val="24"/>
                      <w:u w:val="thick"/>
                    </w:rPr>
                    <w:t> </w:t>
                    <w:tab/>
                  </w:r>
                  <w:r>
                    <w:rPr>
                      <w:b/>
                      <w:sz w:val="24"/>
                    </w:rPr>
                    <w:t>4</w:t>
                  </w:r>
                  <w:r>
                    <w:rPr>
                      <w:b/>
                      <w:sz w:val="24"/>
                      <w:u w:val="thick"/>
                    </w:rPr>
                    <w:t> </w:t>
                    <w:tab/>
                  </w:r>
                  <w:r>
                    <w:rPr>
                      <w:b/>
                      <w:sz w:val="24"/>
                    </w:rPr>
                    <w:t>5</w:t>
                  </w:r>
                  <w:r>
                    <w:rPr>
                      <w:b/>
                      <w:sz w:val="24"/>
                      <w:u w:val="thick"/>
                    </w:rPr>
                    <w:t> </w:t>
                    <w:tab/>
                  </w:r>
                  <w:r>
                    <w:rPr>
                      <w:b/>
                      <w:sz w:val="24"/>
                    </w:rPr>
                    <w:t>6</w:t>
                  </w:r>
                  <w:r>
                    <w:rPr>
                      <w:b/>
                      <w:sz w:val="24"/>
                      <w:u w:val="thick"/>
                    </w:rPr>
                    <w:t> </w:t>
                    <w:tab/>
                  </w:r>
                  <w:r>
                    <w:rPr>
                      <w:b/>
                      <w:sz w:val="24"/>
                    </w:rPr>
                    <w:t>7</w:t>
                  </w:r>
                  <w:r>
                    <w:rPr>
                      <w:b/>
                      <w:sz w:val="24"/>
                      <w:u w:val="thick"/>
                    </w:rPr>
                    <w:t> </w:t>
                    <w:tab/>
                  </w:r>
                  <w:r>
                    <w:rPr>
                      <w:b/>
                      <w:sz w:val="24"/>
                    </w:rPr>
                    <w:t>8</w:t>
                  </w:r>
                  <w:r>
                    <w:rPr>
                      <w:b/>
                      <w:sz w:val="24"/>
                      <w:u w:val="thick"/>
                    </w:rPr>
                    <w:t>        </w:t>
                  </w:r>
                  <w:r>
                    <w:rPr>
                      <w:b/>
                      <w:spacing w:val="-6"/>
                      <w:sz w:val="24"/>
                      <w:u w:val="thick"/>
                    </w:rPr>
                    <w:t> </w:t>
                  </w:r>
                </w:p>
                <w:p>
                  <w:pPr>
                    <w:pStyle w:val="BodyText"/>
                    <w:spacing w:before="5"/>
                    <w:rPr>
                      <w:b/>
                      <w:sz w:val="29"/>
                    </w:rPr>
                  </w:pPr>
                </w:p>
                <w:p>
                  <w:pPr>
                    <w:tabs>
                      <w:tab w:pos="999" w:val="left" w:leader="none"/>
                      <w:tab w:pos="5664" w:val="left" w:leader="none"/>
                    </w:tabs>
                    <w:spacing w:before="0"/>
                    <w:ind w:left="64" w:right="0" w:firstLine="0"/>
                    <w:jc w:val="both"/>
                    <w:rPr>
                      <w:b/>
                      <w:sz w:val="24"/>
                    </w:rPr>
                  </w:pPr>
                  <w:r>
                    <w:rPr>
                      <w:b/>
                      <w:sz w:val="24"/>
                    </w:rPr>
                    <w:t>9</w:t>
                  </w:r>
                  <w:r>
                    <w:rPr>
                      <w:b/>
                      <w:sz w:val="24"/>
                      <w:u w:val="thick"/>
                    </w:rPr>
                    <w:t> </w:t>
                    <w:tab/>
                  </w:r>
                  <w:r>
                    <w:rPr>
                      <w:b/>
                      <w:sz w:val="24"/>
                    </w:rPr>
                    <w:t>10          </w:t>
                  </w:r>
                  <w:r>
                    <w:rPr>
                      <w:b/>
                      <w:sz w:val="24"/>
                    </w:rPr>
                    <w:t>11        </w:t>
                  </w:r>
                  <w:r>
                    <w:rPr>
                      <w:b/>
                      <w:sz w:val="24"/>
                    </w:rPr>
                    <w:t>12        </w:t>
                  </w:r>
                  <w:r>
                    <w:rPr>
                      <w:b/>
                      <w:spacing w:val="58"/>
                      <w:sz w:val="24"/>
                    </w:rPr>
                    <w:t> </w:t>
                  </w:r>
                  <w:r>
                    <w:rPr>
                      <w:b/>
                      <w:sz w:val="24"/>
                    </w:rPr>
                    <w:t>13        </w:t>
                  </w:r>
                  <w:r>
                    <w:rPr>
                      <w:b/>
                      <w:spacing w:val="63"/>
                      <w:sz w:val="24"/>
                    </w:rPr>
                    <w:t> </w:t>
                  </w:r>
                  <w:r>
                    <w:rPr>
                      <w:b/>
                      <w:sz w:val="24"/>
                    </w:rPr>
                    <w:t>14</w:t>
                  </w:r>
                  <w:r>
                    <w:rPr>
                      <w:b/>
                      <w:sz w:val="24"/>
                      <w:u w:val="thick"/>
                    </w:rPr>
                    <w:t> </w:t>
                    <w:tab/>
                  </w:r>
                  <w:r>
                    <w:rPr>
                      <w:b/>
                      <w:sz w:val="24"/>
                    </w:rPr>
                    <w:t>15        </w:t>
                  </w:r>
                  <w:r>
                    <w:rPr>
                      <w:b/>
                      <w:spacing w:val="61"/>
                      <w:sz w:val="24"/>
                    </w:rPr>
                    <w:t> </w:t>
                  </w:r>
                  <w:r>
                    <w:rPr>
                      <w:b/>
                      <w:sz w:val="24"/>
                    </w:rPr>
                    <w:t>16</w:t>
                  </w:r>
                  <w:r>
                    <w:rPr>
                      <w:b/>
                      <w:sz w:val="24"/>
                      <w:u w:val="thick"/>
                    </w:rPr>
                    <w:t>      </w:t>
                  </w:r>
                  <w:r>
                    <w:rPr>
                      <w:b/>
                      <w:spacing w:val="-4"/>
                      <w:sz w:val="24"/>
                      <w:u w:val="thick"/>
                    </w:rPr>
                    <w:t> </w:t>
                  </w:r>
                </w:p>
                <w:p>
                  <w:pPr>
                    <w:pStyle w:val="BodyText"/>
                    <w:spacing w:before="7"/>
                    <w:rPr>
                      <w:b/>
                      <w:sz w:val="29"/>
                    </w:rPr>
                  </w:pPr>
                </w:p>
                <w:p>
                  <w:pPr>
                    <w:tabs>
                      <w:tab w:pos="5664" w:val="left" w:leader="none"/>
                    </w:tabs>
                    <w:spacing w:line="271" w:lineRule="exact" w:before="0"/>
                    <w:ind w:left="64" w:right="0" w:firstLine="0"/>
                    <w:jc w:val="both"/>
                    <w:rPr>
                      <w:b/>
                      <w:sz w:val="24"/>
                    </w:rPr>
                  </w:pPr>
                  <w:r>
                    <w:rPr>
                      <w:b/>
                      <w:sz w:val="24"/>
                    </w:rPr>
                    <w:t>17          </w:t>
                  </w:r>
                  <w:r>
                    <w:rPr>
                      <w:b/>
                      <w:sz w:val="24"/>
                    </w:rPr>
                    <w:t>18          </w:t>
                  </w:r>
                  <w:r>
                    <w:rPr>
                      <w:b/>
                      <w:sz w:val="24"/>
                    </w:rPr>
                    <w:t>19        </w:t>
                  </w:r>
                  <w:r>
                    <w:rPr>
                      <w:b/>
                      <w:sz w:val="24"/>
                    </w:rPr>
                    <w:t>20        </w:t>
                  </w:r>
                  <w:r>
                    <w:rPr>
                      <w:b/>
                      <w:spacing w:val="57"/>
                      <w:sz w:val="24"/>
                    </w:rPr>
                    <w:t> </w:t>
                  </w:r>
                  <w:r>
                    <w:rPr>
                      <w:b/>
                      <w:sz w:val="24"/>
                    </w:rPr>
                    <w:t>21        </w:t>
                  </w:r>
                  <w:r>
                    <w:rPr>
                      <w:b/>
                      <w:spacing w:val="63"/>
                      <w:sz w:val="24"/>
                    </w:rPr>
                    <w:t> </w:t>
                  </w:r>
                  <w:r>
                    <w:rPr>
                      <w:b/>
                      <w:sz w:val="24"/>
                    </w:rPr>
                    <w:t>22</w:t>
                  </w:r>
                  <w:r>
                    <w:rPr>
                      <w:b/>
                      <w:sz w:val="24"/>
                      <w:u w:val="thick"/>
                    </w:rPr>
                    <w:t> </w:t>
                    <w:tab/>
                  </w:r>
                  <w:r>
                    <w:rPr>
                      <w:b/>
                      <w:sz w:val="24"/>
                    </w:rPr>
                    <w:t>23        </w:t>
                  </w:r>
                  <w:r>
                    <w:rPr>
                      <w:b/>
                      <w:spacing w:val="61"/>
                      <w:sz w:val="24"/>
                    </w:rPr>
                    <w:t> </w:t>
                  </w:r>
                  <w:r>
                    <w:rPr>
                      <w:b/>
                      <w:sz w:val="24"/>
                    </w:rPr>
                    <w:t>24</w:t>
                  </w:r>
                  <w:r>
                    <w:rPr>
                      <w:b/>
                      <w:sz w:val="24"/>
                      <w:u w:val="thick"/>
                    </w:rPr>
                    <w:t>      </w:t>
                  </w:r>
                  <w:r>
                    <w:rPr>
                      <w:b/>
                      <w:spacing w:val="-4"/>
                      <w:sz w:val="24"/>
                      <w:u w:val="thick"/>
                    </w:rPr>
                    <w:t> </w:t>
                  </w:r>
                </w:p>
              </w:txbxContent>
            </v:textbox>
            <w10:wrap type="topAndBottom"/>
          </v:shape>
        </w:pict>
      </w:r>
    </w:p>
    <w:p>
      <w:pPr>
        <w:pStyle w:val="BodyText"/>
        <w:spacing w:before="7"/>
        <w:rPr>
          <w:b/>
          <w:sz w:val="20"/>
        </w:rPr>
      </w:pPr>
    </w:p>
    <w:p>
      <w:pPr>
        <w:pStyle w:val="BodyText"/>
        <w:spacing w:before="9"/>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2"/>
        </w:rPr>
      </w:pPr>
    </w:p>
    <w:p>
      <w:pPr>
        <w:pStyle w:val="ListParagraph"/>
        <w:numPr>
          <w:ilvl w:val="1"/>
          <w:numId w:val="18"/>
        </w:numPr>
        <w:tabs>
          <w:tab w:pos="908" w:val="left" w:leader="none"/>
        </w:tabs>
        <w:spacing w:line="240" w:lineRule="auto" w:before="65" w:after="0"/>
        <w:ind w:left="907" w:right="0" w:hanging="625"/>
        <w:jc w:val="left"/>
        <w:rPr>
          <w:b/>
          <w:sz w:val="28"/>
        </w:rPr>
      </w:pPr>
      <w:r>
        <w:rPr>
          <w:b/>
          <w:sz w:val="28"/>
        </w:rPr>
        <w:t>Carta de Consentimiento</w:t>
      </w:r>
      <w:r>
        <w:rPr>
          <w:b/>
          <w:spacing w:val="-19"/>
          <w:sz w:val="28"/>
        </w:rPr>
        <w:t> </w:t>
      </w:r>
      <w:r>
        <w:rPr>
          <w:b/>
          <w:sz w:val="28"/>
        </w:rPr>
        <w:t>Informado</w:t>
      </w:r>
    </w:p>
    <w:p>
      <w:pPr>
        <w:spacing w:after="0" w:line="240" w:lineRule="auto"/>
        <w:jc w:val="left"/>
        <w:rPr>
          <w:sz w:val="28"/>
        </w:rPr>
        <w:sectPr>
          <w:pgSz w:w="12240" w:h="15840"/>
          <w:pgMar w:header="729" w:footer="1003" w:top="1180" w:bottom="1200" w:left="1420" w:right="900"/>
        </w:sectPr>
      </w:pPr>
    </w:p>
    <w:p>
      <w:pPr>
        <w:pStyle w:val="BodyText"/>
        <w:rPr>
          <w:b/>
          <w:sz w:val="20"/>
        </w:rPr>
      </w:pPr>
    </w:p>
    <w:p>
      <w:pPr>
        <w:pStyle w:val="BodyText"/>
        <w:rPr>
          <w:b/>
          <w:sz w:val="20"/>
        </w:rPr>
      </w:pPr>
    </w:p>
    <w:p>
      <w:pPr>
        <w:spacing w:line="405" w:lineRule="auto" w:before="236"/>
        <w:ind w:left="1645" w:right="1649" w:firstLine="0"/>
        <w:jc w:val="center"/>
        <w:rPr>
          <w:sz w:val="32"/>
        </w:rPr>
      </w:pPr>
      <w:r>
        <w:rPr>
          <w:sz w:val="32"/>
        </w:rPr>
        <w:t>Universidad Autónoma del Estado de México Facultad de Odontología</w:t>
      </w:r>
    </w:p>
    <w:p>
      <w:pPr>
        <w:spacing w:line="408" w:lineRule="auto" w:before="9"/>
        <w:ind w:left="2170" w:right="2169" w:firstLine="0"/>
        <w:jc w:val="center"/>
        <w:rPr>
          <w:sz w:val="32"/>
        </w:rPr>
      </w:pPr>
      <w:r>
        <w:rPr>
          <w:sz w:val="32"/>
        </w:rPr>
        <w:t>Centro de Investigación Odontológica Carta de consentimiento informado</w:t>
      </w:r>
    </w:p>
    <w:p>
      <w:pPr>
        <w:pStyle w:val="BodyText"/>
        <w:tabs>
          <w:tab w:pos="3362" w:val="left" w:leader="none"/>
          <w:tab w:pos="4696" w:val="left" w:leader="none"/>
          <w:tab w:pos="6027" w:val="left" w:leader="none"/>
        </w:tabs>
        <w:spacing w:before="6"/>
        <w:ind w:left="63"/>
        <w:jc w:val="center"/>
      </w:pPr>
      <w:r>
        <w:rPr/>
        <w:t>Toluca, Estado de</w:t>
      </w:r>
      <w:r>
        <w:rPr>
          <w:spacing w:val="-7"/>
        </w:rPr>
        <w:t> </w:t>
      </w:r>
      <w:r>
        <w:rPr/>
        <w:t>México</w:t>
      </w:r>
      <w:r>
        <w:rPr>
          <w:spacing w:val="-1"/>
        </w:rPr>
        <w:t> </w:t>
      </w:r>
      <w:r>
        <w:rPr/>
        <w:t>a</w:t>
      </w:r>
      <w:r>
        <w:rPr>
          <w:u w:val="single"/>
        </w:rPr>
        <w:t> </w:t>
        <w:tab/>
      </w:r>
      <w:r>
        <w:rPr/>
        <w:t>_de</w:t>
      </w:r>
      <w:r>
        <w:rPr>
          <w:u w:val="single"/>
        </w:rPr>
        <w:t> </w:t>
        <w:tab/>
      </w:r>
      <w:r>
        <w:rPr/>
        <w:t>_de</w:t>
      </w:r>
      <w:r>
        <w:rPr>
          <w:spacing w:val="-6"/>
        </w:rPr>
        <w:t> </w:t>
      </w:r>
      <w:r>
        <w:rPr/>
        <w:t>201</w:t>
      </w:r>
      <w:r>
        <w:rPr>
          <w:w w:val="100"/>
          <w:u w:val="single"/>
        </w:rPr>
        <w:t> </w:t>
      </w:r>
      <w:r>
        <w:rPr>
          <w:u w:val="single"/>
        </w:rPr>
        <w:tab/>
      </w:r>
    </w:p>
    <w:p>
      <w:pPr>
        <w:pStyle w:val="BodyText"/>
        <w:rPr>
          <w:sz w:val="20"/>
        </w:rPr>
      </w:pPr>
    </w:p>
    <w:p>
      <w:pPr>
        <w:pStyle w:val="BodyText"/>
        <w:rPr>
          <w:sz w:val="20"/>
        </w:rPr>
      </w:pPr>
    </w:p>
    <w:p>
      <w:pPr>
        <w:pStyle w:val="BodyText"/>
        <w:spacing w:before="10"/>
        <w:rPr>
          <w:sz w:val="21"/>
        </w:rPr>
      </w:pPr>
    </w:p>
    <w:p>
      <w:pPr>
        <w:tabs>
          <w:tab w:pos="9028" w:val="left" w:leader="none"/>
        </w:tabs>
        <w:spacing w:before="44"/>
        <w:ind w:left="162" w:right="158" w:firstLine="0"/>
        <w:jc w:val="left"/>
        <w:rPr>
          <w:rFonts w:ascii="Calibri"/>
          <w:sz w:val="28"/>
        </w:rPr>
      </w:pPr>
      <w:r>
        <w:rPr>
          <w:rFonts w:ascii="Calibri"/>
          <w:sz w:val="28"/>
        </w:rPr>
        <w:t>Nombre del</w:t>
      </w:r>
      <w:r>
        <w:rPr>
          <w:rFonts w:ascii="Calibri"/>
          <w:spacing w:val="-8"/>
          <w:sz w:val="28"/>
        </w:rPr>
        <w:t> </w:t>
      </w:r>
      <w:r>
        <w:rPr>
          <w:rFonts w:ascii="Calibri"/>
          <w:sz w:val="28"/>
        </w:rPr>
        <w:t>paciente</w:t>
      </w:r>
      <w:r>
        <w:rPr>
          <w:rFonts w:ascii="Calibri"/>
          <w:sz w:val="28"/>
          <w:u w:val="single"/>
        </w:rPr>
        <w:t> </w:t>
        <w:tab/>
      </w:r>
    </w:p>
    <w:p>
      <w:pPr>
        <w:pStyle w:val="BodyText"/>
        <w:spacing w:before="11"/>
        <w:rPr>
          <w:rFonts w:ascii="Calibri"/>
          <w:sz w:val="16"/>
        </w:rPr>
      </w:pPr>
    </w:p>
    <w:p>
      <w:pPr>
        <w:tabs>
          <w:tab w:pos="9010" w:val="left" w:leader="none"/>
        </w:tabs>
        <w:spacing w:before="44"/>
        <w:ind w:left="162" w:right="158" w:firstLine="0"/>
        <w:jc w:val="left"/>
        <w:rPr>
          <w:rFonts w:ascii="Calibri"/>
          <w:sz w:val="28"/>
        </w:rPr>
      </w:pPr>
      <w:r>
        <w:rPr>
          <w:rFonts w:ascii="Calibri"/>
          <w:sz w:val="28"/>
        </w:rPr>
        <w:t>Nombre del</w:t>
      </w:r>
      <w:r>
        <w:rPr>
          <w:rFonts w:ascii="Calibri"/>
          <w:spacing w:val="-6"/>
          <w:sz w:val="28"/>
        </w:rPr>
        <w:t> </w:t>
      </w:r>
      <w:r>
        <w:rPr>
          <w:rFonts w:ascii="Calibri"/>
          <w:sz w:val="28"/>
        </w:rPr>
        <w:t>Tutor </w:t>
      </w:r>
      <w:r>
        <w:rPr>
          <w:rFonts w:ascii="Calibri"/>
          <w:w w:val="100"/>
          <w:sz w:val="28"/>
          <w:u w:val="single"/>
        </w:rPr>
        <w:t> </w:t>
      </w:r>
      <w:r>
        <w:rPr>
          <w:rFonts w:ascii="Calibri"/>
          <w:sz w:val="28"/>
          <w:u w:val="single"/>
        </w:rPr>
        <w:tab/>
      </w:r>
    </w:p>
    <w:p>
      <w:pPr>
        <w:pStyle w:val="BodyText"/>
        <w:spacing w:before="11"/>
        <w:rPr>
          <w:rFonts w:ascii="Calibri"/>
          <w:sz w:val="16"/>
        </w:rPr>
      </w:pPr>
    </w:p>
    <w:p>
      <w:pPr>
        <w:spacing w:before="44"/>
        <w:ind w:left="162" w:right="158" w:firstLine="0"/>
        <w:jc w:val="left"/>
        <w:rPr>
          <w:rFonts w:ascii="Calibri"/>
          <w:sz w:val="28"/>
        </w:rPr>
      </w:pPr>
      <w:r>
        <w:rPr>
          <w:rFonts w:ascii="Calibri"/>
          <w:sz w:val="28"/>
        </w:rPr>
        <w:t>Nombre del Investigador   </w:t>
      </w:r>
      <w:r>
        <w:rPr>
          <w:rFonts w:ascii="Calibri"/>
          <w:sz w:val="28"/>
          <w:u w:val="single"/>
        </w:rPr>
        <w:t>C.D. Karin Elfride Behnke Rivera.</w:t>
      </w:r>
    </w:p>
    <w:p>
      <w:pPr>
        <w:pStyle w:val="BodyText"/>
        <w:rPr>
          <w:rFonts w:ascii="Calibri"/>
          <w:sz w:val="20"/>
        </w:rPr>
      </w:pPr>
    </w:p>
    <w:p>
      <w:pPr>
        <w:pStyle w:val="BodyText"/>
        <w:rPr>
          <w:rFonts w:ascii="Calibri"/>
          <w:sz w:val="20"/>
        </w:rPr>
      </w:pPr>
    </w:p>
    <w:p>
      <w:pPr>
        <w:pStyle w:val="BodyText"/>
        <w:rPr>
          <w:rFonts w:ascii="Calibri"/>
          <w:sz w:val="17"/>
        </w:rPr>
      </w:pPr>
    </w:p>
    <w:p>
      <w:pPr>
        <w:pStyle w:val="BodyText"/>
        <w:spacing w:line="276" w:lineRule="auto" w:before="69"/>
        <w:ind w:left="162" w:right="157"/>
        <w:jc w:val="both"/>
      </w:pPr>
      <w:r>
        <w:rPr/>
        <w:t>En México a nivel federal, estatal o municipal no se cuenta con un programa de salud bucal específico para la primera infancia, razón por la cual es importante que se intervenga al implementar un proyecto preventivo que resulte en la disminución del riesgo de caries en niños en edad escolar y subsecuentes.</w:t>
      </w:r>
    </w:p>
    <w:p>
      <w:pPr>
        <w:pStyle w:val="BodyText"/>
        <w:spacing w:line="276" w:lineRule="auto" w:before="200"/>
        <w:ind w:left="162" w:right="164"/>
        <w:jc w:val="both"/>
      </w:pPr>
      <w:r>
        <w:rPr/>
        <w:t>Si un niño no tiene un tratamiento preventivo odontológico en la primera infancia la posibilidad de incidencia de caries es del 8.7 % durante su primer año de vida y su posibilidad de prevención es del 100 %; si dejamos que la edad avance sin aplicar programas preventivos ese mismo niño a los tres años el niño tendrá el 85 % de probabilidad de  adquirir caries y  la probabilidad de prevención disminuirá</w:t>
      </w:r>
    </w:p>
    <w:p>
      <w:pPr>
        <w:pStyle w:val="BodyText"/>
        <w:spacing w:line="276" w:lineRule="auto" w:before="202"/>
        <w:ind w:left="162" w:right="165"/>
        <w:jc w:val="both"/>
      </w:pPr>
      <w:r>
        <w:rPr/>
        <w:t>El buscar estrategias preventivas en la población infantil en especial durante los primeros tres años de vida es de primordial importancia ya que los logros obtenidos tendrán efectos de por vida.</w:t>
      </w:r>
    </w:p>
    <w:p>
      <w:pPr>
        <w:pStyle w:val="BodyText"/>
        <w:spacing w:line="276" w:lineRule="auto" w:before="202"/>
        <w:ind w:left="162" w:right="157"/>
        <w:jc w:val="both"/>
      </w:pPr>
      <w:r>
        <w:rPr/>
        <w:t>Haciendo frente a uno de los principales problemas de salud pública, como es la caries dental, de poder demostrarse que el uso de la terapia planteada es efectiva, podremos determinar programas de salud que contribuyan a la salud bucal de  la primera infancia.</w:t>
      </w:r>
    </w:p>
    <w:p>
      <w:pPr>
        <w:pStyle w:val="BodyText"/>
        <w:spacing w:line="276" w:lineRule="auto" w:before="202"/>
        <w:ind w:left="162" w:right="167"/>
        <w:jc w:val="both"/>
      </w:pPr>
      <w:r>
        <w:rPr/>
        <w:t>Con base a lo anterior me permito solicitar a usted su apoyo, permitiendo la participación de sus hijos en el programa piloto,” Prevención de Caries en La primera Infancia”, la cual estará coordinada la C.D Karin ElfrideBehnke Rivera  y por del</w:t>
      </w:r>
      <w:r>
        <w:rPr>
          <w:spacing w:val="63"/>
        </w:rPr>
        <w:t> </w:t>
      </w:r>
      <w:r>
        <w:rPr/>
        <w:t>Centro</w:t>
      </w:r>
    </w:p>
    <w:p>
      <w:pPr>
        <w:spacing w:after="0" w:line="276" w:lineRule="auto"/>
        <w:jc w:val="both"/>
        <w:sectPr>
          <w:pgSz w:w="12240" w:h="15840"/>
          <w:pgMar w:header="729" w:footer="1003" w:top="1180" w:bottom="1200" w:left="1540" w:right="1020"/>
        </w:sectPr>
      </w:pPr>
    </w:p>
    <w:p>
      <w:pPr>
        <w:pStyle w:val="BodyText"/>
        <w:spacing w:before="2"/>
        <w:rPr>
          <w:sz w:val="13"/>
        </w:rPr>
      </w:pPr>
    </w:p>
    <w:p>
      <w:pPr>
        <w:pStyle w:val="BodyText"/>
        <w:spacing w:line="276" w:lineRule="auto" w:before="69"/>
        <w:ind w:left="162" w:right="167"/>
        <w:jc w:val="both"/>
      </w:pPr>
      <w:r>
        <w:rPr/>
        <w:t>de Investigación Odontológica, de la Universidad Autónoma del Estado de México. En el programa propuesto se evaluarán los resultados de la aplicación conjunta de Fluoruro de Sodio al .02% y clorhexidina al 1%, proponiendo que estarán reflejados en el control y reducción de número de colonias bacterianas en la cavidad bucal, además de aumentar la resistencia del diente a la instalación de</w:t>
      </w:r>
      <w:r>
        <w:rPr>
          <w:spacing w:val="-26"/>
        </w:rPr>
        <w:t> </w:t>
      </w:r>
      <w:r>
        <w:rPr/>
        <w:t>caries.</w:t>
      </w:r>
    </w:p>
    <w:p>
      <w:pPr>
        <w:pStyle w:val="BodyText"/>
        <w:spacing w:line="276" w:lineRule="auto" w:before="202"/>
        <w:ind w:left="162" w:right="163"/>
        <w:jc w:val="both"/>
      </w:pPr>
      <w:r>
        <w:rPr/>
        <w:t>Durante el estudio se tomaran dos muestras de saliva para evaluar la cantidad de Estreptococos en boca y pH salival. El tratamiento consistirá en la aplicación de Fluoruro de Sodio al .02% en gel una vez a la semana y Clorhexidina en gel al 1% una vez al mes.</w:t>
      </w:r>
    </w:p>
    <w:p>
      <w:pPr>
        <w:pStyle w:val="BodyText"/>
        <w:spacing w:line="276" w:lineRule="auto" w:before="200"/>
        <w:ind w:left="162" w:right="169"/>
        <w:jc w:val="both"/>
      </w:pPr>
      <w:r>
        <w:rPr/>
        <w:t>Cabe aclarar que las soluciones antes mencionadas son de uso comercial y no tienen riesgo en su aplicación.</w:t>
      </w:r>
    </w:p>
    <w:p>
      <w:pPr>
        <w:pStyle w:val="Heading6"/>
        <w:spacing w:before="202"/>
        <w:ind w:left="162"/>
        <w:jc w:val="both"/>
      </w:pPr>
      <w:r>
        <w:rPr/>
        <w:t>Aclaraciones</w:t>
      </w:r>
    </w:p>
    <w:p>
      <w:pPr>
        <w:pStyle w:val="BodyText"/>
        <w:spacing w:before="10"/>
        <w:rPr>
          <w:b/>
          <w:sz w:val="20"/>
        </w:rPr>
      </w:pPr>
    </w:p>
    <w:p>
      <w:pPr>
        <w:pStyle w:val="ListParagraph"/>
        <w:numPr>
          <w:ilvl w:val="2"/>
          <w:numId w:val="18"/>
        </w:numPr>
        <w:tabs>
          <w:tab w:pos="881" w:val="left" w:leader="none"/>
          <w:tab w:pos="882" w:val="left" w:leader="none"/>
        </w:tabs>
        <w:spacing w:line="273" w:lineRule="auto" w:before="0" w:after="0"/>
        <w:ind w:left="882" w:right="164" w:hanging="360"/>
        <w:jc w:val="left"/>
        <w:rPr>
          <w:sz w:val="24"/>
        </w:rPr>
      </w:pPr>
      <w:r>
        <w:rPr>
          <w:sz w:val="24"/>
        </w:rPr>
        <w:t>La decisión de que su hijo participe en el estudio es totalmente voluntaria, de no participar no habrá represaría</w:t>
      </w:r>
      <w:r>
        <w:rPr>
          <w:spacing w:val="-14"/>
          <w:sz w:val="24"/>
        </w:rPr>
        <w:t> </w:t>
      </w:r>
      <w:r>
        <w:rPr>
          <w:sz w:val="24"/>
        </w:rPr>
        <w:t>alguna.</w:t>
      </w:r>
    </w:p>
    <w:p>
      <w:pPr>
        <w:pStyle w:val="ListParagraph"/>
        <w:numPr>
          <w:ilvl w:val="2"/>
          <w:numId w:val="18"/>
        </w:numPr>
        <w:tabs>
          <w:tab w:pos="881" w:val="left" w:leader="none"/>
          <w:tab w:pos="882" w:val="left" w:leader="none"/>
        </w:tabs>
        <w:spacing w:line="273" w:lineRule="auto" w:before="1" w:after="0"/>
        <w:ind w:left="882" w:right="168" w:hanging="360"/>
        <w:jc w:val="left"/>
        <w:rPr>
          <w:sz w:val="24"/>
        </w:rPr>
      </w:pPr>
      <w:r>
        <w:rPr>
          <w:sz w:val="24"/>
        </w:rPr>
        <w:t>Si decide que su hijo participe en el estudio usted podrá decidir retirarlo en el momento que</w:t>
      </w:r>
      <w:r>
        <w:rPr>
          <w:spacing w:val="-7"/>
          <w:sz w:val="24"/>
        </w:rPr>
        <w:t> </w:t>
      </w:r>
      <w:r>
        <w:rPr>
          <w:sz w:val="24"/>
        </w:rPr>
        <w:t>desee.</w:t>
      </w:r>
    </w:p>
    <w:p>
      <w:pPr>
        <w:pStyle w:val="ListParagraph"/>
        <w:numPr>
          <w:ilvl w:val="2"/>
          <w:numId w:val="18"/>
        </w:numPr>
        <w:tabs>
          <w:tab w:pos="881" w:val="left" w:leader="none"/>
          <w:tab w:pos="882" w:val="left" w:leader="none"/>
        </w:tabs>
        <w:spacing w:line="240" w:lineRule="auto" w:before="1" w:after="0"/>
        <w:ind w:left="882" w:right="0" w:hanging="360"/>
        <w:jc w:val="left"/>
        <w:rPr>
          <w:sz w:val="24"/>
        </w:rPr>
      </w:pPr>
      <w:r>
        <w:rPr>
          <w:sz w:val="24"/>
        </w:rPr>
        <w:t>No recibirá pago por su</w:t>
      </w:r>
      <w:r>
        <w:rPr>
          <w:spacing w:val="-9"/>
          <w:sz w:val="24"/>
        </w:rPr>
        <w:t> </w:t>
      </w:r>
      <w:r>
        <w:rPr>
          <w:sz w:val="24"/>
        </w:rPr>
        <w:t>participación.</w:t>
      </w:r>
    </w:p>
    <w:p>
      <w:pPr>
        <w:pStyle w:val="ListParagraph"/>
        <w:numPr>
          <w:ilvl w:val="2"/>
          <w:numId w:val="18"/>
        </w:numPr>
        <w:tabs>
          <w:tab w:pos="881" w:val="left" w:leader="none"/>
          <w:tab w:pos="882" w:val="left" w:leader="none"/>
          <w:tab w:pos="6317" w:val="left" w:leader="none"/>
        </w:tabs>
        <w:spacing w:line="273" w:lineRule="auto" w:before="39" w:after="0"/>
        <w:ind w:left="882" w:right="165" w:hanging="360"/>
        <w:jc w:val="left"/>
        <w:rPr>
          <w:sz w:val="24"/>
        </w:rPr>
      </w:pPr>
      <w:r>
        <w:rPr>
          <w:sz w:val="24"/>
        </w:rPr>
        <w:t>Durante  la  realización  del  estudio</w:t>
      </w:r>
      <w:r>
        <w:rPr>
          <w:spacing w:val="-16"/>
          <w:sz w:val="24"/>
        </w:rPr>
        <w:t> </w:t>
      </w:r>
      <w:r>
        <w:rPr>
          <w:sz w:val="24"/>
        </w:rPr>
        <w:t>usted</w:t>
      </w:r>
      <w:r>
        <w:rPr>
          <w:spacing w:val="49"/>
          <w:sz w:val="24"/>
        </w:rPr>
        <w:t> </w:t>
      </w:r>
      <w:r>
        <w:rPr>
          <w:sz w:val="24"/>
        </w:rPr>
        <w:t>podrá</w:t>
        <w:tab/>
        <w:t>solicitar  información</w:t>
      </w:r>
      <w:r>
        <w:rPr>
          <w:spacing w:val="29"/>
          <w:sz w:val="24"/>
        </w:rPr>
        <w:t> </w:t>
      </w:r>
      <w:r>
        <w:rPr>
          <w:sz w:val="24"/>
        </w:rPr>
        <w:t>sobre</w:t>
      </w:r>
      <w:r>
        <w:rPr>
          <w:spacing w:val="47"/>
          <w:sz w:val="24"/>
        </w:rPr>
        <w:t> </w:t>
      </w:r>
      <w:r>
        <w:rPr>
          <w:sz w:val="24"/>
        </w:rPr>
        <w:t>el</w:t>
      </w:r>
      <w:r>
        <w:rPr>
          <w:w w:val="99"/>
          <w:sz w:val="24"/>
        </w:rPr>
        <w:t> </w:t>
      </w:r>
      <w:r>
        <w:rPr>
          <w:sz w:val="24"/>
        </w:rPr>
        <w:t>mismo.</w:t>
      </w:r>
    </w:p>
    <w:p>
      <w:pPr>
        <w:pStyle w:val="BodyText"/>
        <w:spacing w:before="203"/>
        <w:ind w:left="162" w:right="250"/>
        <w:jc w:val="both"/>
      </w:pPr>
      <w:r>
        <w:rPr/>
        <w:t>La información obtenida en este estudio, utilizada en la identificación del paciente,</w:t>
      </w:r>
      <w:r>
        <w:rPr>
          <w:spacing w:val="-33"/>
        </w:rPr>
        <w:t> </w:t>
      </w:r>
      <w:r>
        <w:rPr/>
        <w:t>será mantenida en estricta</w:t>
      </w:r>
      <w:r>
        <w:rPr>
          <w:spacing w:val="-13"/>
        </w:rPr>
        <w:t> </w:t>
      </w:r>
      <w:r>
        <w:rPr/>
        <w:t>confidencialidad.</w:t>
      </w:r>
    </w:p>
    <w:p>
      <w:pPr>
        <w:pStyle w:val="BodyText"/>
      </w:pPr>
    </w:p>
    <w:p>
      <w:pPr>
        <w:pStyle w:val="BodyText"/>
        <w:tabs>
          <w:tab w:pos="6985" w:val="left" w:leader="none"/>
        </w:tabs>
        <w:ind w:left="162" w:right="319"/>
      </w:pPr>
      <w:r>
        <w:rPr/>
        <w:t>Yo</w:t>
      </w:r>
      <w:r>
        <w:rPr>
          <w:u w:val="single"/>
        </w:rPr>
        <w:t> </w:t>
        <w:tab/>
      </w:r>
      <w:r>
        <w:rPr/>
        <w:t>Estoy</w:t>
      </w:r>
      <w:r>
        <w:rPr>
          <w:spacing w:val="-4"/>
        </w:rPr>
        <w:t> </w:t>
      </w:r>
      <w:r>
        <w:rPr/>
        <w:t>dispuesto</w:t>
      </w:r>
      <w:r>
        <w:rPr>
          <w:spacing w:val="-2"/>
        </w:rPr>
        <w:t> </w:t>
      </w:r>
      <w:r>
        <w:rPr/>
        <w:t>a</w:t>
      </w:r>
      <w:r>
        <w:rPr>
          <w:w w:val="99"/>
        </w:rPr>
        <w:t> </w:t>
      </w:r>
      <w:r>
        <w:rPr/>
        <w:t>Permitir la participación de mi hijo(a) en el proyecto de investigación. He leído la información descrita y mis preguntas acerca del estudio han sido respondidas satisfactoriamente. Al firmar esta copia, indico que tengo un entendimiento claro del proyecto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r>
        <w:rPr/>
        <w:pict>
          <v:line style="position:absolute;mso-position-horizontal-relative:page;mso-position-vertical-relative:paragraph;z-index:1888;mso-wrap-distance-left:0;mso-wrap-distance-right:0" from="262.25pt,15.483862pt" to="375.710006pt,15.483862pt" stroked="true" strokeweight=".756pt" strokecolor="#000000">
            <w10:wrap type="topAndBottom"/>
          </v:line>
        </w:pict>
      </w:r>
    </w:p>
    <w:p>
      <w:pPr>
        <w:pStyle w:val="BodyText"/>
        <w:spacing w:before="7"/>
        <w:rPr>
          <w:sz w:val="15"/>
        </w:rPr>
      </w:pPr>
    </w:p>
    <w:p>
      <w:pPr>
        <w:pStyle w:val="BodyText"/>
        <w:spacing w:before="70"/>
        <w:ind w:left="1645" w:right="1645"/>
        <w:jc w:val="center"/>
      </w:pPr>
      <w:r>
        <w:rPr/>
        <w:t>Firma</w:t>
      </w:r>
    </w:p>
    <w:p>
      <w:pPr>
        <w:spacing w:after="0"/>
        <w:jc w:val="center"/>
        <w:sectPr>
          <w:pgSz w:w="12240" w:h="15840"/>
          <w:pgMar w:header="729" w:footer="1003" w:top="1180" w:bottom="1200" w:left="1540" w:right="1020"/>
        </w:sectPr>
      </w:pPr>
    </w:p>
    <w:p>
      <w:pPr>
        <w:pStyle w:val="BodyText"/>
        <w:spacing w:before="5"/>
        <w:rPr>
          <w:sz w:val="13"/>
        </w:rPr>
      </w:pPr>
    </w:p>
    <w:p>
      <w:pPr>
        <w:pStyle w:val="Heading4"/>
        <w:numPr>
          <w:ilvl w:val="1"/>
          <w:numId w:val="18"/>
        </w:numPr>
        <w:tabs>
          <w:tab w:pos="846" w:val="left" w:leader="none"/>
        </w:tabs>
        <w:spacing w:line="278" w:lineRule="auto" w:before="65" w:after="0"/>
        <w:ind w:left="162" w:right="164" w:firstLine="0"/>
        <w:jc w:val="left"/>
      </w:pPr>
      <w:r>
        <w:rPr/>
        <w:t>Dietas en las Estancias Infantiles del Desarrollo Integral de la Familia Del Estado De</w:t>
      </w:r>
      <w:r>
        <w:rPr>
          <w:spacing w:val="-7"/>
        </w:rPr>
        <w:t> </w:t>
      </w:r>
      <w:r>
        <w:rPr/>
        <w:t>México</w:t>
      </w:r>
    </w:p>
    <w:p>
      <w:pPr>
        <w:pStyle w:val="BodyText"/>
        <w:rPr>
          <w:b/>
          <w:sz w:val="28"/>
        </w:rPr>
      </w:pPr>
    </w:p>
    <w:p>
      <w:pPr>
        <w:pStyle w:val="BodyText"/>
        <w:rPr>
          <w:b/>
          <w:sz w:val="28"/>
        </w:rPr>
      </w:pPr>
    </w:p>
    <w:p>
      <w:pPr>
        <w:pStyle w:val="BodyText"/>
        <w:rPr>
          <w:b/>
          <w:sz w:val="28"/>
        </w:rPr>
      </w:pPr>
    </w:p>
    <w:p>
      <w:pPr>
        <w:pStyle w:val="Heading6"/>
        <w:spacing w:before="185"/>
        <w:ind w:left="2"/>
        <w:jc w:val="center"/>
      </w:pPr>
      <w:r>
        <w:rPr>
          <w:u w:val="thick"/>
        </w:rPr>
        <w:t> LACTANTES (3-12 MESES)</w:t>
      </w:r>
    </w:p>
    <w:p>
      <w:pPr>
        <w:spacing w:before="199"/>
        <w:ind w:left="1645" w:right="1645" w:firstLine="0"/>
        <w:jc w:val="center"/>
        <w:rPr>
          <w:b/>
          <w:sz w:val="24"/>
        </w:rPr>
      </w:pPr>
      <w:r>
        <w:rPr>
          <w:b/>
          <w:sz w:val="24"/>
          <w:u w:val="thick"/>
        </w:rPr>
        <w:t>1000 Kcal/día</w:t>
      </w:r>
    </w:p>
    <w:p>
      <w:pPr>
        <w:tabs>
          <w:tab w:pos="3702" w:val="left" w:leader="none"/>
        </w:tabs>
        <w:spacing w:before="201"/>
        <w:ind w:left="162" w:right="158" w:firstLine="0"/>
        <w:jc w:val="left"/>
        <w:rPr>
          <w:sz w:val="24"/>
        </w:rPr>
      </w:pPr>
      <w:r>
        <w:rPr>
          <w:b/>
          <w:sz w:val="24"/>
        </w:rPr>
        <w:t>Desayuno (25%)=</w:t>
      </w:r>
      <w:r>
        <w:rPr>
          <w:b/>
          <w:spacing w:val="-4"/>
          <w:sz w:val="24"/>
        </w:rPr>
        <w:t> </w:t>
      </w:r>
      <w:r>
        <w:rPr>
          <w:b/>
          <w:sz w:val="24"/>
        </w:rPr>
        <w:t>250</w:t>
      </w:r>
      <w:r>
        <w:rPr>
          <w:b/>
          <w:spacing w:val="-1"/>
          <w:sz w:val="24"/>
        </w:rPr>
        <w:t> </w:t>
      </w:r>
      <w:r>
        <w:rPr>
          <w:b/>
          <w:sz w:val="24"/>
        </w:rPr>
        <w:t>Kcal</w:t>
        <w:tab/>
      </w:r>
      <w:r>
        <w:rPr>
          <w:sz w:val="24"/>
        </w:rPr>
        <w:t>HCO = 150 Kcal = 37.5</w:t>
      </w:r>
      <w:r>
        <w:rPr>
          <w:spacing w:val="-8"/>
          <w:sz w:val="24"/>
        </w:rPr>
        <w:t> </w:t>
      </w:r>
      <w:r>
        <w:rPr>
          <w:sz w:val="24"/>
        </w:rPr>
        <w:t>g</w:t>
      </w:r>
    </w:p>
    <w:p>
      <w:pPr>
        <w:pStyle w:val="BodyText"/>
        <w:spacing w:line="412" w:lineRule="auto" w:before="199"/>
        <w:ind w:left="3702" w:right="3436"/>
      </w:pPr>
      <w:r>
        <w:rPr/>
        <w:t>Lip = 62.5 Kcal =7 g Prot = 37.5 Kcal = 9.3 g</w:t>
      </w:r>
    </w:p>
    <w:p>
      <w:pPr>
        <w:pStyle w:val="BodyText"/>
        <w:tabs>
          <w:tab w:pos="3702" w:val="left" w:leader="none"/>
        </w:tabs>
        <w:spacing w:before="8"/>
        <w:ind w:left="162" w:right="158"/>
      </w:pPr>
      <w:r>
        <w:rPr/>
        <w:t>Comida (35%) =</w:t>
      </w:r>
      <w:r>
        <w:rPr>
          <w:spacing w:val="-3"/>
        </w:rPr>
        <w:t> </w:t>
      </w:r>
      <w:r>
        <w:rPr/>
        <w:t>350</w:t>
      </w:r>
      <w:r>
        <w:rPr>
          <w:spacing w:val="-3"/>
        </w:rPr>
        <w:t> </w:t>
      </w:r>
      <w:r>
        <w:rPr/>
        <w:t>Kcal</w:t>
        <w:tab/>
        <w:t>HCO = 210 Kcal =52.5</w:t>
      </w:r>
      <w:r>
        <w:rPr>
          <w:spacing w:val="-10"/>
        </w:rPr>
        <w:t> </w:t>
      </w:r>
      <w:r>
        <w:rPr/>
        <w:t>g</w:t>
      </w:r>
    </w:p>
    <w:p>
      <w:pPr>
        <w:pStyle w:val="BodyText"/>
        <w:spacing w:line="412" w:lineRule="auto" w:before="199"/>
        <w:ind w:left="3702" w:right="3302"/>
      </w:pPr>
      <w:r>
        <w:rPr/>
        <w:t>Lip = 87.5 Kcal = 9.7 g Prot = 52.5 Kcal = 13.1 g</w:t>
      </w:r>
    </w:p>
    <w:p>
      <w:pPr>
        <w:pStyle w:val="BodyText"/>
      </w:pPr>
    </w:p>
    <w:p>
      <w:pPr>
        <w:pStyle w:val="Heading6"/>
        <w:spacing w:before="207"/>
        <w:ind w:left="1645" w:right="1644"/>
        <w:jc w:val="center"/>
      </w:pPr>
      <w:r>
        <w:rPr>
          <w:u w:val="thick"/>
        </w:rPr>
        <w:t>MATERNAL ( 1 AÑO 1 MES – 2 AÑOS 11 MESES)</w:t>
      </w:r>
    </w:p>
    <w:p>
      <w:pPr>
        <w:spacing w:before="199"/>
        <w:ind w:left="1645" w:right="1645" w:firstLine="0"/>
        <w:jc w:val="center"/>
        <w:rPr>
          <w:b/>
          <w:sz w:val="24"/>
        </w:rPr>
      </w:pPr>
      <w:r>
        <w:rPr>
          <w:b/>
          <w:sz w:val="24"/>
          <w:u w:val="thick"/>
        </w:rPr>
        <w:t>1300 Kcal/día</w:t>
      </w:r>
    </w:p>
    <w:p>
      <w:pPr>
        <w:tabs>
          <w:tab w:pos="3702" w:val="left" w:leader="none"/>
        </w:tabs>
        <w:spacing w:before="202"/>
        <w:ind w:left="162" w:right="158" w:firstLine="0"/>
        <w:jc w:val="left"/>
        <w:rPr>
          <w:sz w:val="24"/>
        </w:rPr>
      </w:pPr>
      <w:r>
        <w:rPr>
          <w:b/>
          <w:sz w:val="24"/>
        </w:rPr>
        <w:t>Desayuno (25%) =</w:t>
      </w:r>
      <w:r>
        <w:rPr>
          <w:b/>
          <w:spacing w:val="-3"/>
          <w:sz w:val="24"/>
        </w:rPr>
        <w:t> </w:t>
      </w:r>
      <w:r>
        <w:rPr>
          <w:b/>
          <w:sz w:val="24"/>
        </w:rPr>
        <w:t>325</w:t>
      </w:r>
      <w:r>
        <w:rPr>
          <w:b/>
          <w:spacing w:val="-1"/>
          <w:sz w:val="24"/>
        </w:rPr>
        <w:t> </w:t>
      </w:r>
      <w:r>
        <w:rPr>
          <w:b/>
          <w:sz w:val="24"/>
        </w:rPr>
        <w:t>Kcal</w:t>
        <w:tab/>
      </w:r>
      <w:r>
        <w:rPr>
          <w:sz w:val="24"/>
        </w:rPr>
        <w:t>HCO = 195 Kcal = 49</w:t>
      </w:r>
      <w:r>
        <w:rPr>
          <w:spacing w:val="-9"/>
          <w:sz w:val="24"/>
        </w:rPr>
        <w:t> </w:t>
      </w:r>
      <w:r>
        <w:rPr>
          <w:sz w:val="24"/>
        </w:rPr>
        <w:t>g</w:t>
      </w:r>
    </w:p>
    <w:p>
      <w:pPr>
        <w:pStyle w:val="BodyText"/>
        <w:spacing w:line="412" w:lineRule="auto" w:before="199"/>
        <w:ind w:left="3702" w:right="3703"/>
      </w:pPr>
      <w:r>
        <w:rPr/>
        <w:t>Lip = 81 Kcal = 9 g Prot = 49 Kcal = 12 g</w:t>
      </w:r>
    </w:p>
    <w:p>
      <w:pPr>
        <w:tabs>
          <w:tab w:pos="3702" w:val="left" w:leader="none"/>
        </w:tabs>
        <w:spacing w:before="6"/>
        <w:ind w:left="162" w:right="158" w:firstLine="0"/>
        <w:jc w:val="left"/>
        <w:rPr>
          <w:sz w:val="24"/>
        </w:rPr>
      </w:pPr>
      <w:r>
        <w:rPr>
          <w:b/>
          <w:sz w:val="24"/>
        </w:rPr>
        <w:t>Comida (35%) =</w:t>
      </w:r>
      <w:r>
        <w:rPr>
          <w:b/>
          <w:spacing w:val="-3"/>
          <w:sz w:val="24"/>
        </w:rPr>
        <w:t> </w:t>
      </w:r>
      <w:r>
        <w:rPr>
          <w:b/>
          <w:sz w:val="24"/>
        </w:rPr>
        <w:t>455</w:t>
      </w:r>
      <w:r>
        <w:rPr>
          <w:b/>
          <w:spacing w:val="-3"/>
          <w:sz w:val="24"/>
        </w:rPr>
        <w:t> </w:t>
      </w:r>
      <w:r>
        <w:rPr>
          <w:b/>
          <w:sz w:val="24"/>
        </w:rPr>
        <w:t>Kcal</w:t>
        <w:tab/>
      </w:r>
      <w:r>
        <w:rPr>
          <w:sz w:val="24"/>
        </w:rPr>
        <w:t>O = 273 Kcal = 68</w:t>
      </w:r>
      <w:r>
        <w:rPr>
          <w:spacing w:val="-5"/>
          <w:sz w:val="24"/>
        </w:rPr>
        <w:t> </w:t>
      </w:r>
      <w:r>
        <w:rPr>
          <w:sz w:val="24"/>
        </w:rPr>
        <w:t>g</w:t>
      </w:r>
    </w:p>
    <w:p>
      <w:pPr>
        <w:pStyle w:val="BodyText"/>
        <w:spacing w:line="412" w:lineRule="auto" w:before="201"/>
        <w:ind w:left="3702" w:right="3489"/>
      </w:pPr>
      <w:r>
        <w:rPr/>
        <w:t>Lip = 114 Kcal = 12.6 g Prot = 68 Kcal = 17 g</w:t>
      </w:r>
    </w:p>
    <w:p>
      <w:pPr>
        <w:spacing w:after="0" w:line="412" w:lineRule="auto"/>
        <w:sectPr>
          <w:pgSz w:w="12240" w:h="15840"/>
          <w:pgMar w:header="729" w:footer="1003" w:top="1180" w:bottom="1200" w:left="1540" w:right="1020"/>
        </w:sectPr>
      </w:pPr>
    </w:p>
    <w:p>
      <w:pPr>
        <w:pStyle w:val="BodyText"/>
        <w:spacing w:before="5"/>
        <w:rPr>
          <w:sz w:val="13"/>
        </w:rPr>
      </w:pPr>
    </w:p>
    <w:p>
      <w:pPr>
        <w:pStyle w:val="Heading4"/>
        <w:numPr>
          <w:ilvl w:val="1"/>
          <w:numId w:val="18"/>
        </w:numPr>
        <w:tabs>
          <w:tab w:pos="786" w:val="left" w:leader="none"/>
        </w:tabs>
        <w:spacing w:line="240" w:lineRule="auto" w:before="65" w:after="0"/>
        <w:ind w:left="785" w:right="0" w:hanging="623"/>
        <w:jc w:val="left"/>
      </w:pPr>
      <w:r>
        <w:rPr/>
        <w:t>Oficos /</w:t>
      </w:r>
      <w:r>
        <w:rPr>
          <w:spacing w:val="-6"/>
        </w:rPr>
        <w:t> </w:t>
      </w:r>
      <w:r>
        <w:rPr/>
        <w:t>Permisos</w:t>
      </w:r>
    </w:p>
    <w:p>
      <w:pPr>
        <w:pStyle w:val="BodyText"/>
        <w:spacing w:before="6"/>
        <w:rPr>
          <w:b/>
          <w:sz w:val="18"/>
        </w:rPr>
      </w:pPr>
      <w:r>
        <w:rPr/>
        <w:drawing>
          <wp:anchor distT="0" distB="0" distL="0" distR="0" allowOverlap="1" layoutInCell="1" locked="0" behindDoc="0" simplePos="0" relativeHeight="1912">
            <wp:simplePos x="0" y="0"/>
            <wp:positionH relativeFrom="page">
              <wp:posOffset>1080135</wp:posOffset>
            </wp:positionH>
            <wp:positionV relativeFrom="paragraph">
              <wp:posOffset>160212</wp:posOffset>
            </wp:positionV>
            <wp:extent cx="5861003" cy="7634478"/>
            <wp:effectExtent l="0" t="0" r="0" b="0"/>
            <wp:wrapTopAndBottom/>
            <wp:docPr id="9" name="image14.jpeg" descr=""/>
            <wp:cNvGraphicFramePr>
              <a:graphicFrameLocks noChangeAspect="1"/>
            </wp:cNvGraphicFramePr>
            <a:graphic>
              <a:graphicData uri="http://schemas.openxmlformats.org/drawingml/2006/picture">
                <pic:pic>
                  <pic:nvPicPr>
                    <pic:cNvPr id="10" name="image14.jpeg"/>
                    <pic:cNvPicPr/>
                  </pic:nvPicPr>
                  <pic:blipFill>
                    <a:blip r:embed="rId36" cstate="print"/>
                    <a:stretch>
                      <a:fillRect/>
                    </a:stretch>
                  </pic:blipFill>
                  <pic:spPr>
                    <a:xfrm>
                      <a:off x="0" y="0"/>
                      <a:ext cx="5861003" cy="7634478"/>
                    </a:xfrm>
                    <a:prstGeom prst="rect">
                      <a:avLst/>
                    </a:prstGeom>
                  </pic:spPr>
                </pic:pic>
              </a:graphicData>
            </a:graphic>
          </wp:anchor>
        </w:drawing>
      </w:r>
    </w:p>
    <w:p>
      <w:pPr>
        <w:spacing w:after="0"/>
        <w:rPr>
          <w:sz w:val="18"/>
        </w:rPr>
        <w:sectPr>
          <w:pgSz w:w="12240" w:h="15840"/>
          <w:pgMar w:header="729" w:footer="1003" w:top="1180" w:bottom="1200" w:left="1540" w:right="1020"/>
        </w:sectPr>
      </w:pPr>
    </w:p>
    <w:p>
      <w:pPr>
        <w:pStyle w:val="BodyText"/>
        <w:spacing w:before="5"/>
        <w:rPr>
          <w:rFonts w:ascii="Times New Roman"/>
          <w:sz w:val="19"/>
        </w:rPr>
      </w:pPr>
    </w:p>
    <w:p>
      <w:pPr>
        <w:pStyle w:val="BodyText"/>
        <w:ind w:left="161"/>
        <w:rPr>
          <w:rFonts w:ascii="Times New Roman"/>
          <w:sz w:val="20"/>
        </w:rPr>
      </w:pPr>
      <w:r>
        <w:rPr>
          <w:rFonts w:ascii="Times New Roman"/>
          <w:sz w:val="20"/>
        </w:rPr>
        <w:drawing>
          <wp:inline distT="0" distB="0" distL="0" distR="0">
            <wp:extent cx="5860763" cy="7634478"/>
            <wp:effectExtent l="0" t="0" r="0" b="0"/>
            <wp:docPr id="11" name="image15.jpeg" descr=""/>
            <wp:cNvGraphicFramePr>
              <a:graphicFrameLocks noChangeAspect="1"/>
            </wp:cNvGraphicFramePr>
            <a:graphic>
              <a:graphicData uri="http://schemas.openxmlformats.org/drawingml/2006/picture">
                <pic:pic>
                  <pic:nvPicPr>
                    <pic:cNvPr id="12" name="image15.jpeg"/>
                    <pic:cNvPicPr/>
                  </pic:nvPicPr>
                  <pic:blipFill>
                    <a:blip r:embed="rId38" cstate="print"/>
                    <a:stretch>
                      <a:fillRect/>
                    </a:stretch>
                  </pic:blipFill>
                  <pic:spPr>
                    <a:xfrm>
                      <a:off x="0" y="0"/>
                      <a:ext cx="5860763" cy="7634478"/>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7"/>
          <w:pgSz w:w="12240" w:h="15840"/>
          <w:pgMar w:footer="1003" w:header="729" w:top="1180" w:bottom="1200" w:left="1540" w:right="1020"/>
        </w:sectPr>
      </w:pPr>
    </w:p>
    <w:p>
      <w:pPr>
        <w:pStyle w:val="BodyText"/>
        <w:spacing w:before="5"/>
        <w:rPr>
          <w:rFonts w:ascii="Times New Roman"/>
          <w:sz w:val="19"/>
        </w:rPr>
      </w:pPr>
    </w:p>
    <w:p>
      <w:pPr>
        <w:pStyle w:val="BodyText"/>
        <w:ind w:left="369"/>
        <w:rPr>
          <w:rFonts w:ascii="Times New Roman"/>
          <w:sz w:val="20"/>
        </w:rPr>
      </w:pPr>
      <w:r>
        <w:rPr>
          <w:rFonts w:ascii="Times New Roman"/>
          <w:sz w:val="20"/>
        </w:rPr>
        <w:drawing>
          <wp:inline distT="0" distB="0" distL="0" distR="0">
            <wp:extent cx="5603029" cy="7429690"/>
            <wp:effectExtent l="0" t="0" r="0" b="0"/>
            <wp:docPr id="13" name="image16.jpeg" descr=""/>
            <wp:cNvGraphicFramePr>
              <a:graphicFrameLocks noChangeAspect="1"/>
            </wp:cNvGraphicFramePr>
            <a:graphic>
              <a:graphicData uri="http://schemas.openxmlformats.org/drawingml/2006/picture">
                <pic:pic>
                  <pic:nvPicPr>
                    <pic:cNvPr id="14" name="image16.jpeg"/>
                    <pic:cNvPicPr/>
                  </pic:nvPicPr>
                  <pic:blipFill>
                    <a:blip r:embed="rId40" cstate="print"/>
                    <a:stretch>
                      <a:fillRect/>
                    </a:stretch>
                  </pic:blipFill>
                  <pic:spPr>
                    <a:xfrm>
                      <a:off x="0" y="0"/>
                      <a:ext cx="5603029" cy="742969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9"/>
          <w:pgSz w:w="12240" w:h="15840"/>
          <w:pgMar w:footer="1003" w:header="729" w:top="1180" w:bottom="1200" w:left="1540" w:right="1020"/>
          <w:pgNumType w:start="71"/>
        </w:sectPr>
      </w:pPr>
    </w:p>
    <w:p>
      <w:pPr>
        <w:pStyle w:val="BodyText"/>
        <w:spacing w:before="5"/>
        <w:rPr>
          <w:rFonts w:ascii="Times New Roman"/>
          <w:sz w:val="13"/>
        </w:rPr>
      </w:pPr>
    </w:p>
    <w:p>
      <w:pPr>
        <w:pStyle w:val="Heading4"/>
        <w:ind w:left="521" w:right="158"/>
        <w:jc w:val="left"/>
      </w:pPr>
      <w:r>
        <w:rPr/>
        <w:t>13.5  Productos  de la Investigación</w:t>
      </w:r>
    </w:p>
    <w:p>
      <w:pPr>
        <w:pStyle w:val="BodyText"/>
        <w:spacing w:before="6"/>
        <w:rPr>
          <w:b/>
          <w:sz w:val="18"/>
        </w:rPr>
      </w:pPr>
      <w:r>
        <w:rPr/>
        <w:drawing>
          <wp:anchor distT="0" distB="0" distL="0" distR="0" allowOverlap="1" layoutInCell="1" locked="0" behindDoc="0" simplePos="0" relativeHeight="1936">
            <wp:simplePos x="0" y="0"/>
            <wp:positionH relativeFrom="page">
              <wp:posOffset>1308735</wp:posOffset>
            </wp:positionH>
            <wp:positionV relativeFrom="paragraph">
              <wp:posOffset>160187</wp:posOffset>
            </wp:positionV>
            <wp:extent cx="5181265" cy="3450431"/>
            <wp:effectExtent l="0" t="0" r="0" b="0"/>
            <wp:wrapTopAndBottom/>
            <wp:docPr id="15" name="image17.jpeg" descr=""/>
            <wp:cNvGraphicFramePr>
              <a:graphicFrameLocks noChangeAspect="1"/>
            </wp:cNvGraphicFramePr>
            <a:graphic>
              <a:graphicData uri="http://schemas.openxmlformats.org/drawingml/2006/picture">
                <pic:pic>
                  <pic:nvPicPr>
                    <pic:cNvPr id="16" name="image17.jpeg"/>
                    <pic:cNvPicPr/>
                  </pic:nvPicPr>
                  <pic:blipFill>
                    <a:blip r:embed="rId41" cstate="print"/>
                    <a:stretch>
                      <a:fillRect/>
                    </a:stretch>
                  </pic:blipFill>
                  <pic:spPr>
                    <a:xfrm>
                      <a:off x="0" y="0"/>
                      <a:ext cx="5181265" cy="3450431"/>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spacing w:before="8"/>
        <w:rPr>
          <w:b/>
          <w:sz w:val="21"/>
        </w:rPr>
      </w:pPr>
      <w:r>
        <w:rPr/>
        <w:drawing>
          <wp:anchor distT="0" distB="0" distL="0" distR="0" allowOverlap="1" layoutInCell="1" locked="0" behindDoc="0" simplePos="0" relativeHeight="1960">
            <wp:simplePos x="0" y="0"/>
            <wp:positionH relativeFrom="page">
              <wp:posOffset>1200403</wp:posOffset>
            </wp:positionH>
            <wp:positionV relativeFrom="paragraph">
              <wp:posOffset>183685</wp:posOffset>
            </wp:positionV>
            <wp:extent cx="5685598" cy="3506724"/>
            <wp:effectExtent l="0" t="0" r="0" b="0"/>
            <wp:wrapTopAndBottom/>
            <wp:docPr id="17" name="image18.jpeg" descr=""/>
            <wp:cNvGraphicFramePr>
              <a:graphicFrameLocks noChangeAspect="1"/>
            </wp:cNvGraphicFramePr>
            <a:graphic>
              <a:graphicData uri="http://schemas.openxmlformats.org/drawingml/2006/picture">
                <pic:pic>
                  <pic:nvPicPr>
                    <pic:cNvPr id="18" name="image18.jpeg"/>
                    <pic:cNvPicPr/>
                  </pic:nvPicPr>
                  <pic:blipFill>
                    <a:blip r:embed="rId42" cstate="print"/>
                    <a:stretch>
                      <a:fillRect/>
                    </a:stretch>
                  </pic:blipFill>
                  <pic:spPr>
                    <a:xfrm>
                      <a:off x="0" y="0"/>
                      <a:ext cx="5685598" cy="3506724"/>
                    </a:xfrm>
                    <a:prstGeom prst="rect">
                      <a:avLst/>
                    </a:prstGeom>
                  </pic:spPr>
                </pic:pic>
              </a:graphicData>
            </a:graphic>
          </wp:anchor>
        </w:drawing>
      </w:r>
    </w:p>
    <w:p>
      <w:pPr>
        <w:spacing w:after="0"/>
        <w:rPr>
          <w:sz w:val="21"/>
        </w:rPr>
        <w:sectPr>
          <w:pgSz w:w="12240" w:h="15840"/>
          <w:pgMar w:header="729" w:footer="1003" w:top="1180" w:bottom="1200" w:left="1540" w:right="1020"/>
        </w:sectPr>
      </w:pPr>
    </w:p>
    <w:p>
      <w:pPr>
        <w:pStyle w:val="BodyText"/>
        <w:spacing w:before="5"/>
        <w:rPr>
          <w:rFonts w:ascii="Times New Roman"/>
          <w:sz w:val="19"/>
        </w:rPr>
      </w:pPr>
    </w:p>
    <w:p>
      <w:pPr>
        <w:pStyle w:val="BodyText"/>
        <w:ind w:left="211"/>
        <w:rPr>
          <w:rFonts w:ascii="Times New Roman"/>
          <w:sz w:val="20"/>
        </w:rPr>
      </w:pPr>
      <w:r>
        <w:rPr>
          <w:rFonts w:ascii="Times New Roman"/>
          <w:sz w:val="20"/>
        </w:rPr>
        <w:drawing>
          <wp:inline distT="0" distB="0" distL="0" distR="0">
            <wp:extent cx="5873704" cy="3474720"/>
            <wp:effectExtent l="0" t="0" r="0" b="0"/>
            <wp:docPr id="19" name="image19.jpeg" descr=""/>
            <wp:cNvGraphicFramePr>
              <a:graphicFrameLocks noChangeAspect="1"/>
            </wp:cNvGraphicFramePr>
            <a:graphic>
              <a:graphicData uri="http://schemas.openxmlformats.org/drawingml/2006/picture">
                <pic:pic>
                  <pic:nvPicPr>
                    <pic:cNvPr id="20" name="image19.jpeg"/>
                    <pic:cNvPicPr/>
                  </pic:nvPicPr>
                  <pic:blipFill>
                    <a:blip r:embed="rId43" cstate="print"/>
                    <a:stretch>
                      <a:fillRect/>
                    </a:stretch>
                  </pic:blipFill>
                  <pic:spPr>
                    <a:xfrm>
                      <a:off x="0" y="0"/>
                      <a:ext cx="5873704" cy="3474720"/>
                    </a:xfrm>
                    <a:prstGeom prst="rect">
                      <a:avLst/>
                    </a:prstGeom>
                  </pic:spPr>
                </pic:pic>
              </a:graphicData>
            </a:graphic>
          </wp:inline>
        </w:drawing>
      </w:r>
      <w:r>
        <w:rPr>
          <w:rFonts w:ascii="Times New Roman"/>
          <w:sz w:val="20"/>
        </w:rPr>
      </w:r>
    </w:p>
    <w:p>
      <w:pPr>
        <w:pStyle w:val="BodyText"/>
        <w:spacing w:before="10"/>
        <w:rPr>
          <w:rFonts w:ascii="Times New Roman"/>
          <w:sz w:val="17"/>
        </w:rPr>
      </w:pPr>
      <w:r>
        <w:rPr/>
        <w:drawing>
          <wp:anchor distT="0" distB="0" distL="0" distR="0" allowOverlap="1" layoutInCell="1" locked="0" behindDoc="0" simplePos="0" relativeHeight="1984">
            <wp:simplePos x="0" y="0"/>
            <wp:positionH relativeFrom="page">
              <wp:posOffset>1080135</wp:posOffset>
            </wp:positionH>
            <wp:positionV relativeFrom="paragraph">
              <wp:posOffset>155320</wp:posOffset>
            </wp:positionV>
            <wp:extent cx="5865510" cy="3561588"/>
            <wp:effectExtent l="0" t="0" r="0" b="0"/>
            <wp:wrapTopAndBottom/>
            <wp:docPr id="21" name="image20.jpeg" descr=""/>
            <wp:cNvGraphicFramePr>
              <a:graphicFrameLocks noChangeAspect="1"/>
            </wp:cNvGraphicFramePr>
            <a:graphic>
              <a:graphicData uri="http://schemas.openxmlformats.org/drawingml/2006/picture">
                <pic:pic>
                  <pic:nvPicPr>
                    <pic:cNvPr id="22" name="image20.jpeg"/>
                    <pic:cNvPicPr/>
                  </pic:nvPicPr>
                  <pic:blipFill>
                    <a:blip r:embed="rId44" cstate="print"/>
                    <a:stretch>
                      <a:fillRect/>
                    </a:stretch>
                  </pic:blipFill>
                  <pic:spPr>
                    <a:xfrm>
                      <a:off x="0" y="0"/>
                      <a:ext cx="5865510" cy="3561588"/>
                    </a:xfrm>
                    <a:prstGeom prst="rect">
                      <a:avLst/>
                    </a:prstGeom>
                  </pic:spPr>
                </pic:pic>
              </a:graphicData>
            </a:graphic>
          </wp:anchor>
        </w:drawing>
      </w:r>
    </w:p>
    <w:p>
      <w:pPr>
        <w:spacing w:after="0"/>
        <w:rPr>
          <w:rFonts w:ascii="Times New Roman"/>
          <w:sz w:val="17"/>
        </w:rPr>
        <w:sectPr>
          <w:pgSz w:w="12240" w:h="15840"/>
          <w:pgMar w:header="729" w:footer="1003" w:top="1180" w:bottom="1200" w:left="1540" w:right="1020"/>
        </w:sectPr>
      </w:pPr>
    </w:p>
    <w:p>
      <w:pPr>
        <w:pStyle w:val="BodyText"/>
        <w:spacing w:before="3" w:after="1"/>
        <w:rPr>
          <w:rFonts w:ascii="Times New Roman"/>
          <w:sz w:val="20"/>
        </w:rPr>
      </w:pPr>
    </w:p>
    <w:p>
      <w:pPr>
        <w:pStyle w:val="BodyText"/>
        <w:ind w:left="161"/>
        <w:rPr>
          <w:rFonts w:ascii="Times New Roman"/>
          <w:sz w:val="20"/>
        </w:rPr>
      </w:pPr>
      <w:r>
        <w:rPr>
          <w:rFonts w:ascii="Times New Roman"/>
          <w:sz w:val="20"/>
        </w:rPr>
        <w:drawing>
          <wp:inline distT="0" distB="0" distL="0" distR="0">
            <wp:extent cx="6313473" cy="4320540"/>
            <wp:effectExtent l="0" t="0" r="0" b="0"/>
            <wp:docPr id="23" name="image21.jpeg" descr=""/>
            <wp:cNvGraphicFramePr>
              <a:graphicFrameLocks noChangeAspect="1"/>
            </wp:cNvGraphicFramePr>
            <a:graphic>
              <a:graphicData uri="http://schemas.openxmlformats.org/drawingml/2006/picture">
                <pic:pic>
                  <pic:nvPicPr>
                    <pic:cNvPr id="24" name="image21.jpeg"/>
                    <pic:cNvPicPr/>
                  </pic:nvPicPr>
                  <pic:blipFill>
                    <a:blip r:embed="rId45" cstate="print"/>
                    <a:stretch>
                      <a:fillRect/>
                    </a:stretch>
                  </pic:blipFill>
                  <pic:spPr>
                    <a:xfrm>
                      <a:off x="0" y="0"/>
                      <a:ext cx="6313473" cy="43205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9" w:footer="1003" w:top="1180" w:bottom="1200" w:left="1540" w:right="480"/>
        </w:sectPr>
      </w:pPr>
    </w:p>
    <w:p>
      <w:pPr>
        <w:pStyle w:val="BodyText"/>
        <w:spacing w:before="4"/>
        <w:rPr>
          <w:rFonts w:ascii="Times New Roman"/>
          <w:sz w:val="17"/>
        </w:rPr>
      </w:pPr>
    </w:p>
    <w:sectPr>
      <w:pgSz w:w="12240" w:h="15840"/>
      <w:pgMar w:header="729" w:footer="1003" w:top="1180" w:bottom="1200" w:left="154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5.419983pt;margin-top:730.856018pt;width:9.6pt;height:13.05pt;mso-position-horizontal-relative:page;mso-position-vertical-relative:page;z-index:-102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780029pt;margin-top:730.856018pt;width:13.3pt;height:13.05pt;mso-position-horizontal-relative:page;mso-position-vertical-relative:page;z-index:-10206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780029pt;margin-top:730.856018pt;width:15.3pt;height:13.05pt;mso-position-horizontal-relative:page;mso-position-vertical-relative:page;z-index:-102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780029pt;margin-top:730.856018pt;width:13.3pt;height:13.05pt;mso-position-horizontal-relative:page;mso-position-vertical-relative:page;z-index:-10201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780029pt;margin-top:730.856018pt;width:15.3pt;height:13.05pt;mso-position-horizontal-relative:page;mso-position-vertical-relative:page;z-index:-101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780029pt;margin-top:730.856018pt;width:13.3pt;height:13.05pt;mso-position-horizontal-relative:page;mso-position-vertical-relative:page;z-index:-10196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780029pt;margin-top:730.856018pt;width:15.3pt;height:13.05pt;mso-position-horizontal-relative:page;mso-position-vertical-relative:page;z-index:-101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780029pt;margin-top:730.856018pt;width:13.3pt;height:13.05pt;mso-position-horizontal-relative:page;mso-position-vertical-relative:page;z-index:-10225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780029pt;margin-top:730.856018pt;width:15.3pt;height:13.05pt;mso-position-horizontal-relative:page;mso-position-vertical-relative:page;z-index:-102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780029pt;margin-top:730.856018pt;width:13.3pt;height:13.05pt;mso-position-horizontal-relative:page;mso-position-vertical-relative:page;z-index:-10220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780029pt;margin-top:730.856018pt;width:15.3pt;height:13.05pt;mso-position-horizontal-relative:page;mso-position-vertical-relative:page;z-index:-102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780029pt;margin-top:730.856018pt;width:13.3pt;height:13.05pt;mso-position-horizontal-relative:page;mso-position-vertical-relative:page;z-index:-10216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780029pt;margin-top:730.856018pt;width:15.3pt;height:13.05pt;mso-position-horizontal-relative:page;mso-position-vertical-relative:page;z-index:-102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780029pt;margin-top:730.856018pt;width:13.3pt;height:13.05pt;mso-position-horizontal-relative:page;mso-position-vertical-relative:page;z-index:-10211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9.780029pt;margin-top:730.856018pt;width:15.3pt;height:13.05pt;mso-position-horizontal-relative:page;mso-position-vertical-relative:page;z-index:-102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424" from="83.664001pt,73.320pt" to="528.574001pt,73.320pt" stroked="true" strokeweight=".72pt" strokecolor="#612322">
          <w10:wrap type="none"/>
        </v:line>
      </w:pict>
    </w:r>
    <w:r>
      <w:rPr/>
      <w:pict>
        <v:line style="position:absolute;mso-position-horizontal-relative:page;mso-position-vertical-relative:page;z-index:-102400" from="83.664001pt,75.900002pt" to="528.574001pt,75.900002pt" stroked="true" strokeweight="3pt" strokecolor="#612322">
          <w10:wrap type="none"/>
        </v:line>
      </w:pict>
    </w:r>
    <w:r>
      <w:rPr/>
      <w:pict>
        <v:shapetype id="_x0000_t202" o:spt="202" coordsize="21600,21600" path="m,l,21600r21600,l21600,xe">
          <v:stroke joinstyle="miter"/>
          <v:path gradientshapeok="t" o:connecttype="rect"/>
        </v:shapetype>
        <v:shape style="position:absolute;margin-left:87.223999pt;margin-top:35.443615pt;width:437.15pt;height:19.4pt;mso-position-horizontal-relative:page;mso-position-vertical-relative:page;z-index:-102376" type="#_x0000_t202" filled="false" stroked="false">
          <v:textbox inset="0,0,0,0">
            <w:txbxContent>
              <w:p>
                <w:pPr>
                  <w:spacing w:before="0"/>
                  <w:ind w:left="1635" w:right="0" w:hanging="1616"/>
                  <w:jc w:val="left"/>
                  <w:rPr>
                    <w:rFonts w:ascii="Cambria" w:hAnsi="Cambria"/>
                    <w:sz w:val="16"/>
                  </w:rPr>
                </w:pPr>
                <w:r>
                  <w:rPr>
                    <w:rFonts w:ascii="Cambria" w:hAnsi="Cambria"/>
                    <w:sz w:val="16"/>
                  </w:rPr>
                  <w:t>FLUORURO DE SODIO Y CLORHEXIDINA EN LA PREVENCIÓN DE CARIES EN NIÑOS DE LA PRIMERA INFANCIA, EN ESTANCIAS INFANTILES DEL DIF DE LA CIUDAD DE TOLUCA, ESTADO DE MEXICO EN 2012.</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352" from="83.664001pt,55.560001pt" to="554.374001pt,55.560001pt" stroked="true" strokeweight=".72pt" strokecolor="#612322">
          <w10:wrap type="none"/>
        </v:line>
      </w:pict>
    </w:r>
    <w:r>
      <w:rPr/>
      <w:pict>
        <v:line style="position:absolute;mso-position-horizontal-relative:page;mso-position-vertical-relative:page;z-index:-102328" from="83.664001pt,58.139999pt" to="554.374001pt,58.139999pt" stroked="true" strokeweight="3pt" strokecolor="#612322">
          <w10:wrap type="none"/>
        </v:line>
      </w:pict>
    </w:r>
    <w:r>
      <w:rPr/>
      <w:pict>
        <v:shape style="position:absolute;margin-left:100.18pt;margin-top:35.443615pt;width:437.15pt;height:19.4pt;mso-position-horizontal-relative:page;mso-position-vertical-relative:page;z-index:-102304" type="#_x0000_t202" filled="false" stroked="false">
          <v:textbox inset="0,0,0,0">
            <w:txbxContent>
              <w:p>
                <w:pPr>
                  <w:spacing w:before="0"/>
                  <w:ind w:left="1635" w:right="0" w:hanging="1616"/>
                  <w:jc w:val="left"/>
                  <w:rPr>
                    <w:rFonts w:ascii="Cambria" w:hAnsi="Cambria"/>
                    <w:sz w:val="16"/>
                  </w:rPr>
                </w:pPr>
                <w:r>
                  <w:rPr>
                    <w:rFonts w:ascii="Cambria" w:hAnsi="Cambria"/>
                    <w:sz w:val="16"/>
                  </w:rPr>
                  <w:t>FLUORURO DE SODIO Y CLORHEXIDINA EN LA PREVENCIÓN DE CARIES EN NIÑOS DE LA PRIMERA INFANCIA, EN ESTANCIAS INFANTILES DEL DIF DE LA CIUDAD DE TOLUCA, ESTADO DE MEXICO EN 2012.</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4"/>
      <w:numFmt w:val="decimal"/>
      <w:lvlText w:val="%1"/>
      <w:lvlJc w:val="left"/>
      <w:pPr>
        <w:ind w:left="905" w:hanging="624"/>
        <w:jc w:val="left"/>
      </w:pPr>
      <w:rPr>
        <w:rFonts w:hint="default"/>
      </w:rPr>
    </w:lvl>
    <w:lvl w:ilvl="1">
      <w:start w:val="1"/>
      <w:numFmt w:val="decimal"/>
      <w:lvlText w:val="%1.%2"/>
      <w:lvlJc w:val="left"/>
      <w:pPr>
        <w:ind w:left="162" w:hanging="624"/>
        <w:jc w:val="right"/>
      </w:pPr>
      <w:rPr>
        <w:rFonts w:hint="default" w:ascii="Arial" w:hAnsi="Arial" w:eastAsia="Arial" w:cs="Arial"/>
        <w:b/>
        <w:bCs/>
        <w:spacing w:val="-1"/>
        <w:w w:val="100"/>
        <w:sz w:val="28"/>
        <w:szCs w:val="28"/>
      </w:rPr>
    </w:lvl>
    <w:lvl w:ilvl="2">
      <w:start w:val="1"/>
      <w:numFmt w:val="bullet"/>
      <w:lvlText w:val=""/>
      <w:lvlJc w:val="left"/>
      <w:pPr>
        <w:ind w:left="882" w:hanging="360"/>
      </w:pPr>
      <w:rPr>
        <w:rFonts w:hint="default" w:ascii="Symbol" w:hAnsi="Symbol" w:eastAsia="Symbol" w:cs="Symbol"/>
        <w:w w:val="100"/>
        <w:sz w:val="24"/>
        <w:szCs w:val="24"/>
      </w:rPr>
    </w:lvl>
    <w:lvl w:ilvl="3">
      <w:start w:val="1"/>
      <w:numFmt w:val="bullet"/>
      <w:lvlText w:val="•"/>
      <w:lvlJc w:val="left"/>
      <w:pPr>
        <w:ind w:left="1997" w:hanging="360"/>
      </w:pPr>
      <w:rPr>
        <w:rFonts w:hint="default"/>
      </w:rPr>
    </w:lvl>
    <w:lvl w:ilvl="4">
      <w:start w:val="1"/>
      <w:numFmt w:val="bullet"/>
      <w:lvlText w:val="•"/>
      <w:lvlJc w:val="left"/>
      <w:pPr>
        <w:ind w:left="3095" w:hanging="360"/>
      </w:pPr>
      <w:rPr>
        <w:rFonts w:hint="default"/>
      </w:rPr>
    </w:lvl>
    <w:lvl w:ilvl="5">
      <w:start w:val="1"/>
      <w:numFmt w:val="bullet"/>
      <w:lvlText w:val="•"/>
      <w:lvlJc w:val="left"/>
      <w:pPr>
        <w:ind w:left="4192" w:hanging="360"/>
      </w:pPr>
      <w:rPr>
        <w:rFonts w:hint="default"/>
      </w:rPr>
    </w:lvl>
    <w:lvl w:ilvl="6">
      <w:start w:val="1"/>
      <w:numFmt w:val="bullet"/>
      <w:lvlText w:val="•"/>
      <w:lvlJc w:val="left"/>
      <w:pPr>
        <w:ind w:left="5290" w:hanging="360"/>
      </w:pPr>
      <w:rPr>
        <w:rFonts w:hint="default"/>
      </w:rPr>
    </w:lvl>
    <w:lvl w:ilvl="7">
      <w:start w:val="1"/>
      <w:numFmt w:val="bullet"/>
      <w:lvlText w:val="•"/>
      <w:lvlJc w:val="left"/>
      <w:pPr>
        <w:ind w:left="6387" w:hanging="360"/>
      </w:pPr>
      <w:rPr>
        <w:rFonts w:hint="default"/>
      </w:rPr>
    </w:lvl>
    <w:lvl w:ilvl="8">
      <w:start w:val="1"/>
      <w:numFmt w:val="bullet"/>
      <w:lvlText w:val="•"/>
      <w:lvlJc w:val="left"/>
      <w:pPr>
        <w:ind w:left="7485" w:hanging="360"/>
      </w:pPr>
      <w:rPr>
        <w:rFonts w:hint="default"/>
      </w:rPr>
    </w:lvl>
  </w:abstractNum>
  <w:abstractNum w:abstractNumId="16">
    <w:multiLevelType w:val="hybridMultilevel"/>
    <w:lvl w:ilvl="0">
      <w:start w:val="45"/>
      <w:numFmt w:val="decimal"/>
      <w:lvlText w:val="%1"/>
      <w:lvlJc w:val="left"/>
      <w:pPr>
        <w:ind w:left="162" w:hanging="336"/>
        <w:jc w:val="left"/>
      </w:pPr>
      <w:rPr>
        <w:rFonts w:hint="default" w:ascii="Arial" w:hAnsi="Arial" w:eastAsia="Arial" w:cs="Arial"/>
        <w:w w:val="99"/>
        <w:sz w:val="24"/>
        <w:szCs w:val="24"/>
      </w:rPr>
    </w:lvl>
    <w:lvl w:ilvl="1">
      <w:start w:val="1"/>
      <w:numFmt w:val="bullet"/>
      <w:lvlText w:val="•"/>
      <w:lvlJc w:val="left"/>
      <w:pPr>
        <w:ind w:left="1112" w:hanging="336"/>
      </w:pPr>
      <w:rPr>
        <w:rFonts w:hint="default"/>
      </w:rPr>
    </w:lvl>
    <w:lvl w:ilvl="2">
      <w:start w:val="1"/>
      <w:numFmt w:val="bullet"/>
      <w:lvlText w:val="•"/>
      <w:lvlJc w:val="left"/>
      <w:pPr>
        <w:ind w:left="2064" w:hanging="336"/>
      </w:pPr>
      <w:rPr>
        <w:rFonts w:hint="default"/>
      </w:rPr>
    </w:lvl>
    <w:lvl w:ilvl="3">
      <w:start w:val="1"/>
      <w:numFmt w:val="bullet"/>
      <w:lvlText w:val="•"/>
      <w:lvlJc w:val="left"/>
      <w:pPr>
        <w:ind w:left="3016" w:hanging="336"/>
      </w:pPr>
      <w:rPr>
        <w:rFonts w:hint="default"/>
      </w:rPr>
    </w:lvl>
    <w:lvl w:ilvl="4">
      <w:start w:val="1"/>
      <w:numFmt w:val="bullet"/>
      <w:lvlText w:val="•"/>
      <w:lvlJc w:val="left"/>
      <w:pPr>
        <w:ind w:left="3968" w:hanging="336"/>
      </w:pPr>
      <w:rPr>
        <w:rFonts w:hint="default"/>
      </w:rPr>
    </w:lvl>
    <w:lvl w:ilvl="5">
      <w:start w:val="1"/>
      <w:numFmt w:val="bullet"/>
      <w:lvlText w:val="•"/>
      <w:lvlJc w:val="left"/>
      <w:pPr>
        <w:ind w:left="4920" w:hanging="336"/>
      </w:pPr>
      <w:rPr>
        <w:rFonts w:hint="default"/>
      </w:rPr>
    </w:lvl>
    <w:lvl w:ilvl="6">
      <w:start w:val="1"/>
      <w:numFmt w:val="bullet"/>
      <w:lvlText w:val="•"/>
      <w:lvlJc w:val="left"/>
      <w:pPr>
        <w:ind w:left="5872" w:hanging="336"/>
      </w:pPr>
      <w:rPr>
        <w:rFonts w:hint="default"/>
      </w:rPr>
    </w:lvl>
    <w:lvl w:ilvl="7">
      <w:start w:val="1"/>
      <w:numFmt w:val="bullet"/>
      <w:lvlText w:val="•"/>
      <w:lvlJc w:val="left"/>
      <w:pPr>
        <w:ind w:left="6824" w:hanging="336"/>
      </w:pPr>
      <w:rPr>
        <w:rFonts w:hint="default"/>
      </w:rPr>
    </w:lvl>
    <w:lvl w:ilvl="8">
      <w:start w:val="1"/>
      <w:numFmt w:val="bullet"/>
      <w:lvlText w:val="•"/>
      <w:lvlJc w:val="left"/>
      <w:pPr>
        <w:ind w:left="7776" w:hanging="336"/>
      </w:pPr>
      <w:rPr>
        <w:rFonts w:hint="default"/>
      </w:rPr>
    </w:lvl>
  </w:abstractNum>
  <w:abstractNum w:abstractNumId="15">
    <w:multiLevelType w:val="hybridMultilevel"/>
    <w:lvl w:ilvl="0">
      <w:start w:val="8"/>
      <w:numFmt w:val="decimal"/>
      <w:lvlText w:val="%1"/>
      <w:lvlJc w:val="left"/>
      <w:pPr>
        <w:ind w:left="162" w:hanging="938"/>
        <w:jc w:val="left"/>
      </w:pPr>
      <w:rPr>
        <w:rFonts w:hint="default"/>
      </w:rPr>
    </w:lvl>
    <w:lvl w:ilvl="1">
      <w:start w:val="6"/>
      <w:numFmt w:val="decimal"/>
      <w:lvlText w:val="%1.%2"/>
      <w:lvlJc w:val="left"/>
      <w:pPr>
        <w:ind w:left="162" w:hanging="938"/>
        <w:jc w:val="left"/>
      </w:pPr>
      <w:rPr>
        <w:rFonts w:hint="default"/>
      </w:rPr>
    </w:lvl>
    <w:lvl w:ilvl="2">
      <w:start w:val="2"/>
      <w:numFmt w:val="decimal"/>
      <w:lvlText w:val="%1.%2.%3"/>
      <w:lvlJc w:val="left"/>
      <w:pPr>
        <w:ind w:left="162" w:hanging="938"/>
        <w:jc w:val="left"/>
      </w:pPr>
      <w:rPr>
        <w:rFonts w:hint="default"/>
      </w:rPr>
    </w:lvl>
    <w:lvl w:ilvl="3">
      <w:start w:val="5"/>
      <w:numFmt w:val="decimal"/>
      <w:lvlText w:val="%1.%2.%3.%4"/>
      <w:lvlJc w:val="left"/>
      <w:pPr>
        <w:ind w:left="162" w:hanging="938"/>
        <w:jc w:val="left"/>
      </w:pPr>
      <w:rPr>
        <w:rFonts w:hint="default" w:ascii="Arial" w:hAnsi="Arial" w:eastAsia="Arial" w:cs="Arial"/>
        <w:b/>
        <w:bCs/>
        <w:spacing w:val="-3"/>
        <w:w w:val="100"/>
        <w:sz w:val="28"/>
        <w:szCs w:val="28"/>
      </w:rPr>
    </w:lvl>
    <w:lvl w:ilvl="4">
      <w:start w:val="1"/>
      <w:numFmt w:val="decimal"/>
      <w:lvlText w:val="%1.%2.%3.%4.%5"/>
      <w:lvlJc w:val="left"/>
      <w:pPr>
        <w:ind w:left="1335" w:hanging="1174"/>
        <w:jc w:val="right"/>
      </w:pPr>
      <w:rPr>
        <w:rFonts w:hint="default" w:ascii="Arial" w:hAnsi="Arial" w:eastAsia="Arial" w:cs="Arial"/>
        <w:b/>
        <w:bCs/>
        <w:spacing w:val="-3"/>
        <w:w w:val="100"/>
        <w:sz w:val="28"/>
        <w:szCs w:val="28"/>
      </w:rPr>
    </w:lvl>
    <w:lvl w:ilvl="5">
      <w:start w:val="1"/>
      <w:numFmt w:val="bullet"/>
      <w:lvlText w:val=""/>
      <w:lvlJc w:val="left"/>
      <w:pPr>
        <w:ind w:left="882" w:hanging="360"/>
      </w:pPr>
      <w:rPr>
        <w:rFonts w:hint="default" w:ascii="Symbol" w:hAnsi="Symbol" w:eastAsia="Symbol" w:cs="Symbol"/>
        <w:w w:val="100"/>
        <w:sz w:val="24"/>
        <w:szCs w:val="24"/>
      </w:rPr>
    </w:lvl>
    <w:lvl w:ilvl="6">
      <w:start w:val="1"/>
      <w:numFmt w:val="bullet"/>
      <w:lvlText w:val="•"/>
      <w:lvlJc w:val="left"/>
      <w:pPr>
        <w:ind w:left="5510"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595" w:hanging="360"/>
      </w:pPr>
      <w:rPr>
        <w:rFonts w:hint="default"/>
      </w:rPr>
    </w:lvl>
  </w:abstractNum>
  <w:abstractNum w:abstractNumId="14">
    <w:multiLevelType w:val="hybridMultilevel"/>
    <w:lvl w:ilvl="0">
      <w:start w:val="8"/>
      <w:numFmt w:val="decimal"/>
      <w:lvlText w:val="%1"/>
      <w:lvlJc w:val="left"/>
      <w:pPr>
        <w:ind w:left="1330" w:hanging="1169"/>
        <w:jc w:val="left"/>
      </w:pPr>
      <w:rPr>
        <w:rFonts w:hint="default"/>
      </w:rPr>
    </w:lvl>
    <w:lvl w:ilvl="1">
      <w:start w:val="6"/>
      <w:numFmt w:val="decimal"/>
      <w:lvlText w:val="%1.%2"/>
      <w:lvlJc w:val="left"/>
      <w:pPr>
        <w:ind w:left="1330" w:hanging="1169"/>
        <w:jc w:val="left"/>
      </w:pPr>
      <w:rPr>
        <w:rFonts w:hint="default"/>
      </w:rPr>
    </w:lvl>
    <w:lvl w:ilvl="2">
      <w:start w:val="2"/>
      <w:numFmt w:val="decimal"/>
      <w:lvlText w:val="%1.%2.%3"/>
      <w:lvlJc w:val="left"/>
      <w:pPr>
        <w:ind w:left="1330" w:hanging="1169"/>
        <w:jc w:val="left"/>
      </w:pPr>
      <w:rPr>
        <w:rFonts w:hint="default"/>
      </w:rPr>
    </w:lvl>
    <w:lvl w:ilvl="3">
      <w:start w:val="4"/>
      <w:numFmt w:val="decimal"/>
      <w:lvlText w:val="%1.%2.%3.%4"/>
      <w:lvlJc w:val="left"/>
      <w:pPr>
        <w:ind w:left="1330" w:hanging="1169"/>
        <w:jc w:val="left"/>
      </w:pPr>
      <w:rPr>
        <w:rFonts w:hint="default"/>
      </w:rPr>
    </w:lvl>
    <w:lvl w:ilvl="4">
      <w:start w:val="3"/>
      <w:numFmt w:val="decimal"/>
      <w:lvlText w:val="%1.%2.%3.%4.%5"/>
      <w:lvlJc w:val="left"/>
      <w:pPr>
        <w:ind w:left="1330" w:hanging="1169"/>
        <w:jc w:val="left"/>
      </w:pPr>
      <w:rPr>
        <w:rFonts w:hint="default" w:ascii="Arial" w:hAnsi="Arial" w:eastAsia="Arial" w:cs="Arial"/>
        <w:b/>
        <w:bCs/>
        <w:spacing w:val="-3"/>
        <w:w w:val="100"/>
        <w:sz w:val="28"/>
        <w:szCs w:val="28"/>
      </w:rPr>
    </w:lvl>
    <w:lvl w:ilvl="5">
      <w:start w:val="1"/>
      <w:numFmt w:val="bullet"/>
      <w:lvlText w:val=""/>
      <w:lvlJc w:val="left"/>
      <w:pPr>
        <w:ind w:left="882" w:hanging="428"/>
      </w:pPr>
      <w:rPr>
        <w:rFonts w:hint="default" w:ascii="Symbol" w:hAnsi="Symbol" w:eastAsia="Symbol" w:cs="Symbol"/>
        <w:w w:val="100"/>
        <w:sz w:val="24"/>
        <w:szCs w:val="24"/>
      </w:rPr>
    </w:lvl>
    <w:lvl w:ilvl="6">
      <w:start w:val="1"/>
      <w:numFmt w:val="bullet"/>
      <w:lvlText w:val="•"/>
      <w:lvlJc w:val="left"/>
      <w:pPr>
        <w:ind w:left="5973" w:hanging="428"/>
      </w:pPr>
      <w:rPr>
        <w:rFonts w:hint="default"/>
      </w:rPr>
    </w:lvl>
    <w:lvl w:ilvl="7">
      <w:start w:val="1"/>
      <w:numFmt w:val="bullet"/>
      <w:lvlText w:val="•"/>
      <w:lvlJc w:val="left"/>
      <w:pPr>
        <w:ind w:left="6900" w:hanging="428"/>
      </w:pPr>
      <w:rPr>
        <w:rFonts w:hint="default"/>
      </w:rPr>
    </w:lvl>
    <w:lvl w:ilvl="8">
      <w:start w:val="1"/>
      <w:numFmt w:val="bullet"/>
      <w:lvlText w:val="•"/>
      <w:lvlJc w:val="left"/>
      <w:pPr>
        <w:ind w:left="7826" w:hanging="428"/>
      </w:pPr>
      <w:rPr>
        <w:rFonts w:hint="default"/>
      </w:rPr>
    </w:lvl>
  </w:abstractNum>
  <w:abstractNum w:abstractNumId="13">
    <w:multiLevelType w:val="hybridMultilevel"/>
    <w:lvl w:ilvl="0">
      <w:start w:val="8"/>
      <w:numFmt w:val="decimal"/>
      <w:lvlText w:val="%1"/>
      <w:lvlJc w:val="left"/>
      <w:pPr>
        <w:ind w:left="1330" w:hanging="1169"/>
        <w:jc w:val="left"/>
      </w:pPr>
      <w:rPr>
        <w:rFonts w:hint="default"/>
      </w:rPr>
    </w:lvl>
    <w:lvl w:ilvl="1">
      <w:start w:val="6"/>
      <w:numFmt w:val="decimal"/>
      <w:lvlText w:val="%1.%2"/>
      <w:lvlJc w:val="left"/>
      <w:pPr>
        <w:ind w:left="1330" w:hanging="1169"/>
        <w:jc w:val="left"/>
      </w:pPr>
      <w:rPr>
        <w:rFonts w:hint="default"/>
      </w:rPr>
    </w:lvl>
    <w:lvl w:ilvl="2">
      <w:start w:val="2"/>
      <w:numFmt w:val="decimal"/>
      <w:lvlText w:val="%1.%2.%3"/>
      <w:lvlJc w:val="left"/>
      <w:pPr>
        <w:ind w:left="1330" w:hanging="1169"/>
        <w:jc w:val="left"/>
      </w:pPr>
      <w:rPr>
        <w:rFonts w:hint="default"/>
      </w:rPr>
    </w:lvl>
    <w:lvl w:ilvl="3">
      <w:start w:val="4"/>
      <w:numFmt w:val="decimal"/>
      <w:lvlText w:val="%1.%2.%3.%4"/>
      <w:lvlJc w:val="left"/>
      <w:pPr>
        <w:ind w:left="1330" w:hanging="1169"/>
        <w:jc w:val="left"/>
      </w:pPr>
      <w:rPr>
        <w:rFonts w:hint="default"/>
      </w:rPr>
    </w:lvl>
    <w:lvl w:ilvl="4">
      <w:start w:val="3"/>
      <w:numFmt w:val="decimal"/>
      <w:lvlText w:val="%1.%2.%3.%4.%5"/>
      <w:lvlJc w:val="left"/>
      <w:pPr>
        <w:ind w:left="1330" w:hanging="1169"/>
        <w:jc w:val="left"/>
      </w:pPr>
      <w:rPr>
        <w:rFonts w:hint="default" w:ascii="Arial" w:hAnsi="Arial" w:eastAsia="Arial" w:cs="Arial"/>
        <w:b/>
        <w:bCs/>
        <w:spacing w:val="-3"/>
        <w:w w:val="100"/>
        <w:sz w:val="28"/>
        <w:szCs w:val="28"/>
      </w:rPr>
    </w:lvl>
    <w:lvl w:ilvl="5">
      <w:start w:val="1"/>
      <w:numFmt w:val="bullet"/>
      <w:lvlText w:val=""/>
      <w:lvlJc w:val="left"/>
      <w:pPr>
        <w:ind w:left="882" w:hanging="360"/>
      </w:pPr>
      <w:rPr>
        <w:rFonts w:hint="default" w:ascii="Symbol" w:hAnsi="Symbol" w:eastAsia="Symbol" w:cs="Symbol"/>
        <w:w w:val="100"/>
        <w:sz w:val="24"/>
        <w:szCs w:val="24"/>
      </w:rPr>
    </w:lvl>
    <w:lvl w:ilvl="6">
      <w:start w:val="1"/>
      <w:numFmt w:val="bullet"/>
      <w:lvlText w:val="•"/>
      <w:lvlJc w:val="left"/>
      <w:pPr>
        <w:ind w:left="5973" w:hanging="360"/>
      </w:pPr>
      <w:rPr>
        <w:rFonts w:hint="default"/>
      </w:rPr>
    </w:lvl>
    <w:lvl w:ilvl="7">
      <w:start w:val="1"/>
      <w:numFmt w:val="bullet"/>
      <w:lvlText w:val="•"/>
      <w:lvlJc w:val="left"/>
      <w:pPr>
        <w:ind w:left="6900" w:hanging="360"/>
      </w:pPr>
      <w:rPr>
        <w:rFonts w:hint="default"/>
      </w:rPr>
    </w:lvl>
    <w:lvl w:ilvl="8">
      <w:start w:val="1"/>
      <w:numFmt w:val="bullet"/>
      <w:lvlText w:val="•"/>
      <w:lvlJc w:val="left"/>
      <w:pPr>
        <w:ind w:left="7826" w:hanging="360"/>
      </w:pPr>
      <w:rPr>
        <w:rFonts w:hint="default"/>
      </w:rPr>
    </w:lvl>
  </w:abstractNum>
  <w:abstractNum w:abstractNumId="12">
    <w:multiLevelType w:val="hybridMultilevel"/>
    <w:lvl w:ilvl="0">
      <w:start w:val="8"/>
      <w:numFmt w:val="decimal"/>
      <w:lvlText w:val="%1"/>
      <w:lvlJc w:val="left"/>
      <w:pPr>
        <w:ind w:left="1098" w:hanging="936"/>
        <w:jc w:val="left"/>
      </w:pPr>
      <w:rPr>
        <w:rFonts w:hint="default"/>
      </w:rPr>
    </w:lvl>
    <w:lvl w:ilvl="1">
      <w:start w:val="6"/>
      <w:numFmt w:val="decimal"/>
      <w:lvlText w:val="%1.%2"/>
      <w:lvlJc w:val="left"/>
      <w:pPr>
        <w:ind w:left="1098" w:hanging="936"/>
        <w:jc w:val="left"/>
      </w:pPr>
      <w:rPr>
        <w:rFonts w:hint="default"/>
      </w:rPr>
    </w:lvl>
    <w:lvl w:ilvl="2">
      <w:start w:val="2"/>
      <w:numFmt w:val="decimal"/>
      <w:lvlText w:val="%1.%2.%3"/>
      <w:lvlJc w:val="left"/>
      <w:pPr>
        <w:ind w:left="1098" w:hanging="936"/>
        <w:jc w:val="left"/>
      </w:pPr>
      <w:rPr>
        <w:rFonts w:hint="default"/>
      </w:rPr>
    </w:lvl>
    <w:lvl w:ilvl="3">
      <w:start w:val="1"/>
      <w:numFmt w:val="decimal"/>
      <w:lvlText w:val="%1.%2.%3.%4"/>
      <w:lvlJc w:val="left"/>
      <w:pPr>
        <w:ind w:left="1098" w:hanging="936"/>
        <w:jc w:val="left"/>
      </w:pPr>
      <w:rPr>
        <w:rFonts w:hint="default" w:ascii="Arial" w:hAnsi="Arial" w:eastAsia="Arial" w:cs="Arial"/>
        <w:b/>
        <w:bCs/>
        <w:spacing w:val="-3"/>
        <w:w w:val="100"/>
        <w:sz w:val="28"/>
        <w:szCs w:val="28"/>
      </w:rPr>
    </w:lvl>
    <w:lvl w:ilvl="4">
      <w:start w:val="1"/>
      <w:numFmt w:val="decimal"/>
      <w:lvlText w:val="%1.%2.%3.%4.%5"/>
      <w:lvlJc w:val="left"/>
      <w:pPr>
        <w:ind w:left="1333" w:hanging="1172"/>
        <w:jc w:val="left"/>
      </w:pPr>
      <w:rPr>
        <w:rFonts w:hint="default" w:ascii="Arial" w:hAnsi="Arial" w:eastAsia="Arial" w:cs="Arial"/>
        <w:b/>
        <w:bCs/>
        <w:spacing w:val="-3"/>
        <w:w w:val="100"/>
        <w:sz w:val="28"/>
        <w:szCs w:val="28"/>
      </w:rPr>
    </w:lvl>
    <w:lvl w:ilvl="5">
      <w:start w:val="1"/>
      <w:numFmt w:val="decimal"/>
      <w:lvlText w:val="%6)"/>
      <w:lvlJc w:val="left"/>
      <w:pPr>
        <w:ind w:left="882" w:hanging="360"/>
        <w:jc w:val="left"/>
      </w:pPr>
      <w:rPr>
        <w:rFonts w:hint="default" w:ascii="Arial" w:hAnsi="Arial" w:eastAsia="Arial" w:cs="Arial"/>
        <w:w w:val="99"/>
        <w:sz w:val="24"/>
        <w:szCs w:val="24"/>
      </w:rPr>
    </w:lvl>
    <w:lvl w:ilvl="6">
      <w:start w:val="1"/>
      <w:numFmt w:val="bullet"/>
      <w:lvlText w:val="•"/>
      <w:lvlJc w:val="left"/>
      <w:pPr>
        <w:ind w:left="5510"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595" w:hanging="360"/>
      </w:pPr>
      <w:rPr>
        <w:rFonts w:hint="default"/>
      </w:rPr>
    </w:lvl>
  </w:abstractNum>
  <w:abstractNum w:abstractNumId="11">
    <w:multiLevelType w:val="hybridMultilevel"/>
    <w:lvl w:ilvl="0">
      <w:start w:val="5"/>
      <w:numFmt w:val="decimal"/>
      <w:lvlText w:val="%1"/>
      <w:lvlJc w:val="left"/>
      <w:pPr>
        <w:ind w:left="264" w:hanging="162"/>
        <w:jc w:val="left"/>
      </w:pPr>
      <w:rPr>
        <w:rFonts w:hint="default" w:ascii="Verdana" w:hAnsi="Verdana" w:eastAsia="Verdana" w:cs="Verdana"/>
        <w:w w:val="100"/>
        <w:sz w:val="16"/>
        <w:szCs w:val="16"/>
      </w:rPr>
    </w:lvl>
    <w:lvl w:ilvl="1">
      <w:start w:val="1"/>
      <w:numFmt w:val="bullet"/>
      <w:lvlText w:val="•"/>
      <w:lvlJc w:val="left"/>
      <w:pPr>
        <w:ind w:left="420" w:hanging="162"/>
      </w:pPr>
      <w:rPr>
        <w:rFonts w:hint="default"/>
      </w:rPr>
    </w:lvl>
    <w:lvl w:ilvl="2">
      <w:start w:val="1"/>
      <w:numFmt w:val="bullet"/>
      <w:lvlText w:val="•"/>
      <w:lvlJc w:val="left"/>
      <w:pPr>
        <w:ind w:left="623" w:hanging="162"/>
      </w:pPr>
      <w:rPr>
        <w:rFonts w:hint="default"/>
      </w:rPr>
    </w:lvl>
    <w:lvl w:ilvl="3">
      <w:start w:val="1"/>
      <w:numFmt w:val="bullet"/>
      <w:lvlText w:val="•"/>
      <w:lvlJc w:val="left"/>
      <w:pPr>
        <w:ind w:left="826" w:hanging="162"/>
      </w:pPr>
      <w:rPr>
        <w:rFonts w:hint="default"/>
      </w:rPr>
    </w:lvl>
    <w:lvl w:ilvl="4">
      <w:start w:val="1"/>
      <w:numFmt w:val="bullet"/>
      <w:lvlText w:val="•"/>
      <w:lvlJc w:val="left"/>
      <w:pPr>
        <w:ind w:left="1029" w:hanging="162"/>
      </w:pPr>
      <w:rPr>
        <w:rFonts w:hint="default"/>
      </w:rPr>
    </w:lvl>
    <w:lvl w:ilvl="5">
      <w:start w:val="1"/>
      <w:numFmt w:val="bullet"/>
      <w:lvlText w:val="•"/>
      <w:lvlJc w:val="left"/>
      <w:pPr>
        <w:ind w:left="1232" w:hanging="162"/>
      </w:pPr>
      <w:rPr>
        <w:rFonts w:hint="default"/>
      </w:rPr>
    </w:lvl>
    <w:lvl w:ilvl="6">
      <w:start w:val="1"/>
      <w:numFmt w:val="bullet"/>
      <w:lvlText w:val="•"/>
      <w:lvlJc w:val="left"/>
      <w:pPr>
        <w:ind w:left="1435" w:hanging="162"/>
      </w:pPr>
      <w:rPr>
        <w:rFonts w:hint="default"/>
      </w:rPr>
    </w:lvl>
    <w:lvl w:ilvl="7">
      <w:start w:val="1"/>
      <w:numFmt w:val="bullet"/>
      <w:lvlText w:val="•"/>
      <w:lvlJc w:val="left"/>
      <w:pPr>
        <w:ind w:left="1638" w:hanging="162"/>
      </w:pPr>
      <w:rPr>
        <w:rFonts w:hint="default"/>
      </w:rPr>
    </w:lvl>
    <w:lvl w:ilvl="8">
      <w:start w:val="1"/>
      <w:numFmt w:val="bullet"/>
      <w:lvlText w:val="•"/>
      <w:lvlJc w:val="left"/>
      <w:pPr>
        <w:ind w:left="1841" w:hanging="162"/>
      </w:pPr>
      <w:rPr>
        <w:rFonts w:hint="default"/>
      </w:rPr>
    </w:lvl>
  </w:abstractNum>
  <w:abstractNum w:abstractNumId="10">
    <w:multiLevelType w:val="hybridMultilevel"/>
    <w:lvl w:ilvl="0">
      <w:start w:val="1"/>
      <w:numFmt w:val="bullet"/>
      <w:lvlText w:val=""/>
      <w:lvlJc w:val="left"/>
      <w:pPr>
        <w:ind w:left="882" w:hanging="360"/>
      </w:pPr>
      <w:rPr>
        <w:rFonts w:hint="default" w:ascii="Wingdings" w:hAnsi="Wingdings" w:eastAsia="Wingdings" w:cs="Wingdings"/>
        <w:w w:val="100"/>
        <w:sz w:val="24"/>
        <w:szCs w:val="24"/>
      </w:rPr>
    </w:lvl>
    <w:lvl w:ilvl="1">
      <w:start w:val="1"/>
      <w:numFmt w:val="bullet"/>
      <w:lvlText w:val="•"/>
      <w:lvlJc w:val="left"/>
      <w:pPr>
        <w:ind w:left="1760" w:hanging="360"/>
      </w:pPr>
      <w:rPr>
        <w:rFonts w:hint="default"/>
      </w:rPr>
    </w:lvl>
    <w:lvl w:ilvl="2">
      <w:start w:val="1"/>
      <w:numFmt w:val="bullet"/>
      <w:lvlText w:val="•"/>
      <w:lvlJc w:val="left"/>
      <w:pPr>
        <w:ind w:left="2640" w:hanging="360"/>
      </w:pPr>
      <w:rPr>
        <w:rFonts w:hint="default"/>
      </w:rPr>
    </w:lvl>
    <w:lvl w:ilvl="3">
      <w:start w:val="1"/>
      <w:numFmt w:val="bullet"/>
      <w:lvlText w:val="•"/>
      <w:lvlJc w:val="left"/>
      <w:pPr>
        <w:ind w:left="3520" w:hanging="360"/>
      </w:pPr>
      <w:rPr>
        <w:rFonts w:hint="default"/>
      </w:rPr>
    </w:lvl>
    <w:lvl w:ilvl="4">
      <w:start w:val="1"/>
      <w:numFmt w:val="bullet"/>
      <w:lvlText w:val="•"/>
      <w:lvlJc w:val="left"/>
      <w:pPr>
        <w:ind w:left="4400"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60" w:hanging="360"/>
      </w:pPr>
      <w:rPr>
        <w:rFonts w:hint="default"/>
      </w:rPr>
    </w:lvl>
    <w:lvl w:ilvl="7">
      <w:start w:val="1"/>
      <w:numFmt w:val="bullet"/>
      <w:lvlText w:val="•"/>
      <w:lvlJc w:val="left"/>
      <w:pPr>
        <w:ind w:left="7040" w:hanging="360"/>
      </w:pPr>
      <w:rPr>
        <w:rFonts w:hint="default"/>
      </w:rPr>
    </w:lvl>
    <w:lvl w:ilvl="8">
      <w:start w:val="1"/>
      <w:numFmt w:val="bullet"/>
      <w:lvlText w:val="•"/>
      <w:lvlJc w:val="left"/>
      <w:pPr>
        <w:ind w:left="7920" w:hanging="360"/>
      </w:pPr>
      <w:rPr>
        <w:rFonts w:hint="default"/>
      </w:rPr>
    </w:lvl>
  </w:abstractNum>
  <w:abstractNum w:abstractNumId="9">
    <w:multiLevelType w:val="hybridMultilevel"/>
    <w:lvl w:ilvl="0">
      <w:start w:val="1"/>
      <w:numFmt w:val="bullet"/>
      <w:lvlText w:val=""/>
      <w:lvlJc w:val="left"/>
      <w:pPr>
        <w:ind w:left="882" w:hanging="360"/>
      </w:pPr>
      <w:rPr>
        <w:rFonts w:hint="default" w:ascii="Wingdings" w:hAnsi="Wingdings" w:eastAsia="Wingdings" w:cs="Wingdings"/>
        <w:w w:val="100"/>
        <w:sz w:val="24"/>
        <w:szCs w:val="24"/>
      </w:rPr>
    </w:lvl>
    <w:lvl w:ilvl="1">
      <w:start w:val="1"/>
      <w:numFmt w:val="bullet"/>
      <w:lvlText w:val="•"/>
      <w:lvlJc w:val="left"/>
      <w:pPr>
        <w:ind w:left="1760" w:hanging="360"/>
      </w:pPr>
      <w:rPr>
        <w:rFonts w:hint="default"/>
      </w:rPr>
    </w:lvl>
    <w:lvl w:ilvl="2">
      <w:start w:val="1"/>
      <w:numFmt w:val="bullet"/>
      <w:lvlText w:val="•"/>
      <w:lvlJc w:val="left"/>
      <w:pPr>
        <w:ind w:left="2640" w:hanging="360"/>
      </w:pPr>
      <w:rPr>
        <w:rFonts w:hint="default"/>
      </w:rPr>
    </w:lvl>
    <w:lvl w:ilvl="3">
      <w:start w:val="1"/>
      <w:numFmt w:val="bullet"/>
      <w:lvlText w:val="•"/>
      <w:lvlJc w:val="left"/>
      <w:pPr>
        <w:ind w:left="3520" w:hanging="360"/>
      </w:pPr>
      <w:rPr>
        <w:rFonts w:hint="default"/>
      </w:rPr>
    </w:lvl>
    <w:lvl w:ilvl="4">
      <w:start w:val="1"/>
      <w:numFmt w:val="bullet"/>
      <w:lvlText w:val="•"/>
      <w:lvlJc w:val="left"/>
      <w:pPr>
        <w:ind w:left="4400"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60" w:hanging="360"/>
      </w:pPr>
      <w:rPr>
        <w:rFonts w:hint="default"/>
      </w:rPr>
    </w:lvl>
    <w:lvl w:ilvl="7">
      <w:start w:val="1"/>
      <w:numFmt w:val="bullet"/>
      <w:lvlText w:val="•"/>
      <w:lvlJc w:val="left"/>
      <w:pPr>
        <w:ind w:left="7040" w:hanging="360"/>
      </w:pPr>
      <w:rPr>
        <w:rFonts w:hint="default"/>
      </w:rPr>
    </w:lvl>
    <w:lvl w:ilvl="8">
      <w:start w:val="1"/>
      <w:numFmt w:val="bullet"/>
      <w:lvlText w:val="•"/>
      <w:lvlJc w:val="left"/>
      <w:pPr>
        <w:ind w:left="7920" w:hanging="360"/>
      </w:pPr>
      <w:rPr>
        <w:rFonts w:hint="default"/>
      </w:rPr>
    </w:lvl>
  </w:abstractNum>
  <w:abstractNum w:abstractNumId="8">
    <w:multiLevelType w:val="hybridMultilevel"/>
    <w:lvl w:ilvl="0">
      <w:start w:val="1"/>
      <w:numFmt w:val="bullet"/>
      <w:lvlText w:val=""/>
      <w:lvlJc w:val="left"/>
      <w:pPr>
        <w:ind w:left="882" w:hanging="360"/>
      </w:pPr>
      <w:rPr>
        <w:rFonts w:hint="default" w:ascii="Wingdings" w:hAnsi="Wingdings" w:eastAsia="Wingdings" w:cs="Wingdings"/>
        <w:w w:val="100"/>
        <w:sz w:val="24"/>
        <w:szCs w:val="24"/>
      </w:rPr>
    </w:lvl>
    <w:lvl w:ilvl="1">
      <w:start w:val="1"/>
      <w:numFmt w:val="bullet"/>
      <w:lvlText w:val="•"/>
      <w:lvlJc w:val="left"/>
      <w:pPr>
        <w:ind w:left="1760" w:hanging="360"/>
      </w:pPr>
      <w:rPr>
        <w:rFonts w:hint="default"/>
      </w:rPr>
    </w:lvl>
    <w:lvl w:ilvl="2">
      <w:start w:val="1"/>
      <w:numFmt w:val="bullet"/>
      <w:lvlText w:val="•"/>
      <w:lvlJc w:val="left"/>
      <w:pPr>
        <w:ind w:left="2640" w:hanging="360"/>
      </w:pPr>
      <w:rPr>
        <w:rFonts w:hint="default"/>
      </w:rPr>
    </w:lvl>
    <w:lvl w:ilvl="3">
      <w:start w:val="1"/>
      <w:numFmt w:val="bullet"/>
      <w:lvlText w:val="•"/>
      <w:lvlJc w:val="left"/>
      <w:pPr>
        <w:ind w:left="3520" w:hanging="360"/>
      </w:pPr>
      <w:rPr>
        <w:rFonts w:hint="default"/>
      </w:rPr>
    </w:lvl>
    <w:lvl w:ilvl="4">
      <w:start w:val="1"/>
      <w:numFmt w:val="bullet"/>
      <w:lvlText w:val="•"/>
      <w:lvlJc w:val="left"/>
      <w:pPr>
        <w:ind w:left="4400"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60" w:hanging="360"/>
      </w:pPr>
      <w:rPr>
        <w:rFonts w:hint="default"/>
      </w:rPr>
    </w:lvl>
    <w:lvl w:ilvl="7">
      <w:start w:val="1"/>
      <w:numFmt w:val="bullet"/>
      <w:lvlText w:val="•"/>
      <w:lvlJc w:val="left"/>
      <w:pPr>
        <w:ind w:left="7040" w:hanging="360"/>
      </w:pPr>
      <w:rPr>
        <w:rFonts w:hint="default"/>
      </w:rPr>
    </w:lvl>
    <w:lvl w:ilvl="8">
      <w:start w:val="1"/>
      <w:numFmt w:val="bullet"/>
      <w:lvlText w:val="•"/>
      <w:lvlJc w:val="left"/>
      <w:pPr>
        <w:ind w:left="7920" w:hanging="360"/>
      </w:pPr>
      <w:rPr>
        <w:rFonts w:hint="default"/>
      </w:rPr>
    </w:lvl>
  </w:abstractNum>
  <w:abstractNum w:abstractNumId="7">
    <w:multiLevelType w:val="hybridMultilevel"/>
    <w:lvl w:ilvl="0">
      <w:start w:val="1"/>
      <w:numFmt w:val="bullet"/>
      <w:lvlText w:val="-"/>
      <w:lvlJc w:val="left"/>
      <w:pPr>
        <w:ind w:left="308" w:hanging="147"/>
      </w:pPr>
      <w:rPr>
        <w:rFonts w:hint="default" w:ascii="Arial" w:hAnsi="Arial" w:eastAsia="Arial" w:cs="Arial"/>
        <w:b/>
        <w:bCs/>
        <w:w w:val="99"/>
        <w:sz w:val="24"/>
        <w:szCs w:val="24"/>
      </w:rPr>
    </w:lvl>
    <w:lvl w:ilvl="1">
      <w:start w:val="1"/>
      <w:numFmt w:val="bullet"/>
      <w:lvlText w:val=""/>
      <w:lvlJc w:val="left"/>
      <w:pPr>
        <w:ind w:left="882" w:hanging="360"/>
      </w:pPr>
      <w:rPr>
        <w:rFonts w:hint="default" w:ascii="Symbol" w:hAnsi="Symbol" w:eastAsia="Symbol" w:cs="Symbol"/>
        <w:w w:val="100"/>
        <w:sz w:val="24"/>
        <w:szCs w:val="24"/>
      </w:rPr>
    </w:lvl>
    <w:lvl w:ilvl="2">
      <w:start w:val="1"/>
      <w:numFmt w:val="bullet"/>
      <w:lvlText w:val="•"/>
      <w:lvlJc w:val="left"/>
      <w:pPr>
        <w:ind w:left="1857" w:hanging="360"/>
      </w:pPr>
      <w:rPr>
        <w:rFonts w:hint="default"/>
      </w:rPr>
    </w:lvl>
    <w:lvl w:ilvl="3">
      <w:start w:val="1"/>
      <w:numFmt w:val="bullet"/>
      <w:lvlText w:val="•"/>
      <w:lvlJc w:val="left"/>
      <w:pPr>
        <w:ind w:left="2835" w:hanging="360"/>
      </w:pPr>
      <w:rPr>
        <w:rFonts w:hint="default"/>
      </w:rPr>
    </w:lvl>
    <w:lvl w:ilvl="4">
      <w:start w:val="1"/>
      <w:numFmt w:val="bullet"/>
      <w:lvlText w:val="•"/>
      <w:lvlJc w:val="left"/>
      <w:pPr>
        <w:ind w:left="3813" w:hanging="360"/>
      </w:pPr>
      <w:rPr>
        <w:rFonts w:hint="default"/>
      </w:rPr>
    </w:lvl>
    <w:lvl w:ilvl="5">
      <w:start w:val="1"/>
      <w:numFmt w:val="bullet"/>
      <w:lvlText w:val="•"/>
      <w:lvlJc w:val="left"/>
      <w:pPr>
        <w:ind w:left="4791" w:hanging="360"/>
      </w:pPr>
      <w:rPr>
        <w:rFonts w:hint="default"/>
      </w:rPr>
    </w:lvl>
    <w:lvl w:ilvl="6">
      <w:start w:val="1"/>
      <w:numFmt w:val="bullet"/>
      <w:lvlText w:val="•"/>
      <w:lvlJc w:val="left"/>
      <w:pPr>
        <w:ind w:left="5768"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724" w:hanging="360"/>
      </w:pPr>
      <w:rPr>
        <w:rFonts w:hint="default"/>
      </w:rPr>
    </w:lvl>
  </w:abstractNum>
  <w:abstractNum w:abstractNumId="6">
    <w:multiLevelType w:val="hybridMultilevel"/>
    <w:lvl w:ilvl="0">
      <w:start w:val="8"/>
      <w:numFmt w:val="decimal"/>
      <w:lvlText w:val="%1"/>
      <w:lvlJc w:val="left"/>
      <w:pPr>
        <w:ind w:left="1072" w:hanging="471"/>
        <w:jc w:val="left"/>
      </w:pPr>
      <w:rPr>
        <w:rFonts w:hint="default"/>
      </w:rPr>
    </w:lvl>
    <w:lvl w:ilvl="1">
      <w:start w:val="1"/>
      <w:numFmt w:val="decimal"/>
      <w:lvlText w:val="%1.%2"/>
      <w:lvlJc w:val="left"/>
      <w:pPr>
        <w:ind w:left="1072" w:hanging="471"/>
        <w:jc w:val="right"/>
      </w:pPr>
      <w:rPr>
        <w:rFonts w:hint="default"/>
        <w:b/>
        <w:bCs/>
        <w:w w:val="100"/>
      </w:rPr>
    </w:lvl>
    <w:lvl w:ilvl="2">
      <w:start w:val="1"/>
      <w:numFmt w:val="decimal"/>
      <w:lvlText w:val="%1.%2.%3"/>
      <w:lvlJc w:val="left"/>
      <w:pPr>
        <w:ind w:left="862" w:hanging="701"/>
        <w:jc w:val="left"/>
      </w:pPr>
      <w:rPr>
        <w:rFonts w:hint="default"/>
        <w:b/>
        <w:bCs/>
        <w:spacing w:val="-1"/>
        <w:w w:val="100"/>
      </w:rPr>
    </w:lvl>
    <w:lvl w:ilvl="3">
      <w:start w:val="1"/>
      <w:numFmt w:val="decimal"/>
      <w:lvlText w:val="%4."/>
      <w:lvlJc w:val="left"/>
      <w:pPr>
        <w:ind w:left="1232" w:hanging="360"/>
        <w:jc w:val="left"/>
      </w:pPr>
      <w:rPr>
        <w:rFonts w:hint="default" w:ascii="Arial" w:hAnsi="Arial" w:eastAsia="Arial" w:cs="Arial"/>
        <w:spacing w:val="-3"/>
        <w:w w:val="99"/>
        <w:sz w:val="24"/>
        <w:szCs w:val="24"/>
      </w:rPr>
    </w:lvl>
    <w:lvl w:ilvl="4">
      <w:start w:val="1"/>
      <w:numFmt w:val="bullet"/>
      <w:lvlText w:val="•"/>
      <w:lvlJc w:val="left"/>
      <w:pPr>
        <w:ind w:left="2445" w:hanging="360"/>
      </w:pPr>
      <w:rPr>
        <w:rFonts w:hint="default"/>
      </w:rPr>
    </w:lvl>
    <w:lvl w:ilvl="5">
      <w:start w:val="1"/>
      <w:numFmt w:val="bullet"/>
      <w:lvlText w:val="•"/>
      <w:lvlJc w:val="left"/>
      <w:pPr>
        <w:ind w:left="3651" w:hanging="360"/>
      </w:pPr>
      <w:rPr>
        <w:rFonts w:hint="default"/>
      </w:rPr>
    </w:lvl>
    <w:lvl w:ilvl="6">
      <w:start w:val="1"/>
      <w:numFmt w:val="bullet"/>
      <w:lvlText w:val="•"/>
      <w:lvlJc w:val="left"/>
      <w:pPr>
        <w:ind w:left="4857" w:hanging="360"/>
      </w:pPr>
      <w:rPr>
        <w:rFonts w:hint="default"/>
      </w:rPr>
    </w:lvl>
    <w:lvl w:ilvl="7">
      <w:start w:val="1"/>
      <w:numFmt w:val="bullet"/>
      <w:lvlText w:val="•"/>
      <w:lvlJc w:val="left"/>
      <w:pPr>
        <w:ind w:left="6062" w:hanging="360"/>
      </w:pPr>
      <w:rPr>
        <w:rFonts w:hint="default"/>
      </w:rPr>
    </w:lvl>
    <w:lvl w:ilvl="8">
      <w:start w:val="1"/>
      <w:numFmt w:val="bullet"/>
      <w:lvlText w:val="•"/>
      <w:lvlJc w:val="left"/>
      <w:pPr>
        <w:ind w:left="7268" w:hanging="360"/>
      </w:pPr>
      <w:rPr>
        <w:rFonts w:hint="default"/>
      </w:rPr>
    </w:lvl>
  </w:abstractNum>
  <w:abstractNum w:abstractNumId="5">
    <w:multiLevelType w:val="hybridMultilevel"/>
    <w:lvl w:ilvl="0">
      <w:start w:val="1"/>
      <w:numFmt w:val="decimal"/>
      <w:lvlText w:val="%1."/>
      <w:lvlJc w:val="left"/>
      <w:pPr>
        <w:ind w:left="882" w:hanging="360"/>
        <w:jc w:val="left"/>
      </w:pPr>
      <w:rPr>
        <w:rFonts w:hint="default" w:ascii="Arial" w:hAnsi="Arial" w:eastAsia="Arial" w:cs="Arial"/>
        <w:spacing w:val="-4"/>
        <w:w w:val="99"/>
        <w:sz w:val="24"/>
        <w:szCs w:val="24"/>
      </w:rPr>
    </w:lvl>
    <w:lvl w:ilvl="1">
      <w:start w:val="7"/>
      <w:numFmt w:val="decimal"/>
      <w:lvlText w:val="%2."/>
      <w:lvlJc w:val="left"/>
      <w:pPr>
        <w:ind w:left="162" w:hanging="490"/>
        <w:jc w:val="right"/>
      </w:pPr>
      <w:rPr>
        <w:rFonts w:hint="default"/>
        <w:b/>
        <w:bCs/>
        <w:w w:val="99"/>
      </w:rPr>
    </w:lvl>
    <w:lvl w:ilvl="2">
      <w:start w:val="1"/>
      <w:numFmt w:val="bullet"/>
      <w:lvlText w:val="•"/>
      <w:lvlJc w:val="left"/>
      <w:pPr>
        <w:ind w:left="1857" w:hanging="490"/>
      </w:pPr>
      <w:rPr>
        <w:rFonts w:hint="default"/>
      </w:rPr>
    </w:lvl>
    <w:lvl w:ilvl="3">
      <w:start w:val="1"/>
      <w:numFmt w:val="bullet"/>
      <w:lvlText w:val="•"/>
      <w:lvlJc w:val="left"/>
      <w:pPr>
        <w:ind w:left="2835" w:hanging="490"/>
      </w:pPr>
      <w:rPr>
        <w:rFonts w:hint="default"/>
      </w:rPr>
    </w:lvl>
    <w:lvl w:ilvl="4">
      <w:start w:val="1"/>
      <w:numFmt w:val="bullet"/>
      <w:lvlText w:val="•"/>
      <w:lvlJc w:val="left"/>
      <w:pPr>
        <w:ind w:left="3813" w:hanging="490"/>
      </w:pPr>
      <w:rPr>
        <w:rFonts w:hint="default"/>
      </w:rPr>
    </w:lvl>
    <w:lvl w:ilvl="5">
      <w:start w:val="1"/>
      <w:numFmt w:val="bullet"/>
      <w:lvlText w:val="•"/>
      <w:lvlJc w:val="left"/>
      <w:pPr>
        <w:ind w:left="4791" w:hanging="490"/>
      </w:pPr>
      <w:rPr>
        <w:rFonts w:hint="default"/>
      </w:rPr>
    </w:lvl>
    <w:lvl w:ilvl="6">
      <w:start w:val="1"/>
      <w:numFmt w:val="bullet"/>
      <w:lvlText w:val="•"/>
      <w:lvlJc w:val="left"/>
      <w:pPr>
        <w:ind w:left="5768" w:hanging="490"/>
      </w:pPr>
      <w:rPr>
        <w:rFonts w:hint="default"/>
      </w:rPr>
    </w:lvl>
    <w:lvl w:ilvl="7">
      <w:start w:val="1"/>
      <w:numFmt w:val="bullet"/>
      <w:lvlText w:val="•"/>
      <w:lvlJc w:val="left"/>
      <w:pPr>
        <w:ind w:left="6746" w:hanging="490"/>
      </w:pPr>
      <w:rPr>
        <w:rFonts w:hint="default"/>
      </w:rPr>
    </w:lvl>
    <w:lvl w:ilvl="8">
      <w:start w:val="1"/>
      <w:numFmt w:val="bullet"/>
      <w:lvlText w:val="•"/>
      <w:lvlJc w:val="left"/>
      <w:pPr>
        <w:ind w:left="7724" w:hanging="490"/>
      </w:pPr>
      <w:rPr>
        <w:rFonts w:hint="default"/>
      </w:rPr>
    </w:lvl>
  </w:abstractNum>
  <w:abstractNum w:abstractNumId="4">
    <w:multiLevelType w:val="hybridMultilevel"/>
    <w:lvl w:ilvl="0">
      <w:start w:val="1"/>
      <w:numFmt w:val="bullet"/>
      <w:lvlText w:val=""/>
      <w:lvlJc w:val="left"/>
      <w:pPr>
        <w:ind w:left="1602" w:hanging="360"/>
      </w:pPr>
      <w:rPr>
        <w:rFonts w:hint="default" w:ascii="Wingdings" w:hAnsi="Wingdings" w:eastAsia="Wingdings" w:cs="Wingdings"/>
        <w:w w:val="100"/>
        <w:sz w:val="24"/>
        <w:szCs w:val="24"/>
      </w:rPr>
    </w:lvl>
    <w:lvl w:ilvl="1">
      <w:start w:val="1"/>
      <w:numFmt w:val="bullet"/>
      <w:lvlText w:val="•"/>
      <w:lvlJc w:val="left"/>
      <w:pPr>
        <w:ind w:left="2408" w:hanging="360"/>
      </w:pPr>
      <w:rPr>
        <w:rFonts w:hint="default"/>
      </w:rPr>
    </w:lvl>
    <w:lvl w:ilvl="2">
      <w:start w:val="1"/>
      <w:numFmt w:val="bullet"/>
      <w:lvlText w:val="•"/>
      <w:lvlJc w:val="left"/>
      <w:pPr>
        <w:ind w:left="3216" w:hanging="360"/>
      </w:pPr>
      <w:rPr>
        <w:rFonts w:hint="default"/>
      </w:rPr>
    </w:lvl>
    <w:lvl w:ilvl="3">
      <w:start w:val="1"/>
      <w:numFmt w:val="bullet"/>
      <w:lvlText w:val="•"/>
      <w:lvlJc w:val="left"/>
      <w:pPr>
        <w:ind w:left="4024" w:hanging="360"/>
      </w:pPr>
      <w:rPr>
        <w:rFonts w:hint="default"/>
      </w:rPr>
    </w:lvl>
    <w:lvl w:ilvl="4">
      <w:start w:val="1"/>
      <w:numFmt w:val="bullet"/>
      <w:lvlText w:val="•"/>
      <w:lvlJc w:val="left"/>
      <w:pPr>
        <w:ind w:left="4832" w:hanging="360"/>
      </w:pPr>
      <w:rPr>
        <w:rFonts w:hint="default"/>
      </w:rPr>
    </w:lvl>
    <w:lvl w:ilvl="5">
      <w:start w:val="1"/>
      <w:numFmt w:val="bullet"/>
      <w:lvlText w:val="•"/>
      <w:lvlJc w:val="left"/>
      <w:pPr>
        <w:ind w:left="5640" w:hanging="360"/>
      </w:pPr>
      <w:rPr>
        <w:rFonts w:hint="default"/>
      </w:rPr>
    </w:lvl>
    <w:lvl w:ilvl="6">
      <w:start w:val="1"/>
      <w:numFmt w:val="bullet"/>
      <w:lvlText w:val="•"/>
      <w:lvlJc w:val="left"/>
      <w:pPr>
        <w:ind w:left="6448" w:hanging="360"/>
      </w:pPr>
      <w:rPr>
        <w:rFonts w:hint="default"/>
      </w:rPr>
    </w:lvl>
    <w:lvl w:ilvl="7">
      <w:start w:val="1"/>
      <w:numFmt w:val="bullet"/>
      <w:lvlText w:val="•"/>
      <w:lvlJc w:val="left"/>
      <w:pPr>
        <w:ind w:left="7256" w:hanging="360"/>
      </w:pPr>
      <w:rPr>
        <w:rFonts w:hint="default"/>
      </w:rPr>
    </w:lvl>
    <w:lvl w:ilvl="8">
      <w:start w:val="1"/>
      <w:numFmt w:val="bullet"/>
      <w:lvlText w:val="•"/>
      <w:lvlJc w:val="left"/>
      <w:pPr>
        <w:ind w:left="8064" w:hanging="360"/>
      </w:pPr>
      <w:rPr>
        <w:rFonts w:hint="default"/>
      </w:rPr>
    </w:lvl>
  </w:abstractNum>
  <w:abstractNum w:abstractNumId="3">
    <w:multiLevelType w:val="hybridMultilevel"/>
    <w:lvl w:ilvl="0">
      <w:start w:val="3"/>
      <w:numFmt w:val="decimal"/>
      <w:lvlText w:val="%1"/>
      <w:lvlJc w:val="left"/>
      <w:pPr>
        <w:ind w:left="630" w:hanging="468"/>
        <w:jc w:val="left"/>
      </w:pPr>
      <w:rPr>
        <w:rFonts w:hint="default"/>
      </w:rPr>
    </w:lvl>
    <w:lvl w:ilvl="1">
      <w:start w:val="4"/>
      <w:numFmt w:val="decimal"/>
      <w:lvlText w:val="%1.%2"/>
      <w:lvlJc w:val="left"/>
      <w:pPr>
        <w:ind w:left="630" w:hanging="468"/>
        <w:jc w:val="right"/>
      </w:pPr>
      <w:rPr>
        <w:rFonts w:hint="default" w:ascii="Arial" w:hAnsi="Arial" w:eastAsia="Arial" w:cs="Arial"/>
        <w:b/>
        <w:bCs/>
        <w:w w:val="100"/>
        <w:sz w:val="28"/>
        <w:szCs w:val="28"/>
      </w:rPr>
    </w:lvl>
    <w:lvl w:ilvl="2">
      <w:start w:val="1"/>
      <w:numFmt w:val="decimal"/>
      <w:lvlText w:val="%1.%2.%3"/>
      <w:lvlJc w:val="left"/>
      <w:pPr>
        <w:ind w:left="862" w:hanging="701"/>
        <w:jc w:val="left"/>
      </w:pPr>
      <w:rPr>
        <w:rFonts w:hint="default" w:ascii="Arial" w:hAnsi="Arial" w:eastAsia="Arial" w:cs="Arial"/>
        <w:b/>
        <w:bCs/>
        <w:w w:val="100"/>
        <w:sz w:val="28"/>
        <w:szCs w:val="28"/>
      </w:rPr>
    </w:lvl>
    <w:lvl w:ilvl="3">
      <w:start w:val="1"/>
      <w:numFmt w:val="bullet"/>
      <w:lvlText w:val=""/>
      <w:lvlJc w:val="left"/>
      <w:pPr>
        <w:ind w:left="882" w:hanging="360"/>
      </w:pPr>
      <w:rPr>
        <w:rFonts w:hint="default" w:ascii="Symbol" w:hAnsi="Symbol" w:eastAsia="Symbol" w:cs="Symbol"/>
        <w:w w:val="100"/>
        <w:sz w:val="24"/>
        <w:szCs w:val="24"/>
      </w:rPr>
    </w:lvl>
    <w:lvl w:ilvl="4">
      <w:start w:val="1"/>
      <w:numFmt w:val="bullet"/>
      <w:lvlText w:val="•"/>
      <w:lvlJc w:val="left"/>
      <w:pPr>
        <w:ind w:left="3080" w:hanging="360"/>
      </w:pPr>
      <w:rPr>
        <w:rFonts w:hint="default"/>
      </w:rPr>
    </w:lvl>
    <w:lvl w:ilvl="5">
      <w:start w:val="1"/>
      <w:numFmt w:val="bullet"/>
      <w:lvlText w:val="•"/>
      <w:lvlJc w:val="left"/>
      <w:pPr>
        <w:ind w:left="4180" w:hanging="360"/>
      </w:pPr>
      <w:rPr>
        <w:rFonts w:hint="default"/>
      </w:rPr>
    </w:lvl>
    <w:lvl w:ilvl="6">
      <w:start w:val="1"/>
      <w:numFmt w:val="bullet"/>
      <w:lvlText w:val="•"/>
      <w:lvlJc w:val="left"/>
      <w:pPr>
        <w:ind w:left="5280" w:hanging="360"/>
      </w:pPr>
      <w:rPr>
        <w:rFonts w:hint="default"/>
      </w:rPr>
    </w:lvl>
    <w:lvl w:ilvl="7">
      <w:start w:val="1"/>
      <w:numFmt w:val="bullet"/>
      <w:lvlText w:val="•"/>
      <w:lvlJc w:val="left"/>
      <w:pPr>
        <w:ind w:left="6380" w:hanging="360"/>
      </w:pPr>
      <w:rPr>
        <w:rFonts w:hint="default"/>
      </w:rPr>
    </w:lvl>
    <w:lvl w:ilvl="8">
      <w:start w:val="1"/>
      <w:numFmt w:val="bullet"/>
      <w:lvlText w:val="•"/>
      <w:lvlJc w:val="left"/>
      <w:pPr>
        <w:ind w:left="7480" w:hanging="360"/>
      </w:pPr>
      <w:rPr>
        <w:rFonts w:hint="default"/>
      </w:rPr>
    </w:lvl>
  </w:abstractNum>
  <w:abstractNum w:abstractNumId="2">
    <w:multiLevelType w:val="hybridMultilevel"/>
    <w:lvl w:ilvl="0">
      <w:start w:val="3"/>
      <w:numFmt w:val="decimal"/>
      <w:lvlText w:val="%1"/>
      <w:lvlJc w:val="left"/>
      <w:pPr>
        <w:ind w:left="632" w:hanging="471"/>
        <w:jc w:val="left"/>
      </w:pPr>
      <w:rPr>
        <w:rFonts w:hint="default"/>
      </w:rPr>
    </w:lvl>
    <w:lvl w:ilvl="1">
      <w:start w:val="1"/>
      <w:numFmt w:val="decimal"/>
      <w:lvlText w:val="%1.%2"/>
      <w:lvlJc w:val="left"/>
      <w:pPr>
        <w:ind w:left="632" w:hanging="471"/>
        <w:jc w:val="left"/>
      </w:pPr>
      <w:rPr>
        <w:rFonts w:hint="default" w:ascii="Arial" w:hAnsi="Arial" w:eastAsia="Arial" w:cs="Arial"/>
        <w:b/>
        <w:bCs/>
        <w:w w:val="100"/>
        <w:sz w:val="28"/>
        <w:szCs w:val="28"/>
      </w:rPr>
    </w:lvl>
    <w:lvl w:ilvl="2">
      <w:start w:val="1"/>
      <w:numFmt w:val="decimal"/>
      <w:lvlText w:val="%1.%2.%3"/>
      <w:lvlJc w:val="left"/>
      <w:pPr>
        <w:ind w:left="865" w:hanging="704"/>
        <w:jc w:val="left"/>
      </w:pPr>
      <w:rPr>
        <w:rFonts w:hint="default"/>
        <w:b/>
        <w:bCs/>
        <w:w w:val="100"/>
      </w:rPr>
    </w:lvl>
    <w:lvl w:ilvl="3">
      <w:start w:val="1"/>
      <w:numFmt w:val="bullet"/>
      <w:lvlText w:val=""/>
      <w:lvlJc w:val="left"/>
      <w:pPr>
        <w:ind w:left="882" w:hanging="704"/>
      </w:pPr>
      <w:rPr>
        <w:rFonts w:hint="default" w:ascii="Symbol" w:hAnsi="Symbol" w:eastAsia="Symbol" w:cs="Symbol"/>
        <w:w w:val="100"/>
        <w:sz w:val="24"/>
        <w:szCs w:val="24"/>
      </w:rPr>
    </w:lvl>
    <w:lvl w:ilvl="4">
      <w:start w:val="1"/>
      <w:numFmt w:val="bullet"/>
      <w:lvlText w:val=""/>
      <w:lvlJc w:val="left"/>
      <w:pPr>
        <w:ind w:left="1602" w:hanging="704"/>
      </w:pPr>
      <w:rPr>
        <w:rFonts w:hint="default" w:ascii="Wingdings" w:hAnsi="Wingdings" w:eastAsia="Wingdings" w:cs="Wingdings"/>
        <w:w w:val="99"/>
        <w:sz w:val="20"/>
        <w:szCs w:val="20"/>
      </w:rPr>
    </w:lvl>
    <w:lvl w:ilvl="5">
      <w:start w:val="1"/>
      <w:numFmt w:val="bullet"/>
      <w:lvlText w:val="•"/>
      <w:lvlJc w:val="left"/>
      <w:pPr>
        <w:ind w:left="3908" w:hanging="704"/>
      </w:pPr>
      <w:rPr>
        <w:rFonts w:hint="default"/>
      </w:rPr>
    </w:lvl>
    <w:lvl w:ilvl="6">
      <w:start w:val="1"/>
      <w:numFmt w:val="bullet"/>
      <w:lvlText w:val="•"/>
      <w:lvlJc w:val="left"/>
      <w:pPr>
        <w:ind w:left="5062" w:hanging="704"/>
      </w:pPr>
      <w:rPr>
        <w:rFonts w:hint="default"/>
      </w:rPr>
    </w:lvl>
    <w:lvl w:ilvl="7">
      <w:start w:val="1"/>
      <w:numFmt w:val="bullet"/>
      <w:lvlText w:val="•"/>
      <w:lvlJc w:val="left"/>
      <w:pPr>
        <w:ind w:left="6217" w:hanging="704"/>
      </w:pPr>
      <w:rPr>
        <w:rFonts w:hint="default"/>
      </w:rPr>
    </w:lvl>
    <w:lvl w:ilvl="8">
      <w:start w:val="1"/>
      <w:numFmt w:val="bullet"/>
      <w:lvlText w:val="•"/>
      <w:lvlJc w:val="left"/>
      <w:pPr>
        <w:ind w:left="7371" w:hanging="704"/>
      </w:pPr>
      <w:rPr>
        <w:rFonts w:hint="default"/>
      </w:rPr>
    </w:lvl>
  </w:abstractNum>
  <w:abstractNum w:abstractNumId="1">
    <w:multiLevelType w:val="hybridMultilevel"/>
    <w:lvl w:ilvl="0">
      <w:start w:val="8"/>
      <w:numFmt w:val="decimal"/>
      <w:lvlText w:val="%1"/>
      <w:lvlJc w:val="left"/>
      <w:pPr>
        <w:ind w:left="2431" w:hanging="602"/>
        <w:jc w:val="left"/>
      </w:pPr>
      <w:rPr>
        <w:rFonts w:hint="default"/>
      </w:rPr>
    </w:lvl>
    <w:lvl w:ilvl="1">
      <w:start w:val="6"/>
      <w:numFmt w:val="decimal"/>
      <w:lvlText w:val="%1.%2"/>
      <w:lvlJc w:val="left"/>
      <w:pPr>
        <w:ind w:left="2431" w:hanging="602"/>
        <w:jc w:val="left"/>
      </w:pPr>
      <w:rPr>
        <w:rFonts w:hint="default"/>
      </w:rPr>
    </w:lvl>
    <w:lvl w:ilvl="2">
      <w:start w:val="3"/>
      <w:numFmt w:val="decimal"/>
      <w:lvlText w:val="%1.%2.%3"/>
      <w:lvlJc w:val="left"/>
      <w:pPr>
        <w:ind w:left="2431" w:hanging="602"/>
        <w:jc w:val="left"/>
      </w:pPr>
      <w:rPr>
        <w:rFonts w:hint="default" w:ascii="Arial" w:hAnsi="Arial" w:eastAsia="Arial" w:cs="Arial"/>
        <w:b/>
        <w:bCs/>
        <w:spacing w:val="-1"/>
        <w:w w:val="99"/>
        <w:sz w:val="24"/>
        <w:szCs w:val="24"/>
      </w:rPr>
    </w:lvl>
    <w:lvl w:ilvl="3">
      <w:start w:val="1"/>
      <w:numFmt w:val="decimal"/>
      <w:lvlText w:val="%4."/>
      <w:lvlJc w:val="left"/>
      <w:pPr>
        <w:ind w:left="3984" w:hanging="489"/>
        <w:jc w:val="right"/>
      </w:pPr>
      <w:rPr>
        <w:rFonts w:hint="default" w:ascii="Arial" w:hAnsi="Arial" w:eastAsia="Arial" w:cs="Arial"/>
        <w:b/>
        <w:bCs/>
        <w:w w:val="99"/>
        <w:sz w:val="44"/>
        <w:szCs w:val="44"/>
      </w:rPr>
    </w:lvl>
    <w:lvl w:ilvl="4">
      <w:start w:val="1"/>
      <w:numFmt w:val="bullet"/>
      <w:lvlText w:val="•"/>
      <w:lvlJc w:val="left"/>
      <w:pPr>
        <w:ind w:left="5713" w:hanging="489"/>
      </w:pPr>
      <w:rPr>
        <w:rFonts w:hint="default"/>
      </w:rPr>
    </w:lvl>
    <w:lvl w:ilvl="5">
      <w:start w:val="1"/>
      <w:numFmt w:val="bullet"/>
      <w:lvlText w:val="•"/>
      <w:lvlJc w:val="left"/>
      <w:pPr>
        <w:ind w:left="6291" w:hanging="489"/>
      </w:pPr>
      <w:rPr>
        <w:rFonts w:hint="default"/>
      </w:rPr>
    </w:lvl>
    <w:lvl w:ilvl="6">
      <w:start w:val="1"/>
      <w:numFmt w:val="bullet"/>
      <w:lvlText w:val="•"/>
      <w:lvlJc w:val="left"/>
      <w:pPr>
        <w:ind w:left="6868" w:hanging="489"/>
      </w:pPr>
      <w:rPr>
        <w:rFonts w:hint="default"/>
      </w:rPr>
    </w:lvl>
    <w:lvl w:ilvl="7">
      <w:start w:val="1"/>
      <w:numFmt w:val="bullet"/>
      <w:lvlText w:val="•"/>
      <w:lvlJc w:val="left"/>
      <w:pPr>
        <w:ind w:left="7446" w:hanging="489"/>
      </w:pPr>
      <w:rPr>
        <w:rFonts w:hint="default"/>
      </w:rPr>
    </w:lvl>
    <w:lvl w:ilvl="8">
      <w:start w:val="1"/>
      <w:numFmt w:val="bullet"/>
      <w:lvlText w:val="•"/>
      <w:lvlJc w:val="left"/>
      <w:pPr>
        <w:ind w:left="8024" w:hanging="489"/>
      </w:pPr>
      <w:rPr>
        <w:rFonts w:hint="default"/>
      </w:rPr>
    </w:lvl>
  </w:abstractNum>
  <w:abstractNum w:abstractNumId="0">
    <w:multiLevelType w:val="hybridMultilevel"/>
    <w:lvl w:ilvl="0">
      <w:start w:val="8"/>
      <w:numFmt w:val="decimal"/>
      <w:lvlText w:val="%1"/>
      <w:lvlJc w:val="left"/>
      <w:pPr>
        <w:ind w:left="1030" w:hanging="401"/>
        <w:jc w:val="left"/>
      </w:pPr>
      <w:rPr>
        <w:rFonts w:hint="default"/>
      </w:rPr>
    </w:lvl>
    <w:lvl w:ilvl="1">
      <w:start w:val="1"/>
      <w:numFmt w:val="decimal"/>
      <w:lvlText w:val="%1.%2"/>
      <w:lvlJc w:val="left"/>
      <w:pPr>
        <w:ind w:left="1030" w:hanging="401"/>
        <w:jc w:val="left"/>
      </w:pPr>
      <w:rPr>
        <w:rFonts w:hint="default" w:ascii="Arial" w:hAnsi="Arial" w:eastAsia="Arial" w:cs="Arial"/>
        <w:b/>
        <w:bCs/>
        <w:w w:val="99"/>
        <w:sz w:val="24"/>
        <w:szCs w:val="24"/>
      </w:rPr>
    </w:lvl>
    <w:lvl w:ilvl="2">
      <w:start w:val="1"/>
      <w:numFmt w:val="bullet"/>
      <w:lvlText w:val="•"/>
      <w:lvlJc w:val="left"/>
      <w:pPr>
        <w:ind w:left="2668" w:hanging="401"/>
      </w:pPr>
      <w:rPr>
        <w:rFonts w:hint="default"/>
      </w:rPr>
    </w:lvl>
    <w:lvl w:ilvl="3">
      <w:start w:val="1"/>
      <w:numFmt w:val="bullet"/>
      <w:lvlText w:val="•"/>
      <w:lvlJc w:val="left"/>
      <w:pPr>
        <w:ind w:left="3482" w:hanging="401"/>
      </w:pPr>
      <w:rPr>
        <w:rFonts w:hint="default"/>
      </w:rPr>
    </w:lvl>
    <w:lvl w:ilvl="4">
      <w:start w:val="1"/>
      <w:numFmt w:val="bullet"/>
      <w:lvlText w:val="•"/>
      <w:lvlJc w:val="left"/>
      <w:pPr>
        <w:ind w:left="4296" w:hanging="401"/>
      </w:pPr>
      <w:rPr>
        <w:rFonts w:hint="default"/>
      </w:rPr>
    </w:lvl>
    <w:lvl w:ilvl="5">
      <w:start w:val="1"/>
      <w:numFmt w:val="bullet"/>
      <w:lvlText w:val="•"/>
      <w:lvlJc w:val="left"/>
      <w:pPr>
        <w:ind w:left="5110" w:hanging="401"/>
      </w:pPr>
      <w:rPr>
        <w:rFonts w:hint="default"/>
      </w:rPr>
    </w:lvl>
    <w:lvl w:ilvl="6">
      <w:start w:val="1"/>
      <w:numFmt w:val="bullet"/>
      <w:lvlText w:val="•"/>
      <w:lvlJc w:val="left"/>
      <w:pPr>
        <w:ind w:left="5924" w:hanging="401"/>
      </w:pPr>
      <w:rPr>
        <w:rFonts w:hint="default"/>
      </w:rPr>
    </w:lvl>
    <w:lvl w:ilvl="7">
      <w:start w:val="1"/>
      <w:numFmt w:val="bullet"/>
      <w:lvlText w:val="•"/>
      <w:lvlJc w:val="left"/>
      <w:pPr>
        <w:ind w:left="6738" w:hanging="401"/>
      </w:pPr>
      <w:rPr>
        <w:rFonts w:hint="default"/>
      </w:rPr>
    </w:lvl>
    <w:lvl w:ilvl="8">
      <w:start w:val="1"/>
      <w:numFmt w:val="bullet"/>
      <w:lvlText w:val="•"/>
      <w:lvlJc w:val="left"/>
      <w:pPr>
        <w:ind w:left="7552" w:hanging="401"/>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2"/>
      <w:ind w:left="219"/>
      <w:jc w:val="center"/>
    </w:pPr>
    <w:rPr>
      <w:rFonts w:ascii="Arial" w:hAnsi="Arial" w:eastAsia="Arial" w:cs="Arial"/>
      <w:b/>
      <w:bCs/>
      <w:sz w:val="24"/>
      <w:szCs w:val="24"/>
    </w:rPr>
  </w:style>
  <w:style w:styleId="TOC2" w:type="paragraph">
    <w:name w:val="TOC 2"/>
    <w:basedOn w:val="Normal"/>
    <w:uiPriority w:val="1"/>
    <w:qFormat/>
    <w:pPr>
      <w:spacing w:before="199"/>
      <w:ind w:left="296"/>
    </w:pPr>
    <w:rPr>
      <w:rFonts w:ascii="Arial" w:hAnsi="Arial" w:eastAsia="Arial" w:cs="Arial"/>
      <w:b/>
      <w:bCs/>
      <w:sz w:val="24"/>
      <w:szCs w:val="24"/>
    </w:rPr>
  </w:style>
  <w:style w:styleId="TOC3" w:type="paragraph">
    <w:name w:val="TOC 3"/>
    <w:basedOn w:val="Normal"/>
    <w:uiPriority w:val="1"/>
    <w:qFormat/>
    <w:pPr>
      <w:spacing w:before="199"/>
      <w:ind w:left="368"/>
      <w:jc w:val="center"/>
    </w:pPr>
    <w:rPr>
      <w:rFonts w:ascii="Arial" w:hAnsi="Arial" w:eastAsia="Arial" w:cs="Arial"/>
      <w:b/>
      <w:bCs/>
      <w:sz w:val="24"/>
      <w:szCs w:val="24"/>
    </w:rPr>
  </w:style>
  <w:style w:styleId="TOC4" w:type="paragraph">
    <w:name w:val="TOC 4"/>
    <w:basedOn w:val="Normal"/>
    <w:uiPriority w:val="1"/>
    <w:qFormat/>
    <w:pPr>
      <w:spacing w:before="199"/>
      <w:ind w:left="407"/>
      <w:jc w:val="center"/>
    </w:pPr>
    <w:rPr>
      <w:rFonts w:ascii="Arial" w:hAnsi="Arial" w:eastAsia="Arial" w:cs="Arial"/>
      <w:b/>
      <w:bCs/>
      <w:sz w:val="24"/>
      <w:szCs w:val="24"/>
    </w:rPr>
  </w:style>
  <w:style w:styleId="TOC5" w:type="paragraph">
    <w:name w:val="TOC 5"/>
    <w:basedOn w:val="Normal"/>
    <w:uiPriority w:val="1"/>
    <w:qFormat/>
    <w:pPr>
      <w:spacing w:before="199"/>
      <w:ind w:left="539"/>
      <w:jc w:val="center"/>
    </w:pPr>
    <w:rPr>
      <w:rFonts w:ascii="Arial" w:hAnsi="Arial" w:eastAsia="Arial" w:cs="Arial"/>
      <w:b/>
      <w:bCs/>
      <w:sz w:val="24"/>
      <w:szCs w:val="24"/>
    </w:rPr>
  </w:style>
  <w:style w:styleId="TOC6" w:type="paragraph">
    <w:name w:val="TOC 6"/>
    <w:basedOn w:val="Normal"/>
    <w:uiPriority w:val="1"/>
    <w:qFormat/>
    <w:pPr>
      <w:spacing w:before="242"/>
      <w:ind w:left="697"/>
    </w:pPr>
    <w:rPr>
      <w:rFonts w:ascii="Arial" w:hAnsi="Arial" w:eastAsia="Arial" w:cs="Arial"/>
      <w:b/>
      <w:bCs/>
      <w:sz w:val="24"/>
      <w:szCs w:val="24"/>
    </w:rPr>
  </w:style>
  <w:style w:styleId="TOC7" w:type="paragraph">
    <w:name w:val="TOC 7"/>
    <w:basedOn w:val="Normal"/>
    <w:uiPriority w:val="1"/>
    <w:qFormat/>
    <w:pPr>
      <w:spacing w:before="242"/>
      <w:ind w:left="1098"/>
    </w:pPr>
    <w:rPr>
      <w:rFonts w:ascii="Arial" w:hAnsi="Arial" w:eastAsia="Arial" w:cs="Arial"/>
      <w:b/>
      <w:bCs/>
      <w:sz w:val="24"/>
      <w:szCs w:val="24"/>
    </w:rPr>
  </w:style>
  <w:style w:styleId="TOC8" w:type="paragraph">
    <w:name w:val="TOC 8"/>
    <w:basedOn w:val="Normal"/>
    <w:uiPriority w:val="1"/>
    <w:qFormat/>
    <w:pPr>
      <w:spacing w:before="6"/>
      <w:ind w:left="1162"/>
    </w:pPr>
    <w:rPr>
      <w:rFonts w:ascii="Arial" w:hAnsi="Arial" w:eastAsia="Arial" w:cs="Arial"/>
      <w:b/>
      <w:bCs/>
      <w:sz w:val="24"/>
      <w:szCs w:val="24"/>
    </w:rPr>
  </w:style>
  <w:style w:styleId="TOC9" w:type="paragraph">
    <w:name w:val="TOC 9"/>
    <w:basedOn w:val="Normal"/>
    <w:uiPriority w:val="1"/>
    <w:qFormat/>
    <w:pPr>
      <w:spacing w:before="199"/>
      <w:ind w:left="1220"/>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3"/>
      <w:ind w:left="162" w:hanging="720"/>
      <w:outlineLvl w:val="1"/>
    </w:pPr>
    <w:rPr>
      <w:rFonts w:ascii="Arial" w:hAnsi="Arial" w:eastAsia="Arial" w:cs="Arial"/>
      <w:b/>
      <w:bCs/>
      <w:sz w:val="44"/>
      <w:szCs w:val="44"/>
    </w:rPr>
  </w:style>
  <w:style w:styleId="Heading2" w:type="paragraph">
    <w:name w:val="Heading 2"/>
    <w:basedOn w:val="Normal"/>
    <w:uiPriority w:val="1"/>
    <w:qFormat/>
    <w:pPr>
      <w:spacing w:before="9"/>
      <w:ind w:left="1645" w:right="1649"/>
      <w:jc w:val="center"/>
      <w:outlineLvl w:val="2"/>
    </w:pPr>
    <w:rPr>
      <w:rFonts w:ascii="Arial" w:hAnsi="Arial" w:eastAsia="Arial" w:cs="Arial"/>
      <w:sz w:val="32"/>
      <w:szCs w:val="32"/>
    </w:rPr>
  </w:style>
  <w:style w:styleId="Heading3" w:type="paragraph">
    <w:name w:val="Heading 3"/>
    <w:basedOn w:val="Normal"/>
    <w:uiPriority w:val="1"/>
    <w:qFormat/>
    <w:pPr>
      <w:spacing w:line="311" w:lineRule="exact"/>
      <w:jc w:val="center"/>
      <w:outlineLvl w:val="3"/>
    </w:pPr>
    <w:rPr>
      <w:rFonts w:ascii="Times New Roman" w:hAnsi="Times New Roman" w:eastAsia="Times New Roman" w:cs="Times New Roman"/>
      <w:sz w:val="31"/>
      <w:szCs w:val="31"/>
    </w:rPr>
  </w:style>
  <w:style w:styleId="Heading4" w:type="paragraph">
    <w:name w:val="Heading 4"/>
    <w:basedOn w:val="Normal"/>
    <w:uiPriority w:val="1"/>
    <w:qFormat/>
    <w:pPr>
      <w:spacing w:before="65"/>
      <w:ind w:left="162"/>
      <w:jc w:val="both"/>
      <w:outlineLvl w:val="4"/>
    </w:pPr>
    <w:rPr>
      <w:rFonts w:ascii="Arial" w:hAnsi="Arial" w:eastAsia="Arial" w:cs="Arial"/>
      <w:b/>
      <w:bCs/>
      <w:sz w:val="28"/>
      <w:szCs w:val="28"/>
    </w:rPr>
  </w:style>
  <w:style w:styleId="Heading5" w:type="paragraph">
    <w:name w:val="Heading 5"/>
    <w:basedOn w:val="Normal"/>
    <w:uiPriority w:val="1"/>
    <w:qFormat/>
    <w:pPr>
      <w:spacing w:before="44"/>
      <w:ind w:left="162" w:right="158"/>
      <w:outlineLvl w:val="5"/>
    </w:pPr>
    <w:rPr>
      <w:rFonts w:ascii="Calibri" w:hAnsi="Calibri" w:eastAsia="Calibri" w:cs="Calibri"/>
      <w:sz w:val="28"/>
      <w:szCs w:val="28"/>
    </w:rPr>
  </w:style>
  <w:style w:styleId="Heading6" w:type="paragraph">
    <w:name w:val="Heading 6"/>
    <w:basedOn w:val="Normal"/>
    <w:uiPriority w:val="1"/>
    <w:qFormat/>
    <w:pPr>
      <w:outlineLvl w:val="6"/>
    </w:pPr>
    <w:rPr>
      <w:rFonts w:ascii="Arial" w:hAnsi="Arial" w:eastAsia="Arial" w:cs="Arial"/>
      <w:b/>
      <w:bCs/>
      <w:sz w:val="24"/>
      <w:szCs w:val="24"/>
    </w:rPr>
  </w:style>
  <w:style w:styleId="ListParagraph" w:type="paragraph">
    <w:name w:val="List Paragraph"/>
    <w:basedOn w:val="Normal"/>
    <w:uiPriority w:val="1"/>
    <w:qFormat/>
    <w:pPr>
      <w:ind w:left="882"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hyperlink" Target="http://es.wikipedia.org/wiki/R%C3%A9gimen_alimenticio" TargetMode="External"/><Relationship Id="rId19" Type="http://schemas.openxmlformats.org/officeDocument/2006/relationships/image" Target="media/image5.jpeg"/><Relationship Id="rId20" Type="http://schemas.openxmlformats.org/officeDocument/2006/relationships/image" Target="media/image6.jpeg"/><Relationship Id="rId21" Type="http://schemas.openxmlformats.org/officeDocument/2006/relationships/image" Target="media/image7.jpeg"/><Relationship Id="rId22" Type="http://schemas.openxmlformats.org/officeDocument/2006/relationships/footer" Target="footer8.xml"/><Relationship Id="rId23" Type="http://schemas.openxmlformats.org/officeDocument/2006/relationships/footer" Target="footer9.xml"/><Relationship Id="rId24" Type="http://schemas.openxmlformats.org/officeDocument/2006/relationships/image" Target="media/image8.jpeg"/><Relationship Id="rId25" Type="http://schemas.openxmlformats.org/officeDocument/2006/relationships/image" Target="media/image9.jpeg"/><Relationship Id="rId26" Type="http://schemas.openxmlformats.org/officeDocument/2006/relationships/image" Target="media/image10.jpeg"/><Relationship Id="rId27" Type="http://schemas.openxmlformats.org/officeDocument/2006/relationships/footer" Target="footer10.xml"/><Relationship Id="rId28" Type="http://schemas.openxmlformats.org/officeDocument/2006/relationships/image" Target="media/image11.png"/><Relationship Id="rId29" Type="http://schemas.openxmlformats.org/officeDocument/2006/relationships/footer" Target="footer11.xml"/><Relationship Id="rId30" Type="http://schemas.openxmlformats.org/officeDocument/2006/relationships/image" Target="media/image12.png"/><Relationship Id="rId31" Type="http://schemas.openxmlformats.org/officeDocument/2006/relationships/footer" Target="footer12.xml"/><Relationship Id="rId32" Type="http://schemas.openxmlformats.org/officeDocument/2006/relationships/hyperlink" Target="http://www.rcm.upr.edu/PublicHealth/medu6500/Unidad_1/Rodriguez_Historia-natural-Prevencion.pdf" TargetMode="External"/><Relationship Id="rId33" Type="http://schemas.openxmlformats.org/officeDocument/2006/relationships/footer" Target="footer13.xml"/><Relationship Id="rId34" Type="http://schemas.openxmlformats.org/officeDocument/2006/relationships/hyperlink" Target="http://www.ada.org/prof/daily/0005/050jada.html" TargetMode="External"/><Relationship Id="rId35" Type="http://schemas.openxmlformats.org/officeDocument/2006/relationships/image" Target="media/image13.png"/><Relationship Id="rId36" Type="http://schemas.openxmlformats.org/officeDocument/2006/relationships/image" Target="media/image14.jpeg"/><Relationship Id="rId37" Type="http://schemas.openxmlformats.org/officeDocument/2006/relationships/footer" Target="footer14.xml"/><Relationship Id="rId38" Type="http://schemas.openxmlformats.org/officeDocument/2006/relationships/image" Target="media/image15.jpeg"/><Relationship Id="rId39" Type="http://schemas.openxmlformats.org/officeDocument/2006/relationships/footer" Target="footer15.xml"/><Relationship Id="rId40" Type="http://schemas.openxmlformats.org/officeDocument/2006/relationships/image" Target="media/image16.jpeg"/><Relationship Id="rId41" Type="http://schemas.openxmlformats.org/officeDocument/2006/relationships/image" Target="media/image17.jpeg"/><Relationship Id="rId42" Type="http://schemas.openxmlformats.org/officeDocument/2006/relationships/image" Target="media/image18.jpeg"/><Relationship Id="rId43" Type="http://schemas.openxmlformats.org/officeDocument/2006/relationships/image" Target="media/image19.jpeg"/><Relationship Id="rId44" Type="http://schemas.openxmlformats.org/officeDocument/2006/relationships/image" Target="media/image20.jpeg"/><Relationship Id="rId45" Type="http://schemas.openxmlformats.org/officeDocument/2006/relationships/image" Target="media/image21.jpeg"/><Relationship Id="rId4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ILOVEPDF.COM</dc:creator>
  <dcterms:created xsi:type="dcterms:W3CDTF">2017-05-25T22:59:48Z</dcterms:created>
  <dcterms:modified xsi:type="dcterms:W3CDTF">2017-05-25T22:59:48Z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2013-07-15T00:00:00Z</vt:filetime>
  </property>
  <property fmtid="{D5CDD505-2E9C-101B-9397-08002B2CF9AE}" pid="3" name="Creator">
    <vt:lpwstr>ILOVEPDF.COM</vt:lpwstr>
  </property>
  <property fmtid="{D5CDD505-2E9C-101B-9397-08002B2CF9AE}" pid="4" name="LastSaved">
    <vt:filetime>2013-07-15T00:00:00Z</vt:filetime>
  </property>
</Properties>
</file>