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9"/>
        <w:rPr>
          <w:rFonts w:ascii="Times New Roman"/>
          <w:sz w:val="18"/>
        </w:rPr>
      </w:pPr>
    </w:p>
    <w:p>
      <w:pPr>
        <w:spacing w:line="480" w:lineRule="auto" w:before="68"/>
        <w:ind w:left="4332" w:right="1149" w:hanging="1578"/>
        <w:jc w:val="left"/>
        <w:rPr>
          <w:b/>
          <w:sz w:val="25"/>
        </w:rPr>
      </w:pPr>
      <w:r>
        <w:rPr/>
        <w:drawing>
          <wp:anchor distT="0" distB="0" distL="0" distR="0" allowOverlap="1" layoutInCell="1" locked="0" behindDoc="0" simplePos="0" relativeHeight="1048">
            <wp:simplePos x="0" y="0"/>
            <wp:positionH relativeFrom="page">
              <wp:posOffset>772668</wp:posOffset>
            </wp:positionH>
            <wp:positionV relativeFrom="paragraph">
              <wp:posOffset>-73344</wp:posOffset>
            </wp:positionV>
            <wp:extent cx="1130808" cy="1031748"/>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130808" cy="1031748"/>
                    </a:xfrm>
                    <a:prstGeom prst="rect">
                      <a:avLst/>
                    </a:prstGeom>
                  </pic:spPr>
                </pic:pic>
              </a:graphicData>
            </a:graphic>
          </wp:anchor>
        </w:drawing>
      </w:r>
      <w:r>
        <w:rPr>
          <w:b/>
          <w:sz w:val="25"/>
        </w:rPr>
        <w:t>UNIVERSIDAD AUTÓNOMA DEL ESTADO DE MÉXICO FACULTAD DE ODONTOLOGÍA</w:t>
      </w:r>
    </w:p>
    <w:p>
      <w:pPr>
        <w:spacing w:before="7"/>
        <w:ind w:left="2189" w:right="134" w:firstLine="0"/>
        <w:jc w:val="center"/>
        <w:rPr>
          <w:b/>
          <w:sz w:val="25"/>
        </w:rPr>
      </w:pPr>
      <w:r>
        <w:rPr/>
        <w:pict>
          <v:line style="position:absolute;mso-position-horizontal-relative:page;mso-position-vertical-relative:paragraph;z-index:0" from="99.900002pt,33.114864pt" to="100.550002pt,463.064864pt" stroked="true" strokeweight="2.280pt" strokecolor="#000000">
            <w10:wrap type="none"/>
          </v:line>
        </w:pict>
      </w:r>
      <w:r>
        <w:rPr>
          <w:b/>
          <w:sz w:val="25"/>
        </w:rPr>
        <w:t>CENTRO DE INVESTIGACIÓN Y ESTUDIOS AVANZADOS EN ODONTOLOGÍA “DR KEISABURO MIYATA”</w:t>
      </w:r>
    </w:p>
    <w:p>
      <w:pPr>
        <w:pStyle w:val="BodyText"/>
        <w:rPr>
          <w:b/>
        </w:rPr>
      </w:pPr>
    </w:p>
    <w:p>
      <w:pPr>
        <w:pStyle w:val="BodyText"/>
        <w:rPr>
          <w:b/>
        </w:rPr>
      </w:pPr>
    </w:p>
    <w:p>
      <w:pPr>
        <w:pStyle w:val="BodyText"/>
        <w:spacing w:before="10"/>
        <w:rPr>
          <w:b/>
          <w:sz w:val="20"/>
        </w:rPr>
      </w:pPr>
    </w:p>
    <w:p>
      <w:pPr>
        <w:spacing w:before="0"/>
        <w:ind w:left="2193" w:right="134" w:firstLine="0"/>
        <w:jc w:val="center"/>
        <w:rPr>
          <w:b/>
          <w:sz w:val="25"/>
        </w:rPr>
      </w:pPr>
      <w:r>
        <w:rPr>
          <w:b/>
          <w:sz w:val="25"/>
        </w:rPr>
        <w:t>“ DETECCIÓN DE METALES LIBERADOS EN SALIVA DESPUÉS DE LA COLOCACIÓN DE CORONAS NÍQUEL CROMO: ESTUDIO PILOTO ”</w:t>
      </w:r>
    </w:p>
    <w:p>
      <w:pPr>
        <w:pStyle w:val="BodyText"/>
        <w:rPr>
          <w:b/>
        </w:rPr>
      </w:pPr>
    </w:p>
    <w:p>
      <w:pPr>
        <w:pStyle w:val="BodyText"/>
        <w:rPr>
          <w:b/>
        </w:rPr>
      </w:pPr>
    </w:p>
    <w:p>
      <w:pPr>
        <w:spacing w:before="210"/>
        <w:ind w:left="2193" w:right="132" w:firstLine="0"/>
        <w:jc w:val="center"/>
        <w:rPr>
          <w:b/>
          <w:sz w:val="28"/>
        </w:rPr>
      </w:pPr>
      <w:r>
        <w:rPr>
          <w:b/>
          <w:sz w:val="28"/>
        </w:rPr>
        <w:t>PROYECTO TERMINAL</w:t>
      </w:r>
    </w:p>
    <w:p>
      <w:pPr>
        <w:pStyle w:val="BodyText"/>
        <w:rPr>
          <w:b/>
          <w:sz w:val="28"/>
        </w:rPr>
      </w:pPr>
    </w:p>
    <w:p>
      <w:pPr>
        <w:pStyle w:val="BodyText"/>
        <w:spacing w:before="9"/>
        <w:rPr>
          <w:b/>
          <w:sz w:val="37"/>
        </w:rPr>
      </w:pPr>
    </w:p>
    <w:p>
      <w:pPr>
        <w:spacing w:before="0"/>
        <w:ind w:left="3329" w:right="1263" w:firstLine="0"/>
        <w:jc w:val="center"/>
        <w:rPr>
          <w:b/>
          <w:sz w:val="22"/>
        </w:rPr>
      </w:pPr>
      <w:r>
        <w:rPr>
          <w:b/>
          <w:sz w:val="22"/>
        </w:rPr>
        <w:t>QUE PARA OBTENER EL DIPLOMA DE ESPECIALISTA EN ODONTOPEDIATRIA</w:t>
      </w:r>
    </w:p>
    <w:p>
      <w:pPr>
        <w:pStyle w:val="BodyText"/>
        <w:rPr>
          <w:b/>
          <w:sz w:val="22"/>
        </w:rPr>
      </w:pPr>
    </w:p>
    <w:p>
      <w:pPr>
        <w:pStyle w:val="BodyText"/>
        <w:spacing w:before="10"/>
        <w:rPr>
          <w:b/>
          <w:sz w:val="21"/>
        </w:rPr>
      </w:pPr>
    </w:p>
    <w:p>
      <w:pPr>
        <w:spacing w:before="1"/>
        <w:ind w:left="2193" w:right="129" w:firstLine="0"/>
        <w:jc w:val="center"/>
        <w:rPr>
          <w:b/>
          <w:sz w:val="22"/>
        </w:rPr>
      </w:pPr>
      <w:r>
        <w:rPr>
          <w:b/>
          <w:sz w:val="22"/>
        </w:rPr>
        <w:t>PRESENTA</w:t>
      </w:r>
    </w:p>
    <w:p>
      <w:pPr>
        <w:pStyle w:val="BodyText"/>
        <w:rPr>
          <w:b/>
          <w:sz w:val="22"/>
        </w:rPr>
      </w:pPr>
    </w:p>
    <w:p>
      <w:pPr>
        <w:pStyle w:val="BodyText"/>
        <w:rPr>
          <w:b/>
          <w:sz w:val="22"/>
        </w:rPr>
      </w:pPr>
    </w:p>
    <w:p>
      <w:pPr>
        <w:pStyle w:val="BodyText"/>
        <w:rPr>
          <w:b/>
          <w:sz w:val="22"/>
        </w:rPr>
      </w:pPr>
    </w:p>
    <w:p>
      <w:pPr>
        <w:pStyle w:val="ListParagraph"/>
        <w:numPr>
          <w:ilvl w:val="1"/>
          <w:numId w:val="1"/>
        </w:numPr>
        <w:tabs>
          <w:tab w:pos="3799" w:val="left" w:leader="none"/>
        </w:tabs>
        <w:spacing w:line="240" w:lineRule="auto" w:before="0" w:after="0"/>
        <w:ind w:left="3798" w:right="0" w:hanging="561"/>
        <w:jc w:val="left"/>
        <w:rPr>
          <w:b/>
          <w:sz w:val="28"/>
        </w:rPr>
      </w:pPr>
      <w:r>
        <w:rPr>
          <w:b/>
          <w:sz w:val="28"/>
        </w:rPr>
        <w:t>JERALDINE IZCHEL MARTINEZ</w:t>
      </w:r>
      <w:r>
        <w:rPr>
          <w:b/>
          <w:spacing w:val="-17"/>
          <w:sz w:val="28"/>
        </w:rPr>
        <w:t> </w:t>
      </w:r>
      <w:r>
        <w:rPr>
          <w:b/>
          <w:sz w:val="28"/>
        </w:rPr>
        <w:t>OLGUIN</w:t>
      </w:r>
    </w:p>
    <w:p>
      <w:pPr>
        <w:pStyle w:val="BodyText"/>
        <w:rPr>
          <w:b/>
          <w:sz w:val="28"/>
        </w:rPr>
      </w:pPr>
    </w:p>
    <w:p>
      <w:pPr>
        <w:pStyle w:val="BodyText"/>
        <w:rPr>
          <w:b/>
          <w:sz w:val="38"/>
        </w:rPr>
      </w:pPr>
    </w:p>
    <w:p>
      <w:pPr>
        <w:spacing w:before="0"/>
        <w:ind w:left="2193" w:right="133" w:firstLine="0"/>
        <w:jc w:val="center"/>
        <w:rPr>
          <w:b/>
          <w:sz w:val="22"/>
        </w:rPr>
      </w:pPr>
      <w:r>
        <w:rPr>
          <w:b/>
          <w:sz w:val="22"/>
        </w:rPr>
        <w:t>DIRECTOR</w:t>
      </w:r>
    </w:p>
    <w:p>
      <w:pPr>
        <w:pStyle w:val="BodyText"/>
        <w:rPr>
          <w:b/>
          <w:sz w:val="22"/>
        </w:rPr>
      </w:pPr>
    </w:p>
    <w:p>
      <w:pPr>
        <w:spacing w:before="0"/>
        <w:ind w:left="2193" w:right="134" w:firstLine="0"/>
        <w:jc w:val="center"/>
        <w:rPr>
          <w:b/>
          <w:sz w:val="22"/>
        </w:rPr>
      </w:pPr>
      <w:r>
        <w:rPr>
          <w:b/>
          <w:sz w:val="22"/>
        </w:rPr>
        <w:t>DRA. EN C.S. EDITH LARA CARRILLO</w:t>
      </w:r>
    </w:p>
    <w:p>
      <w:pPr>
        <w:pStyle w:val="BodyText"/>
        <w:rPr>
          <w:b/>
          <w:sz w:val="22"/>
        </w:rPr>
      </w:pPr>
    </w:p>
    <w:p>
      <w:pPr>
        <w:pStyle w:val="BodyText"/>
        <w:spacing w:before="10"/>
        <w:rPr>
          <w:b/>
          <w:sz w:val="21"/>
        </w:rPr>
      </w:pPr>
    </w:p>
    <w:p>
      <w:pPr>
        <w:spacing w:before="1"/>
        <w:ind w:left="2193" w:right="131" w:firstLine="0"/>
        <w:jc w:val="center"/>
        <w:rPr>
          <w:b/>
          <w:sz w:val="22"/>
        </w:rPr>
      </w:pPr>
      <w:r>
        <w:rPr>
          <w:b/>
          <w:sz w:val="22"/>
        </w:rPr>
        <w:t>ASESORES</w:t>
      </w:r>
    </w:p>
    <w:p>
      <w:pPr>
        <w:pStyle w:val="BodyText"/>
        <w:rPr>
          <w:b/>
          <w:sz w:val="22"/>
        </w:rPr>
      </w:pPr>
    </w:p>
    <w:p>
      <w:pPr>
        <w:pStyle w:val="ListParagraph"/>
        <w:numPr>
          <w:ilvl w:val="2"/>
          <w:numId w:val="1"/>
        </w:numPr>
        <w:tabs>
          <w:tab w:pos="4052" w:val="left" w:leader="none"/>
        </w:tabs>
        <w:spacing w:line="240" w:lineRule="auto" w:before="0" w:after="0"/>
        <w:ind w:left="3645" w:right="1585" w:firstLine="99"/>
        <w:jc w:val="left"/>
        <w:rPr>
          <w:b/>
          <w:sz w:val="22"/>
        </w:rPr>
      </w:pPr>
      <w:r>
        <w:rPr/>
        <w:drawing>
          <wp:anchor distT="0" distB="0" distL="0" distR="0" allowOverlap="1" layoutInCell="1" locked="0" behindDoc="0" simplePos="0" relativeHeight="1072">
            <wp:simplePos x="0" y="0"/>
            <wp:positionH relativeFrom="page">
              <wp:posOffset>836675</wp:posOffset>
            </wp:positionH>
            <wp:positionV relativeFrom="paragraph">
              <wp:posOffset>483715</wp:posOffset>
            </wp:positionV>
            <wp:extent cx="877824" cy="1034796"/>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877824" cy="1034796"/>
                    </a:xfrm>
                    <a:prstGeom prst="rect">
                      <a:avLst/>
                    </a:prstGeom>
                  </pic:spPr>
                </pic:pic>
              </a:graphicData>
            </a:graphic>
          </wp:anchor>
        </w:drawing>
      </w:r>
      <w:r>
        <w:rPr>
          <w:b/>
          <w:sz w:val="22"/>
        </w:rPr>
        <w:t>EN C.E. NORMA LETICIA ROBLES BERMEO DR. EN C.M. RAÚL ALBERTO MORALES</w:t>
      </w:r>
      <w:r>
        <w:rPr>
          <w:b/>
          <w:spacing w:val="-18"/>
          <w:sz w:val="22"/>
        </w:rPr>
        <w:t> </w:t>
      </w:r>
      <w:r>
        <w:rPr>
          <w:b/>
          <w:sz w:val="22"/>
        </w:rPr>
        <w:t>LUCKIE</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spacing w:before="1"/>
        <w:rPr>
          <w:b/>
          <w:sz w:val="22"/>
        </w:rPr>
      </w:pPr>
    </w:p>
    <w:p>
      <w:pPr>
        <w:spacing w:before="0"/>
        <w:ind w:left="6190" w:right="0" w:firstLine="0"/>
        <w:jc w:val="left"/>
        <w:rPr>
          <w:b/>
          <w:sz w:val="22"/>
        </w:rPr>
      </w:pPr>
      <w:r>
        <w:rPr>
          <w:b/>
          <w:sz w:val="22"/>
        </w:rPr>
        <w:t>TOLUCA, MÉXICO, NOVIEMBRE, 2015.</w:t>
      </w:r>
    </w:p>
    <w:p>
      <w:pPr>
        <w:spacing w:after="0"/>
        <w:jc w:val="left"/>
        <w:rPr>
          <w:sz w:val="22"/>
        </w:rPr>
        <w:sectPr>
          <w:type w:val="continuous"/>
          <w:pgSz w:w="12240" w:h="15840"/>
          <w:pgMar w:top="1500" w:bottom="280" w:left="1100" w:right="800"/>
        </w:sectPr>
      </w:pPr>
    </w:p>
    <w:p>
      <w:pPr>
        <w:pStyle w:val="Heading1"/>
        <w:ind w:left="198"/>
      </w:pPr>
      <w:r>
        <w:rPr/>
        <w:t>Índice</w:t>
      </w:r>
    </w:p>
    <w:p>
      <w:pPr>
        <w:pStyle w:val="BodyText"/>
        <w:rPr>
          <w:b/>
        </w:rPr>
      </w:pPr>
    </w:p>
    <w:p>
      <w:pPr>
        <w:pStyle w:val="BodyText"/>
        <w:rPr>
          <w:b/>
        </w:rPr>
      </w:pPr>
    </w:p>
    <w:p>
      <w:pPr>
        <w:pStyle w:val="BodyText"/>
        <w:rPr>
          <w:b/>
        </w:rPr>
      </w:pPr>
    </w:p>
    <w:p>
      <w:pPr>
        <w:pStyle w:val="BodyText"/>
        <w:spacing w:before="5"/>
        <w:rPr>
          <w:b/>
          <w:sz w:val="29"/>
        </w:rPr>
      </w:pPr>
    </w:p>
    <w:p>
      <w:pPr>
        <w:pStyle w:val="BodyText"/>
        <w:tabs>
          <w:tab w:pos="8030" w:val="left" w:leader="none"/>
        </w:tabs>
        <w:ind w:left="198"/>
      </w:pPr>
      <w:r>
        <w:rPr/>
        <w:t>Contenido</w:t>
        <w:tab/>
        <w:t>No.</w:t>
      </w:r>
      <w:r>
        <w:rPr>
          <w:spacing w:val="-5"/>
        </w:rPr>
        <w:t> </w:t>
      </w:r>
      <w:r>
        <w:rPr/>
        <w:t>Página</w:t>
      </w:r>
    </w:p>
    <w:p>
      <w:pPr>
        <w:pStyle w:val="BodyText"/>
        <w:rPr>
          <w:sz w:val="20"/>
        </w:rPr>
      </w:pPr>
    </w:p>
    <w:p>
      <w:pPr>
        <w:pStyle w:val="BodyText"/>
        <w:rPr>
          <w:sz w:val="20"/>
        </w:rPr>
      </w:pPr>
    </w:p>
    <w:p>
      <w:pPr>
        <w:pStyle w:val="BodyText"/>
        <w:rPr>
          <w:sz w:val="20"/>
        </w:rPr>
      </w:pPr>
    </w:p>
    <w:p>
      <w:pPr>
        <w:pStyle w:val="BodyText"/>
        <w:spacing w:before="6"/>
        <w:rPr>
          <w:sz w:val="26"/>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34"/>
        <w:gridCol w:w="737"/>
      </w:tblGrid>
      <w:tr>
        <w:trPr>
          <w:trHeight w:val="534" w:hRule="exact"/>
        </w:trPr>
        <w:tc>
          <w:tcPr>
            <w:tcW w:w="8134" w:type="dxa"/>
          </w:tcPr>
          <w:p>
            <w:pPr>
              <w:pStyle w:val="TableParagraph"/>
              <w:spacing w:line="245" w:lineRule="exact"/>
              <w:ind w:left="0" w:right="252"/>
              <w:jc w:val="right"/>
              <w:rPr>
                <w:sz w:val="24"/>
              </w:rPr>
            </w:pPr>
            <w:r>
              <w:rPr>
                <w:sz w:val="24"/>
              </w:rPr>
              <w:t>Introducción …….………………………………………………………………</w:t>
            </w:r>
          </w:p>
        </w:tc>
        <w:tc>
          <w:tcPr>
            <w:tcW w:w="737" w:type="dxa"/>
          </w:tcPr>
          <w:p>
            <w:pPr>
              <w:pStyle w:val="TableParagraph"/>
              <w:spacing w:line="245" w:lineRule="exact"/>
              <w:ind w:left="0" w:right="268"/>
              <w:jc w:val="right"/>
              <w:rPr>
                <w:sz w:val="24"/>
              </w:rPr>
            </w:pPr>
            <w:r>
              <w:rPr>
                <w:w w:val="99"/>
                <w:sz w:val="24"/>
              </w:rPr>
              <w:t>1</w:t>
            </w:r>
          </w:p>
        </w:tc>
      </w:tr>
      <w:tr>
        <w:trPr>
          <w:trHeight w:val="4691" w:hRule="exact"/>
        </w:trPr>
        <w:tc>
          <w:tcPr>
            <w:tcW w:w="8134" w:type="dxa"/>
          </w:tcPr>
          <w:p>
            <w:pPr>
              <w:pStyle w:val="TableParagraph"/>
              <w:spacing w:before="10"/>
              <w:ind w:left="0"/>
              <w:rPr>
                <w:sz w:val="22"/>
              </w:rPr>
            </w:pPr>
          </w:p>
          <w:p>
            <w:pPr>
              <w:pStyle w:val="TableParagraph"/>
              <w:ind w:left="560" w:right="245"/>
              <w:rPr>
                <w:sz w:val="24"/>
              </w:rPr>
            </w:pPr>
            <w:r>
              <w:rPr>
                <w:sz w:val="24"/>
              </w:rPr>
              <w:t>1.  Antecedentes ….……………………………………………….………</w:t>
            </w:r>
          </w:p>
          <w:p>
            <w:pPr>
              <w:pStyle w:val="TableParagraph"/>
              <w:numPr>
                <w:ilvl w:val="0"/>
                <w:numId w:val="2"/>
              </w:numPr>
              <w:tabs>
                <w:tab w:pos="1204" w:val="left" w:leader="none"/>
              </w:tabs>
              <w:spacing w:line="240" w:lineRule="auto" w:before="137" w:after="0"/>
              <w:ind w:left="1203" w:right="0" w:hanging="296"/>
              <w:jc w:val="left"/>
              <w:rPr>
                <w:sz w:val="24"/>
              </w:rPr>
            </w:pPr>
            <w:r>
              <w:rPr>
                <w:sz w:val="24"/>
              </w:rPr>
              <w:t>Coronas níquel</w:t>
            </w:r>
            <w:r>
              <w:rPr>
                <w:spacing w:val="-8"/>
                <w:sz w:val="24"/>
              </w:rPr>
              <w:t> </w:t>
            </w:r>
            <w:r>
              <w:rPr>
                <w:sz w:val="24"/>
              </w:rPr>
              <w:t>cromo</w:t>
            </w:r>
          </w:p>
          <w:p>
            <w:pPr>
              <w:pStyle w:val="TableParagraph"/>
              <w:numPr>
                <w:ilvl w:val="1"/>
                <w:numId w:val="2"/>
              </w:numPr>
              <w:tabs>
                <w:tab w:pos="1604" w:val="left" w:leader="none"/>
              </w:tabs>
              <w:spacing w:line="240" w:lineRule="auto" w:before="0" w:after="0"/>
              <w:ind w:left="1603" w:right="0" w:hanging="427"/>
              <w:jc w:val="left"/>
              <w:rPr>
                <w:sz w:val="24"/>
              </w:rPr>
            </w:pPr>
            <w:r>
              <w:rPr>
                <w:sz w:val="24"/>
              </w:rPr>
              <w:t>Composición</w:t>
            </w:r>
          </w:p>
          <w:p>
            <w:pPr>
              <w:pStyle w:val="TableParagraph"/>
              <w:numPr>
                <w:ilvl w:val="1"/>
                <w:numId w:val="2"/>
              </w:numPr>
              <w:tabs>
                <w:tab w:pos="1604" w:val="left" w:leader="none"/>
              </w:tabs>
              <w:spacing w:line="240" w:lineRule="auto" w:before="0" w:after="0"/>
              <w:ind w:left="1603" w:right="0" w:hanging="427"/>
              <w:jc w:val="left"/>
              <w:rPr>
                <w:sz w:val="24"/>
              </w:rPr>
            </w:pPr>
            <w:r>
              <w:rPr>
                <w:sz w:val="24"/>
              </w:rPr>
              <w:t>Propiedades específicas que brinda cada</w:t>
            </w:r>
            <w:r>
              <w:rPr>
                <w:spacing w:val="-25"/>
                <w:sz w:val="24"/>
              </w:rPr>
              <w:t> </w:t>
            </w:r>
            <w:r>
              <w:rPr>
                <w:sz w:val="24"/>
              </w:rPr>
              <w:t>componente</w:t>
            </w:r>
          </w:p>
          <w:p>
            <w:pPr>
              <w:pStyle w:val="TableParagraph"/>
              <w:numPr>
                <w:ilvl w:val="1"/>
                <w:numId w:val="2"/>
              </w:numPr>
              <w:tabs>
                <w:tab w:pos="1602" w:val="left" w:leader="none"/>
              </w:tabs>
              <w:spacing w:line="240" w:lineRule="auto" w:before="0" w:after="0"/>
              <w:ind w:left="1601" w:right="0" w:hanging="425"/>
              <w:jc w:val="left"/>
              <w:rPr>
                <w:sz w:val="24"/>
              </w:rPr>
            </w:pPr>
            <w:r>
              <w:rPr>
                <w:sz w:val="24"/>
              </w:rPr>
              <w:t>Tipos de coronas de uso en</w:t>
            </w:r>
            <w:r>
              <w:rPr>
                <w:spacing w:val="-19"/>
                <w:sz w:val="24"/>
              </w:rPr>
              <w:t> </w:t>
            </w:r>
            <w:r>
              <w:rPr>
                <w:sz w:val="24"/>
              </w:rPr>
              <w:t>Odontopediatría</w:t>
            </w:r>
          </w:p>
          <w:p>
            <w:pPr>
              <w:pStyle w:val="TableParagraph"/>
              <w:spacing w:before="9"/>
              <w:ind w:left="0"/>
              <w:rPr>
                <w:sz w:val="23"/>
              </w:rPr>
            </w:pPr>
          </w:p>
          <w:p>
            <w:pPr>
              <w:pStyle w:val="TableParagraph"/>
              <w:numPr>
                <w:ilvl w:val="0"/>
                <w:numId w:val="2"/>
              </w:numPr>
              <w:tabs>
                <w:tab w:pos="1163" w:val="left" w:leader="none"/>
              </w:tabs>
              <w:spacing w:line="240" w:lineRule="auto" w:before="0" w:after="0"/>
              <w:ind w:left="1162" w:right="0" w:hanging="293"/>
              <w:jc w:val="left"/>
              <w:rPr>
                <w:sz w:val="24"/>
              </w:rPr>
            </w:pPr>
            <w:r>
              <w:rPr>
                <w:sz w:val="24"/>
              </w:rPr>
              <w:t>Saliva</w:t>
            </w:r>
          </w:p>
          <w:p>
            <w:pPr>
              <w:pStyle w:val="TableParagraph"/>
              <w:numPr>
                <w:ilvl w:val="1"/>
                <w:numId w:val="2"/>
              </w:numPr>
              <w:tabs>
                <w:tab w:pos="1563" w:val="left" w:leader="none"/>
              </w:tabs>
              <w:spacing w:line="240" w:lineRule="auto" w:before="0" w:after="0"/>
              <w:ind w:left="1562" w:right="0" w:hanging="427"/>
              <w:jc w:val="left"/>
              <w:rPr>
                <w:sz w:val="24"/>
              </w:rPr>
            </w:pPr>
            <w:r>
              <w:rPr>
                <w:sz w:val="24"/>
              </w:rPr>
              <w:t>Características y composición de la</w:t>
            </w:r>
            <w:r>
              <w:rPr>
                <w:spacing w:val="-16"/>
                <w:sz w:val="24"/>
              </w:rPr>
              <w:t> </w:t>
            </w:r>
            <w:r>
              <w:rPr>
                <w:sz w:val="24"/>
              </w:rPr>
              <w:t>saliva</w:t>
            </w:r>
          </w:p>
          <w:p>
            <w:pPr>
              <w:pStyle w:val="TableParagraph"/>
              <w:numPr>
                <w:ilvl w:val="1"/>
                <w:numId w:val="2"/>
              </w:numPr>
              <w:tabs>
                <w:tab w:pos="1564" w:val="left" w:leader="none"/>
              </w:tabs>
              <w:spacing w:line="240" w:lineRule="auto" w:before="0" w:after="0"/>
              <w:ind w:left="1563" w:right="0" w:hanging="428"/>
              <w:jc w:val="left"/>
              <w:rPr>
                <w:sz w:val="24"/>
              </w:rPr>
            </w:pPr>
            <w:r>
              <w:rPr>
                <w:sz w:val="24"/>
              </w:rPr>
              <w:t>Funciones de la</w:t>
            </w:r>
            <w:r>
              <w:rPr>
                <w:spacing w:val="-10"/>
                <w:sz w:val="24"/>
              </w:rPr>
              <w:t> </w:t>
            </w:r>
            <w:r>
              <w:rPr>
                <w:sz w:val="24"/>
              </w:rPr>
              <w:t>saliva</w:t>
            </w:r>
          </w:p>
          <w:p>
            <w:pPr>
              <w:pStyle w:val="TableParagraph"/>
              <w:ind w:left="0"/>
              <w:rPr>
                <w:sz w:val="24"/>
              </w:rPr>
            </w:pPr>
          </w:p>
          <w:p>
            <w:pPr>
              <w:pStyle w:val="TableParagraph"/>
              <w:numPr>
                <w:ilvl w:val="0"/>
                <w:numId w:val="2"/>
              </w:numPr>
              <w:tabs>
                <w:tab w:pos="1175" w:val="left" w:leader="none"/>
              </w:tabs>
              <w:spacing w:line="240" w:lineRule="auto" w:before="0" w:after="0"/>
              <w:ind w:left="1174" w:right="0" w:hanging="305"/>
              <w:jc w:val="left"/>
              <w:rPr>
                <w:sz w:val="24"/>
              </w:rPr>
            </w:pPr>
            <w:r>
              <w:rPr>
                <w:sz w:val="24"/>
              </w:rPr>
              <w:t>Biocompatibilidad y liberación de metales en la cavidad</w:t>
            </w:r>
            <w:r>
              <w:rPr>
                <w:spacing w:val="-20"/>
                <w:sz w:val="24"/>
              </w:rPr>
              <w:t> </w:t>
            </w:r>
            <w:r>
              <w:rPr>
                <w:sz w:val="24"/>
              </w:rPr>
              <w:t>bucal</w:t>
            </w:r>
          </w:p>
          <w:p>
            <w:pPr>
              <w:pStyle w:val="TableParagraph"/>
              <w:numPr>
                <w:ilvl w:val="0"/>
                <w:numId w:val="2"/>
              </w:numPr>
              <w:tabs>
                <w:tab w:pos="1175" w:val="left" w:leader="none"/>
              </w:tabs>
              <w:spacing w:line="240" w:lineRule="auto" w:before="0" w:after="0"/>
              <w:ind w:left="1174" w:right="0" w:hanging="305"/>
              <w:jc w:val="left"/>
              <w:rPr>
                <w:sz w:val="24"/>
              </w:rPr>
            </w:pPr>
            <w:r>
              <w:rPr>
                <w:sz w:val="24"/>
              </w:rPr>
              <w:t>Biodegradación</w:t>
            </w:r>
          </w:p>
          <w:p>
            <w:pPr>
              <w:pStyle w:val="TableParagraph"/>
              <w:numPr>
                <w:ilvl w:val="0"/>
                <w:numId w:val="2"/>
              </w:numPr>
              <w:tabs>
                <w:tab w:pos="1163" w:val="left" w:leader="none"/>
              </w:tabs>
              <w:spacing w:line="240" w:lineRule="auto" w:before="0" w:after="0"/>
              <w:ind w:left="1162" w:right="0" w:hanging="293"/>
              <w:jc w:val="left"/>
              <w:rPr>
                <w:sz w:val="24"/>
              </w:rPr>
            </w:pPr>
            <w:r>
              <w:rPr>
                <w:sz w:val="24"/>
              </w:rPr>
              <w:t>Corrosión</w:t>
            </w:r>
          </w:p>
          <w:p>
            <w:pPr>
              <w:pStyle w:val="TableParagraph"/>
              <w:numPr>
                <w:ilvl w:val="0"/>
                <w:numId w:val="2"/>
              </w:numPr>
              <w:tabs>
                <w:tab w:pos="1216" w:val="left" w:leader="none"/>
              </w:tabs>
              <w:spacing w:line="240" w:lineRule="auto" w:before="0" w:after="0"/>
              <w:ind w:left="1215" w:right="0" w:hanging="346"/>
              <w:jc w:val="left"/>
              <w:rPr>
                <w:sz w:val="24"/>
              </w:rPr>
            </w:pPr>
            <w:r>
              <w:rPr>
                <w:sz w:val="24"/>
              </w:rPr>
              <w:t>Liberación de</w:t>
            </w:r>
            <w:r>
              <w:rPr>
                <w:spacing w:val="-7"/>
                <w:sz w:val="24"/>
              </w:rPr>
              <w:t> </w:t>
            </w:r>
            <w:r>
              <w:rPr>
                <w:sz w:val="24"/>
              </w:rPr>
              <w:t>metales</w:t>
            </w:r>
          </w:p>
          <w:p>
            <w:pPr>
              <w:pStyle w:val="TableParagraph"/>
              <w:numPr>
                <w:ilvl w:val="0"/>
                <w:numId w:val="2"/>
              </w:numPr>
              <w:tabs>
                <w:tab w:pos="1189" w:val="left" w:leader="none"/>
              </w:tabs>
              <w:spacing w:line="240" w:lineRule="auto" w:before="0" w:after="0"/>
              <w:ind w:left="1188" w:right="0" w:hanging="319"/>
              <w:jc w:val="left"/>
              <w:rPr>
                <w:sz w:val="24"/>
              </w:rPr>
            </w:pPr>
            <w:r>
              <w:rPr>
                <w:sz w:val="24"/>
              </w:rPr>
              <w:t>Espectrómetro de absorción atómica con horno de</w:t>
            </w:r>
            <w:r>
              <w:rPr>
                <w:spacing w:val="-23"/>
                <w:sz w:val="24"/>
              </w:rPr>
              <w:t> </w:t>
            </w:r>
            <w:r>
              <w:rPr>
                <w:sz w:val="24"/>
              </w:rPr>
              <w:t>grafito</w:t>
            </w:r>
          </w:p>
        </w:tc>
        <w:tc>
          <w:tcPr>
            <w:tcW w:w="737" w:type="dxa"/>
          </w:tcPr>
          <w:p>
            <w:pPr>
              <w:pStyle w:val="TableParagraph"/>
              <w:spacing w:before="10"/>
              <w:ind w:left="0"/>
              <w:rPr>
                <w:sz w:val="22"/>
              </w:rPr>
            </w:pPr>
          </w:p>
          <w:p>
            <w:pPr>
              <w:pStyle w:val="TableParagraph"/>
              <w:ind w:left="0" w:right="268"/>
              <w:jc w:val="right"/>
              <w:rPr>
                <w:sz w:val="24"/>
              </w:rPr>
            </w:pPr>
            <w:r>
              <w:rPr>
                <w:w w:val="99"/>
                <w:sz w:val="24"/>
              </w:rPr>
              <w:t>2</w:t>
            </w:r>
          </w:p>
        </w:tc>
      </w:tr>
      <w:tr>
        <w:trPr>
          <w:trHeight w:val="485" w:hRule="exact"/>
        </w:trPr>
        <w:tc>
          <w:tcPr>
            <w:tcW w:w="8134" w:type="dxa"/>
          </w:tcPr>
          <w:p>
            <w:pPr>
              <w:pStyle w:val="TableParagraph"/>
              <w:spacing w:before="126"/>
              <w:ind w:left="0" w:right="242"/>
              <w:jc w:val="right"/>
              <w:rPr>
                <w:sz w:val="24"/>
              </w:rPr>
            </w:pPr>
            <w:r>
              <w:rPr>
                <w:sz w:val="24"/>
              </w:rPr>
              <w:t>2.  Planteamiento del Problema ….……………...……………………….</w:t>
            </w:r>
          </w:p>
        </w:tc>
        <w:tc>
          <w:tcPr>
            <w:tcW w:w="737" w:type="dxa"/>
          </w:tcPr>
          <w:p>
            <w:pPr>
              <w:pStyle w:val="TableParagraph"/>
              <w:spacing w:before="126"/>
              <w:ind w:left="0" w:right="198"/>
              <w:jc w:val="right"/>
              <w:rPr>
                <w:sz w:val="24"/>
              </w:rPr>
            </w:pPr>
            <w:r>
              <w:rPr>
                <w:sz w:val="24"/>
              </w:rPr>
              <w:t>13</w:t>
            </w:r>
          </w:p>
        </w:tc>
      </w:tr>
      <w:tr>
        <w:trPr>
          <w:trHeight w:val="414" w:hRule="exact"/>
        </w:trPr>
        <w:tc>
          <w:tcPr>
            <w:tcW w:w="8134" w:type="dxa"/>
          </w:tcPr>
          <w:p>
            <w:pPr>
              <w:pStyle w:val="TableParagraph"/>
              <w:spacing w:before="57"/>
              <w:ind w:left="0" w:right="239"/>
              <w:jc w:val="right"/>
              <w:rPr>
                <w:sz w:val="24"/>
              </w:rPr>
            </w:pPr>
            <w:r>
              <w:rPr>
                <w:sz w:val="24"/>
              </w:rPr>
              <w:t>3.  Justificación ….………………………......……….………….…...……</w:t>
            </w:r>
          </w:p>
        </w:tc>
        <w:tc>
          <w:tcPr>
            <w:tcW w:w="737" w:type="dxa"/>
          </w:tcPr>
          <w:p>
            <w:pPr>
              <w:pStyle w:val="TableParagraph"/>
              <w:spacing w:before="57"/>
              <w:ind w:left="0" w:right="198"/>
              <w:jc w:val="right"/>
              <w:rPr>
                <w:sz w:val="24"/>
              </w:rPr>
            </w:pPr>
            <w:r>
              <w:rPr>
                <w:sz w:val="24"/>
              </w:rPr>
              <w:t>14</w:t>
            </w:r>
          </w:p>
        </w:tc>
      </w:tr>
      <w:tr>
        <w:trPr>
          <w:trHeight w:val="414" w:hRule="exact"/>
        </w:trPr>
        <w:tc>
          <w:tcPr>
            <w:tcW w:w="8134" w:type="dxa"/>
          </w:tcPr>
          <w:p>
            <w:pPr>
              <w:pStyle w:val="TableParagraph"/>
              <w:spacing w:before="55"/>
              <w:ind w:left="0" w:right="250"/>
              <w:jc w:val="right"/>
              <w:rPr>
                <w:sz w:val="24"/>
              </w:rPr>
            </w:pPr>
            <w:r>
              <w:rPr>
                <w:sz w:val="24"/>
              </w:rPr>
              <w:t>4.  Objetivos ……………………………………………………….……….</w:t>
            </w:r>
          </w:p>
        </w:tc>
        <w:tc>
          <w:tcPr>
            <w:tcW w:w="737" w:type="dxa"/>
          </w:tcPr>
          <w:p>
            <w:pPr>
              <w:pStyle w:val="TableParagraph"/>
              <w:spacing w:before="55"/>
              <w:ind w:left="0" w:right="198"/>
              <w:jc w:val="right"/>
              <w:rPr>
                <w:sz w:val="24"/>
              </w:rPr>
            </w:pPr>
            <w:r>
              <w:rPr>
                <w:sz w:val="24"/>
              </w:rPr>
              <w:t>16</w:t>
            </w:r>
          </w:p>
        </w:tc>
      </w:tr>
      <w:tr>
        <w:trPr>
          <w:trHeight w:val="414" w:hRule="exact"/>
        </w:trPr>
        <w:tc>
          <w:tcPr>
            <w:tcW w:w="8134" w:type="dxa"/>
          </w:tcPr>
          <w:p>
            <w:pPr>
              <w:pStyle w:val="TableParagraph"/>
              <w:spacing w:before="57"/>
              <w:ind w:left="0" w:right="263"/>
              <w:jc w:val="right"/>
              <w:rPr>
                <w:sz w:val="24"/>
              </w:rPr>
            </w:pPr>
            <w:r>
              <w:rPr>
                <w:sz w:val="24"/>
              </w:rPr>
              <w:t>5.  Hipótesis …………………………………………….……….…………</w:t>
            </w:r>
          </w:p>
        </w:tc>
        <w:tc>
          <w:tcPr>
            <w:tcW w:w="737" w:type="dxa"/>
          </w:tcPr>
          <w:p>
            <w:pPr>
              <w:pStyle w:val="TableParagraph"/>
              <w:spacing w:before="57"/>
              <w:ind w:left="0" w:right="198"/>
              <w:jc w:val="right"/>
              <w:rPr>
                <w:sz w:val="24"/>
              </w:rPr>
            </w:pPr>
            <w:r>
              <w:rPr>
                <w:sz w:val="24"/>
              </w:rPr>
              <w:t>17</w:t>
            </w:r>
          </w:p>
        </w:tc>
      </w:tr>
      <w:tr>
        <w:trPr>
          <w:trHeight w:val="1449" w:hRule="exact"/>
        </w:trPr>
        <w:tc>
          <w:tcPr>
            <w:tcW w:w="8134" w:type="dxa"/>
          </w:tcPr>
          <w:p>
            <w:pPr>
              <w:pStyle w:val="TableParagraph"/>
              <w:spacing w:before="55"/>
              <w:ind w:left="560" w:right="245"/>
              <w:rPr>
                <w:sz w:val="24"/>
              </w:rPr>
            </w:pPr>
            <w:r>
              <w:rPr>
                <w:sz w:val="24"/>
              </w:rPr>
              <w:t>6.  Material y Métodos   ……………………………………………..……</w:t>
            </w:r>
          </w:p>
          <w:p>
            <w:pPr>
              <w:pStyle w:val="TableParagraph"/>
              <w:numPr>
                <w:ilvl w:val="0"/>
                <w:numId w:val="3"/>
              </w:numPr>
              <w:tabs>
                <w:tab w:pos="560" w:val="left" w:leader="none"/>
              </w:tabs>
              <w:spacing w:line="240" w:lineRule="auto" w:before="139" w:after="0"/>
              <w:ind w:left="560" w:right="0" w:hanging="360"/>
              <w:jc w:val="left"/>
              <w:rPr>
                <w:sz w:val="24"/>
              </w:rPr>
            </w:pPr>
            <w:r>
              <w:rPr>
                <w:sz w:val="24"/>
              </w:rPr>
              <w:t>Primera fase de la investigación (prueba</w:t>
            </w:r>
            <w:r>
              <w:rPr>
                <w:spacing w:val="-17"/>
                <w:sz w:val="24"/>
              </w:rPr>
              <w:t> </w:t>
            </w:r>
            <w:r>
              <w:rPr>
                <w:sz w:val="24"/>
              </w:rPr>
              <w:t>piloto)</w:t>
            </w:r>
          </w:p>
          <w:p>
            <w:pPr>
              <w:pStyle w:val="TableParagraph"/>
              <w:numPr>
                <w:ilvl w:val="0"/>
                <w:numId w:val="3"/>
              </w:numPr>
              <w:tabs>
                <w:tab w:pos="560" w:val="left" w:leader="none"/>
              </w:tabs>
              <w:spacing w:line="240" w:lineRule="auto" w:before="137" w:after="0"/>
              <w:ind w:left="560" w:right="0" w:hanging="360"/>
              <w:jc w:val="left"/>
              <w:rPr>
                <w:sz w:val="24"/>
              </w:rPr>
            </w:pPr>
            <w:r>
              <w:rPr>
                <w:sz w:val="24"/>
              </w:rPr>
              <w:t>Segunda fase de la</w:t>
            </w:r>
            <w:r>
              <w:rPr>
                <w:spacing w:val="-13"/>
                <w:sz w:val="24"/>
              </w:rPr>
              <w:t> </w:t>
            </w:r>
            <w:r>
              <w:rPr>
                <w:sz w:val="24"/>
              </w:rPr>
              <w:t>investigación</w:t>
            </w:r>
          </w:p>
        </w:tc>
        <w:tc>
          <w:tcPr>
            <w:tcW w:w="737" w:type="dxa"/>
          </w:tcPr>
          <w:p>
            <w:pPr>
              <w:pStyle w:val="TableParagraph"/>
              <w:spacing w:before="55"/>
              <w:ind w:left="0" w:right="198"/>
              <w:jc w:val="right"/>
              <w:rPr>
                <w:sz w:val="24"/>
              </w:rPr>
            </w:pPr>
            <w:r>
              <w:rPr>
                <w:sz w:val="24"/>
              </w:rPr>
              <w:t>18</w:t>
            </w:r>
          </w:p>
        </w:tc>
      </w:tr>
      <w:tr>
        <w:trPr>
          <w:trHeight w:val="1362" w:hRule="exact"/>
        </w:trPr>
        <w:tc>
          <w:tcPr>
            <w:tcW w:w="8134" w:type="dxa"/>
          </w:tcPr>
          <w:p>
            <w:pPr>
              <w:pStyle w:val="TableParagraph"/>
              <w:spacing w:before="10"/>
              <w:ind w:left="0"/>
              <w:rPr>
                <w:sz w:val="22"/>
              </w:rPr>
            </w:pPr>
          </w:p>
          <w:p>
            <w:pPr>
              <w:pStyle w:val="TableParagraph"/>
              <w:spacing w:line="360" w:lineRule="auto"/>
              <w:ind w:left="560" w:right="245"/>
              <w:rPr>
                <w:sz w:val="24"/>
              </w:rPr>
            </w:pPr>
            <w:r>
              <w:rPr>
                <w:sz w:val="24"/>
              </w:rPr>
              <w:t>7. Resultados y tablas ..…………………………………….…………... 8.  Discusión …………………………………………………….……..….</w:t>
            </w:r>
          </w:p>
          <w:p>
            <w:pPr>
              <w:pStyle w:val="TableParagraph"/>
              <w:spacing w:before="2"/>
              <w:ind w:left="560" w:right="245"/>
              <w:rPr>
                <w:sz w:val="24"/>
              </w:rPr>
            </w:pPr>
            <w:r>
              <w:rPr>
                <w:sz w:val="24"/>
              </w:rPr>
              <w:t>9.  Conclusión …………………………………………………………..…</w:t>
            </w:r>
          </w:p>
        </w:tc>
        <w:tc>
          <w:tcPr>
            <w:tcW w:w="737" w:type="dxa"/>
          </w:tcPr>
          <w:p>
            <w:pPr>
              <w:pStyle w:val="TableParagraph"/>
              <w:spacing w:before="10"/>
              <w:ind w:left="0"/>
              <w:rPr>
                <w:sz w:val="22"/>
              </w:rPr>
            </w:pPr>
          </w:p>
          <w:p>
            <w:pPr>
              <w:pStyle w:val="TableParagraph"/>
              <w:ind w:left="268"/>
              <w:rPr>
                <w:sz w:val="24"/>
              </w:rPr>
            </w:pPr>
            <w:r>
              <w:rPr>
                <w:sz w:val="24"/>
              </w:rPr>
              <w:t>32</w:t>
            </w:r>
          </w:p>
          <w:p>
            <w:pPr>
              <w:pStyle w:val="TableParagraph"/>
              <w:spacing w:before="139"/>
              <w:ind w:left="241"/>
              <w:rPr>
                <w:sz w:val="24"/>
              </w:rPr>
            </w:pPr>
            <w:r>
              <w:rPr>
                <w:sz w:val="24"/>
              </w:rPr>
              <w:t>39</w:t>
            </w:r>
          </w:p>
          <w:p>
            <w:pPr>
              <w:pStyle w:val="TableParagraph"/>
              <w:spacing w:before="136"/>
              <w:ind w:left="241"/>
              <w:rPr>
                <w:sz w:val="24"/>
              </w:rPr>
            </w:pPr>
            <w:r>
              <w:rPr>
                <w:sz w:val="24"/>
              </w:rPr>
              <w:t>41</w:t>
            </w:r>
          </w:p>
        </w:tc>
      </w:tr>
    </w:tbl>
    <w:p>
      <w:pPr>
        <w:spacing w:after="0"/>
        <w:rPr>
          <w:sz w:val="24"/>
        </w:rPr>
        <w:sectPr>
          <w:pgSz w:w="12240" w:h="15840"/>
          <w:pgMar w:top="1360" w:bottom="280" w:left="1220" w:right="1700"/>
        </w:sect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69"/>
        <w:gridCol w:w="711"/>
      </w:tblGrid>
      <w:tr>
        <w:trPr>
          <w:trHeight w:val="1068" w:hRule="exact"/>
        </w:trPr>
        <w:tc>
          <w:tcPr>
            <w:tcW w:w="7769" w:type="dxa"/>
          </w:tcPr>
          <w:p>
            <w:pPr>
              <w:pStyle w:val="TableParagraph"/>
              <w:spacing w:line="245" w:lineRule="exact"/>
              <w:ind w:left="200"/>
              <w:rPr>
                <w:sz w:val="24"/>
              </w:rPr>
            </w:pPr>
            <w:r>
              <w:rPr>
                <w:sz w:val="24"/>
              </w:rPr>
              <w:t>10. Resumen ……………………………………………...…….………….</w:t>
            </w:r>
          </w:p>
          <w:p>
            <w:pPr>
              <w:pStyle w:val="TableParagraph"/>
              <w:spacing w:before="137"/>
              <w:ind w:left="200"/>
              <w:rPr>
                <w:sz w:val="24"/>
              </w:rPr>
            </w:pPr>
            <w:r>
              <w:rPr>
                <w:sz w:val="24"/>
              </w:rPr>
              <w:t>11. Referencias ………………..……………………………………..…….</w:t>
            </w:r>
          </w:p>
          <w:p>
            <w:pPr>
              <w:pStyle w:val="TableParagraph"/>
              <w:spacing w:before="139"/>
              <w:ind w:left="200"/>
              <w:rPr>
                <w:sz w:val="24"/>
              </w:rPr>
            </w:pPr>
            <w:r>
              <w:rPr>
                <w:sz w:val="24"/>
              </w:rPr>
              <w:t>12. Anexos ……………………………………………………….…………</w:t>
            </w:r>
          </w:p>
        </w:tc>
        <w:tc>
          <w:tcPr>
            <w:tcW w:w="711" w:type="dxa"/>
          </w:tcPr>
          <w:p>
            <w:pPr>
              <w:pStyle w:val="TableParagraph"/>
              <w:spacing w:line="245" w:lineRule="exact"/>
              <w:ind w:left="246"/>
              <w:rPr>
                <w:sz w:val="24"/>
              </w:rPr>
            </w:pPr>
            <w:r>
              <w:rPr>
                <w:sz w:val="24"/>
              </w:rPr>
              <w:t>42</w:t>
            </w:r>
          </w:p>
          <w:p>
            <w:pPr>
              <w:pStyle w:val="TableParagraph"/>
              <w:spacing w:before="137"/>
              <w:ind w:left="246"/>
              <w:rPr>
                <w:sz w:val="24"/>
              </w:rPr>
            </w:pPr>
            <w:r>
              <w:rPr>
                <w:sz w:val="24"/>
              </w:rPr>
              <w:t>44</w:t>
            </w:r>
          </w:p>
          <w:p>
            <w:pPr>
              <w:pStyle w:val="TableParagraph"/>
              <w:spacing w:before="139"/>
              <w:ind w:left="246"/>
              <w:rPr>
                <w:sz w:val="24"/>
              </w:rPr>
            </w:pPr>
            <w:r>
              <w:rPr>
                <w:sz w:val="24"/>
              </w:rPr>
              <w:t>47</w:t>
            </w:r>
          </w:p>
        </w:tc>
      </w:tr>
    </w:tbl>
    <w:p>
      <w:pPr>
        <w:spacing w:after="0"/>
        <w:rPr>
          <w:sz w:val="24"/>
        </w:rPr>
        <w:sectPr>
          <w:pgSz w:w="12240" w:h="15840"/>
          <w:pgMar w:top="1440" w:bottom="280" w:left="1580" w:right="1720"/>
        </w:sectPr>
      </w:pPr>
    </w:p>
    <w:p>
      <w:pPr>
        <w:pStyle w:val="Heading1"/>
        <w:ind w:left="1676" w:right="1676"/>
        <w:jc w:val="center"/>
      </w:pPr>
      <w:r>
        <w:rPr/>
        <w:t>INTRODUCCIÓN</w:t>
      </w:r>
    </w:p>
    <w:p>
      <w:pPr>
        <w:pStyle w:val="BodyText"/>
        <w:spacing w:before="5"/>
        <w:rPr>
          <w:b/>
          <w:sz w:val="29"/>
        </w:rPr>
      </w:pPr>
    </w:p>
    <w:p>
      <w:pPr>
        <w:pStyle w:val="BodyText"/>
        <w:spacing w:line="360" w:lineRule="auto"/>
        <w:ind w:left="118" w:right="122"/>
        <w:jc w:val="both"/>
      </w:pPr>
      <w:r>
        <w:rPr/>
        <w:t>La caries temprana de la infancia, antes conocida como caries de biberón, sigue siendo un problema de salud pública en nuestro país, ya que los programas no son efectivos para el cuidado y mantenimiento de la salud bucal de los pacientes pediátricos.</w:t>
      </w:r>
    </w:p>
    <w:p>
      <w:pPr>
        <w:pStyle w:val="BodyText"/>
      </w:pPr>
    </w:p>
    <w:p>
      <w:pPr>
        <w:pStyle w:val="BodyText"/>
      </w:pPr>
    </w:p>
    <w:p>
      <w:pPr>
        <w:pStyle w:val="BodyText"/>
        <w:spacing w:before="11"/>
        <w:rPr>
          <w:sz w:val="22"/>
        </w:rPr>
      </w:pPr>
    </w:p>
    <w:p>
      <w:pPr>
        <w:pStyle w:val="BodyText"/>
        <w:spacing w:line="360" w:lineRule="auto"/>
        <w:ind w:left="118" w:right="112"/>
        <w:jc w:val="both"/>
      </w:pPr>
      <w:r>
        <w:rPr/>
        <w:t>La</w:t>
      </w:r>
      <w:r>
        <w:rPr>
          <w:spacing w:val="-19"/>
        </w:rPr>
        <w:t> </w:t>
      </w:r>
      <w:r>
        <w:rPr/>
        <w:t>Academia</w:t>
      </w:r>
      <w:r>
        <w:rPr>
          <w:spacing w:val="-19"/>
        </w:rPr>
        <w:t> </w:t>
      </w:r>
      <w:r>
        <w:rPr/>
        <w:t>Americana</w:t>
      </w:r>
      <w:r>
        <w:rPr>
          <w:spacing w:val="-19"/>
        </w:rPr>
        <w:t> </w:t>
      </w:r>
      <w:r>
        <w:rPr/>
        <w:t>de</w:t>
      </w:r>
      <w:r>
        <w:rPr>
          <w:spacing w:val="-19"/>
        </w:rPr>
        <w:t> </w:t>
      </w:r>
      <w:r>
        <w:rPr/>
        <w:t>Odontopediatría</w:t>
      </w:r>
      <w:r>
        <w:rPr>
          <w:spacing w:val="-19"/>
        </w:rPr>
        <w:t> </w:t>
      </w:r>
      <w:r>
        <w:rPr/>
        <w:t>(AAPD)</w:t>
      </w:r>
      <w:r>
        <w:rPr>
          <w:spacing w:val="-21"/>
        </w:rPr>
        <w:t> </w:t>
      </w:r>
      <w:r>
        <w:rPr/>
        <w:t>la</w:t>
      </w:r>
      <w:r>
        <w:rPr>
          <w:spacing w:val="-19"/>
        </w:rPr>
        <w:t> </w:t>
      </w:r>
      <w:r>
        <w:rPr/>
        <w:t>ha</w:t>
      </w:r>
      <w:r>
        <w:rPr>
          <w:spacing w:val="-19"/>
        </w:rPr>
        <w:t> </w:t>
      </w:r>
      <w:r>
        <w:rPr/>
        <w:t>definido</w:t>
      </w:r>
      <w:r>
        <w:rPr>
          <w:spacing w:val="-19"/>
        </w:rPr>
        <w:t> </w:t>
      </w:r>
      <w:r>
        <w:rPr/>
        <w:t>como</w:t>
      </w:r>
      <w:r>
        <w:rPr>
          <w:spacing w:val="-21"/>
        </w:rPr>
        <w:t> </w:t>
      </w:r>
      <w:r>
        <w:rPr/>
        <w:t>una</w:t>
      </w:r>
      <w:r>
        <w:rPr>
          <w:spacing w:val="-21"/>
        </w:rPr>
        <w:t> </w:t>
      </w:r>
      <w:r>
        <w:rPr/>
        <w:t>enfermedad infecciosa caracterizada por la destrucción de los tejidos duros dentarios, provocada por la acción de los ácidos producidos por los</w:t>
      </w:r>
      <w:r>
        <w:rPr>
          <w:spacing w:val="-46"/>
        </w:rPr>
        <w:t> </w:t>
      </w:r>
      <w:r>
        <w:rPr/>
        <w:t>microorganismos que integran la placa dental. Es por ello que en Odontopediatría las coronas de níquel-cromo siguen siendo el tratamiento definitivo con un éxito del 90% en comparación con las amalgamas clase I y II; son aleaciones constituidas principalmente por níquel, cromo y hierro, tienen como principal</w:t>
      </w:r>
      <w:r>
        <w:rPr>
          <w:spacing w:val="-13"/>
        </w:rPr>
        <w:t> </w:t>
      </w:r>
      <w:r>
        <w:rPr/>
        <w:t>función,</w:t>
      </w:r>
      <w:r>
        <w:rPr>
          <w:spacing w:val="-12"/>
        </w:rPr>
        <w:t> </w:t>
      </w:r>
      <w:r>
        <w:rPr/>
        <w:t>la</w:t>
      </w:r>
      <w:r>
        <w:rPr>
          <w:spacing w:val="-12"/>
        </w:rPr>
        <w:t> </w:t>
      </w:r>
      <w:r>
        <w:rPr/>
        <w:t>preservación</w:t>
      </w:r>
      <w:r>
        <w:rPr>
          <w:spacing w:val="-9"/>
        </w:rPr>
        <w:t> </w:t>
      </w:r>
      <w:r>
        <w:rPr/>
        <w:t>del</w:t>
      </w:r>
      <w:r>
        <w:rPr>
          <w:spacing w:val="-13"/>
        </w:rPr>
        <w:t> </w:t>
      </w:r>
      <w:r>
        <w:rPr/>
        <w:t>órgano</w:t>
      </w:r>
      <w:r>
        <w:rPr>
          <w:spacing w:val="-12"/>
        </w:rPr>
        <w:t> </w:t>
      </w:r>
      <w:r>
        <w:rPr/>
        <w:t>dentario</w:t>
      </w:r>
      <w:r>
        <w:rPr>
          <w:spacing w:val="-12"/>
        </w:rPr>
        <w:t> </w:t>
      </w:r>
      <w:r>
        <w:rPr/>
        <w:t>temporal,</w:t>
      </w:r>
      <w:r>
        <w:rPr>
          <w:spacing w:val="-12"/>
        </w:rPr>
        <w:t> </w:t>
      </w:r>
      <w:r>
        <w:rPr/>
        <w:t>el</w:t>
      </w:r>
      <w:r>
        <w:rPr>
          <w:spacing w:val="-13"/>
        </w:rPr>
        <w:t> </w:t>
      </w:r>
      <w:r>
        <w:rPr/>
        <w:t>cual</w:t>
      </w:r>
      <w:r>
        <w:rPr>
          <w:spacing w:val="-11"/>
        </w:rPr>
        <w:t> </w:t>
      </w:r>
      <w:r>
        <w:rPr/>
        <w:t>ha</w:t>
      </w:r>
      <w:r>
        <w:rPr>
          <w:spacing w:val="-9"/>
        </w:rPr>
        <w:t> </w:t>
      </w:r>
      <w:r>
        <w:rPr/>
        <w:t>sufrido</w:t>
      </w:r>
      <w:r>
        <w:rPr>
          <w:spacing w:val="-12"/>
        </w:rPr>
        <w:t> </w:t>
      </w:r>
      <w:r>
        <w:rPr/>
        <w:t>un</w:t>
      </w:r>
      <w:r>
        <w:rPr>
          <w:spacing w:val="-12"/>
        </w:rPr>
        <w:t> </w:t>
      </w:r>
      <w:r>
        <w:rPr/>
        <w:t>daño irreversible en su estructura a causa de caries</w:t>
      </w:r>
      <w:r>
        <w:rPr>
          <w:spacing w:val="-15"/>
        </w:rPr>
        <w:t> </w:t>
      </w:r>
      <w:r>
        <w:rPr/>
        <w:t>dental.</w:t>
      </w:r>
    </w:p>
    <w:p>
      <w:pPr>
        <w:pStyle w:val="BodyText"/>
      </w:pPr>
    </w:p>
    <w:p>
      <w:pPr>
        <w:pStyle w:val="BodyText"/>
        <w:spacing w:before="7"/>
        <w:rPr>
          <w:sz w:val="29"/>
        </w:rPr>
      </w:pPr>
    </w:p>
    <w:p>
      <w:pPr>
        <w:pStyle w:val="BodyText"/>
        <w:spacing w:line="360" w:lineRule="auto"/>
        <w:ind w:left="118" w:right="120"/>
        <w:jc w:val="both"/>
      </w:pPr>
      <w:r>
        <w:rPr/>
        <w:t>Las coronas níquel-cromo tienen características importantes tales como resistencia, durabilidad, protegen al órgano dentario al estar en contacto con el medio bucal.</w:t>
      </w:r>
    </w:p>
    <w:p>
      <w:pPr>
        <w:pStyle w:val="BodyText"/>
      </w:pPr>
    </w:p>
    <w:p>
      <w:pPr>
        <w:pStyle w:val="BodyText"/>
        <w:spacing w:line="360" w:lineRule="auto" w:before="142"/>
        <w:ind w:left="118" w:right="119"/>
        <w:jc w:val="both"/>
      </w:pPr>
      <w:r>
        <w:rPr/>
        <w:t>Diversos factores como la higiene bucal, </w:t>
      </w:r>
      <w:r>
        <w:rPr>
          <w:spacing w:val="2"/>
        </w:rPr>
        <w:t>el </w:t>
      </w:r>
      <w:r>
        <w:rPr/>
        <w:t>pH salival y la alimentación influyen en la biodegradación,</w:t>
      </w:r>
      <w:r>
        <w:rPr>
          <w:spacing w:val="-13"/>
        </w:rPr>
        <w:t> </w:t>
      </w:r>
      <w:r>
        <w:rPr/>
        <w:t>corrosión</w:t>
      </w:r>
      <w:r>
        <w:rPr>
          <w:spacing w:val="-10"/>
        </w:rPr>
        <w:t> </w:t>
      </w:r>
      <w:r>
        <w:rPr/>
        <w:t>y</w:t>
      </w:r>
      <w:r>
        <w:rPr>
          <w:spacing w:val="-14"/>
        </w:rPr>
        <w:t> </w:t>
      </w:r>
      <w:r>
        <w:rPr/>
        <w:t>en</w:t>
      </w:r>
      <w:r>
        <w:rPr>
          <w:spacing w:val="-13"/>
        </w:rPr>
        <w:t> </w:t>
      </w:r>
      <w:r>
        <w:rPr/>
        <w:t>tal</w:t>
      </w:r>
      <w:r>
        <w:rPr>
          <w:spacing w:val="-12"/>
        </w:rPr>
        <w:t> </w:t>
      </w:r>
      <w:r>
        <w:rPr/>
        <w:t>caso</w:t>
      </w:r>
      <w:r>
        <w:rPr>
          <w:spacing w:val="-13"/>
        </w:rPr>
        <w:t> </w:t>
      </w:r>
      <w:r>
        <w:rPr/>
        <w:t>es</w:t>
      </w:r>
      <w:r>
        <w:rPr>
          <w:spacing w:val="-12"/>
        </w:rPr>
        <w:t> </w:t>
      </w:r>
      <w:r>
        <w:rPr/>
        <w:t>posible</w:t>
      </w:r>
      <w:r>
        <w:rPr>
          <w:spacing w:val="-11"/>
        </w:rPr>
        <w:t> </w:t>
      </w:r>
      <w:r>
        <w:rPr/>
        <w:t>que</w:t>
      </w:r>
      <w:r>
        <w:rPr>
          <w:spacing w:val="-13"/>
        </w:rPr>
        <w:t> </w:t>
      </w:r>
      <w:r>
        <w:rPr/>
        <w:t>el</w:t>
      </w:r>
      <w:r>
        <w:rPr>
          <w:spacing w:val="-12"/>
        </w:rPr>
        <w:t> </w:t>
      </w:r>
      <w:r>
        <w:rPr/>
        <w:t>níquel,</w:t>
      </w:r>
      <w:r>
        <w:rPr>
          <w:spacing w:val="-12"/>
        </w:rPr>
        <w:t> </w:t>
      </w:r>
      <w:r>
        <w:rPr/>
        <w:t>cromo</w:t>
      </w:r>
      <w:r>
        <w:rPr>
          <w:spacing w:val="-11"/>
        </w:rPr>
        <w:t> </w:t>
      </w:r>
      <w:r>
        <w:rPr/>
        <w:t>y</w:t>
      </w:r>
      <w:r>
        <w:rPr>
          <w:spacing w:val="-14"/>
        </w:rPr>
        <w:t> </w:t>
      </w:r>
      <w:r>
        <w:rPr/>
        <w:t>el</w:t>
      </w:r>
      <w:r>
        <w:rPr>
          <w:spacing w:val="-12"/>
        </w:rPr>
        <w:t> </w:t>
      </w:r>
      <w:r>
        <w:rPr/>
        <w:t>hierro</w:t>
      </w:r>
      <w:r>
        <w:rPr>
          <w:spacing w:val="-13"/>
        </w:rPr>
        <w:t> </w:t>
      </w:r>
      <w:r>
        <w:rPr/>
        <w:t>puedan ser liberados y difundidos a los tejidos blandos, pudiendo desencadenar efecto o daño adverso al</w:t>
      </w:r>
      <w:r>
        <w:rPr>
          <w:spacing w:val="-9"/>
        </w:rPr>
        <w:t> </w:t>
      </w:r>
      <w:r>
        <w:rPr/>
        <w:t>organismo.</w:t>
      </w:r>
    </w:p>
    <w:p>
      <w:pPr>
        <w:pStyle w:val="BodyText"/>
      </w:pPr>
    </w:p>
    <w:p>
      <w:pPr>
        <w:pStyle w:val="BodyText"/>
        <w:spacing w:line="360" w:lineRule="auto" w:before="142"/>
        <w:ind w:left="118" w:right="113"/>
        <w:jc w:val="both"/>
      </w:pPr>
      <w:r>
        <w:rPr/>
        <w:t>Por</w:t>
      </w:r>
      <w:r>
        <w:rPr>
          <w:spacing w:val="-5"/>
        </w:rPr>
        <w:t> </w:t>
      </w:r>
      <w:r>
        <w:rPr/>
        <w:t>lo</w:t>
      </w:r>
      <w:r>
        <w:rPr>
          <w:spacing w:val="-6"/>
        </w:rPr>
        <w:t> </w:t>
      </w:r>
      <w:r>
        <w:rPr/>
        <w:t>anterior,</w:t>
      </w:r>
      <w:r>
        <w:rPr>
          <w:spacing w:val="-5"/>
        </w:rPr>
        <w:t> </w:t>
      </w:r>
      <w:r>
        <w:rPr/>
        <w:t>el</w:t>
      </w:r>
      <w:r>
        <w:rPr>
          <w:spacing w:val="-6"/>
        </w:rPr>
        <w:t> </w:t>
      </w:r>
      <w:r>
        <w:rPr/>
        <w:t>propósito</w:t>
      </w:r>
      <w:r>
        <w:rPr>
          <w:spacing w:val="-6"/>
        </w:rPr>
        <w:t> </w:t>
      </w:r>
      <w:r>
        <w:rPr/>
        <w:t>fundamental</w:t>
      </w:r>
      <w:r>
        <w:rPr>
          <w:spacing w:val="-5"/>
        </w:rPr>
        <w:t> </w:t>
      </w:r>
      <w:r>
        <w:rPr/>
        <w:t>de</w:t>
      </w:r>
      <w:r>
        <w:rPr>
          <w:spacing w:val="-6"/>
        </w:rPr>
        <w:t> </w:t>
      </w:r>
      <w:r>
        <w:rPr/>
        <w:t>este</w:t>
      </w:r>
      <w:r>
        <w:rPr>
          <w:spacing w:val="-3"/>
        </w:rPr>
        <w:t> </w:t>
      </w:r>
      <w:r>
        <w:rPr/>
        <w:t>trabajo</w:t>
      </w:r>
      <w:r>
        <w:rPr>
          <w:spacing w:val="-5"/>
        </w:rPr>
        <w:t> </w:t>
      </w:r>
      <w:r>
        <w:rPr/>
        <w:t>es</w:t>
      </w:r>
      <w:r>
        <w:rPr>
          <w:spacing w:val="-7"/>
        </w:rPr>
        <w:t> </w:t>
      </w:r>
      <w:r>
        <w:rPr/>
        <w:t>la</w:t>
      </w:r>
      <w:r>
        <w:rPr>
          <w:spacing w:val="-6"/>
        </w:rPr>
        <w:t> </w:t>
      </w:r>
      <w:r>
        <w:rPr/>
        <w:t>detección</w:t>
      </w:r>
      <w:r>
        <w:rPr>
          <w:spacing w:val="-2"/>
        </w:rPr>
        <w:t> </w:t>
      </w:r>
      <w:r>
        <w:rPr/>
        <w:t>de</w:t>
      </w:r>
      <w:r>
        <w:rPr>
          <w:spacing w:val="-5"/>
        </w:rPr>
        <w:t> </w:t>
      </w:r>
      <w:r>
        <w:rPr/>
        <w:t>níquel,</w:t>
      </w:r>
      <w:r>
        <w:rPr>
          <w:spacing w:val="-4"/>
        </w:rPr>
        <w:t> </w:t>
      </w:r>
      <w:r>
        <w:rPr/>
        <w:t>cromo y hierro liberados en saliva después de la colocación de coronas níquel- cromo en pacientes sometidos a rehabilitación bucal en un periodo de 2 meses, en la Clínica de Odontopediatría de la Universidad Autónoma del Estado de</w:t>
      </w:r>
      <w:r>
        <w:rPr>
          <w:spacing w:val="-23"/>
        </w:rPr>
        <w:t> </w:t>
      </w:r>
      <w:r>
        <w:rPr/>
        <w:t>México.</w:t>
      </w:r>
    </w:p>
    <w:p>
      <w:pPr>
        <w:spacing w:after="0" w:line="360" w:lineRule="auto"/>
        <w:jc w:val="both"/>
        <w:sectPr>
          <w:footerReference w:type="default" r:id="rId7"/>
          <w:pgSz w:w="12240" w:h="15840"/>
          <w:pgMar w:footer="887" w:header="0" w:top="1360" w:bottom="1080" w:left="1300" w:right="1300"/>
          <w:pgNumType w:start="1"/>
        </w:sectPr>
      </w:pPr>
    </w:p>
    <w:p>
      <w:pPr>
        <w:pStyle w:val="Heading1"/>
        <w:numPr>
          <w:ilvl w:val="3"/>
          <w:numId w:val="1"/>
        </w:numPr>
        <w:tabs>
          <w:tab w:pos="4560" w:val="left" w:leader="none"/>
        </w:tabs>
        <w:spacing w:line="240" w:lineRule="auto" w:before="56" w:after="0"/>
        <w:ind w:left="4559" w:right="0" w:hanging="360"/>
        <w:jc w:val="left"/>
      </w:pPr>
      <w:r>
        <w:rPr/>
        <w:t>ANTECEDENTES</w:t>
      </w:r>
    </w:p>
    <w:p>
      <w:pPr>
        <w:pStyle w:val="BodyText"/>
        <w:rPr>
          <w:b/>
        </w:rPr>
      </w:pPr>
    </w:p>
    <w:p>
      <w:pPr>
        <w:pStyle w:val="BodyText"/>
        <w:rPr>
          <w:b/>
        </w:rPr>
      </w:pPr>
    </w:p>
    <w:p>
      <w:pPr>
        <w:pStyle w:val="ListParagraph"/>
        <w:numPr>
          <w:ilvl w:val="0"/>
          <w:numId w:val="4"/>
        </w:numPr>
        <w:tabs>
          <w:tab w:pos="479" w:val="left" w:leader="none"/>
        </w:tabs>
        <w:spacing w:line="240" w:lineRule="auto" w:before="0" w:after="0"/>
        <w:ind w:left="478" w:right="0" w:hanging="360"/>
        <w:jc w:val="both"/>
        <w:rPr>
          <w:b/>
          <w:sz w:val="24"/>
        </w:rPr>
      </w:pPr>
      <w:r>
        <w:rPr>
          <w:b/>
          <w:sz w:val="24"/>
        </w:rPr>
        <w:t>Coronas níquel</w:t>
      </w:r>
      <w:r>
        <w:rPr>
          <w:b/>
          <w:spacing w:val="-6"/>
          <w:sz w:val="24"/>
        </w:rPr>
        <w:t> </w:t>
      </w:r>
      <w:r>
        <w:rPr>
          <w:b/>
          <w:sz w:val="24"/>
        </w:rPr>
        <w:t>cromo</w:t>
      </w:r>
    </w:p>
    <w:p>
      <w:pPr>
        <w:pStyle w:val="BodyText"/>
        <w:spacing w:line="357" w:lineRule="auto" w:before="137"/>
        <w:ind w:left="118" w:right="114"/>
        <w:jc w:val="both"/>
        <w:rPr>
          <w:sz w:val="16"/>
        </w:rPr>
      </w:pPr>
      <w:r>
        <w:rPr/>
        <w:t>Se introdujeron a la odontología pediátrica por Humphrey en 1950. Desde entonces se han</w:t>
      </w:r>
      <w:r>
        <w:rPr>
          <w:spacing w:val="-8"/>
        </w:rPr>
        <w:t> </w:t>
      </w:r>
      <w:r>
        <w:rPr/>
        <w:t>convertido</w:t>
      </w:r>
      <w:r>
        <w:rPr>
          <w:spacing w:val="-8"/>
        </w:rPr>
        <w:t> </w:t>
      </w:r>
      <w:r>
        <w:rPr/>
        <w:t>en</w:t>
      </w:r>
      <w:r>
        <w:rPr>
          <w:spacing w:val="-8"/>
        </w:rPr>
        <w:t> </w:t>
      </w:r>
      <w:r>
        <w:rPr/>
        <w:t>una</w:t>
      </w:r>
      <w:r>
        <w:rPr>
          <w:spacing w:val="-8"/>
        </w:rPr>
        <w:t> </w:t>
      </w:r>
      <w:r>
        <w:rPr/>
        <w:t>técnica</w:t>
      </w:r>
      <w:r>
        <w:rPr>
          <w:spacing w:val="-9"/>
        </w:rPr>
        <w:t> </w:t>
      </w:r>
      <w:r>
        <w:rPr/>
        <w:t>de</w:t>
      </w:r>
      <w:r>
        <w:rPr>
          <w:spacing w:val="-8"/>
        </w:rPr>
        <w:t> </w:t>
      </w:r>
      <w:r>
        <w:rPr/>
        <w:t>restauración</w:t>
      </w:r>
      <w:r>
        <w:rPr>
          <w:spacing w:val="-6"/>
        </w:rPr>
        <w:t> </w:t>
      </w:r>
      <w:r>
        <w:rPr/>
        <w:t>definitiva</w:t>
      </w:r>
      <w:r>
        <w:rPr>
          <w:spacing w:val="-6"/>
        </w:rPr>
        <w:t> </w:t>
      </w:r>
      <w:r>
        <w:rPr/>
        <w:t>de</w:t>
      </w:r>
      <w:r>
        <w:rPr>
          <w:spacing w:val="-8"/>
        </w:rPr>
        <w:t> </w:t>
      </w:r>
      <w:r>
        <w:rPr/>
        <w:t>gran</w:t>
      </w:r>
      <w:r>
        <w:rPr>
          <w:spacing w:val="-6"/>
        </w:rPr>
        <w:t> </w:t>
      </w:r>
      <w:r>
        <w:rPr/>
        <w:t>valor</w:t>
      </w:r>
      <w:r>
        <w:rPr>
          <w:spacing w:val="-1"/>
        </w:rPr>
        <w:t> </w:t>
      </w:r>
      <w:r>
        <w:rPr/>
        <w:t>para</w:t>
      </w:r>
      <w:r>
        <w:rPr>
          <w:spacing w:val="-9"/>
        </w:rPr>
        <w:t> </w:t>
      </w:r>
      <w:r>
        <w:rPr/>
        <w:t>el</w:t>
      </w:r>
      <w:r>
        <w:rPr>
          <w:spacing w:val="-10"/>
        </w:rPr>
        <w:t> </w:t>
      </w:r>
      <w:r>
        <w:rPr/>
        <w:t>tratamiento de los dientes</w:t>
      </w:r>
      <w:r>
        <w:rPr>
          <w:spacing w:val="-7"/>
        </w:rPr>
        <w:t> </w:t>
      </w:r>
      <w:r>
        <w:rPr/>
        <w:t>temporales.</w:t>
      </w:r>
      <w:r>
        <w:rPr>
          <w:position w:val="8"/>
          <w:sz w:val="16"/>
        </w:rPr>
        <w:t>1</w:t>
      </w:r>
    </w:p>
    <w:p>
      <w:pPr>
        <w:pStyle w:val="BodyText"/>
        <w:spacing w:line="360" w:lineRule="auto" w:before="203"/>
        <w:ind w:left="118" w:right="123"/>
        <w:jc w:val="both"/>
      </w:pPr>
      <w:r>
        <w:rPr/>
        <w:t>Son restauraciones extracoronarias preformadas, útiles sobre todo para la restauración de:</w:t>
      </w:r>
    </w:p>
    <w:p>
      <w:pPr>
        <w:pStyle w:val="ListParagraph"/>
        <w:numPr>
          <w:ilvl w:val="1"/>
          <w:numId w:val="4"/>
        </w:numPr>
        <w:tabs>
          <w:tab w:pos="839" w:val="left" w:leader="none"/>
        </w:tabs>
        <w:spacing w:line="240" w:lineRule="auto" w:before="202" w:after="0"/>
        <w:ind w:left="838" w:right="0" w:hanging="360"/>
        <w:jc w:val="left"/>
        <w:rPr>
          <w:sz w:val="24"/>
        </w:rPr>
      </w:pPr>
      <w:r>
        <w:rPr>
          <w:sz w:val="24"/>
        </w:rPr>
        <w:t>Dientes con caries</w:t>
      </w:r>
      <w:r>
        <w:rPr>
          <w:spacing w:val="-8"/>
          <w:sz w:val="24"/>
        </w:rPr>
        <w:t> </w:t>
      </w:r>
      <w:r>
        <w:rPr>
          <w:sz w:val="24"/>
        </w:rPr>
        <w:t>extensa</w:t>
      </w:r>
    </w:p>
    <w:p>
      <w:pPr>
        <w:pStyle w:val="ListParagraph"/>
        <w:numPr>
          <w:ilvl w:val="1"/>
          <w:numId w:val="4"/>
        </w:numPr>
        <w:tabs>
          <w:tab w:pos="839" w:val="left" w:leader="none"/>
        </w:tabs>
        <w:spacing w:line="240" w:lineRule="auto" w:before="139" w:after="0"/>
        <w:ind w:left="838" w:right="0" w:hanging="360"/>
        <w:jc w:val="left"/>
        <w:rPr>
          <w:sz w:val="24"/>
        </w:rPr>
      </w:pPr>
      <w:r>
        <w:rPr>
          <w:sz w:val="24"/>
        </w:rPr>
        <w:t>Molares temporales en los que se ha realizado un tratamiento</w:t>
      </w:r>
      <w:r>
        <w:rPr>
          <w:spacing w:val="-23"/>
          <w:sz w:val="24"/>
        </w:rPr>
        <w:t> </w:t>
      </w:r>
      <w:r>
        <w:rPr>
          <w:sz w:val="24"/>
        </w:rPr>
        <w:t>pulpar</w:t>
      </w:r>
    </w:p>
    <w:p>
      <w:pPr>
        <w:pStyle w:val="ListParagraph"/>
        <w:numPr>
          <w:ilvl w:val="1"/>
          <w:numId w:val="4"/>
        </w:numPr>
        <w:tabs>
          <w:tab w:pos="839" w:val="left" w:leader="none"/>
        </w:tabs>
        <w:spacing w:line="240" w:lineRule="auto" w:before="137" w:after="0"/>
        <w:ind w:left="838" w:right="0" w:hanging="360"/>
        <w:jc w:val="left"/>
        <w:rPr>
          <w:sz w:val="24"/>
        </w:rPr>
      </w:pPr>
      <w:r>
        <w:rPr>
          <w:sz w:val="24"/>
        </w:rPr>
        <w:t>Dientes temporales o permanentes</w:t>
      </w:r>
      <w:r>
        <w:rPr>
          <w:spacing w:val="-14"/>
          <w:sz w:val="24"/>
        </w:rPr>
        <w:t> </w:t>
      </w:r>
      <w:r>
        <w:rPr>
          <w:sz w:val="24"/>
        </w:rPr>
        <w:t>hipoplásicos</w:t>
      </w:r>
    </w:p>
    <w:p>
      <w:pPr>
        <w:pStyle w:val="ListParagraph"/>
        <w:numPr>
          <w:ilvl w:val="1"/>
          <w:numId w:val="4"/>
        </w:numPr>
        <w:tabs>
          <w:tab w:pos="839" w:val="left" w:leader="none"/>
        </w:tabs>
        <w:spacing w:line="355" w:lineRule="auto" w:before="139" w:after="0"/>
        <w:ind w:left="838" w:right="116" w:hanging="360"/>
        <w:jc w:val="left"/>
        <w:rPr>
          <w:sz w:val="16"/>
        </w:rPr>
      </w:pPr>
      <w:r>
        <w:rPr>
          <w:sz w:val="24"/>
        </w:rPr>
        <w:t>Denticiones de niños con alto riesgo de caries, pacientes candidatos a rehabilitación bajo anestesia</w:t>
      </w:r>
      <w:r>
        <w:rPr>
          <w:spacing w:val="-11"/>
          <w:sz w:val="24"/>
        </w:rPr>
        <w:t> </w:t>
      </w:r>
      <w:r>
        <w:rPr>
          <w:sz w:val="24"/>
        </w:rPr>
        <w:t>general.</w:t>
      </w:r>
      <w:r>
        <w:rPr>
          <w:position w:val="8"/>
          <w:sz w:val="16"/>
        </w:rPr>
        <w:t>2</w:t>
      </w:r>
    </w:p>
    <w:p>
      <w:pPr>
        <w:pStyle w:val="BodyText"/>
        <w:rPr>
          <w:sz w:val="26"/>
        </w:rPr>
      </w:pPr>
    </w:p>
    <w:p>
      <w:pPr>
        <w:pStyle w:val="BodyText"/>
        <w:rPr>
          <w:sz w:val="28"/>
        </w:rPr>
      </w:pPr>
    </w:p>
    <w:p>
      <w:pPr>
        <w:pStyle w:val="Heading1"/>
        <w:numPr>
          <w:ilvl w:val="1"/>
          <w:numId w:val="5"/>
        </w:numPr>
        <w:tabs>
          <w:tab w:pos="559" w:val="left" w:leader="none"/>
        </w:tabs>
        <w:spacing w:line="240" w:lineRule="auto" w:before="0" w:after="0"/>
        <w:ind w:left="118" w:right="0" w:firstLine="0"/>
        <w:jc w:val="both"/>
      </w:pPr>
      <w:r>
        <w:rPr/>
        <w:t>Composición</w:t>
      </w:r>
    </w:p>
    <w:p>
      <w:pPr>
        <w:pStyle w:val="BodyText"/>
        <w:rPr>
          <w:b/>
          <w:sz w:val="20"/>
        </w:rPr>
      </w:pPr>
    </w:p>
    <w:p>
      <w:pPr>
        <w:pStyle w:val="BodyText"/>
        <w:spacing w:before="8" w:after="1"/>
        <w:rPr>
          <w:b/>
          <w:sz w:val="13"/>
        </w:rPr>
      </w:pPr>
    </w:p>
    <w:tbl>
      <w:tblPr>
        <w:tblW w:w="0" w:type="auto"/>
        <w:jc w:val="left"/>
        <w:tblInd w:w="209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95"/>
        <w:gridCol w:w="1405"/>
        <w:gridCol w:w="1119"/>
      </w:tblGrid>
      <w:tr>
        <w:trPr>
          <w:trHeight w:val="392" w:hRule="exact"/>
        </w:trPr>
        <w:tc>
          <w:tcPr>
            <w:tcW w:w="1795" w:type="dxa"/>
            <w:tcBorders>
              <w:top w:val="single" w:sz="4" w:space="0" w:color="7E7E7E"/>
              <w:bottom w:val="single" w:sz="4" w:space="0" w:color="7E7E7E"/>
            </w:tcBorders>
          </w:tcPr>
          <w:p>
            <w:pPr>
              <w:pStyle w:val="TableParagraph"/>
              <w:spacing w:line="249" w:lineRule="exact"/>
              <w:ind w:left="122"/>
              <w:rPr>
                <w:b/>
                <w:sz w:val="22"/>
              </w:rPr>
            </w:pPr>
            <w:r>
              <w:rPr>
                <w:b/>
                <w:sz w:val="22"/>
              </w:rPr>
              <w:t>Concentración</w:t>
            </w:r>
          </w:p>
        </w:tc>
        <w:tc>
          <w:tcPr>
            <w:tcW w:w="1405" w:type="dxa"/>
            <w:tcBorders>
              <w:top w:val="single" w:sz="4" w:space="0" w:color="7E7E7E"/>
              <w:bottom w:val="single" w:sz="4" w:space="0" w:color="7E7E7E"/>
            </w:tcBorders>
          </w:tcPr>
          <w:p>
            <w:pPr>
              <w:pStyle w:val="TableParagraph"/>
              <w:spacing w:line="249" w:lineRule="exact"/>
              <w:ind w:left="128"/>
              <w:rPr>
                <w:b/>
                <w:sz w:val="22"/>
              </w:rPr>
            </w:pPr>
            <w:r>
              <w:rPr>
                <w:b/>
                <w:sz w:val="22"/>
              </w:rPr>
              <w:t>Metal</w:t>
            </w:r>
          </w:p>
        </w:tc>
        <w:tc>
          <w:tcPr>
            <w:tcW w:w="1119" w:type="dxa"/>
            <w:tcBorders>
              <w:top w:val="single" w:sz="4" w:space="0" w:color="7E7E7E"/>
              <w:bottom w:val="single" w:sz="4" w:space="0" w:color="7E7E7E"/>
            </w:tcBorders>
          </w:tcPr>
          <w:p>
            <w:pPr/>
          </w:p>
        </w:tc>
      </w:tr>
      <w:tr>
        <w:trPr>
          <w:trHeight w:val="422" w:hRule="exact"/>
        </w:trPr>
        <w:tc>
          <w:tcPr>
            <w:tcW w:w="1795" w:type="dxa"/>
            <w:tcBorders>
              <w:top w:val="single" w:sz="4" w:space="0" w:color="7E7E7E"/>
              <w:bottom w:val="single" w:sz="4" w:space="0" w:color="7E7E7E"/>
            </w:tcBorders>
          </w:tcPr>
          <w:p>
            <w:pPr>
              <w:pStyle w:val="TableParagraph"/>
              <w:spacing w:line="274" w:lineRule="exact"/>
              <w:ind w:left="122"/>
              <w:rPr>
                <w:b/>
                <w:sz w:val="24"/>
              </w:rPr>
            </w:pPr>
            <w:r>
              <w:rPr>
                <w:b/>
                <w:sz w:val="24"/>
              </w:rPr>
              <w:t>77%</w:t>
            </w:r>
          </w:p>
        </w:tc>
        <w:tc>
          <w:tcPr>
            <w:tcW w:w="1405" w:type="dxa"/>
            <w:tcBorders>
              <w:top w:val="single" w:sz="4" w:space="0" w:color="7E7E7E"/>
              <w:bottom w:val="single" w:sz="4" w:space="0" w:color="7E7E7E"/>
            </w:tcBorders>
          </w:tcPr>
          <w:p>
            <w:pPr>
              <w:pStyle w:val="TableParagraph"/>
              <w:spacing w:line="274" w:lineRule="exact"/>
              <w:ind w:left="128"/>
              <w:rPr>
                <w:sz w:val="24"/>
              </w:rPr>
            </w:pPr>
            <w:r>
              <w:rPr>
                <w:sz w:val="24"/>
              </w:rPr>
              <w:t>Níquel</w:t>
            </w:r>
          </w:p>
        </w:tc>
        <w:tc>
          <w:tcPr>
            <w:tcW w:w="1119" w:type="dxa"/>
            <w:tcBorders>
              <w:top w:val="single" w:sz="4" w:space="0" w:color="7E7E7E"/>
              <w:bottom w:val="single" w:sz="4" w:space="0" w:color="7E7E7E"/>
            </w:tcBorders>
          </w:tcPr>
          <w:p>
            <w:pPr>
              <w:pStyle w:val="TableParagraph"/>
              <w:spacing w:line="274" w:lineRule="exact"/>
              <w:ind w:left="0" w:right="176"/>
              <w:jc w:val="right"/>
              <w:rPr>
                <w:sz w:val="24"/>
              </w:rPr>
            </w:pPr>
            <w:r>
              <w:rPr>
                <w:sz w:val="24"/>
              </w:rPr>
              <w:t>(Ni)</w:t>
            </w:r>
          </w:p>
        </w:tc>
      </w:tr>
      <w:tr>
        <w:trPr>
          <w:trHeight w:val="425" w:hRule="exact"/>
        </w:trPr>
        <w:tc>
          <w:tcPr>
            <w:tcW w:w="1795" w:type="dxa"/>
            <w:tcBorders>
              <w:top w:val="single" w:sz="4" w:space="0" w:color="7E7E7E"/>
              <w:bottom w:val="single" w:sz="4" w:space="0" w:color="7E7E7E"/>
            </w:tcBorders>
          </w:tcPr>
          <w:p>
            <w:pPr>
              <w:pStyle w:val="TableParagraph"/>
              <w:spacing w:line="274" w:lineRule="exact"/>
              <w:ind w:left="122"/>
              <w:rPr>
                <w:b/>
                <w:sz w:val="24"/>
              </w:rPr>
            </w:pPr>
            <w:r>
              <w:rPr>
                <w:b/>
                <w:sz w:val="24"/>
              </w:rPr>
              <w:t>15%</w:t>
            </w:r>
          </w:p>
        </w:tc>
        <w:tc>
          <w:tcPr>
            <w:tcW w:w="1405" w:type="dxa"/>
            <w:tcBorders>
              <w:top w:val="single" w:sz="4" w:space="0" w:color="7E7E7E"/>
              <w:bottom w:val="single" w:sz="4" w:space="0" w:color="7E7E7E"/>
            </w:tcBorders>
          </w:tcPr>
          <w:p>
            <w:pPr>
              <w:pStyle w:val="TableParagraph"/>
              <w:spacing w:line="274" w:lineRule="exact"/>
              <w:ind w:left="128"/>
              <w:rPr>
                <w:sz w:val="24"/>
              </w:rPr>
            </w:pPr>
            <w:r>
              <w:rPr>
                <w:sz w:val="24"/>
              </w:rPr>
              <w:t>Cromo</w:t>
            </w:r>
          </w:p>
        </w:tc>
        <w:tc>
          <w:tcPr>
            <w:tcW w:w="1119" w:type="dxa"/>
            <w:tcBorders>
              <w:top w:val="single" w:sz="4" w:space="0" w:color="7E7E7E"/>
              <w:bottom w:val="single" w:sz="4" w:space="0" w:color="7E7E7E"/>
            </w:tcBorders>
          </w:tcPr>
          <w:p>
            <w:pPr>
              <w:pStyle w:val="TableParagraph"/>
              <w:spacing w:line="274" w:lineRule="exact"/>
              <w:ind w:left="0" w:right="150"/>
              <w:jc w:val="right"/>
              <w:rPr>
                <w:sz w:val="24"/>
              </w:rPr>
            </w:pPr>
            <w:r>
              <w:rPr>
                <w:sz w:val="24"/>
              </w:rPr>
              <w:t>(Cr)</w:t>
            </w:r>
          </w:p>
        </w:tc>
      </w:tr>
      <w:tr>
        <w:trPr>
          <w:trHeight w:val="425" w:hRule="exact"/>
        </w:trPr>
        <w:tc>
          <w:tcPr>
            <w:tcW w:w="1795" w:type="dxa"/>
            <w:tcBorders>
              <w:top w:val="single" w:sz="4" w:space="0" w:color="7E7E7E"/>
              <w:bottom w:val="single" w:sz="4" w:space="0" w:color="7E7E7E"/>
            </w:tcBorders>
          </w:tcPr>
          <w:p>
            <w:pPr>
              <w:pStyle w:val="TableParagraph"/>
              <w:spacing w:line="274" w:lineRule="exact"/>
              <w:ind w:left="122"/>
              <w:rPr>
                <w:b/>
                <w:sz w:val="24"/>
              </w:rPr>
            </w:pPr>
            <w:r>
              <w:rPr>
                <w:b/>
                <w:sz w:val="24"/>
              </w:rPr>
              <w:t>7%</w:t>
            </w:r>
          </w:p>
        </w:tc>
        <w:tc>
          <w:tcPr>
            <w:tcW w:w="1405" w:type="dxa"/>
            <w:tcBorders>
              <w:top w:val="single" w:sz="4" w:space="0" w:color="7E7E7E"/>
              <w:bottom w:val="single" w:sz="4" w:space="0" w:color="7E7E7E"/>
            </w:tcBorders>
          </w:tcPr>
          <w:p>
            <w:pPr>
              <w:pStyle w:val="TableParagraph"/>
              <w:spacing w:line="274" w:lineRule="exact"/>
              <w:ind w:left="128"/>
              <w:rPr>
                <w:sz w:val="24"/>
              </w:rPr>
            </w:pPr>
            <w:r>
              <w:rPr>
                <w:sz w:val="24"/>
              </w:rPr>
              <w:t>Hierro</w:t>
            </w:r>
          </w:p>
        </w:tc>
        <w:tc>
          <w:tcPr>
            <w:tcW w:w="1119" w:type="dxa"/>
            <w:tcBorders>
              <w:top w:val="single" w:sz="4" w:space="0" w:color="7E7E7E"/>
              <w:bottom w:val="single" w:sz="4" w:space="0" w:color="7E7E7E"/>
            </w:tcBorders>
          </w:tcPr>
          <w:p>
            <w:pPr>
              <w:pStyle w:val="TableParagraph"/>
              <w:spacing w:line="274" w:lineRule="exact"/>
              <w:ind w:left="0" w:right="122"/>
              <w:jc w:val="right"/>
              <w:rPr>
                <w:sz w:val="24"/>
              </w:rPr>
            </w:pPr>
            <w:r>
              <w:rPr>
                <w:sz w:val="24"/>
              </w:rPr>
              <w:t>(Fe)</w:t>
            </w:r>
          </w:p>
        </w:tc>
      </w:tr>
      <w:tr>
        <w:trPr>
          <w:trHeight w:val="422" w:hRule="exact"/>
        </w:trPr>
        <w:tc>
          <w:tcPr>
            <w:tcW w:w="1795" w:type="dxa"/>
            <w:tcBorders>
              <w:top w:val="single" w:sz="4" w:space="0" w:color="7E7E7E"/>
              <w:bottom w:val="single" w:sz="4" w:space="0" w:color="7E7E7E"/>
            </w:tcBorders>
          </w:tcPr>
          <w:p>
            <w:pPr>
              <w:pStyle w:val="TableParagraph"/>
              <w:spacing w:line="274" w:lineRule="exact"/>
              <w:ind w:left="122"/>
              <w:rPr>
                <w:b/>
                <w:sz w:val="24"/>
              </w:rPr>
            </w:pPr>
            <w:r>
              <w:rPr>
                <w:b/>
                <w:sz w:val="24"/>
              </w:rPr>
              <w:t>1%</w:t>
            </w:r>
          </w:p>
        </w:tc>
        <w:tc>
          <w:tcPr>
            <w:tcW w:w="2524" w:type="dxa"/>
            <w:gridSpan w:val="2"/>
            <w:tcBorders>
              <w:top w:val="single" w:sz="4" w:space="0" w:color="7E7E7E"/>
              <w:bottom w:val="single" w:sz="4" w:space="0" w:color="7E7E7E"/>
            </w:tcBorders>
          </w:tcPr>
          <w:p>
            <w:pPr>
              <w:pStyle w:val="TableParagraph"/>
              <w:spacing w:line="274" w:lineRule="exact"/>
              <w:ind w:left="128"/>
              <w:rPr>
                <w:sz w:val="14"/>
              </w:rPr>
            </w:pPr>
            <w:r>
              <w:rPr>
                <w:sz w:val="24"/>
              </w:rPr>
              <w:t>Otros metales</w:t>
            </w:r>
            <w:r>
              <w:rPr>
                <w:position w:val="8"/>
                <w:sz w:val="14"/>
              </w:rPr>
              <w:t>3</w:t>
            </w:r>
          </w:p>
        </w:tc>
      </w:tr>
    </w:tbl>
    <w:p>
      <w:pPr>
        <w:pStyle w:val="BodyText"/>
        <w:rPr>
          <w:b/>
          <w:sz w:val="21"/>
        </w:rPr>
      </w:pPr>
    </w:p>
    <w:p>
      <w:pPr>
        <w:spacing w:before="0"/>
        <w:ind w:left="1675" w:right="1676" w:firstLine="0"/>
        <w:jc w:val="center"/>
        <w:rPr>
          <w:sz w:val="20"/>
        </w:rPr>
      </w:pPr>
      <w:r>
        <w:rPr>
          <w:sz w:val="20"/>
        </w:rPr>
        <w:t>Fuente: 3M™ ESPE™</w:t>
      </w:r>
    </w:p>
    <w:p>
      <w:pPr>
        <w:pStyle w:val="BodyText"/>
        <w:spacing w:before="2"/>
        <w:rPr>
          <w:sz w:val="27"/>
        </w:rPr>
      </w:pPr>
    </w:p>
    <w:p>
      <w:pPr>
        <w:pStyle w:val="Heading1"/>
        <w:numPr>
          <w:ilvl w:val="1"/>
          <w:numId w:val="5"/>
        </w:numPr>
        <w:tabs>
          <w:tab w:pos="582" w:val="left" w:leader="none"/>
        </w:tabs>
        <w:spacing w:line="360" w:lineRule="auto" w:before="1" w:after="0"/>
        <w:ind w:left="118" w:right="112" w:firstLine="0"/>
        <w:jc w:val="both"/>
      </w:pPr>
      <w:r>
        <w:rPr/>
        <w:t>Propiedades específicas que brinda cada componente de las coronas níquel cromo</w:t>
      </w:r>
    </w:p>
    <w:p>
      <w:pPr>
        <w:spacing w:before="200"/>
        <w:ind w:left="118" w:right="0" w:firstLine="0"/>
        <w:jc w:val="both"/>
        <w:rPr>
          <w:i/>
          <w:sz w:val="24"/>
        </w:rPr>
      </w:pPr>
      <w:r>
        <w:rPr>
          <w:i/>
          <w:sz w:val="24"/>
        </w:rPr>
        <w:t>Níquel (Ni)</w:t>
      </w:r>
    </w:p>
    <w:p>
      <w:pPr>
        <w:pStyle w:val="BodyText"/>
        <w:spacing w:before="2"/>
        <w:rPr>
          <w:i/>
          <w:sz w:val="29"/>
        </w:rPr>
      </w:pPr>
    </w:p>
    <w:p>
      <w:pPr>
        <w:pStyle w:val="BodyText"/>
        <w:spacing w:line="360" w:lineRule="auto"/>
        <w:ind w:left="118" w:right="114"/>
        <w:jc w:val="both"/>
      </w:pPr>
      <w:r>
        <w:rPr/>
        <w:t>Elemento metálico magnético, de aspecto blanco plateado.</w:t>
      </w:r>
      <w:r>
        <w:rPr>
          <w:position w:val="8"/>
          <w:sz w:val="16"/>
        </w:rPr>
        <w:t>4 </w:t>
      </w:r>
      <w:r>
        <w:rPr/>
        <w:t>Puede encontrarse en el medio ambiente en forma de minerales o combinado con azufre, oxígeno, antimonio, arsénico y/o sílice.</w:t>
      </w:r>
    </w:p>
    <w:p>
      <w:pPr>
        <w:spacing w:after="0" w:line="360" w:lineRule="auto"/>
        <w:jc w:val="both"/>
        <w:sectPr>
          <w:pgSz w:w="12240" w:h="15840"/>
          <w:pgMar w:header="0" w:footer="887" w:top="1360" w:bottom="1140" w:left="1300" w:right="1300"/>
        </w:sectPr>
      </w:pPr>
    </w:p>
    <w:p>
      <w:pPr>
        <w:pStyle w:val="BodyText"/>
        <w:spacing w:line="360" w:lineRule="auto" w:before="56"/>
        <w:ind w:left="118" w:right="118"/>
        <w:jc w:val="both"/>
      </w:pPr>
      <w:r>
        <w:rPr/>
        <w:t>El acero inoxidable y otras aleaciones de Ni-Cr-Fe se utilizan mucho para la fabricación de</w:t>
      </w:r>
      <w:r>
        <w:rPr>
          <w:spacing w:val="-12"/>
        </w:rPr>
        <w:t> </w:t>
      </w:r>
      <w:r>
        <w:rPr/>
        <w:t>equipo</w:t>
      </w:r>
      <w:r>
        <w:rPr>
          <w:spacing w:val="-11"/>
        </w:rPr>
        <w:t> </w:t>
      </w:r>
      <w:r>
        <w:rPr/>
        <w:t>resistente</w:t>
      </w:r>
      <w:r>
        <w:rPr>
          <w:spacing w:val="-11"/>
        </w:rPr>
        <w:t> </w:t>
      </w:r>
      <w:r>
        <w:rPr/>
        <w:t>a</w:t>
      </w:r>
      <w:r>
        <w:rPr>
          <w:spacing w:val="-12"/>
        </w:rPr>
        <w:t> </w:t>
      </w:r>
      <w:r>
        <w:rPr/>
        <w:t>la</w:t>
      </w:r>
      <w:r>
        <w:rPr>
          <w:spacing w:val="-9"/>
        </w:rPr>
        <w:t> </w:t>
      </w:r>
      <w:r>
        <w:rPr/>
        <w:t>corrosión,</w:t>
      </w:r>
      <w:r>
        <w:rPr>
          <w:spacing w:val="-12"/>
        </w:rPr>
        <w:t> </w:t>
      </w:r>
      <w:r>
        <w:rPr/>
        <w:t>se</w:t>
      </w:r>
      <w:r>
        <w:rPr>
          <w:spacing w:val="-12"/>
        </w:rPr>
        <w:t> </w:t>
      </w:r>
      <w:r>
        <w:rPr/>
        <w:t>pule</w:t>
      </w:r>
      <w:r>
        <w:rPr>
          <w:spacing w:val="-12"/>
        </w:rPr>
        <w:t> </w:t>
      </w:r>
      <w:r>
        <w:rPr/>
        <w:t>fácilmente,</w:t>
      </w:r>
      <w:r>
        <w:rPr>
          <w:spacing w:val="-10"/>
        </w:rPr>
        <w:t> </w:t>
      </w:r>
      <w:r>
        <w:rPr/>
        <w:t>incrementa</w:t>
      </w:r>
      <w:r>
        <w:rPr>
          <w:spacing w:val="-9"/>
        </w:rPr>
        <w:t> </w:t>
      </w:r>
      <w:r>
        <w:rPr/>
        <w:t>la</w:t>
      </w:r>
      <w:r>
        <w:rPr>
          <w:spacing w:val="-12"/>
        </w:rPr>
        <w:t> </w:t>
      </w:r>
      <w:r>
        <w:rPr/>
        <w:t>resistencia</w:t>
      </w:r>
      <w:r>
        <w:rPr>
          <w:spacing w:val="-12"/>
        </w:rPr>
        <w:t> </w:t>
      </w:r>
      <w:r>
        <w:rPr/>
        <w:t>y</w:t>
      </w:r>
      <w:r>
        <w:rPr>
          <w:spacing w:val="-13"/>
        </w:rPr>
        <w:t> </w:t>
      </w:r>
      <w:r>
        <w:rPr/>
        <w:t>dureza de dichas aleaciones.</w:t>
      </w:r>
      <w:r>
        <w:rPr>
          <w:position w:val="8"/>
          <w:sz w:val="16"/>
        </w:rPr>
        <w:t>5 </w:t>
      </w:r>
      <w:r>
        <w:rPr/>
        <w:t>El níquel metálico, sus compuestos y sus aleaciones tienen muchos usos, como el galvanizado, la fabricación de cintas magnéticas y componentes informáticos, prótesis quirúrgicas y</w:t>
      </w:r>
      <w:r>
        <w:rPr>
          <w:spacing w:val="-11"/>
        </w:rPr>
        <w:t> </w:t>
      </w:r>
      <w:r>
        <w:rPr/>
        <w:t>dentales.</w:t>
      </w:r>
    </w:p>
    <w:p>
      <w:pPr>
        <w:pStyle w:val="BodyText"/>
        <w:spacing w:line="360" w:lineRule="auto" w:before="204"/>
        <w:ind w:left="118" w:right="115"/>
        <w:jc w:val="both"/>
      </w:pPr>
      <w:r>
        <w:rPr/>
        <w:t>El</w:t>
      </w:r>
      <w:r>
        <w:rPr>
          <w:spacing w:val="-7"/>
        </w:rPr>
        <w:t> </w:t>
      </w:r>
      <w:r>
        <w:rPr/>
        <w:t>níquel</w:t>
      </w:r>
      <w:r>
        <w:rPr>
          <w:spacing w:val="-7"/>
        </w:rPr>
        <w:t> </w:t>
      </w:r>
      <w:r>
        <w:rPr/>
        <w:t>y</w:t>
      </w:r>
      <w:r>
        <w:rPr>
          <w:spacing w:val="-9"/>
        </w:rPr>
        <w:t> </w:t>
      </w:r>
      <w:r>
        <w:rPr/>
        <w:t>sus</w:t>
      </w:r>
      <w:r>
        <w:rPr>
          <w:spacing w:val="-7"/>
        </w:rPr>
        <w:t> </w:t>
      </w:r>
      <w:r>
        <w:rPr/>
        <w:t>compuestos</w:t>
      </w:r>
      <w:r>
        <w:rPr>
          <w:spacing w:val="-7"/>
        </w:rPr>
        <w:t> </w:t>
      </w:r>
      <w:r>
        <w:rPr/>
        <w:t>se</w:t>
      </w:r>
      <w:r>
        <w:rPr>
          <w:spacing w:val="-6"/>
        </w:rPr>
        <w:t> </w:t>
      </w:r>
      <w:r>
        <w:rPr/>
        <w:t>encuentran</w:t>
      </w:r>
      <w:r>
        <w:rPr>
          <w:spacing w:val="-6"/>
        </w:rPr>
        <w:t> </w:t>
      </w:r>
      <w:r>
        <w:rPr/>
        <w:t>entre</w:t>
      </w:r>
      <w:r>
        <w:rPr>
          <w:spacing w:val="-6"/>
        </w:rPr>
        <w:t> </w:t>
      </w:r>
      <w:r>
        <w:rPr/>
        <w:t>las</w:t>
      </w:r>
      <w:r>
        <w:rPr>
          <w:spacing w:val="-9"/>
        </w:rPr>
        <w:t> </w:t>
      </w:r>
      <w:r>
        <w:rPr/>
        <w:t>causas</w:t>
      </w:r>
      <w:r>
        <w:rPr>
          <w:spacing w:val="-9"/>
        </w:rPr>
        <w:t> </w:t>
      </w:r>
      <w:r>
        <w:rPr/>
        <w:t>más</w:t>
      </w:r>
      <w:r>
        <w:rPr>
          <w:spacing w:val="-12"/>
        </w:rPr>
        <w:t> </w:t>
      </w:r>
      <w:r>
        <w:rPr/>
        <w:t>frecuentes</w:t>
      </w:r>
      <w:r>
        <w:rPr>
          <w:spacing w:val="-9"/>
        </w:rPr>
        <w:t> </w:t>
      </w:r>
      <w:r>
        <w:rPr/>
        <w:t>de</w:t>
      </w:r>
      <w:r>
        <w:rPr>
          <w:spacing w:val="-8"/>
        </w:rPr>
        <w:t> </w:t>
      </w:r>
      <w:r>
        <w:rPr/>
        <w:t>dermatitis alérgicas por contacto, comenzando como un eritema papular en piel y</w:t>
      </w:r>
      <w:r>
        <w:rPr>
          <w:spacing w:val="-28"/>
        </w:rPr>
        <w:t> </w:t>
      </w:r>
      <w:r>
        <w:rPr/>
        <w:t>mucosa.</w:t>
      </w:r>
    </w:p>
    <w:p>
      <w:pPr>
        <w:pStyle w:val="BodyText"/>
      </w:pPr>
    </w:p>
    <w:p>
      <w:pPr>
        <w:pStyle w:val="BodyText"/>
      </w:pPr>
    </w:p>
    <w:p>
      <w:pPr>
        <w:pStyle w:val="BodyText"/>
        <w:rPr>
          <w:sz w:val="23"/>
        </w:rPr>
      </w:pPr>
    </w:p>
    <w:p>
      <w:pPr>
        <w:spacing w:before="0"/>
        <w:ind w:left="118" w:right="0" w:firstLine="0"/>
        <w:jc w:val="both"/>
        <w:rPr>
          <w:i/>
          <w:sz w:val="24"/>
        </w:rPr>
      </w:pPr>
      <w:r>
        <w:rPr>
          <w:i/>
          <w:sz w:val="24"/>
        </w:rPr>
        <w:t>Cromo (Cr)</w:t>
      </w:r>
    </w:p>
    <w:p>
      <w:pPr>
        <w:pStyle w:val="BodyText"/>
        <w:spacing w:before="7"/>
        <w:rPr>
          <w:i/>
          <w:sz w:val="29"/>
        </w:rPr>
      </w:pPr>
    </w:p>
    <w:p>
      <w:pPr>
        <w:pStyle w:val="BodyText"/>
        <w:spacing w:line="357" w:lineRule="auto"/>
        <w:ind w:left="118" w:right="117"/>
        <w:jc w:val="both"/>
        <w:rPr>
          <w:sz w:val="16"/>
        </w:rPr>
      </w:pPr>
      <w:r>
        <w:rPr/>
        <w:t>Es</w:t>
      </w:r>
      <w:r>
        <w:rPr>
          <w:spacing w:val="-5"/>
        </w:rPr>
        <w:t> </w:t>
      </w:r>
      <w:r>
        <w:rPr/>
        <w:t>ampliamente</w:t>
      </w:r>
      <w:r>
        <w:rPr>
          <w:spacing w:val="-6"/>
        </w:rPr>
        <w:t> </w:t>
      </w:r>
      <w:r>
        <w:rPr/>
        <w:t>utilizado</w:t>
      </w:r>
      <w:r>
        <w:rPr>
          <w:spacing w:val="-7"/>
        </w:rPr>
        <w:t> </w:t>
      </w:r>
      <w:r>
        <w:rPr/>
        <w:t>en</w:t>
      </w:r>
      <w:r>
        <w:rPr>
          <w:spacing w:val="-7"/>
        </w:rPr>
        <w:t> </w:t>
      </w:r>
      <w:r>
        <w:rPr/>
        <w:t>aleaciones</w:t>
      </w:r>
      <w:r>
        <w:rPr>
          <w:spacing w:val="-5"/>
        </w:rPr>
        <w:t> </w:t>
      </w:r>
      <w:r>
        <w:rPr/>
        <w:t>con</w:t>
      </w:r>
      <w:r>
        <w:rPr>
          <w:spacing w:val="-7"/>
        </w:rPr>
        <w:t> </w:t>
      </w:r>
      <w:r>
        <w:rPr/>
        <w:t>hierro</w:t>
      </w:r>
      <w:r>
        <w:rPr>
          <w:spacing w:val="-5"/>
        </w:rPr>
        <w:t> </w:t>
      </w:r>
      <w:r>
        <w:rPr/>
        <w:t>y</w:t>
      </w:r>
      <w:r>
        <w:rPr>
          <w:spacing w:val="-8"/>
        </w:rPr>
        <w:t> </w:t>
      </w:r>
      <w:r>
        <w:rPr/>
        <w:t>níquel</w:t>
      </w:r>
      <w:r>
        <w:rPr>
          <w:spacing w:val="-6"/>
        </w:rPr>
        <w:t> </w:t>
      </w:r>
      <w:r>
        <w:rPr/>
        <w:t>para</w:t>
      </w:r>
      <w:r>
        <w:rPr>
          <w:spacing w:val="-10"/>
        </w:rPr>
        <w:t> </w:t>
      </w:r>
      <w:r>
        <w:rPr/>
        <w:t>formar</w:t>
      </w:r>
      <w:r>
        <w:rPr>
          <w:spacing w:val="-8"/>
        </w:rPr>
        <w:t> </w:t>
      </w:r>
      <w:r>
        <w:rPr/>
        <w:t>acero</w:t>
      </w:r>
      <w:r>
        <w:rPr>
          <w:spacing w:val="-8"/>
        </w:rPr>
        <w:t> </w:t>
      </w:r>
      <w:r>
        <w:rPr/>
        <w:t>inoxidable, y con níquel, titanio, niobio, cobalto, cobre y otros metales para formar aleaciones consiguiendo aumentar la dureza y la resistencia a la</w:t>
      </w:r>
      <w:r>
        <w:rPr>
          <w:spacing w:val="-16"/>
        </w:rPr>
        <w:t> </w:t>
      </w:r>
      <w:r>
        <w:rPr/>
        <w:t>corrosión.</w:t>
      </w:r>
      <w:r>
        <w:rPr>
          <w:position w:val="8"/>
          <w:sz w:val="16"/>
        </w:rPr>
        <w:t>6</w:t>
      </w:r>
    </w:p>
    <w:p>
      <w:pPr>
        <w:pStyle w:val="BodyText"/>
        <w:spacing w:line="357" w:lineRule="auto" w:before="201"/>
        <w:ind w:left="118" w:right="114"/>
        <w:jc w:val="both"/>
        <w:rPr>
          <w:sz w:val="16"/>
        </w:rPr>
      </w:pPr>
      <w:r>
        <w:rPr/>
        <w:t>Los compuestos que contienen Cr se utilizan en muchos procesos industriales, cabe destacar la fabricación de pigmentos inorgánicos como los cromatos de plomo, la fabricación de anticorrosivos.</w:t>
      </w:r>
      <w:r>
        <w:rPr>
          <w:position w:val="8"/>
          <w:sz w:val="16"/>
        </w:rPr>
        <w:t>2</w:t>
      </w:r>
    </w:p>
    <w:p>
      <w:pPr>
        <w:pStyle w:val="BodyText"/>
        <w:spacing w:line="360" w:lineRule="auto" w:before="203"/>
        <w:ind w:left="118" w:right="116"/>
        <w:jc w:val="both"/>
      </w:pPr>
      <w:r>
        <w:rPr/>
        <w:t>Estos</w:t>
      </w:r>
      <w:r>
        <w:rPr>
          <w:spacing w:val="-5"/>
        </w:rPr>
        <w:t> </w:t>
      </w:r>
      <w:r>
        <w:rPr/>
        <w:t>compuestos</w:t>
      </w:r>
      <w:r>
        <w:rPr>
          <w:spacing w:val="-5"/>
        </w:rPr>
        <w:t> </w:t>
      </w:r>
      <w:r>
        <w:rPr/>
        <w:t>no</w:t>
      </w:r>
      <w:r>
        <w:rPr>
          <w:spacing w:val="-7"/>
        </w:rPr>
        <w:t> </w:t>
      </w:r>
      <w:r>
        <w:rPr/>
        <w:t>se</w:t>
      </w:r>
      <w:r>
        <w:rPr>
          <w:spacing w:val="-5"/>
        </w:rPr>
        <w:t> </w:t>
      </w:r>
      <w:r>
        <w:rPr/>
        <w:t>absorben</w:t>
      </w:r>
      <w:r>
        <w:rPr>
          <w:spacing w:val="-9"/>
        </w:rPr>
        <w:t> </w:t>
      </w:r>
      <w:r>
        <w:rPr/>
        <w:t>fácilmente</w:t>
      </w:r>
      <w:r>
        <w:rPr>
          <w:spacing w:val="-5"/>
        </w:rPr>
        <w:t> </w:t>
      </w:r>
      <w:r>
        <w:rPr/>
        <w:t>en</w:t>
      </w:r>
      <w:r>
        <w:rPr>
          <w:spacing w:val="-7"/>
        </w:rPr>
        <w:t> </w:t>
      </w:r>
      <w:r>
        <w:rPr/>
        <w:t>el</w:t>
      </w:r>
      <w:r>
        <w:rPr>
          <w:spacing w:val="-6"/>
        </w:rPr>
        <w:t> </w:t>
      </w:r>
      <w:r>
        <w:rPr/>
        <w:t>aparato</w:t>
      </w:r>
      <w:r>
        <w:rPr>
          <w:spacing w:val="-5"/>
        </w:rPr>
        <w:t> </w:t>
      </w:r>
      <w:r>
        <w:rPr/>
        <w:t>digestivo,</w:t>
      </w:r>
      <w:r>
        <w:rPr>
          <w:spacing w:val="-5"/>
        </w:rPr>
        <w:t> </w:t>
      </w:r>
      <w:r>
        <w:rPr/>
        <w:t>penetran</w:t>
      </w:r>
      <w:r>
        <w:rPr>
          <w:spacing w:val="-5"/>
        </w:rPr>
        <w:t> </w:t>
      </w:r>
      <w:r>
        <w:rPr/>
        <w:t>en</w:t>
      </w:r>
      <w:r>
        <w:rPr>
          <w:spacing w:val="-5"/>
        </w:rPr>
        <w:t> </w:t>
      </w:r>
      <w:r>
        <w:rPr/>
        <w:t>la</w:t>
      </w:r>
      <w:r>
        <w:rPr>
          <w:spacing w:val="-7"/>
        </w:rPr>
        <w:t> </w:t>
      </w:r>
      <w:r>
        <w:rPr/>
        <w:t>piel a través de las glándulas sudoríparas, reacciona con las proteínas, formando complejos antígeno-anticuerpo, provocando una respuesta autoinmune o hipersensibilidad al componente.</w:t>
      </w:r>
    </w:p>
    <w:p>
      <w:pPr>
        <w:pStyle w:val="BodyText"/>
      </w:pPr>
    </w:p>
    <w:p>
      <w:pPr>
        <w:pStyle w:val="BodyText"/>
      </w:pPr>
    </w:p>
    <w:p>
      <w:pPr>
        <w:pStyle w:val="BodyText"/>
        <w:spacing w:before="9"/>
        <w:rPr>
          <w:sz w:val="22"/>
        </w:rPr>
      </w:pPr>
    </w:p>
    <w:p>
      <w:pPr>
        <w:spacing w:before="0"/>
        <w:ind w:left="118" w:right="0" w:firstLine="0"/>
        <w:jc w:val="both"/>
        <w:rPr>
          <w:i/>
          <w:sz w:val="24"/>
        </w:rPr>
      </w:pPr>
      <w:r>
        <w:rPr>
          <w:i/>
          <w:sz w:val="24"/>
        </w:rPr>
        <w:t>Hierro (Fe)</w:t>
      </w:r>
    </w:p>
    <w:p>
      <w:pPr>
        <w:pStyle w:val="BodyText"/>
        <w:spacing w:before="7"/>
        <w:rPr>
          <w:i/>
          <w:sz w:val="29"/>
        </w:rPr>
      </w:pPr>
    </w:p>
    <w:p>
      <w:pPr>
        <w:pStyle w:val="BodyText"/>
        <w:spacing w:line="360" w:lineRule="auto" w:before="1"/>
        <w:ind w:left="118" w:right="124"/>
        <w:jc w:val="both"/>
      </w:pPr>
      <w:r>
        <w:rPr/>
        <w:t>Es el segundo metal más abundante y el cuarto de todos los elementos, superado únicamente por el oxígeno, silicio y aluminio.</w:t>
      </w:r>
    </w:p>
    <w:p>
      <w:pPr>
        <w:pStyle w:val="BodyText"/>
        <w:spacing w:line="360" w:lineRule="auto" w:before="202"/>
        <w:ind w:left="118" w:right="116"/>
        <w:jc w:val="both"/>
      </w:pPr>
      <w:r>
        <w:rPr/>
        <w:t>Este elemento se utiliza para la fabricación de piezas de hierro-acero fundidos y en aleaciones</w:t>
      </w:r>
      <w:r>
        <w:rPr>
          <w:spacing w:val="-6"/>
        </w:rPr>
        <w:t> </w:t>
      </w:r>
      <w:r>
        <w:rPr/>
        <w:t>con</w:t>
      </w:r>
      <w:r>
        <w:rPr>
          <w:spacing w:val="-7"/>
        </w:rPr>
        <w:t> </w:t>
      </w:r>
      <w:r>
        <w:rPr/>
        <w:t>otros</w:t>
      </w:r>
      <w:r>
        <w:rPr>
          <w:spacing w:val="-8"/>
        </w:rPr>
        <w:t> </w:t>
      </w:r>
      <w:r>
        <w:rPr/>
        <w:t>metales.</w:t>
      </w:r>
      <w:r>
        <w:rPr>
          <w:spacing w:val="-5"/>
        </w:rPr>
        <w:t> </w:t>
      </w:r>
      <w:r>
        <w:rPr/>
        <w:t>El</w:t>
      </w:r>
      <w:r>
        <w:rPr>
          <w:spacing w:val="-6"/>
        </w:rPr>
        <w:t> </w:t>
      </w:r>
      <w:r>
        <w:rPr/>
        <w:t>hierro</w:t>
      </w:r>
      <w:r>
        <w:rPr>
          <w:spacing w:val="-5"/>
        </w:rPr>
        <w:t> </w:t>
      </w:r>
      <w:r>
        <w:rPr/>
        <w:t>por</w:t>
      </w:r>
      <w:r>
        <w:rPr>
          <w:spacing w:val="-6"/>
        </w:rPr>
        <w:t> </w:t>
      </w:r>
      <w:r>
        <w:rPr/>
        <w:t>sí</w:t>
      </w:r>
      <w:r>
        <w:rPr>
          <w:spacing w:val="-8"/>
        </w:rPr>
        <w:t> </w:t>
      </w:r>
      <w:r>
        <w:rPr/>
        <w:t>mismo</w:t>
      </w:r>
      <w:r>
        <w:rPr>
          <w:spacing w:val="-5"/>
        </w:rPr>
        <w:t> </w:t>
      </w:r>
      <w:r>
        <w:rPr/>
        <w:t>no</w:t>
      </w:r>
      <w:r>
        <w:rPr>
          <w:spacing w:val="-5"/>
        </w:rPr>
        <w:t> </w:t>
      </w:r>
      <w:r>
        <w:rPr/>
        <w:t>es</w:t>
      </w:r>
      <w:r>
        <w:rPr>
          <w:spacing w:val="-8"/>
        </w:rPr>
        <w:t> </w:t>
      </w:r>
      <w:r>
        <w:rPr/>
        <w:t>especialmente</w:t>
      </w:r>
      <w:r>
        <w:rPr>
          <w:spacing w:val="-7"/>
        </w:rPr>
        <w:t> </w:t>
      </w:r>
      <w:r>
        <w:rPr/>
        <w:t>fuerte,</w:t>
      </w:r>
      <w:r>
        <w:rPr>
          <w:spacing w:val="-8"/>
        </w:rPr>
        <w:t> </w:t>
      </w:r>
      <w:r>
        <w:rPr/>
        <w:t>pero</w:t>
      </w:r>
      <w:r>
        <w:rPr>
          <w:spacing w:val="-6"/>
        </w:rPr>
        <w:t> </w:t>
      </w:r>
      <w:r>
        <w:rPr/>
        <w:t>su</w:t>
      </w:r>
    </w:p>
    <w:p>
      <w:pPr>
        <w:spacing w:after="0" w:line="360" w:lineRule="auto"/>
        <w:jc w:val="both"/>
        <w:sectPr>
          <w:pgSz w:w="12240" w:h="15840"/>
          <w:pgMar w:header="0" w:footer="887" w:top="1360" w:bottom="1140" w:left="1300" w:right="1300"/>
        </w:sectPr>
      </w:pPr>
    </w:p>
    <w:p>
      <w:pPr>
        <w:pStyle w:val="BodyText"/>
        <w:spacing w:line="355" w:lineRule="auto" w:before="56"/>
        <w:ind w:left="118" w:right="122"/>
        <w:jc w:val="both"/>
        <w:rPr>
          <w:sz w:val="16"/>
        </w:rPr>
      </w:pPr>
      <w:r>
        <w:rPr/>
        <w:t>resistencia aumenta de forma notable cuando se alea con carbono y se enfría rápidamente para formar acero. </w:t>
      </w:r>
      <w:r>
        <w:rPr>
          <w:position w:val="8"/>
          <w:sz w:val="16"/>
        </w:rPr>
        <w:t>2</w:t>
      </w:r>
    </w:p>
    <w:p>
      <w:pPr>
        <w:pStyle w:val="BodyText"/>
        <w:rPr>
          <w:sz w:val="26"/>
        </w:rPr>
      </w:pPr>
    </w:p>
    <w:p>
      <w:pPr>
        <w:pStyle w:val="BodyText"/>
        <w:rPr>
          <w:sz w:val="26"/>
        </w:rPr>
      </w:pPr>
    </w:p>
    <w:p>
      <w:pPr>
        <w:pStyle w:val="Heading1"/>
        <w:numPr>
          <w:ilvl w:val="1"/>
          <w:numId w:val="5"/>
        </w:numPr>
        <w:tabs>
          <w:tab w:pos="559" w:val="left" w:leader="none"/>
        </w:tabs>
        <w:spacing w:line="240" w:lineRule="auto" w:before="222" w:after="0"/>
        <w:ind w:left="558" w:right="0" w:hanging="440"/>
        <w:jc w:val="both"/>
      </w:pPr>
      <w:r>
        <w:rPr/>
        <w:t>Tipos de coronas metálicas de uso en</w:t>
      </w:r>
      <w:r>
        <w:rPr>
          <w:spacing w:val="-10"/>
        </w:rPr>
        <w:t> </w:t>
      </w:r>
      <w:r>
        <w:rPr/>
        <w:t>Odontopediatría</w:t>
      </w:r>
    </w:p>
    <w:p>
      <w:pPr>
        <w:pStyle w:val="BodyText"/>
        <w:rPr>
          <w:b/>
        </w:rPr>
      </w:pPr>
    </w:p>
    <w:p>
      <w:pPr>
        <w:pStyle w:val="BodyText"/>
        <w:rPr>
          <w:b/>
        </w:rPr>
      </w:pPr>
    </w:p>
    <w:p>
      <w:pPr>
        <w:pStyle w:val="BodyText"/>
        <w:spacing w:before="9"/>
        <w:rPr>
          <w:b/>
          <w:sz w:val="34"/>
        </w:rPr>
      </w:pPr>
    </w:p>
    <w:p>
      <w:pPr>
        <w:pStyle w:val="ListParagraph"/>
        <w:numPr>
          <w:ilvl w:val="0"/>
          <w:numId w:val="6"/>
        </w:numPr>
        <w:tabs>
          <w:tab w:pos="479" w:val="left" w:leader="none"/>
        </w:tabs>
        <w:spacing w:line="357" w:lineRule="auto" w:before="1" w:after="0"/>
        <w:ind w:left="478" w:right="116" w:hanging="360"/>
        <w:jc w:val="both"/>
        <w:rPr>
          <w:sz w:val="16"/>
        </w:rPr>
      </w:pPr>
      <w:r>
        <w:rPr>
          <w:sz w:val="24"/>
        </w:rPr>
        <w:t>Las coronas completamente metálicas son en la actualidad de acero inoxidable. Tienen un alto porcentaje de hierro en la aleación, alcanzando hasta 70% y un bajo contenido en níquel que oscila entre el 9 y 12%. Son blandas y maleables, lo que facilita el recortado, si se precisa, y la</w:t>
      </w:r>
      <w:r>
        <w:rPr>
          <w:spacing w:val="-7"/>
          <w:sz w:val="24"/>
        </w:rPr>
        <w:t> </w:t>
      </w:r>
      <w:r>
        <w:rPr>
          <w:sz w:val="24"/>
        </w:rPr>
        <w:t>adaptación.</w:t>
      </w:r>
      <w:r>
        <w:rPr>
          <w:position w:val="8"/>
          <w:sz w:val="16"/>
        </w:rPr>
        <w:t>1</w:t>
      </w:r>
    </w:p>
    <w:p>
      <w:pPr>
        <w:pStyle w:val="BodyText"/>
        <w:rPr>
          <w:sz w:val="26"/>
        </w:rPr>
      </w:pPr>
    </w:p>
    <w:p>
      <w:pPr>
        <w:pStyle w:val="BodyText"/>
        <w:rPr>
          <w:sz w:val="26"/>
        </w:rPr>
      </w:pPr>
    </w:p>
    <w:p>
      <w:pPr>
        <w:pStyle w:val="BodyText"/>
        <w:spacing w:before="4"/>
        <w:rPr>
          <w:sz w:val="20"/>
        </w:rPr>
      </w:pPr>
    </w:p>
    <w:p>
      <w:pPr>
        <w:pStyle w:val="BodyText"/>
        <w:ind w:left="118"/>
        <w:jc w:val="both"/>
      </w:pPr>
      <w:r>
        <w:rPr/>
        <w:t>Según la disposición del margen libre, cabe distinguir:</w:t>
      </w:r>
    </w:p>
    <w:p>
      <w:pPr>
        <w:pStyle w:val="BodyText"/>
        <w:spacing w:before="2"/>
        <w:rPr>
          <w:sz w:val="29"/>
        </w:rPr>
      </w:pPr>
    </w:p>
    <w:p>
      <w:pPr>
        <w:pStyle w:val="ListParagraph"/>
        <w:numPr>
          <w:ilvl w:val="0"/>
          <w:numId w:val="7"/>
        </w:numPr>
        <w:tabs>
          <w:tab w:pos="479" w:val="left" w:leader="none"/>
        </w:tabs>
        <w:spacing w:line="360" w:lineRule="auto" w:before="0" w:after="0"/>
        <w:ind w:left="478" w:right="116" w:hanging="360"/>
        <w:jc w:val="both"/>
        <w:rPr>
          <w:sz w:val="24"/>
        </w:rPr>
      </w:pPr>
      <w:r>
        <w:rPr>
          <w:sz w:val="24"/>
        </w:rPr>
        <w:t>Coronas con el margen precontorneado: se caracterizan por que en su aspecto vestibular</w:t>
      </w:r>
      <w:r>
        <w:rPr>
          <w:spacing w:val="-7"/>
          <w:sz w:val="24"/>
        </w:rPr>
        <w:t> </w:t>
      </w:r>
      <w:r>
        <w:rPr>
          <w:sz w:val="24"/>
        </w:rPr>
        <w:t>la</w:t>
      </w:r>
      <w:r>
        <w:rPr>
          <w:spacing w:val="-9"/>
          <w:sz w:val="24"/>
        </w:rPr>
        <w:t> </w:t>
      </w:r>
      <w:r>
        <w:rPr>
          <w:sz w:val="24"/>
        </w:rPr>
        <w:t>porción</w:t>
      </w:r>
      <w:r>
        <w:rPr>
          <w:spacing w:val="-11"/>
          <w:sz w:val="24"/>
        </w:rPr>
        <w:t> </w:t>
      </w:r>
      <w:r>
        <w:rPr>
          <w:sz w:val="24"/>
        </w:rPr>
        <w:t>mesial</w:t>
      </w:r>
      <w:r>
        <w:rPr>
          <w:spacing w:val="-7"/>
          <w:sz w:val="24"/>
        </w:rPr>
        <w:t> </w:t>
      </w:r>
      <w:r>
        <w:rPr>
          <w:sz w:val="24"/>
        </w:rPr>
        <w:t>desciende</w:t>
      </w:r>
      <w:r>
        <w:rPr>
          <w:spacing w:val="-8"/>
          <w:sz w:val="24"/>
        </w:rPr>
        <w:t> </w:t>
      </w:r>
      <w:r>
        <w:rPr>
          <w:sz w:val="24"/>
        </w:rPr>
        <w:t>hacia</w:t>
      </w:r>
      <w:r>
        <w:rPr>
          <w:spacing w:val="-11"/>
          <w:sz w:val="24"/>
        </w:rPr>
        <w:t> </w:t>
      </w:r>
      <w:r>
        <w:rPr>
          <w:sz w:val="24"/>
        </w:rPr>
        <w:t>gingival,</w:t>
      </w:r>
      <w:r>
        <w:rPr>
          <w:spacing w:val="-7"/>
          <w:sz w:val="24"/>
        </w:rPr>
        <w:t> </w:t>
      </w:r>
      <w:r>
        <w:rPr>
          <w:sz w:val="24"/>
        </w:rPr>
        <w:t>asemejando</w:t>
      </w:r>
      <w:r>
        <w:rPr>
          <w:spacing w:val="-6"/>
          <w:sz w:val="24"/>
        </w:rPr>
        <w:t> </w:t>
      </w:r>
      <w:r>
        <w:rPr>
          <w:sz w:val="24"/>
        </w:rPr>
        <w:t>lo</w:t>
      </w:r>
      <w:r>
        <w:rPr>
          <w:spacing w:val="-6"/>
          <w:sz w:val="24"/>
        </w:rPr>
        <w:t> </w:t>
      </w:r>
      <w:r>
        <w:rPr>
          <w:sz w:val="24"/>
        </w:rPr>
        <w:t>que</w:t>
      </w:r>
      <w:r>
        <w:rPr>
          <w:spacing w:val="-8"/>
          <w:sz w:val="24"/>
        </w:rPr>
        <w:t> </w:t>
      </w:r>
      <w:r>
        <w:rPr>
          <w:sz w:val="24"/>
        </w:rPr>
        <w:t>al</w:t>
      </w:r>
      <w:r>
        <w:rPr>
          <w:spacing w:val="-10"/>
          <w:sz w:val="24"/>
        </w:rPr>
        <w:t> </w:t>
      </w:r>
      <w:r>
        <w:rPr>
          <w:sz w:val="24"/>
        </w:rPr>
        <w:t>natural</w:t>
      </w:r>
      <w:r>
        <w:rPr>
          <w:spacing w:val="-9"/>
          <w:sz w:val="24"/>
        </w:rPr>
        <w:t> </w:t>
      </w:r>
      <w:r>
        <w:rPr>
          <w:sz w:val="24"/>
        </w:rPr>
        <w:t>es en los molares temporales el tubérculo cervical. Son más cortas en sentido oclusogingival,</w:t>
      </w:r>
      <w:r>
        <w:rPr>
          <w:spacing w:val="-10"/>
          <w:sz w:val="24"/>
        </w:rPr>
        <w:t> </w:t>
      </w:r>
      <w:r>
        <w:rPr>
          <w:sz w:val="24"/>
        </w:rPr>
        <w:t>pero</w:t>
      </w:r>
      <w:r>
        <w:rPr>
          <w:spacing w:val="-10"/>
          <w:sz w:val="24"/>
        </w:rPr>
        <w:t> </w:t>
      </w:r>
      <w:r>
        <w:rPr>
          <w:sz w:val="24"/>
        </w:rPr>
        <w:t>requieren</w:t>
      </w:r>
      <w:r>
        <w:rPr>
          <w:spacing w:val="-11"/>
          <w:sz w:val="24"/>
        </w:rPr>
        <w:t> </w:t>
      </w:r>
      <w:r>
        <w:rPr>
          <w:sz w:val="24"/>
        </w:rPr>
        <w:t>menos</w:t>
      </w:r>
      <w:r>
        <w:rPr>
          <w:spacing w:val="-12"/>
          <w:sz w:val="24"/>
        </w:rPr>
        <w:t> </w:t>
      </w:r>
      <w:r>
        <w:rPr>
          <w:sz w:val="24"/>
        </w:rPr>
        <w:t>manipulación</w:t>
      </w:r>
      <w:r>
        <w:rPr>
          <w:spacing w:val="-11"/>
          <w:sz w:val="24"/>
        </w:rPr>
        <w:t> </w:t>
      </w:r>
      <w:r>
        <w:rPr>
          <w:sz w:val="24"/>
        </w:rPr>
        <w:t>para</w:t>
      </w:r>
      <w:r>
        <w:rPr>
          <w:spacing w:val="-11"/>
          <w:sz w:val="24"/>
        </w:rPr>
        <w:t> </w:t>
      </w:r>
      <w:r>
        <w:rPr>
          <w:sz w:val="24"/>
        </w:rPr>
        <w:t>su</w:t>
      </w:r>
      <w:r>
        <w:rPr>
          <w:spacing w:val="-11"/>
          <w:sz w:val="24"/>
        </w:rPr>
        <w:t> </w:t>
      </w:r>
      <w:r>
        <w:rPr>
          <w:sz w:val="24"/>
        </w:rPr>
        <w:t>ajuste</w:t>
      </w:r>
      <w:r>
        <w:rPr>
          <w:spacing w:val="-11"/>
          <w:sz w:val="24"/>
        </w:rPr>
        <w:t> </w:t>
      </w:r>
      <w:r>
        <w:rPr>
          <w:sz w:val="24"/>
        </w:rPr>
        <w:t>en</w:t>
      </w:r>
      <w:r>
        <w:rPr>
          <w:spacing w:val="-9"/>
          <w:sz w:val="24"/>
        </w:rPr>
        <w:t> </w:t>
      </w:r>
      <w:r>
        <w:rPr>
          <w:sz w:val="24"/>
        </w:rPr>
        <w:t>boca</w:t>
      </w:r>
      <w:r>
        <w:rPr>
          <w:spacing w:val="-11"/>
          <w:sz w:val="24"/>
        </w:rPr>
        <w:t> </w:t>
      </w:r>
      <w:r>
        <w:rPr>
          <w:sz w:val="24"/>
        </w:rPr>
        <w:t>que</w:t>
      </w:r>
      <w:r>
        <w:rPr>
          <w:spacing w:val="-9"/>
          <w:sz w:val="24"/>
        </w:rPr>
        <w:t> </w:t>
      </w:r>
      <w:r>
        <w:rPr>
          <w:sz w:val="24"/>
        </w:rPr>
        <w:t>las</w:t>
      </w:r>
      <w:r>
        <w:rPr>
          <w:spacing w:val="-11"/>
          <w:sz w:val="24"/>
        </w:rPr>
        <w:t> </w:t>
      </w:r>
      <w:r>
        <w:rPr>
          <w:sz w:val="24"/>
        </w:rPr>
        <w:t>no precontorneadas.</w:t>
      </w:r>
    </w:p>
    <w:p>
      <w:pPr>
        <w:pStyle w:val="BodyText"/>
      </w:pPr>
    </w:p>
    <w:p>
      <w:pPr>
        <w:pStyle w:val="ListParagraph"/>
        <w:numPr>
          <w:ilvl w:val="0"/>
          <w:numId w:val="7"/>
        </w:numPr>
        <w:tabs>
          <w:tab w:pos="479" w:val="left" w:leader="none"/>
        </w:tabs>
        <w:spacing w:line="360" w:lineRule="auto" w:before="142" w:after="0"/>
        <w:ind w:left="478" w:right="115" w:hanging="360"/>
        <w:jc w:val="both"/>
        <w:rPr>
          <w:sz w:val="24"/>
        </w:rPr>
      </w:pPr>
      <w:r>
        <w:rPr>
          <w:sz w:val="24"/>
        </w:rPr>
        <w:t>Coronas con el margen no precontorneado: tienen las mismas dimensiones mesiodistal y vestibulolingual, y para su ajuste en boca requieren un recortado individualizado y un bombeado de los márgenes. Por ser más largas en sentido oclusogingival, son muy útiles en casos de caries proximales</w:t>
      </w:r>
      <w:r>
        <w:rPr>
          <w:spacing w:val="-15"/>
          <w:sz w:val="24"/>
        </w:rPr>
        <w:t> </w:t>
      </w:r>
      <w:r>
        <w:rPr>
          <w:sz w:val="24"/>
        </w:rPr>
        <w:t>profundas.</w:t>
      </w:r>
    </w:p>
    <w:p>
      <w:pPr>
        <w:pStyle w:val="BodyText"/>
      </w:pPr>
    </w:p>
    <w:p>
      <w:pPr>
        <w:pStyle w:val="BodyText"/>
        <w:spacing w:before="3"/>
      </w:pPr>
    </w:p>
    <w:p>
      <w:pPr>
        <w:pStyle w:val="BodyText"/>
        <w:spacing w:line="360" w:lineRule="auto"/>
        <w:ind w:left="118" w:right="112"/>
        <w:jc w:val="both"/>
        <w:rPr>
          <w:sz w:val="16"/>
        </w:rPr>
      </w:pPr>
      <w:r>
        <w:rPr/>
        <w:t>Las coronas de acero inoxidable, sin duda, son las restauraciones más duraderas en la dentición</w:t>
      </w:r>
      <w:r>
        <w:rPr>
          <w:spacing w:val="-14"/>
        </w:rPr>
        <w:t> </w:t>
      </w:r>
      <w:r>
        <w:rPr/>
        <w:t>temporal,</w:t>
      </w:r>
      <w:r>
        <w:rPr>
          <w:spacing w:val="-15"/>
        </w:rPr>
        <w:t> </w:t>
      </w:r>
      <w:r>
        <w:rPr/>
        <w:t>sus</w:t>
      </w:r>
      <w:r>
        <w:rPr>
          <w:spacing w:val="-16"/>
        </w:rPr>
        <w:t> </w:t>
      </w:r>
      <w:r>
        <w:rPr/>
        <w:t>tiempos</w:t>
      </w:r>
      <w:r>
        <w:rPr>
          <w:spacing w:val="-15"/>
        </w:rPr>
        <w:t> </w:t>
      </w:r>
      <w:r>
        <w:rPr/>
        <w:t>de</w:t>
      </w:r>
      <w:r>
        <w:rPr>
          <w:spacing w:val="-14"/>
        </w:rPr>
        <w:t> </w:t>
      </w:r>
      <w:r>
        <w:rPr/>
        <w:t>supervivencia</w:t>
      </w:r>
      <w:r>
        <w:rPr>
          <w:spacing w:val="-14"/>
        </w:rPr>
        <w:t> </w:t>
      </w:r>
      <w:r>
        <w:rPr/>
        <w:t>superan</w:t>
      </w:r>
      <w:r>
        <w:rPr>
          <w:spacing w:val="-14"/>
        </w:rPr>
        <w:t> </w:t>
      </w:r>
      <w:r>
        <w:rPr/>
        <w:t>los</w:t>
      </w:r>
      <w:r>
        <w:rPr>
          <w:spacing w:val="-14"/>
        </w:rPr>
        <w:t> </w:t>
      </w:r>
      <w:r>
        <w:rPr/>
        <w:t>40</w:t>
      </w:r>
      <w:r>
        <w:rPr>
          <w:spacing w:val="-16"/>
        </w:rPr>
        <w:t> </w:t>
      </w:r>
      <w:r>
        <w:rPr/>
        <w:t>meses;</w:t>
      </w:r>
      <w:r>
        <w:rPr>
          <w:spacing w:val="-9"/>
        </w:rPr>
        <w:t> </w:t>
      </w:r>
      <w:r>
        <w:rPr/>
        <w:t>pero</w:t>
      </w:r>
      <w:r>
        <w:rPr>
          <w:spacing w:val="-16"/>
        </w:rPr>
        <w:t> </w:t>
      </w:r>
      <w:r>
        <w:rPr/>
        <w:t>pueden</w:t>
      </w:r>
      <w:r>
        <w:rPr>
          <w:spacing w:val="-14"/>
        </w:rPr>
        <w:t> </w:t>
      </w:r>
      <w:r>
        <w:rPr/>
        <w:t>ser consideradas como antiestéticas y su procedimiento operatorio requiere de anestesia local y degaste excesivo del órgano</w:t>
      </w:r>
      <w:r>
        <w:rPr>
          <w:spacing w:val="-16"/>
        </w:rPr>
        <w:t> </w:t>
      </w:r>
      <w:r>
        <w:rPr/>
        <w:t>dentario.</w:t>
      </w:r>
      <w:r>
        <w:rPr>
          <w:position w:val="8"/>
          <w:sz w:val="16"/>
        </w:rPr>
        <w:t>2</w:t>
      </w:r>
    </w:p>
    <w:p>
      <w:pPr>
        <w:spacing w:after="0" w:line="360" w:lineRule="auto"/>
        <w:jc w:val="both"/>
        <w:rPr>
          <w:sz w:val="16"/>
        </w:rPr>
        <w:sectPr>
          <w:pgSz w:w="12240" w:h="15840"/>
          <w:pgMar w:header="0" w:footer="887" w:top="1360" w:bottom="1140" w:left="1300" w:right="1300"/>
        </w:sectPr>
      </w:pPr>
    </w:p>
    <w:p>
      <w:pPr>
        <w:pStyle w:val="BodyText"/>
        <w:spacing w:line="357" w:lineRule="auto" w:before="56"/>
        <w:ind w:left="118" w:right="114"/>
        <w:jc w:val="both"/>
        <w:rPr>
          <w:sz w:val="16"/>
        </w:rPr>
      </w:pPr>
      <w:r>
        <w:rPr/>
        <w:t>El</w:t>
      </w:r>
      <w:r>
        <w:rPr>
          <w:spacing w:val="-12"/>
        </w:rPr>
        <w:t> </w:t>
      </w:r>
      <w:r>
        <w:rPr/>
        <w:t>fabricante</w:t>
      </w:r>
      <w:r>
        <w:rPr>
          <w:spacing w:val="46"/>
        </w:rPr>
        <w:t> </w:t>
      </w:r>
      <w:r>
        <w:rPr/>
        <w:t>3M™</w:t>
      </w:r>
      <w:r>
        <w:rPr>
          <w:spacing w:val="-12"/>
        </w:rPr>
        <w:t> </w:t>
      </w:r>
      <w:r>
        <w:rPr/>
        <w:t>ESPE™</w:t>
      </w:r>
      <w:r>
        <w:rPr>
          <w:spacing w:val="-10"/>
        </w:rPr>
        <w:t> </w:t>
      </w:r>
      <w:r>
        <w:rPr/>
        <w:t>sugiere</w:t>
      </w:r>
      <w:r>
        <w:rPr>
          <w:spacing w:val="-11"/>
        </w:rPr>
        <w:t> </w:t>
      </w:r>
      <w:r>
        <w:rPr/>
        <w:t>que</w:t>
      </w:r>
      <w:r>
        <w:rPr>
          <w:spacing w:val="-11"/>
        </w:rPr>
        <w:t> </w:t>
      </w:r>
      <w:r>
        <w:rPr/>
        <w:t>las</w:t>
      </w:r>
      <w:r>
        <w:rPr>
          <w:spacing w:val="-11"/>
        </w:rPr>
        <w:t> </w:t>
      </w:r>
      <w:r>
        <w:rPr/>
        <w:t>coronas</w:t>
      </w:r>
      <w:r>
        <w:rPr>
          <w:spacing w:val="-12"/>
        </w:rPr>
        <w:t> </w:t>
      </w:r>
      <w:r>
        <w:rPr/>
        <w:t>de</w:t>
      </w:r>
      <w:r>
        <w:rPr>
          <w:spacing w:val="-11"/>
        </w:rPr>
        <w:t> </w:t>
      </w:r>
      <w:r>
        <w:rPr/>
        <w:t>níquel</w:t>
      </w:r>
      <w:r>
        <w:rPr>
          <w:spacing w:val="-12"/>
        </w:rPr>
        <w:t> </w:t>
      </w:r>
      <w:r>
        <w:rPr/>
        <w:t>cromo</w:t>
      </w:r>
      <w:r>
        <w:rPr>
          <w:spacing w:val="-11"/>
        </w:rPr>
        <w:t> </w:t>
      </w:r>
      <w:r>
        <w:rPr/>
        <w:t>han</w:t>
      </w:r>
      <w:r>
        <w:rPr>
          <w:spacing w:val="-11"/>
        </w:rPr>
        <w:t> </w:t>
      </w:r>
      <w:r>
        <w:rPr/>
        <w:t>sido</w:t>
      </w:r>
      <w:r>
        <w:rPr>
          <w:spacing w:val="-11"/>
        </w:rPr>
        <w:t> </w:t>
      </w:r>
      <w:r>
        <w:rPr/>
        <w:t>diseñadas para cubrir las necesidades de recubrimiento provisional a largo plazo en dientes anteriores y posteriores en</w:t>
      </w:r>
      <w:r>
        <w:rPr>
          <w:spacing w:val="-8"/>
        </w:rPr>
        <w:t> </w:t>
      </w:r>
      <w:r>
        <w:rPr/>
        <w:t>niños.</w:t>
      </w:r>
      <w:r>
        <w:rPr>
          <w:position w:val="8"/>
          <w:sz w:val="16"/>
        </w:rPr>
        <w:t>7</w:t>
      </w:r>
    </w:p>
    <w:p>
      <w:pPr>
        <w:pStyle w:val="ListParagraph"/>
        <w:numPr>
          <w:ilvl w:val="0"/>
          <w:numId w:val="6"/>
        </w:numPr>
        <w:tabs>
          <w:tab w:pos="479" w:val="left" w:leader="none"/>
        </w:tabs>
        <w:spacing w:line="360" w:lineRule="auto" w:before="203" w:after="0"/>
        <w:ind w:left="478" w:right="120" w:hanging="360"/>
        <w:jc w:val="both"/>
        <w:rPr>
          <w:sz w:val="16"/>
        </w:rPr>
      </w:pPr>
      <w:r>
        <w:rPr>
          <w:sz w:val="24"/>
        </w:rPr>
        <w:t>Las coronas estéticas para molares temporales son también coronas de acero inoxidable</w:t>
      </w:r>
      <w:r>
        <w:rPr>
          <w:spacing w:val="-5"/>
          <w:sz w:val="24"/>
        </w:rPr>
        <w:t> </w:t>
      </w:r>
      <w:r>
        <w:rPr>
          <w:sz w:val="24"/>
        </w:rPr>
        <w:t>con</w:t>
      </w:r>
      <w:r>
        <w:rPr>
          <w:spacing w:val="-7"/>
          <w:sz w:val="24"/>
        </w:rPr>
        <w:t> </w:t>
      </w:r>
      <w:r>
        <w:rPr>
          <w:sz w:val="24"/>
        </w:rPr>
        <w:t>margen</w:t>
      </w:r>
      <w:r>
        <w:rPr>
          <w:spacing w:val="-7"/>
          <w:sz w:val="24"/>
        </w:rPr>
        <w:t> </w:t>
      </w:r>
      <w:r>
        <w:rPr>
          <w:sz w:val="24"/>
        </w:rPr>
        <w:t>precontorneado,</w:t>
      </w:r>
      <w:r>
        <w:rPr>
          <w:spacing w:val="-5"/>
          <w:sz w:val="24"/>
        </w:rPr>
        <w:t> </w:t>
      </w:r>
      <w:r>
        <w:rPr>
          <w:sz w:val="24"/>
        </w:rPr>
        <w:t>que</w:t>
      </w:r>
      <w:r>
        <w:rPr>
          <w:spacing w:val="-5"/>
          <w:sz w:val="24"/>
        </w:rPr>
        <w:t> </w:t>
      </w:r>
      <w:r>
        <w:rPr>
          <w:sz w:val="24"/>
        </w:rPr>
        <w:t>se</w:t>
      </w:r>
      <w:r>
        <w:rPr>
          <w:spacing w:val="-5"/>
          <w:sz w:val="24"/>
        </w:rPr>
        <w:t> </w:t>
      </w:r>
      <w:r>
        <w:rPr>
          <w:sz w:val="24"/>
        </w:rPr>
        <w:t>comercializan</w:t>
      </w:r>
      <w:r>
        <w:rPr>
          <w:spacing w:val="-5"/>
          <w:sz w:val="24"/>
        </w:rPr>
        <w:t> </w:t>
      </w:r>
      <w:r>
        <w:rPr>
          <w:sz w:val="24"/>
        </w:rPr>
        <w:t>recubiertas</w:t>
      </w:r>
      <w:r>
        <w:rPr>
          <w:spacing w:val="-5"/>
          <w:sz w:val="24"/>
        </w:rPr>
        <w:t> </w:t>
      </w:r>
      <w:r>
        <w:rPr>
          <w:sz w:val="24"/>
        </w:rPr>
        <w:t>de</w:t>
      </w:r>
      <w:r>
        <w:rPr>
          <w:spacing w:val="-7"/>
          <w:sz w:val="24"/>
        </w:rPr>
        <w:t> </w:t>
      </w:r>
      <w:r>
        <w:rPr>
          <w:sz w:val="24"/>
        </w:rPr>
        <w:t>material acrílico, plástico o porcelana. Las ventajas estéticas resultan evidentes, en repetidas ocasiones</w:t>
      </w:r>
      <w:r>
        <w:rPr>
          <w:spacing w:val="-9"/>
          <w:sz w:val="24"/>
        </w:rPr>
        <w:t> </w:t>
      </w:r>
      <w:r>
        <w:rPr>
          <w:sz w:val="24"/>
        </w:rPr>
        <w:t>se</w:t>
      </w:r>
      <w:r>
        <w:rPr>
          <w:spacing w:val="-11"/>
          <w:sz w:val="24"/>
        </w:rPr>
        <w:t> </w:t>
      </w:r>
      <w:r>
        <w:rPr>
          <w:sz w:val="24"/>
        </w:rPr>
        <w:t>ha</w:t>
      </w:r>
      <w:r>
        <w:rPr>
          <w:spacing w:val="-8"/>
          <w:sz w:val="24"/>
        </w:rPr>
        <w:t> </w:t>
      </w:r>
      <w:r>
        <w:rPr>
          <w:sz w:val="24"/>
        </w:rPr>
        <w:t>puesto</w:t>
      </w:r>
      <w:r>
        <w:rPr>
          <w:spacing w:val="-8"/>
          <w:sz w:val="24"/>
        </w:rPr>
        <w:t> </w:t>
      </w:r>
      <w:r>
        <w:rPr>
          <w:sz w:val="24"/>
        </w:rPr>
        <w:t>de</w:t>
      </w:r>
      <w:r>
        <w:rPr>
          <w:spacing w:val="-11"/>
          <w:sz w:val="24"/>
        </w:rPr>
        <w:t> </w:t>
      </w:r>
      <w:r>
        <w:rPr>
          <w:sz w:val="24"/>
        </w:rPr>
        <w:t>manifiesto</w:t>
      </w:r>
      <w:r>
        <w:rPr>
          <w:spacing w:val="-11"/>
          <w:sz w:val="24"/>
        </w:rPr>
        <w:t> </w:t>
      </w:r>
      <w:r>
        <w:rPr>
          <w:sz w:val="24"/>
        </w:rPr>
        <w:t>la</w:t>
      </w:r>
      <w:r>
        <w:rPr>
          <w:spacing w:val="-11"/>
          <w:sz w:val="24"/>
        </w:rPr>
        <w:t> </w:t>
      </w:r>
      <w:r>
        <w:rPr>
          <w:sz w:val="24"/>
        </w:rPr>
        <w:t>fragilidad</w:t>
      </w:r>
      <w:r>
        <w:rPr>
          <w:spacing w:val="-8"/>
          <w:sz w:val="24"/>
        </w:rPr>
        <w:t> </w:t>
      </w:r>
      <w:r>
        <w:rPr>
          <w:sz w:val="24"/>
        </w:rPr>
        <w:t>de</w:t>
      </w:r>
      <w:r>
        <w:rPr>
          <w:spacing w:val="-8"/>
          <w:sz w:val="24"/>
        </w:rPr>
        <w:t> </w:t>
      </w:r>
      <w:r>
        <w:rPr>
          <w:sz w:val="24"/>
        </w:rPr>
        <w:t>la</w:t>
      </w:r>
      <w:r>
        <w:rPr>
          <w:spacing w:val="-9"/>
          <w:sz w:val="24"/>
        </w:rPr>
        <w:t> </w:t>
      </w:r>
      <w:r>
        <w:rPr>
          <w:sz w:val="24"/>
        </w:rPr>
        <w:t>adhesión</w:t>
      </w:r>
      <w:r>
        <w:rPr>
          <w:spacing w:val="-8"/>
          <w:sz w:val="24"/>
        </w:rPr>
        <w:t> </w:t>
      </w:r>
      <w:r>
        <w:rPr>
          <w:sz w:val="24"/>
        </w:rPr>
        <w:t>de</w:t>
      </w:r>
      <w:r>
        <w:rPr>
          <w:spacing w:val="-11"/>
          <w:sz w:val="24"/>
        </w:rPr>
        <w:t> </w:t>
      </w:r>
      <w:r>
        <w:rPr>
          <w:sz w:val="24"/>
        </w:rPr>
        <w:t>la</w:t>
      </w:r>
      <w:r>
        <w:rPr>
          <w:spacing w:val="-9"/>
          <w:sz w:val="24"/>
        </w:rPr>
        <w:t> </w:t>
      </w:r>
      <w:r>
        <w:rPr>
          <w:sz w:val="24"/>
        </w:rPr>
        <w:t>faceta</w:t>
      </w:r>
      <w:r>
        <w:rPr>
          <w:spacing w:val="-8"/>
          <w:sz w:val="24"/>
        </w:rPr>
        <w:t> </w:t>
      </w:r>
      <w:r>
        <w:rPr>
          <w:sz w:val="24"/>
        </w:rPr>
        <w:t>estética al metal y el riesgo de desprendimiento y compromiso estético a corto</w:t>
      </w:r>
      <w:r>
        <w:rPr>
          <w:spacing w:val="-16"/>
          <w:sz w:val="24"/>
        </w:rPr>
        <w:t> </w:t>
      </w:r>
      <w:r>
        <w:rPr>
          <w:sz w:val="24"/>
        </w:rPr>
        <w:t>plazo.</w:t>
      </w:r>
      <w:r>
        <w:rPr>
          <w:position w:val="8"/>
          <w:sz w:val="16"/>
        </w:rPr>
        <w:t>1</w:t>
      </w:r>
    </w:p>
    <w:p>
      <w:pPr>
        <w:pStyle w:val="BodyText"/>
        <w:rPr>
          <w:sz w:val="26"/>
        </w:rPr>
      </w:pPr>
    </w:p>
    <w:p>
      <w:pPr>
        <w:pStyle w:val="BodyText"/>
        <w:spacing w:before="4"/>
        <w:rPr>
          <w:sz w:val="27"/>
        </w:rPr>
      </w:pPr>
    </w:p>
    <w:p>
      <w:pPr>
        <w:pStyle w:val="Heading1"/>
        <w:numPr>
          <w:ilvl w:val="0"/>
          <w:numId w:val="4"/>
        </w:numPr>
        <w:tabs>
          <w:tab w:pos="427" w:val="left" w:leader="none"/>
        </w:tabs>
        <w:spacing w:line="240" w:lineRule="auto" w:before="0" w:after="0"/>
        <w:ind w:left="426" w:right="0" w:hanging="308"/>
        <w:jc w:val="both"/>
      </w:pPr>
      <w:r>
        <w:rPr/>
        <w:t>Saliva</w:t>
      </w:r>
    </w:p>
    <w:p>
      <w:pPr>
        <w:pStyle w:val="BodyText"/>
        <w:spacing w:before="4"/>
        <w:rPr>
          <w:b/>
          <w:sz w:val="29"/>
        </w:rPr>
      </w:pPr>
    </w:p>
    <w:p>
      <w:pPr>
        <w:pStyle w:val="BodyText"/>
        <w:spacing w:line="360" w:lineRule="auto" w:before="1"/>
        <w:ind w:left="118" w:right="113"/>
        <w:jc w:val="both"/>
      </w:pPr>
      <w:r>
        <w:rPr/>
        <w:t>La saliva es una solución hipotónica que contiene bicarbonatos, cloruro, potasio, sodio, compuestos nitrogenados y proteínas.</w:t>
      </w:r>
    </w:p>
    <w:p>
      <w:pPr>
        <w:pStyle w:val="Heading1"/>
        <w:numPr>
          <w:ilvl w:val="1"/>
          <w:numId w:val="8"/>
        </w:numPr>
        <w:tabs>
          <w:tab w:pos="560" w:val="left" w:leader="none"/>
        </w:tabs>
        <w:spacing w:line="240" w:lineRule="auto" w:before="204" w:after="0"/>
        <w:ind w:left="559" w:right="0" w:hanging="441"/>
        <w:jc w:val="both"/>
      </w:pPr>
      <w:r>
        <w:rPr/>
        <w:t>Características y composición de la</w:t>
      </w:r>
      <w:r>
        <w:rPr>
          <w:spacing w:val="-17"/>
        </w:rPr>
        <w:t> </w:t>
      </w:r>
      <w:r>
        <w:rPr/>
        <w:t>saliva</w:t>
      </w:r>
    </w:p>
    <w:p>
      <w:pPr>
        <w:pStyle w:val="BodyText"/>
        <w:spacing w:before="4"/>
        <w:rPr>
          <w:b/>
          <w:sz w:val="29"/>
        </w:rPr>
      </w:pPr>
    </w:p>
    <w:p>
      <w:pPr>
        <w:pStyle w:val="BodyText"/>
        <w:spacing w:before="1"/>
        <w:ind w:left="118"/>
        <w:jc w:val="both"/>
      </w:pPr>
      <w:r>
        <w:rPr/>
        <w:t>El pH de la saliva varía desde 5.2 hasta 7.8.</w:t>
      </w:r>
    </w:p>
    <w:p>
      <w:pPr>
        <w:pStyle w:val="BodyText"/>
        <w:spacing w:before="4"/>
        <w:rPr>
          <w:sz w:val="29"/>
        </w:rPr>
      </w:pPr>
    </w:p>
    <w:p>
      <w:pPr>
        <w:pStyle w:val="BodyText"/>
        <w:spacing w:line="360" w:lineRule="auto" w:before="1"/>
        <w:ind w:left="118" w:right="112"/>
        <w:jc w:val="both"/>
      </w:pPr>
      <w:r>
        <w:rPr/>
        <w:t>Factores tales como la temperatura, la cantidad y calidad de la saliva, la placa, el pH, proteínas, propiedades físico/químicas de los sólidos/líquidos de alimentos y las condiciones orales pueden influir en los procesos de corrosión.</w:t>
      </w:r>
    </w:p>
    <w:p>
      <w:pPr>
        <w:pStyle w:val="BodyText"/>
        <w:spacing w:line="357" w:lineRule="auto" w:before="202"/>
        <w:ind w:left="118" w:right="113"/>
        <w:jc w:val="both"/>
        <w:rPr>
          <w:sz w:val="16"/>
        </w:rPr>
      </w:pPr>
      <w:r>
        <w:rPr/>
        <w:t>La saliva es estéril cuando sale de las glándulas salivales, pero deja de serlo inmediatamente cuando se mezcla con el fluido crevicular, restos de alimentos, microorganismos, células descamadas de la mucosa oral, entre otros. </w:t>
      </w:r>
      <w:r>
        <w:rPr>
          <w:position w:val="8"/>
          <w:sz w:val="16"/>
        </w:rPr>
        <w:t>3</w:t>
      </w:r>
    </w:p>
    <w:p>
      <w:pPr>
        <w:pStyle w:val="BodyText"/>
        <w:spacing w:line="357" w:lineRule="auto" w:before="203"/>
        <w:ind w:left="118" w:right="115"/>
        <w:jc w:val="both"/>
        <w:rPr>
          <w:sz w:val="16"/>
        </w:rPr>
      </w:pPr>
      <w:r>
        <w:rPr/>
        <w:t>La saliva contiene electrólitos y macromoléculas como peroxidasa salival, enzima con propiedades antimicrobianas y antioxidantes.</w:t>
      </w:r>
      <w:r>
        <w:rPr>
          <w:position w:val="8"/>
          <w:sz w:val="16"/>
        </w:rPr>
        <w:t>4</w:t>
      </w:r>
    </w:p>
    <w:p>
      <w:pPr>
        <w:pStyle w:val="BodyText"/>
        <w:spacing w:line="360" w:lineRule="auto" w:before="204"/>
        <w:ind w:left="118" w:right="112"/>
        <w:jc w:val="both"/>
      </w:pPr>
      <w:r>
        <w:rPr/>
        <w:t>El término saliva es usado indistintamente para describir la combinación de fluidos en la cavidad bucal, la cual contiene 99% de agua y 1% de sólidos disueltos. Estos sólidos pueden diferenciarse en tres grupos:</w:t>
      </w:r>
    </w:p>
    <w:p>
      <w:pPr>
        <w:pStyle w:val="ListParagraph"/>
        <w:numPr>
          <w:ilvl w:val="0"/>
          <w:numId w:val="9"/>
        </w:numPr>
        <w:tabs>
          <w:tab w:pos="388" w:val="left" w:leader="none"/>
        </w:tabs>
        <w:spacing w:line="240" w:lineRule="auto" w:before="204" w:after="0"/>
        <w:ind w:left="387" w:right="0" w:hanging="269"/>
        <w:jc w:val="both"/>
        <w:rPr>
          <w:sz w:val="24"/>
        </w:rPr>
      </w:pPr>
      <w:r>
        <w:rPr>
          <w:sz w:val="24"/>
        </w:rPr>
        <w:t>Componentes orgánicos</w:t>
      </w:r>
      <w:r>
        <w:rPr>
          <w:spacing w:val="-14"/>
          <w:sz w:val="24"/>
        </w:rPr>
        <w:t> </w:t>
      </w:r>
      <w:r>
        <w:rPr>
          <w:sz w:val="24"/>
        </w:rPr>
        <w:t>proteicos</w:t>
      </w:r>
    </w:p>
    <w:p>
      <w:pPr>
        <w:spacing w:after="0" w:line="240" w:lineRule="auto"/>
        <w:jc w:val="both"/>
        <w:rPr>
          <w:sz w:val="24"/>
        </w:rPr>
        <w:sectPr>
          <w:pgSz w:w="12240" w:h="15840"/>
          <w:pgMar w:header="0" w:footer="887" w:top="1360" w:bottom="1140" w:left="1300" w:right="1300"/>
        </w:sectPr>
      </w:pPr>
    </w:p>
    <w:p>
      <w:pPr>
        <w:pStyle w:val="ListParagraph"/>
        <w:numPr>
          <w:ilvl w:val="0"/>
          <w:numId w:val="9"/>
        </w:numPr>
        <w:tabs>
          <w:tab w:pos="388" w:val="left" w:leader="none"/>
        </w:tabs>
        <w:spacing w:line="240" w:lineRule="auto" w:before="56" w:after="0"/>
        <w:ind w:left="387" w:right="0" w:hanging="269"/>
        <w:jc w:val="both"/>
        <w:rPr>
          <w:sz w:val="24"/>
        </w:rPr>
      </w:pPr>
      <w:r>
        <w:rPr>
          <w:sz w:val="24"/>
        </w:rPr>
        <w:t>Los componentes no</w:t>
      </w:r>
      <w:r>
        <w:rPr>
          <w:spacing w:val="-11"/>
          <w:sz w:val="24"/>
        </w:rPr>
        <w:t> </w:t>
      </w:r>
      <w:r>
        <w:rPr>
          <w:sz w:val="24"/>
        </w:rPr>
        <w:t>proteicos</w:t>
      </w:r>
    </w:p>
    <w:p>
      <w:pPr>
        <w:pStyle w:val="BodyText"/>
        <w:rPr>
          <w:sz w:val="29"/>
        </w:rPr>
      </w:pPr>
    </w:p>
    <w:p>
      <w:pPr>
        <w:pStyle w:val="ListParagraph"/>
        <w:numPr>
          <w:ilvl w:val="0"/>
          <w:numId w:val="9"/>
        </w:numPr>
        <w:tabs>
          <w:tab w:pos="388" w:val="left" w:leader="none"/>
        </w:tabs>
        <w:spacing w:line="240" w:lineRule="auto" w:before="0" w:after="0"/>
        <w:ind w:left="387" w:right="0" w:hanging="269"/>
        <w:jc w:val="both"/>
        <w:rPr>
          <w:sz w:val="16"/>
        </w:rPr>
      </w:pPr>
      <w:r>
        <w:rPr>
          <w:sz w:val="24"/>
        </w:rPr>
        <w:t>Los componentes inorgánicos o</w:t>
      </w:r>
      <w:r>
        <w:rPr>
          <w:spacing w:val="-15"/>
          <w:sz w:val="24"/>
        </w:rPr>
        <w:t> </w:t>
      </w:r>
      <w:r>
        <w:rPr>
          <w:sz w:val="24"/>
        </w:rPr>
        <w:t>electrólitos</w:t>
      </w:r>
      <w:r>
        <w:rPr>
          <w:position w:val="8"/>
          <w:sz w:val="16"/>
        </w:rPr>
        <w:t>5</w:t>
      </w:r>
    </w:p>
    <w:p>
      <w:pPr>
        <w:pStyle w:val="BodyText"/>
        <w:spacing w:before="2"/>
        <w:rPr>
          <w:sz w:val="29"/>
        </w:rPr>
      </w:pPr>
    </w:p>
    <w:p>
      <w:pPr>
        <w:pStyle w:val="Heading1"/>
        <w:numPr>
          <w:ilvl w:val="1"/>
          <w:numId w:val="8"/>
        </w:numPr>
        <w:tabs>
          <w:tab w:pos="561" w:val="left" w:leader="none"/>
        </w:tabs>
        <w:spacing w:line="240" w:lineRule="auto" w:before="0" w:after="0"/>
        <w:ind w:left="560" w:right="0" w:hanging="442"/>
        <w:jc w:val="both"/>
      </w:pPr>
      <w:r>
        <w:rPr/>
        <w:t>Funciones de la</w:t>
      </w:r>
      <w:r>
        <w:rPr>
          <w:spacing w:val="-9"/>
        </w:rPr>
        <w:t> </w:t>
      </w:r>
      <w:r>
        <w:rPr/>
        <w:t>saliva</w:t>
      </w:r>
    </w:p>
    <w:p>
      <w:pPr>
        <w:pStyle w:val="BodyText"/>
        <w:spacing w:before="4"/>
        <w:rPr>
          <w:b/>
          <w:sz w:val="29"/>
        </w:rPr>
      </w:pPr>
    </w:p>
    <w:p>
      <w:pPr>
        <w:pStyle w:val="ListParagraph"/>
        <w:numPr>
          <w:ilvl w:val="0"/>
          <w:numId w:val="10"/>
        </w:numPr>
        <w:tabs>
          <w:tab w:pos="479" w:val="left" w:leader="none"/>
        </w:tabs>
        <w:spacing w:line="240" w:lineRule="auto" w:before="1" w:after="0"/>
        <w:ind w:left="478" w:right="0" w:hanging="360"/>
        <w:jc w:val="both"/>
        <w:rPr>
          <w:sz w:val="24"/>
        </w:rPr>
      </w:pPr>
      <w:r>
        <w:rPr>
          <w:sz w:val="24"/>
        </w:rPr>
        <w:t>Lubricación y amortiguadora o</w:t>
      </w:r>
      <w:r>
        <w:rPr>
          <w:spacing w:val="-15"/>
          <w:sz w:val="24"/>
        </w:rPr>
        <w:t> </w:t>
      </w:r>
      <w:r>
        <w:rPr>
          <w:sz w:val="24"/>
        </w:rPr>
        <w:t>buffer</w:t>
      </w:r>
    </w:p>
    <w:p>
      <w:pPr>
        <w:pStyle w:val="ListParagraph"/>
        <w:numPr>
          <w:ilvl w:val="0"/>
          <w:numId w:val="10"/>
        </w:numPr>
        <w:tabs>
          <w:tab w:pos="479" w:val="left" w:leader="none"/>
        </w:tabs>
        <w:spacing w:line="240" w:lineRule="auto" w:before="139" w:after="0"/>
        <w:ind w:left="478" w:right="0" w:hanging="360"/>
        <w:jc w:val="both"/>
        <w:rPr>
          <w:sz w:val="24"/>
        </w:rPr>
      </w:pPr>
      <w:r>
        <w:rPr>
          <w:sz w:val="24"/>
        </w:rPr>
        <w:t>Antimicrobiana</w:t>
      </w:r>
    </w:p>
    <w:p>
      <w:pPr>
        <w:pStyle w:val="ListParagraph"/>
        <w:numPr>
          <w:ilvl w:val="0"/>
          <w:numId w:val="10"/>
        </w:numPr>
        <w:tabs>
          <w:tab w:pos="479" w:val="left" w:leader="none"/>
        </w:tabs>
        <w:spacing w:line="240" w:lineRule="auto" w:before="137" w:after="0"/>
        <w:ind w:left="478" w:right="0" w:hanging="360"/>
        <w:jc w:val="both"/>
        <w:rPr>
          <w:sz w:val="24"/>
        </w:rPr>
      </w:pPr>
      <w:r>
        <w:rPr>
          <w:sz w:val="24"/>
        </w:rPr>
        <w:t>Mantenimiento de la integridad de la</w:t>
      </w:r>
      <w:r>
        <w:rPr>
          <w:spacing w:val="-17"/>
          <w:sz w:val="24"/>
        </w:rPr>
        <w:t> </w:t>
      </w:r>
      <w:r>
        <w:rPr>
          <w:sz w:val="24"/>
        </w:rPr>
        <w:t>mucosa</w:t>
      </w:r>
    </w:p>
    <w:p>
      <w:pPr>
        <w:pStyle w:val="ListParagraph"/>
        <w:numPr>
          <w:ilvl w:val="0"/>
          <w:numId w:val="10"/>
        </w:numPr>
        <w:tabs>
          <w:tab w:pos="479" w:val="left" w:leader="none"/>
        </w:tabs>
        <w:spacing w:line="240" w:lineRule="auto" w:before="139" w:after="0"/>
        <w:ind w:left="478" w:right="0" w:hanging="360"/>
        <w:jc w:val="both"/>
        <w:rPr>
          <w:sz w:val="24"/>
        </w:rPr>
      </w:pPr>
      <w:r>
        <w:rPr>
          <w:sz w:val="24"/>
        </w:rPr>
        <w:t>Limpieza</w:t>
      </w:r>
    </w:p>
    <w:p>
      <w:pPr>
        <w:pStyle w:val="ListParagraph"/>
        <w:numPr>
          <w:ilvl w:val="0"/>
          <w:numId w:val="10"/>
        </w:numPr>
        <w:tabs>
          <w:tab w:pos="479" w:val="left" w:leader="none"/>
        </w:tabs>
        <w:spacing w:line="240" w:lineRule="auto" w:before="137" w:after="0"/>
        <w:ind w:left="478" w:right="0" w:hanging="360"/>
        <w:jc w:val="both"/>
        <w:rPr>
          <w:sz w:val="24"/>
        </w:rPr>
      </w:pPr>
      <w:r>
        <w:rPr>
          <w:sz w:val="24"/>
        </w:rPr>
        <w:t>Capacidad de</w:t>
      </w:r>
      <w:r>
        <w:rPr>
          <w:spacing w:val="-10"/>
          <w:sz w:val="24"/>
        </w:rPr>
        <w:t> </w:t>
      </w:r>
      <w:r>
        <w:rPr>
          <w:sz w:val="24"/>
        </w:rPr>
        <w:t>remineralización</w:t>
      </w:r>
    </w:p>
    <w:p>
      <w:pPr>
        <w:pStyle w:val="ListParagraph"/>
        <w:numPr>
          <w:ilvl w:val="0"/>
          <w:numId w:val="10"/>
        </w:numPr>
        <w:tabs>
          <w:tab w:pos="479" w:val="left" w:leader="none"/>
        </w:tabs>
        <w:spacing w:line="240" w:lineRule="auto" w:before="140" w:after="0"/>
        <w:ind w:left="478" w:right="0" w:hanging="360"/>
        <w:jc w:val="both"/>
        <w:rPr>
          <w:sz w:val="24"/>
        </w:rPr>
      </w:pPr>
      <w:r>
        <w:rPr>
          <w:sz w:val="24"/>
        </w:rPr>
        <w:t>Preparación de los alimentos para la</w:t>
      </w:r>
      <w:r>
        <w:rPr>
          <w:spacing w:val="-16"/>
          <w:sz w:val="24"/>
        </w:rPr>
        <w:t> </w:t>
      </w:r>
      <w:r>
        <w:rPr>
          <w:sz w:val="24"/>
        </w:rPr>
        <w:t>deglución</w:t>
      </w:r>
    </w:p>
    <w:p>
      <w:pPr>
        <w:pStyle w:val="ListParagraph"/>
        <w:numPr>
          <w:ilvl w:val="0"/>
          <w:numId w:val="10"/>
        </w:numPr>
        <w:tabs>
          <w:tab w:pos="479" w:val="left" w:leader="none"/>
        </w:tabs>
        <w:spacing w:line="240" w:lineRule="auto" w:before="137" w:after="0"/>
        <w:ind w:left="478" w:right="0" w:hanging="360"/>
        <w:jc w:val="both"/>
        <w:rPr>
          <w:sz w:val="24"/>
        </w:rPr>
      </w:pPr>
      <w:r>
        <w:rPr>
          <w:sz w:val="24"/>
        </w:rPr>
        <w:t>Digestión</w:t>
      </w:r>
    </w:p>
    <w:p>
      <w:pPr>
        <w:pStyle w:val="ListParagraph"/>
        <w:numPr>
          <w:ilvl w:val="0"/>
          <w:numId w:val="10"/>
        </w:numPr>
        <w:tabs>
          <w:tab w:pos="479" w:val="left" w:leader="none"/>
        </w:tabs>
        <w:spacing w:line="240" w:lineRule="auto" w:before="139" w:after="0"/>
        <w:ind w:left="478" w:right="0" w:hanging="360"/>
        <w:jc w:val="both"/>
        <w:rPr>
          <w:sz w:val="24"/>
        </w:rPr>
      </w:pPr>
      <w:r>
        <w:rPr>
          <w:sz w:val="24"/>
        </w:rPr>
        <w:t>Sabor</w:t>
      </w:r>
    </w:p>
    <w:p>
      <w:pPr>
        <w:pStyle w:val="ListParagraph"/>
        <w:numPr>
          <w:ilvl w:val="0"/>
          <w:numId w:val="10"/>
        </w:numPr>
        <w:tabs>
          <w:tab w:pos="479" w:val="left" w:leader="none"/>
        </w:tabs>
        <w:spacing w:line="240" w:lineRule="auto" w:before="137" w:after="0"/>
        <w:ind w:left="478" w:right="0" w:hanging="360"/>
        <w:jc w:val="both"/>
        <w:rPr>
          <w:sz w:val="24"/>
        </w:rPr>
      </w:pPr>
      <w:r>
        <w:rPr>
          <w:sz w:val="24"/>
        </w:rPr>
        <w:t>Fonación</w:t>
      </w:r>
    </w:p>
    <w:p>
      <w:pPr>
        <w:pStyle w:val="BodyText"/>
      </w:pPr>
    </w:p>
    <w:p>
      <w:pPr>
        <w:pStyle w:val="BodyText"/>
      </w:pPr>
    </w:p>
    <w:p>
      <w:pPr>
        <w:pStyle w:val="Heading1"/>
        <w:numPr>
          <w:ilvl w:val="0"/>
          <w:numId w:val="4"/>
        </w:numPr>
        <w:tabs>
          <w:tab w:pos="479" w:val="left" w:leader="none"/>
        </w:tabs>
        <w:spacing w:line="240" w:lineRule="auto" w:before="199" w:after="0"/>
        <w:ind w:left="478" w:right="0" w:hanging="360"/>
        <w:jc w:val="both"/>
      </w:pPr>
      <w:r>
        <w:rPr/>
        <w:t>Biocompatibilidad y liberación de metales en la cavidad</w:t>
      </w:r>
      <w:r>
        <w:rPr>
          <w:spacing w:val="-13"/>
        </w:rPr>
        <w:t> </w:t>
      </w:r>
      <w:r>
        <w:rPr/>
        <w:t>bucal</w:t>
      </w:r>
    </w:p>
    <w:p>
      <w:pPr>
        <w:pStyle w:val="BodyText"/>
        <w:rPr>
          <w:b/>
        </w:rPr>
      </w:pPr>
    </w:p>
    <w:p>
      <w:pPr>
        <w:pStyle w:val="BodyText"/>
        <w:rPr>
          <w:b/>
        </w:rPr>
      </w:pPr>
    </w:p>
    <w:p>
      <w:pPr>
        <w:pStyle w:val="BodyText"/>
        <w:spacing w:line="360" w:lineRule="auto" w:before="202"/>
        <w:ind w:left="118" w:right="42"/>
      </w:pPr>
      <w:r>
        <w:rPr/>
        <w:t>La biocompatibilidad se define como la capacidad de existir en armonía con el ambiente biológico circundante.</w:t>
      </w:r>
    </w:p>
    <w:p>
      <w:pPr>
        <w:pStyle w:val="BodyText"/>
        <w:spacing w:line="360" w:lineRule="auto" w:before="204"/>
        <w:ind w:left="118" w:right="113"/>
        <w:jc w:val="both"/>
        <w:rPr>
          <w:sz w:val="16"/>
        </w:rPr>
      </w:pPr>
      <w:r>
        <w:rPr/>
        <w:t>En general, se calcula basándose en la citotoxicidad localizada, la respuesta sistémica, la alergenicidad y la carcinogenicidad, debe cumplir con los siguientes criterios en Odontología: no ser dañino para la pulpa y los tejidos blandos, no contener sustancias tóxicas que se puedan difundir, liberar y absorber en el sistema circulatorio para causar respuesta</w:t>
      </w:r>
      <w:r>
        <w:rPr>
          <w:spacing w:val="-9"/>
        </w:rPr>
        <w:t> </w:t>
      </w:r>
      <w:r>
        <w:rPr/>
        <w:t>tóxica</w:t>
      </w:r>
      <w:r>
        <w:rPr>
          <w:spacing w:val="-10"/>
        </w:rPr>
        <w:t> </w:t>
      </w:r>
      <w:r>
        <w:rPr/>
        <w:t>sistémica,</w:t>
      </w:r>
      <w:r>
        <w:rPr>
          <w:spacing w:val="-9"/>
        </w:rPr>
        <w:t> </w:t>
      </w:r>
      <w:r>
        <w:rPr/>
        <w:t>debe</w:t>
      </w:r>
      <w:r>
        <w:rPr>
          <w:spacing w:val="-12"/>
        </w:rPr>
        <w:t> </w:t>
      </w:r>
      <w:r>
        <w:rPr/>
        <w:t>estar</w:t>
      </w:r>
      <w:r>
        <w:rPr>
          <w:spacing w:val="-11"/>
        </w:rPr>
        <w:t> </w:t>
      </w:r>
      <w:r>
        <w:rPr/>
        <w:t>libre</w:t>
      </w:r>
      <w:r>
        <w:rPr>
          <w:spacing w:val="-10"/>
        </w:rPr>
        <w:t> </w:t>
      </w:r>
      <w:r>
        <w:rPr/>
        <w:t>de</w:t>
      </w:r>
      <w:r>
        <w:rPr>
          <w:spacing w:val="-9"/>
        </w:rPr>
        <w:t> </w:t>
      </w:r>
      <w:r>
        <w:rPr/>
        <w:t>agentes</w:t>
      </w:r>
      <w:r>
        <w:rPr>
          <w:spacing w:val="-10"/>
        </w:rPr>
        <w:t> </w:t>
      </w:r>
      <w:r>
        <w:rPr/>
        <w:t>sensibilizantes</w:t>
      </w:r>
      <w:r>
        <w:rPr>
          <w:spacing w:val="-10"/>
        </w:rPr>
        <w:t> </w:t>
      </w:r>
      <w:r>
        <w:rPr/>
        <w:t>que</w:t>
      </w:r>
      <w:r>
        <w:rPr>
          <w:spacing w:val="-9"/>
        </w:rPr>
        <w:t> </w:t>
      </w:r>
      <w:r>
        <w:rPr/>
        <w:t>puedan</w:t>
      </w:r>
      <w:r>
        <w:rPr>
          <w:spacing w:val="-9"/>
        </w:rPr>
        <w:t> </w:t>
      </w:r>
      <w:r>
        <w:rPr/>
        <w:t>llegar a causar respuestas alérgicas y no tener potencial</w:t>
      </w:r>
      <w:r>
        <w:rPr>
          <w:spacing w:val="-20"/>
        </w:rPr>
        <w:t> </w:t>
      </w:r>
      <w:r>
        <w:rPr/>
        <w:t>carcinogénico.</w:t>
      </w:r>
      <w:r>
        <w:rPr>
          <w:position w:val="8"/>
          <w:sz w:val="16"/>
        </w:rPr>
        <w:t>6</w:t>
      </w:r>
    </w:p>
    <w:p>
      <w:pPr>
        <w:pStyle w:val="BodyText"/>
        <w:spacing w:line="360" w:lineRule="auto" w:before="198"/>
        <w:ind w:left="118" w:right="119"/>
        <w:jc w:val="both"/>
        <w:rPr>
          <w:sz w:val="16"/>
        </w:rPr>
      </w:pPr>
      <w:r>
        <w:rPr/>
        <w:t>Se</w:t>
      </w:r>
      <w:r>
        <w:rPr>
          <w:spacing w:val="-7"/>
        </w:rPr>
        <w:t> </w:t>
      </w:r>
      <w:r>
        <w:rPr/>
        <w:t>ha</w:t>
      </w:r>
      <w:r>
        <w:rPr>
          <w:spacing w:val="-7"/>
        </w:rPr>
        <w:t> </w:t>
      </w:r>
      <w:r>
        <w:rPr/>
        <w:t>informado</w:t>
      </w:r>
      <w:r>
        <w:rPr>
          <w:spacing w:val="-7"/>
        </w:rPr>
        <w:t> </w:t>
      </w:r>
      <w:r>
        <w:rPr/>
        <w:t>en</w:t>
      </w:r>
      <w:r>
        <w:rPr>
          <w:spacing w:val="-7"/>
        </w:rPr>
        <w:t> </w:t>
      </w:r>
      <w:r>
        <w:rPr/>
        <w:t>la</w:t>
      </w:r>
      <w:r>
        <w:rPr>
          <w:spacing w:val="-10"/>
        </w:rPr>
        <w:t> </w:t>
      </w:r>
      <w:r>
        <w:rPr/>
        <w:t>literatura</w:t>
      </w:r>
      <w:r>
        <w:rPr>
          <w:spacing w:val="-10"/>
        </w:rPr>
        <w:t> </w:t>
      </w:r>
      <w:r>
        <w:rPr/>
        <w:t>una</w:t>
      </w:r>
      <w:r>
        <w:rPr>
          <w:spacing w:val="-7"/>
        </w:rPr>
        <w:t> </w:t>
      </w:r>
      <w:r>
        <w:rPr/>
        <w:t>gran</w:t>
      </w:r>
      <w:r>
        <w:rPr>
          <w:spacing w:val="-7"/>
        </w:rPr>
        <w:t> </w:t>
      </w:r>
      <w:r>
        <w:rPr/>
        <w:t>cantidad</w:t>
      </w:r>
      <w:r>
        <w:rPr>
          <w:spacing w:val="-9"/>
        </w:rPr>
        <w:t> </w:t>
      </w:r>
      <w:r>
        <w:rPr/>
        <w:t>de</w:t>
      </w:r>
      <w:r>
        <w:rPr>
          <w:spacing w:val="-9"/>
        </w:rPr>
        <w:t> </w:t>
      </w:r>
      <w:r>
        <w:rPr/>
        <w:t>casos</w:t>
      </w:r>
      <w:r>
        <w:rPr>
          <w:spacing w:val="-10"/>
        </w:rPr>
        <w:t> </w:t>
      </w:r>
      <w:r>
        <w:rPr/>
        <w:t>relacionados</w:t>
      </w:r>
      <w:r>
        <w:rPr>
          <w:spacing w:val="-8"/>
        </w:rPr>
        <w:t> </w:t>
      </w:r>
      <w:r>
        <w:rPr/>
        <w:t>con</w:t>
      </w:r>
      <w:r>
        <w:rPr>
          <w:spacing w:val="-7"/>
        </w:rPr>
        <w:t> </w:t>
      </w:r>
      <w:r>
        <w:rPr/>
        <w:t>reacciones tisulares orales a biomateriales empleados durante los procedimientos restauradores, sugiriéndose que algunos metales como el níquel o el cobre liberados de ciertas aleaciones podrían ser tóxicos debido a reacciones tisulares expresadas como inflamación gingival.</w:t>
      </w:r>
      <w:r>
        <w:rPr>
          <w:spacing w:val="-5"/>
        </w:rPr>
        <w:t> </w:t>
      </w:r>
      <w:r>
        <w:rPr>
          <w:position w:val="8"/>
          <w:sz w:val="16"/>
        </w:rPr>
        <w:t>7</w:t>
      </w:r>
    </w:p>
    <w:p>
      <w:pPr>
        <w:spacing w:after="0" w:line="360" w:lineRule="auto"/>
        <w:jc w:val="both"/>
        <w:rPr>
          <w:sz w:val="16"/>
        </w:rPr>
        <w:sectPr>
          <w:pgSz w:w="12240" w:h="15840"/>
          <w:pgMar w:header="0" w:footer="887" w:top="1360" w:bottom="1140" w:left="1300" w:right="1300"/>
        </w:sectPr>
      </w:pPr>
    </w:p>
    <w:p>
      <w:pPr>
        <w:pStyle w:val="BodyText"/>
        <w:spacing w:line="360" w:lineRule="auto" w:before="56"/>
        <w:ind w:left="118" w:right="120"/>
        <w:jc w:val="both"/>
      </w:pPr>
      <w:r>
        <w:rPr/>
        <w:t>Algunos estudios han informado liberación de metales a partir de aleaciones nobles y altamente nobles que han ocasionado decoloración e hiperplasia de la encía adyacente.</w:t>
      </w:r>
    </w:p>
    <w:p>
      <w:pPr>
        <w:pStyle w:val="BodyText"/>
        <w:spacing w:line="360" w:lineRule="auto" w:before="204"/>
        <w:ind w:left="118" w:right="111"/>
        <w:jc w:val="both"/>
        <w:rPr>
          <w:sz w:val="16"/>
        </w:rPr>
      </w:pPr>
      <w:r>
        <w:rPr/>
        <w:t>En un estudio de 2010 donde se realizaron experimentos de polarización potenciodinámicas y microscopio electrónico de barrido observaron arcos de alambre compuestos de acero inoxidable, de CoCr, NiCr, NiTi y Beta-Ti expuestos a la corrosión electroquímica</w:t>
      </w:r>
      <w:r>
        <w:rPr>
          <w:spacing w:val="-5"/>
        </w:rPr>
        <w:t> </w:t>
      </w:r>
      <w:r>
        <w:rPr/>
        <w:t>en</w:t>
      </w:r>
      <w:r>
        <w:rPr>
          <w:spacing w:val="-5"/>
        </w:rPr>
        <w:t> </w:t>
      </w:r>
      <w:r>
        <w:rPr/>
        <w:t>saliva</w:t>
      </w:r>
      <w:r>
        <w:rPr>
          <w:spacing w:val="-5"/>
        </w:rPr>
        <w:t> </w:t>
      </w:r>
      <w:r>
        <w:rPr/>
        <w:t>artificial</w:t>
      </w:r>
      <w:r>
        <w:rPr>
          <w:spacing w:val="-6"/>
        </w:rPr>
        <w:t> </w:t>
      </w:r>
      <w:r>
        <w:rPr/>
        <w:t>mostrando</w:t>
      </w:r>
      <w:r>
        <w:rPr>
          <w:spacing w:val="-7"/>
        </w:rPr>
        <w:t> </w:t>
      </w:r>
      <w:r>
        <w:rPr/>
        <w:t>evidencia</w:t>
      </w:r>
      <w:r>
        <w:rPr>
          <w:spacing w:val="-5"/>
        </w:rPr>
        <w:t> </w:t>
      </w:r>
      <w:r>
        <w:rPr/>
        <w:t>de</w:t>
      </w:r>
      <w:r>
        <w:rPr>
          <w:spacing w:val="-5"/>
        </w:rPr>
        <w:t> </w:t>
      </w:r>
      <w:r>
        <w:rPr/>
        <w:t>corrosión</w:t>
      </w:r>
      <w:r>
        <w:rPr>
          <w:spacing w:val="-4"/>
        </w:rPr>
        <w:t> </w:t>
      </w:r>
      <w:r>
        <w:rPr/>
        <w:t>en</w:t>
      </w:r>
      <w:r>
        <w:rPr>
          <w:spacing w:val="-5"/>
        </w:rPr>
        <w:t> </w:t>
      </w:r>
      <w:r>
        <w:rPr/>
        <w:t>las</w:t>
      </w:r>
      <w:r>
        <w:rPr>
          <w:spacing w:val="-5"/>
        </w:rPr>
        <w:t> </w:t>
      </w:r>
      <w:r>
        <w:rPr/>
        <w:t>superficies</w:t>
      </w:r>
      <w:r>
        <w:rPr>
          <w:spacing w:val="-8"/>
        </w:rPr>
        <w:t> </w:t>
      </w:r>
      <w:r>
        <w:rPr/>
        <w:t>del alambre.</w:t>
      </w:r>
      <w:r>
        <w:rPr>
          <w:spacing w:val="-21"/>
        </w:rPr>
        <w:t> </w:t>
      </w:r>
      <w:r>
        <w:rPr>
          <w:position w:val="8"/>
          <w:sz w:val="16"/>
        </w:rPr>
        <w:t>6</w:t>
      </w:r>
    </w:p>
    <w:p>
      <w:pPr>
        <w:pStyle w:val="BodyText"/>
        <w:spacing w:line="360" w:lineRule="auto" w:before="200"/>
        <w:ind w:left="118" w:right="114"/>
        <w:jc w:val="both"/>
        <w:rPr>
          <w:sz w:val="16"/>
        </w:rPr>
      </w:pPr>
      <w:r>
        <w:rPr/>
        <w:t>Ante la presencia de cloruros en el medio ambiente, la película se rompe localmente y tiene una rápida disolución del metal subyacente, que se produce en forma de hoyos o agujeros,</w:t>
      </w:r>
      <w:r>
        <w:rPr>
          <w:spacing w:val="-10"/>
        </w:rPr>
        <w:t> </w:t>
      </w:r>
      <w:r>
        <w:rPr/>
        <w:t>produciendo</w:t>
      </w:r>
      <w:r>
        <w:rPr>
          <w:spacing w:val="-13"/>
        </w:rPr>
        <w:t> </w:t>
      </w:r>
      <w:r>
        <w:rPr/>
        <w:t>una</w:t>
      </w:r>
      <w:r>
        <w:rPr>
          <w:spacing w:val="-11"/>
        </w:rPr>
        <w:t> </w:t>
      </w:r>
      <w:r>
        <w:rPr/>
        <w:t>modificación</w:t>
      </w:r>
      <w:r>
        <w:rPr>
          <w:spacing w:val="-9"/>
        </w:rPr>
        <w:t> </w:t>
      </w:r>
      <w:r>
        <w:rPr/>
        <w:t>en</w:t>
      </w:r>
      <w:r>
        <w:rPr>
          <w:spacing w:val="-9"/>
        </w:rPr>
        <w:t> </w:t>
      </w:r>
      <w:r>
        <w:rPr/>
        <w:t>la</w:t>
      </w:r>
      <w:r>
        <w:rPr>
          <w:spacing w:val="-11"/>
        </w:rPr>
        <w:t> </w:t>
      </w:r>
      <w:r>
        <w:rPr/>
        <w:t>morfología</w:t>
      </w:r>
      <w:r>
        <w:rPr>
          <w:spacing w:val="-9"/>
        </w:rPr>
        <w:t> </w:t>
      </w:r>
      <w:r>
        <w:rPr/>
        <w:t>del</w:t>
      </w:r>
      <w:r>
        <w:rPr>
          <w:spacing w:val="-10"/>
        </w:rPr>
        <w:t> </w:t>
      </w:r>
      <w:r>
        <w:rPr/>
        <w:t>metal</w:t>
      </w:r>
      <w:r>
        <w:rPr>
          <w:spacing w:val="-10"/>
        </w:rPr>
        <w:t> </w:t>
      </w:r>
      <w:r>
        <w:rPr/>
        <w:t>y</w:t>
      </w:r>
      <w:r>
        <w:rPr>
          <w:spacing w:val="-14"/>
        </w:rPr>
        <w:t> </w:t>
      </w:r>
      <w:r>
        <w:rPr/>
        <w:t>el</w:t>
      </w:r>
      <w:r>
        <w:rPr>
          <w:spacing w:val="-10"/>
        </w:rPr>
        <w:t> </w:t>
      </w:r>
      <w:r>
        <w:rPr/>
        <w:t>inicio</w:t>
      </w:r>
      <w:r>
        <w:rPr>
          <w:spacing w:val="-10"/>
        </w:rPr>
        <w:t> </w:t>
      </w:r>
      <w:r>
        <w:rPr/>
        <w:t>de</w:t>
      </w:r>
      <w:r>
        <w:rPr>
          <w:spacing w:val="-9"/>
        </w:rPr>
        <w:t> </w:t>
      </w:r>
      <w:r>
        <w:rPr/>
        <w:t>procesos en</w:t>
      </w:r>
      <w:r>
        <w:rPr>
          <w:spacing w:val="-11"/>
        </w:rPr>
        <w:t> </w:t>
      </w:r>
      <w:r>
        <w:rPr/>
        <w:t>la</w:t>
      </w:r>
      <w:r>
        <w:rPr>
          <w:spacing w:val="-11"/>
        </w:rPr>
        <w:t> </w:t>
      </w:r>
      <w:r>
        <w:rPr/>
        <w:t>composición</w:t>
      </w:r>
      <w:r>
        <w:rPr>
          <w:spacing w:val="-11"/>
        </w:rPr>
        <w:t> </w:t>
      </w:r>
      <w:r>
        <w:rPr/>
        <w:t>del</w:t>
      </w:r>
      <w:r>
        <w:rPr>
          <w:spacing w:val="-12"/>
        </w:rPr>
        <w:t> </w:t>
      </w:r>
      <w:r>
        <w:rPr/>
        <w:t>mismo,</w:t>
      </w:r>
      <w:r>
        <w:rPr>
          <w:spacing w:val="-11"/>
        </w:rPr>
        <w:t> </w:t>
      </w:r>
      <w:r>
        <w:rPr/>
        <w:t>dando</w:t>
      </w:r>
      <w:r>
        <w:rPr>
          <w:spacing w:val="-11"/>
        </w:rPr>
        <w:t> </w:t>
      </w:r>
      <w:r>
        <w:rPr/>
        <w:t>lugar</w:t>
      </w:r>
      <w:r>
        <w:rPr>
          <w:spacing w:val="-12"/>
        </w:rPr>
        <w:t> </w:t>
      </w:r>
      <w:r>
        <w:rPr/>
        <w:t>a</w:t>
      </w:r>
      <w:r>
        <w:rPr>
          <w:spacing w:val="-11"/>
        </w:rPr>
        <w:t> </w:t>
      </w:r>
      <w:r>
        <w:rPr/>
        <w:t>la</w:t>
      </w:r>
      <w:r>
        <w:rPr>
          <w:spacing w:val="-11"/>
        </w:rPr>
        <w:t> </w:t>
      </w:r>
      <w:r>
        <w:rPr/>
        <w:t>interacción</w:t>
      </w:r>
      <w:r>
        <w:rPr>
          <w:spacing w:val="-11"/>
        </w:rPr>
        <w:t> </w:t>
      </w:r>
      <w:r>
        <w:rPr/>
        <w:t>del</w:t>
      </w:r>
      <w:r>
        <w:rPr>
          <w:spacing w:val="-14"/>
        </w:rPr>
        <w:t> </w:t>
      </w:r>
      <w:r>
        <w:rPr/>
        <w:t>material</w:t>
      </w:r>
      <w:r>
        <w:rPr>
          <w:spacing w:val="-12"/>
        </w:rPr>
        <w:t> </w:t>
      </w:r>
      <w:r>
        <w:rPr/>
        <w:t>con</w:t>
      </w:r>
      <w:r>
        <w:rPr>
          <w:spacing w:val="-11"/>
        </w:rPr>
        <w:t> </w:t>
      </w:r>
      <w:r>
        <w:rPr/>
        <w:t>el</w:t>
      </w:r>
      <w:r>
        <w:rPr>
          <w:spacing w:val="-14"/>
        </w:rPr>
        <w:t> </w:t>
      </w:r>
      <w:r>
        <w:rPr/>
        <w:t>medio</w:t>
      </w:r>
      <w:r>
        <w:rPr>
          <w:spacing w:val="-11"/>
        </w:rPr>
        <w:t> </w:t>
      </w:r>
      <w:r>
        <w:rPr/>
        <w:t>bucal y el organismo; el cual puede sugerir una respuesta</w:t>
      </w:r>
      <w:r>
        <w:rPr>
          <w:spacing w:val="-20"/>
        </w:rPr>
        <w:t> </w:t>
      </w:r>
      <w:r>
        <w:rPr/>
        <w:t>inmunológica.</w:t>
      </w:r>
      <w:r>
        <w:rPr>
          <w:position w:val="8"/>
          <w:sz w:val="16"/>
        </w:rPr>
        <w:t>9</w:t>
      </w:r>
    </w:p>
    <w:p>
      <w:pPr>
        <w:pStyle w:val="BodyText"/>
        <w:rPr>
          <w:sz w:val="26"/>
        </w:rPr>
      </w:pPr>
    </w:p>
    <w:p>
      <w:pPr>
        <w:pStyle w:val="BodyText"/>
        <w:rPr>
          <w:sz w:val="26"/>
        </w:rPr>
      </w:pPr>
    </w:p>
    <w:p>
      <w:pPr>
        <w:pStyle w:val="BodyText"/>
        <w:spacing w:line="360" w:lineRule="auto" w:before="214"/>
        <w:ind w:left="118" w:right="111"/>
        <w:jc w:val="both"/>
        <w:rPr>
          <w:sz w:val="16"/>
        </w:rPr>
      </w:pPr>
      <w:r>
        <w:rPr/>
        <w:t>La entrada de metales como níquel y cromo a través del tejido conectivo del huésped sugiere una respuesta inmunológica del organismo observándose principalmente en piel y mucosas. Esta aseveración, se corrobora en investigaciones donde la alergia al cromo en hombres se presenta en un 10% con respecto a un 3% en mujeres, no así con el níquel que se encontró en un 25% en el sexo masculino y en un 10 % en el sexo femenino.</w:t>
      </w:r>
      <w:r>
        <w:rPr>
          <w:position w:val="8"/>
          <w:sz w:val="16"/>
        </w:rPr>
        <w:t>10</w:t>
      </w:r>
    </w:p>
    <w:p>
      <w:pPr>
        <w:pStyle w:val="BodyText"/>
        <w:spacing w:line="360" w:lineRule="auto" w:before="200"/>
        <w:ind w:left="118" w:right="111"/>
        <w:jc w:val="both"/>
        <w:rPr>
          <w:sz w:val="14"/>
        </w:rPr>
      </w:pPr>
      <w:r>
        <w:rPr/>
        <w:t>Cabe señalar que la hipersensibilidad al cromo ocurre como dermatitis de contacto por metales</w:t>
      </w:r>
      <w:r>
        <w:rPr>
          <w:spacing w:val="-11"/>
        </w:rPr>
        <w:t> </w:t>
      </w:r>
      <w:r>
        <w:rPr/>
        <w:t>alérgenos,</w:t>
      </w:r>
      <w:r>
        <w:rPr>
          <w:spacing w:val="-11"/>
        </w:rPr>
        <w:t> </w:t>
      </w:r>
      <w:r>
        <w:rPr/>
        <w:t>primariamente</w:t>
      </w:r>
      <w:r>
        <w:rPr>
          <w:spacing w:val="-8"/>
        </w:rPr>
        <w:t> </w:t>
      </w:r>
      <w:r>
        <w:rPr/>
        <w:t>con</w:t>
      </w:r>
      <w:r>
        <w:rPr>
          <w:spacing w:val="-11"/>
        </w:rPr>
        <w:t> </w:t>
      </w:r>
      <w:r>
        <w:rPr/>
        <w:t>el</w:t>
      </w:r>
      <w:r>
        <w:rPr>
          <w:spacing w:val="-12"/>
        </w:rPr>
        <w:t> </w:t>
      </w:r>
      <w:r>
        <w:rPr/>
        <w:t>níquel</w:t>
      </w:r>
      <w:r>
        <w:rPr>
          <w:spacing w:val="-10"/>
        </w:rPr>
        <w:t> </w:t>
      </w:r>
      <w:r>
        <w:rPr/>
        <w:t>y</w:t>
      </w:r>
      <w:r>
        <w:rPr>
          <w:spacing w:val="-12"/>
        </w:rPr>
        <w:t> </w:t>
      </w:r>
      <w:r>
        <w:rPr/>
        <w:t>el</w:t>
      </w:r>
      <w:r>
        <w:rPr>
          <w:spacing w:val="-10"/>
        </w:rPr>
        <w:t> </w:t>
      </w:r>
      <w:r>
        <w:rPr/>
        <w:t>cobalto.</w:t>
      </w:r>
      <w:r>
        <w:rPr>
          <w:spacing w:val="-11"/>
        </w:rPr>
        <w:t> </w:t>
      </w:r>
      <w:r>
        <w:rPr/>
        <w:t>Aunque</w:t>
      </w:r>
      <w:r>
        <w:rPr>
          <w:spacing w:val="-8"/>
        </w:rPr>
        <w:t> </w:t>
      </w:r>
      <w:r>
        <w:rPr/>
        <w:t>estos</w:t>
      </w:r>
      <w:r>
        <w:rPr>
          <w:spacing w:val="-12"/>
        </w:rPr>
        <w:t> </w:t>
      </w:r>
      <w:r>
        <w:rPr/>
        <w:t>metales</w:t>
      </w:r>
      <w:r>
        <w:rPr>
          <w:spacing w:val="-11"/>
        </w:rPr>
        <w:t> </w:t>
      </w:r>
      <w:r>
        <w:rPr/>
        <w:t>están ubicados cerca en la tabla periódica, es conocido que tales hipersensibilidades coexistentes no son debidas a una reactividad inmunológica cruzada, sino más bien, a una sensibilización concomitante, es decir; una sensibilización específica</w:t>
      </w:r>
      <w:r>
        <w:rPr>
          <w:spacing w:val="-28"/>
        </w:rPr>
        <w:t> </w:t>
      </w:r>
      <w:r>
        <w:rPr/>
        <w:t>simultánea.</w:t>
      </w:r>
      <w:r>
        <w:rPr>
          <w:position w:val="8"/>
          <w:sz w:val="14"/>
        </w:rPr>
        <w:t>11</w:t>
      </w:r>
    </w:p>
    <w:p>
      <w:pPr>
        <w:pStyle w:val="BodyText"/>
        <w:spacing w:line="360" w:lineRule="auto" w:before="202"/>
        <w:ind w:left="118" w:right="112"/>
        <w:jc w:val="both"/>
      </w:pPr>
      <w:r>
        <w:rPr/>
        <w:t>Las manifestaciones clínicas de la hipersensibilidad son el resultado de una respuesta inmunocelular de tipo IV tardía, dependiente del linfocito derivado del timo. La persistencia de este tipo de hipersensibilidad celular o "tardía" parece ser debida a </w:t>
      </w:r>
      <w:r>
        <w:rPr>
          <w:spacing w:val="54"/>
        </w:rPr>
        <w:t> </w:t>
      </w:r>
      <w:r>
        <w:rPr/>
        <w:t>una</w:t>
      </w:r>
    </w:p>
    <w:p>
      <w:pPr>
        <w:spacing w:after="0" w:line="360" w:lineRule="auto"/>
        <w:jc w:val="both"/>
        <w:sectPr>
          <w:pgSz w:w="12240" w:h="15840"/>
          <w:pgMar w:header="0" w:footer="887" w:top="1360" w:bottom="1140" w:left="1300" w:right="1300"/>
        </w:sectPr>
      </w:pPr>
    </w:p>
    <w:p>
      <w:pPr>
        <w:pStyle w:val="BodyText"/>
        <w:spacing w:line="355" w:lineRule="auto" w:before="56"/>
        <w:ind w:left="118" w:right="122"/>
        <w:jc w:val="both"/>
        <w:rPr>
          <w:sz w:val="16"/>
        </w:rPr>
      </w:pPr>
      <w:r>
        <w:rPr/>
        <w:t>"memoria" duradera linfocítica en la circulación, capaz de reconocer los antígenos específicos muchos años después de su exposición inicial. </w:t>
      </w:r>
      <w:r>
        <w:rPr>
          <w:position w:val="8"/>
          <w:sz w:val="16"/>
        </w:rPr>
        <w:t>12</w:t>
      </w:r>
    </w:p>
    <w:p>
      <w:pPr>
        <w:pStyle w:val="BodyText"/>
        <w:spacing w:line="360" w:lineRule="auto" w:before="206"/>
        <w:ind w:left="118" w:right="112"/>
        <w:jc w:val="both"/>
        <w:rPr>
          <w:sz w:val="14"/>
        </w:rPr>
      </w:pPr>
      <w:r>
        <w:rPr/>
        <w:t>La dermatitis por contacto es un tipo de hipersensibilidad tipo IV donde el mecanismo inmunológico se desencadena por la combinación del metal y las proteínas de la piel, estimulando la respuesta de linfocitos T específicos derivados por la acción de la linfoquina MAF (Factor de Actividad Macrófaga) y macrófagos, que ocurre a los tres o cuatro días posteriores al contacto con el metal.</w:t>
      </w:r>
      <w:r>
        <w:rPr>
          <w:position w:val="8"/>
          <w:sz w:val="14"/>
        </w:rPr>
        <w:t>12,13</w:t>
      </w:r>
    </w:p>
    <w:p>
      <w:pPr>
        <w:pStyle w:val="BodyText"/>
      </w:pPr>
    </w:p>
    <w:p>
      <w:pPr>
        <w:pStyle w:val="BodyText"/>
      </w:pPr>
    </w:p>
    <w:p>
      <w:pPr>
        <w:pStyle w:val="BodyText"/>
        <w:spacing w:before="2"/>
        <w:rPr>
          <w:sz w:val="23"/>
        </w:rPr>
      </w:pPr>
    </w:p>
    <w:p>
      <w:pPr>
        <w:pStyle w:val="Heading1"/>
        <w:numPr>
          <w:ilvl w:val="0"/>
          <w:numId w:val="4"/>
        </w:numPr>
        <w:tabs>
          <w:tab w:pos="479" w:val="left" w:leader="none"/>
        </w:tabs>
        <w:spacing w:line="240" w:lineRule="auto" w:before="1" w:after="0"/>
        <w:ind w:left="478" w:right="0" w:hanging="360"/>
        <w:jc w:val="both"/>
      </w:pPr>
      <w:r>
        <w:rPr/>
        <w:t>Biodegradación</w:t>
      </w:r>
    </w:p>
    <w:p>
      <w:pPr>
        <w:pStyle w:val="BodyText"/>
        <w:rPr>
          <w:b/>
        </w:rPr>
      </w:pPr>
    </w:p>
    <w:p>
      <w:pPr>
        <w:pStyle w:val="BodyText"/>
        <w:rPr>
          <w:b/>
        </w:rPr>
      </w:pPr>
    </w:p>
    <w:p>
      <w:pPr>
        <w:pStyle w:val="BodyText"/>
        <w:spacing w:line="357" w:lineRule="auto" w:before="199"/>
        <w:ind w:left="118" w:right="120"/>
        <w:jc w:val="both"/>
        <w:rPr>
          <w:sz w:val="16"/>
        </w:rPr>
      </w:pPr>
      <w:r>
        <w:rPr/>
        <w:t>La</w:t>
      </w:r>
      <w:r>
        <w:rPr>
          <w:spacing w:val="-8"/>
        </w:rPr>
        <w:t> </w:t>
      </w:r>
      <w:r>
        <w:rPr/>
        <w:t>biodegradación</w:t>
      </w:r>
      <w:r>
        <w:rPr>
          <w:spacing w:val="-8"/>
        </w:rPr>
        <w:t> </w:t>
      </w:r>
      <w:r>
        <w:rPr/>
        <w:t>se</w:t>
      </w:r>
      <w:r>
        <w:rPr>
          <w:spacing w:val="-8"/>
        </w:rPr>
        <w:t> </w:t>
      </w:r>
      <w:r>
        <w:rPr/>
        <w:t>refiere</w:t>
      </w:r>
      <w:r>
        <w:rPr>
          <w:spacing w:val="-9"/>
        </w:rPr>
        <w:t> </w:t>
      </w:r>
      <w:r>
        <w:rPr/>
        <w:t>a</w:t>
      </w:r>
      <w:r>
        <w:rPr>
          <w:spacing w:val="-8"/>
        </w:rPr>
        <w:t> </w:t>
      </w:r>
      <w:r>
        <w:rPr/>
        <w:t>los</w:t>
      </w:r>
      <w:r>
        <w:rPr>
          <w:spacing w:val="-9"/>
        </w:rPr>
        <w:t> </w:t>
      </w:r>
      <w:r>
        <w:rPr/>
        <w:t>procesos</w:t>
      </w:r>
      <w:r>
        <w:rPr>
          <w:spacing w:val="-9"/>
        </w:rPr>
        <w:t> </w:t>
      </w:r>
      <w:r>
        <w:rPr/>
        <w:t>de</w:t>
      </w:r>
      <w:r>
        <w:rPr>
          <w:spacing w:val="-8"/>
        </w:rPr>
        <w:t> </w:t>
      </w:r>
      <w:r>
        <w:rPr/>
        <w:t>destrucción</w:t>
      </w:r>
      <w:r>
        <w:rPr>
          <w:spacing w:val="-8"/>
        </w:rPr>
        <w:t> </w:t>
      </w:r>
      <w:r>
        <w:rPr/>
        <w:t>y</w:t>
      </w:r>
      <w:r>
        <w:rPr>
          <w:spacing w:val="-12"/>
        </w:rPr>
        <w:t> </w:t>
      </w:r>
      <w:r>
        <w:rPr/>
        <w:t>disolución</w:t>
      </w:r>
      <w:r>
        <w:rPr>
          <w:spacing w:val="-8"/>
        </w:rPr>
        <w:t> </w:t>
      </w:r>
      <w:r>
        <w:rPr/>
        <w:t>de</w:t>
      </w:r>
      <w:r>
        <w:rPr>
          <w:spacing w:val="-8"/>
        </w:rPr>
        <w:t> </w:t>
      </w:r>
      <w:r>
        <w:rPr/>
        <w:t>los</w:t>
      </w:r>
      <w:r>
        <w:rPr>
          <w:spacing w:val="-11"/>
        </w:rPr>
        <w:t> </w:t>
      </w:r>
      <w:r>
        <w:rPr/>
        <w:t>materiales por la saliva o por acción física o química como el desgaste y la erosión, la masticación, los alimentos o la actividad bacteriana. Está altamente relacionado con la</w:t>
      </w:r>
      <w:r>
        <w:rPr>
          <w:spacing w:val="-20"/>
        </w:rPr>
        <w:t> </w:t>
      </w:r>
      <w:r>
        <w:rPr/>
        <w:t>corrosión.</w:t>
      </w:r>
      <w:r>
        <w:rPr>
          <w:position w:val="8"/>
          <w:sz w:val="16"/>
        </w:rPr>
        <w:t>14</w:t>
      </w:r>
    </w:p>
    <w:p>
      <w:pPr>
        <w:pStyle w:val="BodyText"/>
        <w:rPr>
          <w:sz w:val="26"/>
        </w:rPr>
      </w:pPr>
    </w:p>
    <w:p>
      <w:pPr>
        <w:pStyle w:val="BodyText"/>
        <w:rPr>
          <w:sz w:val="26"/>
        </w:rPr>
      </w:pPr>
    </w:p>
    <w:p>
      <w:pPr>
        <w:pStyle w:val="Heading1"/>
        <w:numPr>
          <w:ilvl w:val="0"/>
          <w:numId w:val="4"/>
        </w:numPr>
        <w:tabs>
          <w:tab w:pos="479" w:val="left" w:leader="none"/>
        </w:tabs>
        <w:spacing w:line="240" w:lineRule="auto" w:before="219" w:after="0"/>
        <w:ind w:left="478" w:right="0" w:hanging="360"/>
        <w:jc w:val="both"/>
      </w:pPr>
      <w:r>
        <w:rPr/>
        <w:t>Corrosión</w:t>
      </w:r>
    </w:p>
    <w:p>
      <w:pPr>
        <w:pStyle w:val="BodyText"/>
        <w:rPr>
          <w:b/>
        </w:rPr>
      </w:pPr>
    </w:p>
    <w:p>
      <w:pPr>
        <w:pStyle w:val="BodyText"/>
        <w:rPr>
          <w:b/>
        </w:rPr>
      </w:pPr>
    </w:p>
    <w:p>
      <w:pPr>
        <w:pStyle w:val="BodyText"/>
        <w:spacing w:line="360" w:lineRule="auto" w:before="199"/>
        <w:ind w:left="118" w:right="124"/>
        <w:jc w:val="both"/>
      </w:pPr>
      <w:r>
        <w:rPr/>
        <w:t>El factor más importante en la determinación de la seguridad biológica de una aleación es la corrosión.</w:t>
      </w:r>
    </w:p>
    <w:p>
      <w:pPr>
        <w:pStyle w:val="BodyText"/>
        <w:spacing w:line="360" w:lineRule="auto" w:before="204"/>
        <w:ind w:left="118" w:right="116"/>
        <w:jc w:val="both"/>
        <w:rPr>
          <w:sz w:val="16"/>
        </w:rPr>
      </w:pPr>
      <w:r>
        <w:rPr/>
        <w:t>La corrosión se define como el proceso químico o electroquímico a través del cual un metal es atacado por agentes naturales tales como el agua o el aire, llevando a una disolución parcial deterioro o debilitamiento de una sustancia sólida. La corrosión puede ser crevicular, galvánica, de shock o de fisuras.</w:t>
      </w:r>
      <w:r>
        <w:rPr>
          <w:position w:val="8"/>
          <w:sz w:val="16"/>
        </w:rPr>
        <w:t>6,13</w:t>
      </w:r>
    </w:p>
    <w:p>
      <w:pPr>
        <w:pStyle w:val="BodyText"/>
        <w:spacing w:line="357" w:lineRule="auto" w:before="201"/>
        <w:ind w:left="118" w:right="114"/>
        <w:jc w:val="both"/>
        <w:rPr>
          <w:sz w:val="16"/>
        </w:rPr>
      </w:pPr>
      <w:r>
        <w:rPr/>
        <w:t>Parece</w:t>
      </w:r>
      <w:r>
        <w:rPr>
          <w:spacing w:val="-6"/>
        </w:rPr>
        <w:t> </w:t>
      </w:r>
      <w:r>
        <w:rPr/>
        <w:t>que</w:t>
      </w:r>
      <w:r>
        <w:rPr>
          <w:spacing w:val="-6"/>
        </w:rPr>
        <w:t> </w:t>
      </w:r>
      <w:r>
        <w:rPr/>
        <w:t>la</w:t>
      </w:r>
      <w:r>
        <w:rPr>
          <w:spacing w:val="-9"/>
        </w:rPr>
        <w:t> </w:t>
      </w:r>
      <w:r>
        <w:rPr/>
        <w:t>toxicidad</w:t>
      </w:r>
      <w:r>
        <w:rPr>
          <w:spacing w:val="-6"/>
        </w:rPr>
        <w:t> </w:t>
      </w:r>
      <w:r>
        <w:rPr/>
        <w:t>sistémica,</w:t>
      </w:r>
      <w:r>
        <w:rPr>
          <w:spacing w:val="-6"/>
        </w:rPr>
        <w:t> </w:t>
      </w:r>
      <w:r>
        <w:rPr/>
        <w:t>local</w:t>
      </w:r>
      <w:r>
        <w:rPr>
          <w:spacing w:val="-7"/>
        </w:rPr>
        <w:t> </w:t>
      </w:r>
      <w:r>
        <w:rPr/>
        <w:t>y</w:t>
      </w:r>
      <w:r>
        <w:rPr>
          <w:spacing w:val="-9"/>
        </w:rPr>
        <w:t> </w:t>
      </w:r>
      <w:r>
        <w:rPr/>
        <w:t>la</w:t>
      </w:r>
      <w:r>
        <w:rPr>
          <w:spacing w:val="-6"/>
        </w:rPr>
        <w:t> </w:t>
      </w:r>
      <w:r>
        <w:rPr/>
        <w:t>carcinogenecidad</w:t>
      </w:r>
      <w:r>
        <w:rPr>
          <w:spacing w:val="-6"/>
        </w:rPr>
        <w:t> </w:t>
      </w:r>
      <w:r>
        <w:rPr/>
        <w:t>de</w:t>
      </w:r>
      <w:r>
        <w:rPr>
          <w:spacing w:val="-6"/>
        </w:rPr>
        <w:t> </w:t>
      </w:r>
      <w:r>
        <w:rPr/>
        <w:t>una</w:t>
      </w:r>
      <w:r>
        <w:rPr>
          <w:spacing w:val="-6"/>
        </w:rPr>
        <w:t> </w:t>
      </w:r>
      <w:r>
        <w:rPr/>
        <w:t>aleación</w:t>
      </w:r>
      <w:r>
        <w:rPr>
          <w:spacing w:val="-6"/>
        </w:rPr>
        <w:t> </w:t>
      </w:r>
      <w:r>
        <w:rPr/>
        <w:t>resulta</w:t>
      </w:r>
      <w:r>
        <w:rPr>
          <w:spacing w:val="-6"/>
        </w:rPr>
        <w:t> </w:t>
      </w:r>
      <w:r>
        <w:rPr/>
        <w:t>de elementos liberados de la aleación en la boca durante la corrosión.</w:t>
      </w:r>
      <w:r>
        <w:rPr>
          <w:position w:val="8"/>
          <w:sz w:val="16"/>
        </w:rPr>
        <w:t>6 </w:t>
      </w:r>
      <w:r>
        <w:rPr/>
        <w:t>Durante el cepillado dental puede aumentar su citotoxicidad in vitro, pero depende del tipo de aleación y las condiciones del medio</w:t>
      </w:r>
      <w:r>
        <w:rPr>
          <w:spacing w:val="-8"/>
        </w:rPr>
        <w:t> </w:t>
      </w:r>
      <w:r>
        <w:rPr/>
        <w:t>bucal.</w:t>
      </w:r>
      <w:r>
        <w:rPr>
          <w:position w:val="8"/>
          <w:sz w:val="16"/>
        </w:rPr>
        <w:t>15</w:t>
      </w:r>
    </w:p>
    <w:p>
      <w:pPr>
        <w:spacing w:after="0" w:line="357" w:lineRule="auto"/>
        <w:jc w:val="both"/>
        <w:rPr>
          <w:sz w:val="16"/>
        </w:rPr>
        <w:sectPr>
          <w:pgSz w:w="12240" w:h="15840"/>
          <w:pgMar w:header="0" w:footer="887" w:top="1360" w:bottom="1140" w:left="1300" w:right="1300"/>
        </w:sectPr>
      </w:pPr>
    </w:p>
    <w:p>
      <w:pPr>
        <w:pStyle w:val="BodyText"/>
        <w:spacing w:line="357" w:lineRule="auto" w:before="56"/>
        <w:ind w:left="118" w:right="115"/>
        <w:jc w:val="both"/>
        <w:rPr>
          <w:sz w:val="16"/>
        </w:rPr>
      </w:pPr>
      <w:r>
        <w:rPr/>
        <w:t>La corrosión por picadura es una corrosión localizada que ocurre de forma pronunciada en</w:t>
      </w:r>
      <w:r>
        <w:rPr>
          <w:spacing w:val="-13"/>
        </w:rPr>
        <w:t> </w:t>
      </w:r>
      <w:r>
        <w:rPr/>
        <w:t>el</w:t>
      </w:r>
      <w:r>
        <w:rPr>
          <w:spacing w:val="-17"/>
        </w:rPr>
        <w:t> </w:t>
      </w:r>
      <w:r>
        <w:rPr/>
        <w:t>metal</w:t>
      </w:r>
      <w:r>
        <w:rPr>
          <w:spacing w:val="-14"/>
        </w:rPr>
        <w:t> </w:t>
      </w:r>
      <w:r>
        <w:rPr/>
        <w:t>base,</w:t>
      </w:r>
      <w:r>
        <w:rPr>
          <w:spacing w:val="-13"/>
        </w:rPr>
        <w:t> </w:t>
      </w:r>
      <w:r>
        <w:rPr/>
        <w:t>tal</w:t>
      </w:r>
      <w:r>
        <w:rPr>
          <w:spacing w:val="-14"/>
        </w:rPr>
        <w:t> </w:t>
      </w:r>
      <w:r>
        <w:rPr/>
        <w:t>como</w:t>
      </w:r>
      <w:r>
        <w:rPr>
          <w:spacing w:val="-16"/>
        </w:rPr>
        <w:t> </w:t>
      </w:r>
      <w:r>
        <w:rPr/>
        <w:t>el</w:t>
      </w:r>
      <w:r>
        <w:rPr>
          <w:spacing w:val="-14"/>
        </w:rPr>
        <w:t> </w:t>
      </w:r>
      <w:r>
        <w:rPr/>
        <w:t>hierro,</w:t>
      </w:r>
      <w:r>
        <w:rPr>
          <w:spacing w:val="-13"/>
        </w:rPr>
        <w:t> </w:t>
      </w:r>
      <w:r>
        <w:rPr/>
        <w:t>níquel</w:t>
      </w:r>
      <w:r>
        <w:rPr>
          <w:spacing w:val="-14"/>
        </w:rPr>
        <w:t> </w:t>
      </w:r>
      <w:r>
        <w:rPr/>
        <w:t>y</w:t>
      </w:r>
      <w:r>
        <w:rPr>
          <w:spacing w:val="-16"/>
        </w:rPr>
        <w:t> </w:t>
      </w:r>
      <w:r>
        <w:rPr/>
        <w:t>cromo,</w:t>
      </w:r>
      <w:r>
        <w:rPr>
          <w:spacing w:val="-13"/>
        </w:rPr>
        <w:t> </w:t>
      </w:r>
      <w:r>
        <w:rPr/>
        <w:t>que</w:t>
      </w:r>
      <w:r>
        <w:rPr>
          <w:spacing w:val="-13"/>
        </w:rPr>
        <w:t> </w:t>
      </w:r>
      <w:r>
        <w:rPr/>
        <w:t>están</w:t>
      </w:r>
      <w:r>
        <w:rPr>
          <w:spacing w:val="-15"/>
        </w:rPr>
        <w:t> </w:t>
      </w:r>
      <w:r>
        <w:rPr/>
        <w:t>protegidos</w:t>
      </w:r>
      <w:r>
        <w:rPr>
          <w:spacing w:val="-14"/>
        </w:rPr>
        <w:t> </w:t>
      </w:r>
      <w:r>
        <w:rPr/>
        <w:t>por</w:t>
      </w:r>
      <w:r>
        <w:rPr>
          <w:spacing w:val="-15"/>
        </w:rPr>
        <w:t> </w:t>
      </w:r>
      <w:r>
        <w:rPr/>
        <w:t>una</w:t>
      </w:r>
      <w:r>
        <w:rPr>
          <w:spacing w:val="-13"/>
        </w:rPr>
        <w:t> </w:t>
      </w:r>
      <w:r>
        <w:rPr/>
        <w:t>película delgada de un</w:t>
      </w:r>
      <w:r>
        <w:rPr>
          <w:spacing w:val="-12"/>
        </w:rPr>
        <w:t> </w:t>
      </w:r>
      <w:r>
        <w:rPr/>
        <w:t>óxido.</w:t>
      </w:r>
      <w:r>
        <w:rPr>
          <w:position w:val="8"/>
          <w:sz w:val="16"/>
        </w:rPr>
        <w:t>8,13</w:t>
      </w:r>
    </w:p>
    <w:p>
      <w:pPr>
        <w:pStyle w:val="BodyText"/>
        <w:spacing w:line="360" w:lineRule="auto" w:before="203"/>
        <w:ind w:left="118" w:right="120"/>
        <w:jc w:val="both"/>
        <w:rPr>
          <w:sz w:val="16"/>
        </w:rPr>
      </w:pPr>
      <w:r>
        <w:rPr/>
        <w:t>Los efectos de la corrosión están relacionados con el daño del material y la toxicidad causada por la liberación y difusión de sustancias en el organismo. En la boca hay gran posibilidad de que se produzca corrosión cuando se ponen restauraciones metálicas debido a la presencia de humedad, electroconductividad de la saliva, pH y presencia de alimentos. La corrosión se puede prevenir cubriendo el metal con materiales impermeables o con zinc, utilizando metales nobles, mediante electroplateado, usando metales resistentes a la corrosión como el cromo o realizando un pulido y terminado adecuado.</w:t>
      </w:r>
      <w:r>
        <w:rPr>
          <w:position w:val="8"/>
          <w:sz w:val="16"/>
        </w:rPr>
        <w:t>11</w:t>
      </w:r>
    </w:p>
    <w:p>
      <w:pPr>
        <w:pStyle w:val="BodyText"/>
        <w:rPr>
          <w:sz w:val="26"/>
        </w:rPr>
      </w:pPr>
    </w:p>
    <w:p>
      <w:pPr>
        <w:pStyle w:val="BodyText"/>
        <w:rPr>
          <w:sz w:val="26"/>
        </w:rPr>
      </w:pPr>
    </w:p>
    <w:p>
      <w:pPr>
        <w:pStyle w:val="Heading1"/>
        <w:numPr>
          <w:ilvl w:val="0"/>
          <w:numId w:val="4"/>
        </w:numPr>
        <w:tabs>
          <w:tab w:pos="479" w:val="left" w:leader="none"/>
        </w:tabs>
        <w:spacing w:line="240" w:lineRule="auto" w:before="217" w:after="0"/>
        <w:ind w:left="478" w:right="0" w:hanging="360"/>
        <w:jc w:val="both"/>
      </w:pPr>
      <w:r>
        <w:rPr/>
        <w:t>Liberación de</w:t>
      </w:r>
      <w:r>
        <w:rPr>
          <w:spacing w:val="-7"/>
        </w:rPr>
        <w:t> </w:t>
      </w:r>
      <w:r>
        <w:rPr/>
        <w:t>metales</w:t>
      </w:r>
    </w:p>
    <w:p>
      <w:pPr>
        <w:pStyle w:val="BodyText"/>
        <w:rPr>
          <w:b/>
        </w:rPr>
      </w:pPr>
    </w:p>
    <w:p>
      <w:pPr>
        <w:pStyle w:val="BodyText"/>
        <w:rPr>
          <w:b/>
        </w:rPr>
      </w:pPr>
    </w:p>
    <w:p>
      <w:pPr>
        <w:pStyle w:val="BodyText"/>
        <w:spacing w:line="357" w:lineRule="auto" w:before="199"/>
        <w:ind w:left="118" w:right="112"/>
        <w:jc w:val="both"/>
        <w:rPr>
          <w:sz w:val="16"/>
        </w:rPr>
      </w:pPr>
      <w:r>
        <w:rPr/>
        <w:t>La liberación de los componentes a partir de los materiales dentales es gradual y lenta. Se sabe que, como resultado de la corrosión de los metales usados para las restauraciones,</w:t>
      </w:r>
      <w:r>
        <w:rPr>
          <w:spacing w:val="-5"/>
        </w:rPr>
        <w:t> </w:t>
      </w:r>
      <w:r>
        <w:rPr/>
        <w:t>especialmente</w:t>
      </w:r>
      <w:r>
        <w:rPr>
          <w:spacing w:val="-4"/>
        </w:rPr>
        <w:t> </w:t>
      </w:r>
      <w:r>
        <w:rPr/>
        <w:t>los</w:t>
      </w:r>
      <w:r>
        <w:rPr>
          <w:spacing w:val="-7"/>
        </w:rPr>
        <w:t> </w:t>
      </w:r>
      <w:r>
        <w:rPr/>
        <w:t>metales</w:t>
      </w:r>
      <w:r>
        <w:rPr>
          <w:spacing w:val="-5"/>
        </w:rPr>
        <w:t> </w:t>
      </w:r>
      <w:r>
        <w:rPr/>
        <w:t>base,</w:t>
      </w:r>
      <w:r>
        <w:rPr>
          <w:spacing w:val="-5"/>
        </w:rPr>
        <w:t> </w:t>
      </w:r>
      <w:r>
        <w:rPr/>
        <w:t>se</w:t>
      </w:r>
      <w:r>
        <w:rPr>
          <w:spacing w:val="-5"/>
        </w:rPr>
        <w:t> </w:t>
      </w:r>
      <w:r>
        <w:rPr/>
        <w:t>liberan</w:t>
      </w:r>
      <w:r>
        <w:rPr>
          <w:spacing w:val="-5"/>
        </w:rPr>
        <w:t> </w:t>
      </w:r>
      <w:r>
        <w:rPr/>
        <w:t>metales</w:t>
      </w:r>
      <w:r>
        <w:rPr>
          <w:spacing w:val="-5"/>
        </w:rPr>
        <w:t> </w:t>
      </w:r>
      <w:r>
        <w:rPr/>
        <w:t>como</w:t>
      </w:r>
      <w:r>
        <w:rPr>
          <w:spacing w:val="-5"/>
        </w:rPr>
        <w:t> </w:t>
      </w:r>
      <w:r>
        <w:rPr/>
        <w:t>níquel,</w:t>
      </w:r>
      <w:r>
        <w:rPr>
          <w:spacing w:val="-5"/>
        </w:rPr>
        <w:t> </w:t>
      </w:r>
      <w:r>
        <w:rPr/>
        <w:t>berilio, cromo, paladio y</w:t>
      </w:r>
      <w:r>
        <w:rPr>
          <w:spacing w:val="-6"/>
        </w:rPr>
        <w:t> </w:t>
      </w:r>
      <w:r>
        <w:rPr/>
        <w:t>mercurio.</w:t>
      </w:r>
      <w:r>
        <w:rPr>
          <w:position w:val="8"/>
          <w:sz w:val="16"/>
        </w:rPr>
        <w:t>13</w:t>
      </w:r>
    </w:p>
    <w:p>
      <w:pPr>
        <w:pStyle w:val="BodyText"/>
        <w:spacing w:line="360" w:lineRule="auto" w:before="203"/>
        <w:ind w:left="118" w:right="113"/>
        <w:jc w:val="both"/>
        <w:rPr>
          <w:sz w:val="16"/>
        </w:rPr>
      </w:pPr>
      <w:r>
        <w:rPr/>
        <w:t>En el caso de los materiales de ortodoncia, la velocidad de liberación de iones metálicos no es proporcional a su concentración, pero depende principalmente de la resistencia a la</w:t>
      </w:r>
      <w:r>
        <w:rPr>
          <w:spacing w:val="-16"/>
        </w:rPr>
        <w:t> </w:t>
      </w:r>
      <w:r>
        <w:rPr/>
        <w:t>corrosión</w:t>
      </w:r>
      <w:r>
        <w:rPr>
          <w:spacing w:val="-15"/>
        </w:rPr>
        <w:t> </w:t>
      </w:r>
      <w:r>
        <w:rPr/>
        <w:t>que</w:t>
      </w:r>
      <w:r>
        <w:rPr>
          <w:spacing w:val="-15"/>
        </w:rPr>
        <w:t> </w:t>
      </w:r>
      <w:r>
        <w:rPr/>
        <w:t>presentan</w:t>
      </w:r>
      <w:r>
        <w:rPr>
          <w:spacing w:val="-18"/>
        </w:rPr>
        <w:t> </w:t>
      </w:r>
      <w:r>
        <w:rPr/>
        <w:t>durante</w:t>
      </w:r>
      <w:r>
        <w:rPr>
          <w:spacing w:val="-15"/>
        </w:rPr>
        <w:t> </w:t>
      </w:r>
      <w:r>
        <w:rPr/>
        <w:t>la</w:t>
      </w:r>
      <w:r>
        <w:rPr>
          <w:spacing w:val="-16"/>
        </w:rPr>
        <w:t> </w:t>
      </w:r>
      <w:r>
        <w:rPr/>
        <w:t>exposición</w:t>
      </w:r>
      <w:r>
        <w:rPr>
          <w:spacing w:val="-15"/>
        </w:rPr>
        <w:t> </w:t>
      </w:r>
      <w:r>
        <w:rPr/>
        <w:t>al</w:t>
      </w:r>
      <w:r>
        <w:rPr>
          <w:spacing w:val="-17"/>
        </w:rPr>
        <w:t> </w:t>
      </w:r>
      <w:r>
        <w:rPr/>
        <w:t>medio</w:t>
      </w:r>
      <w:r>
        <w:rPr>
          <w:spacing w:val="-12"/>
        </w:rPr>
        <w:t> </w:t>
      </w:r>
      <w:r>
        <w:rPr/>
        <w:t>bucal;</w:t>
      </w:r>
      <w:r>
        <w:rPr>
          <w:spacing w:val="-16"/>
        </w:rPr>
        <w:t> </w:t>
      </w:r>
      <w:r>
        <w:rPr/>
        <w:t>por</w:t>
      </w:r>
      <w:r>
        <w:rPr>
          <w:spacing w:val="-19"/>
        </w:rPr>
        <w:t> </w:t>
      </w:r>
      <w:r>
        <w:rPr/>
        <w:t>tal</w:t>
      </w:r>
      <w:r>
        <w:rPr>
          <w:spacing w:val="-17"/>
        </w:rPr>
        <w:t> </w:t>
      </w:r>
      <w:r>
        <w:rPr/>
        <w:t>motivo</w:t>
      </w:r>
      <w:r>
        <w:rPr>
          <w:spacing w:val="-16"/>
        </w:rPr>
        <w:t> </w:t>
      </w:r>
      <w:r>
        <w:rPr/>
        <w:t>la</w:t>
      </w:r>
      <w:r>
        <w:rPr>
          <w:spacing w:val="-16"/>
        </w:rPr>
        <w:t> </w:t>
      </w:r>
      <w:r>
        <w:rPr/>
        <w:t>reacción alérgica</w:t>
      </w:r>
      <w:r>
        <w:rPr>
          <w:spacing w:val="-5"/>
        </w:rPr>
        <w:t> </w:t>
      </w:r>
      <w:r>
        <w:rPr/>
        <w:t>al</w:t>
      </w:r>
      <w:r>
        <w:rPr>
          <w:spacing w:val="-8"/>
        </w:rPr>
        <w:t> </w:t>
      </w:r>
      <w:r>
        <w:rPr/>
        <w:t>elemento</w:t>
      </w:r>
      <w:r>
        <w:rPr>
          <w:spacing w:val="-7"/>
        </w:rPr>
        <w:t> </w:t>
      </w:r>
      <w:r>
        <w:rPr/>
        <w:t>níquel</w:t>
      </w:r>
      <w:r>
        <w:rPr>
          <w:spacing w:val="-6"/>
        </w:rPr>
        <w:t> </w:t>
      </w:r>
      <w:r>
        <w:rPr/>
        <w:t>ha</w:t>
      </w:r>
      <w:r>
        <w:rPr>
          <w:spacing w:val="-7"/>
        </w:rPr>
        <w:t> </w:t>
      </w:r>
      <w:r>
        <w:rPr/>
        <w:t>sido</w:t>
      </w:r>
      <w:r>
        <w:rPr>
          <w:spacing w:val="-7"/>
        </w:rPr>
        <w:t> </w:t>
      </w:r>
      <w:r>
        <w:rPr/>
        <w:t>una</w:t>
      </w:r>
      <w:r>
        <w:rPr>
          <w:spacing w:val="-7"/>
        </w:rPr>
        <w:t> </w:t>
      </w:r>
      <w:r>
        <w:rPr/>
        <w:t>preocupación</w:t>
      </w:r>
      <w:r>
        <w:rPr>
          <w:spacing w:val="-5"/>
        </w:rPr>
        <w:t> </w:t>
      </w:r>
      <w:r>
        <w:rPr/>
        <w:t>importante</w:t>
      </w:r>
      <w:r>
        <w:rPr>
          <w:spacing w:val="-7"/>
        </w:rPr>
        <w:t> </w:t>
      </w:r>
      <w:r>
        <w:rPr/>
        <w:t>entre</w:t>
      </w:r>
      <w:r>
        <w:rPr>
          <w:spacing w:val="-5"/>
        </w:rPr>
        <w:t> </w:t>
      </w:r>
      <w:r>
        <w:rPr/>
        <w:t>los</w:t>
      </w:r>
      <w:r>
        <w:rPr>
          <w:spacing w:val="-9"/>
        </w:rPr>
        <w:t> </w:t>
      </w:r>
      <w:r>
        <w:rPr/>
        <w:t>fabricantes</w:t>
      </w:r>
      <w:r>
        <w:rPr>
          <w:spacing w:val="-8"/>
        </w:rPr>
        <w:t> </w:t>
      </w:r>
      <w:r>
        <w:rPr/>
        <w:t>de los biomateriales de uso odontológico y como resultado las aleaciones presentan concentraciones más bajas de níquel en la</w:t>
      </w:r>
      <w:r>
        <w:rPr>
          <w:spacing w:val="-16"/>
        </w:rPr>
        <w:t> </w:t>
      </w:r>
      <w:r>
        <w:rPr/>
        <w:t>actualidad.</w:t>
      </w:r>
      <w:r>
        <w:rPr>
          <w:position w:val="8"/>
          <w:sz w:val="16"/>
        </w:rPr>
        <w:t>14</w:t>
      </w:r>
    </w:p>
    <w:p>
      <w:pPr>
        <w:pStyle w:val="BodyText"/>
        <w:spacing w:line="360" w:lineRule="auto" w:before="193"/>
        <w:ind w:left="118" w:right="116"/>
        <w:jc w:val="both"/>
      </w:pPr>
      <w:r>
        <w:rPr/>
        <w:t>Zinelis </w:t>
      </w:r>
      <w:r>
        <w:rPr>
          <w:position w:val="8"/>
          <w:sz w:val="16"/>
        </w:rPr>
        <w:t>15 </w:t>
      </w:r>
      <w:r>
        <w:rPr/>
        <w:t>observó que la liberación de elementos que componen las coronas de acero cromo</w:t>
      </w:r>
      <w:r>
        <w:rPr>
          <w:spacing w:val="-13"/>
        </w:rPr>
        <w:t> </w:t>
      </w:r>
      <w:r>
        <w:rPr/>
        <w:t>se</w:t>
      </w:r>
      <w:r>
        <w:rPr>
          <w:spacing w:val="-13"/>
        </w:rPr>
        <w:t> </w:t>
      </w:r>
      <w:r>
        <w:rPr/>
        <w:t>presentó</w:t>
      </w:r>
      <w:r>
        <w:rPr>
          <w:spacing w:val="-12"/>
        </w:rPr>
        <w:t> </w:t>
      </w:r>
      <w:r>
        <w:rPr/>
        <w:t>tanto</w:t>
      </w:r>
      <w:r>
        <w:rPr>
          <w:spacing w:val="-13"/>
        </w:rPr>
        <w:t> </w:t>
      </w:r>
      <w:r>
        <w:rPr/>
        <w:t>en</w:t>
      </w:r>
      <w:r>
        <w:rPr>
          <w:spacing w:val="-13"/>
        </w:rPr>
        <w:t> </w:t>
      </w:r>
      <w:r>
        <w:rPr/>
        <w:t>la</w:t>
      </w:r>
      <w:r>
        <w:rPr>
          <w:spacing w:val="-13"/>
        </w:rPr>
        <w:t> </w:t>
      </w:r>
      <w:r>
        <w:rPr/>
        <w:t>parte</w:t>
      </w:r>
      <w:r>
        <w:rPr>
          <w:spacing w:val="-13"/>
        </w:rPr>
        <w:t> </w:t>
      </w:r>
      <w:r>
        <w:rPr/>
        <w:t>interna</w:t>
      </w:r>
      <w:r>
        <w:rPr>
          <w:spacing w:val="-15"/>
        </w:rPr>
        <w:t> </w:t>
      </w:r>
      <w:r>
        <w:rPr/>
        <w:t>del</w:t>
      </w:r>
      <w:r>
        <w:rPr>
          <w:spacing w:val="-14"/>
        </w:rPr>
        <w:t> </w:t>
      </w:r>
      <w:r>
        <w:rPr/>
        <w:t>órgano</w:t>
      </w:r>
      <w:r>
        <w:rPr>
          <w:spacing w:val="-13"/>
        </w:rPr>
        <w:t> </w:t>
      </w:r>
      <w:r>
        <w:rPr/>
        <w:t>dentario</w:t>
      </w:r>
      <w:r>
        <w:rPr>
          <w:spacing w:val="-13"/>
        </w:rPr>
        <w:t> </w:t>
      </w:r>
      <w:r>
        <w:rPr/>
        <w:t>como</w:t>
      </w:r>
      <w:r>
        <w:rPr>
          <w:spacing w:val="-15"/>
        </w:rPr>
        <w:t> </w:t>
      </w:r>
      <w:r>
        <w:rPr/>
        <w:t>en</w:t>
      </w:r>
      <w:r>
        <w:rPr>
          <w:spacing w:val="-13"/>
        </w:rPr>
        <w:t> </w:t>
      </w:r>
      <w:r>
        <w:rPr/>
        <w:t>la</w:t>
      </w:r>
      <w:r>
        <w:rPr>
          <w:spacing w:val="-13"/>
        </w:rPr>
        <w:t> </w:t>
      </w:r>
      <w:r>
        <w:rPr/>
        <w:t>cavidad</w:t>
      </w:r>
      <w:r>
        <w:rPr>
          <w:spacing w:val="-13"/>
        </w:rPr>
        <w:t> </w:t>
      </w:r>
      <w:r>
        <w:rPr/>
        <w:t>bucal, así como los cambios morfológicos de las</w:t>
      </w:r>
      <w:r>
        <w:rPr>
          <w:spacing w:val="-18"/>
        </w:rPr>
        <w:t> </w:t>
      </w:r>
      <w:r>
        <w:rPr/>
        <w:t>mismas.</w:t>
      </w:r>
    </w:p>
    <w:p>
      <w:pPr>
        <w:spacing w:after="0" w:line="360" w:lineRule="auto"/>
        <w:jc w:val="both"/>
        <w:sectPr>
          <w:pgSz w:w="12240" w:h="15840"/>
          <w:pgMar w:header="0" w:footer="887" w:top="1360" w:bottom="1140" w:left="1300" w:right="1300"/>
        </w:sectPr>
      </w:pPr>
    </w:p>
    <w:p>
      <w:pPr>
        <w:pStyle w:val="BodyText"/>
        <w:spacing w:line="360" w:lineRule="auto" w:before="51"/>
        <w:ind w:left="118" w:right="115"/>
        <w:jc w:val="both"/>
      </w:pPr>
      <w:r>
        <w:rPr/>
        <w:t>Así</w:t>
      </w:r>
      <w:r>
        <w:rPr>
          <w:spacing w:val="-16"/>
        </w:rPr>
        <w:t> </w:t>
      </w:r>
      <w:r>
        <w:rPr/>
        <w:t>como</w:t>
      </w:r>
      <w:r>
        <w:rPr>
          <w:spacing w:val="-13"/>
        </w:rPr>
        <w:t> </w:t>
      </w:r>
      <w:r>
        <w:rPr/>
        <w:t>Keinan</w:t>
      </w:r>
      <w:r>
        <w:rPr>
          <w:spacing w:val="-12"/>
        </w:rPr>
        <w:t> </w:t>
      </w:r>
      <w:r>
        <w:rPr>
          <w:position w:val="8"/>
          <w:sz w:val="16"/>
        </w:rPr>
        <w:t>16</w:t>
      </w:r>
      <w:r>
        <w:rPr>
          <w:spacing w:val="-10"/>
          <w:position w:val="8"/>
          <w:sz w:val="16"/>
        </w:rPr>
        <w:t> </w:t>
      </w:r>
      <w:r>
        <w:rPr/>
        <w:t>encontró</w:t>
      </w:r>
      <w:r>
        <w:rPr>
          <w:spacing w:val="-12"/>
        </w:rPr>
        <w:t> </w:t>
      </w:r>
      <w:r>
        <w:rPr/>
        <w:t>en</w:t>
      </w:r>
      <w:r>
        <w:rPr>
          <w:spacing w:val="-13"/>
        </w:rPr>
        <w:t> </w:t>
      </w:r>
      <w:r>
        <w:rPr/>
        <w:t>el</w:t>
      </w:r>
      <w:r>
        <w:rPr>
          <w:spacing w:val="-14"/>
        </w:rPr>
        <w:t> </w:t>
      </w:r>
      <w:r>
        <w:rPr/>
        <w:t>cemento</w:t>
      </w:r>
      <w:r>
        <w:rPr>
          <w:spacing w:val="-15"/>
        </w:rPr>
        <w:t> </w:t>
      </w:r>
      <w:r>
        <w:rPr/>
        <w:t>de</w:t>
      </w:r>
      <w:r>
        <w:rPr>
          <w:spacing w:val="-15"/>
        </w:rPr>
        <w:t> </w:t>
      </w:r>
      <w:r>
        <w:rPr/>
        <w:t>molares</w:t>
      </w:r>
      <w:r>
        <w:rPr>
          <w:spacing w:val="-14"/>
        </w:rPr>
        <w:t> </w:t>
      </w:r>
      <w:r>
        <w:rPr/>
        <w:t>temporales</w:t>
      </w:r>
      <w:r>
        <w:rPr>
          <w:spacing w:val="-13"/>
        </w:rPr>
        <w:t> </w:t>
      </w:r>
      <w:r>
        <w:rPr/>
        <w:t>elementos</w:t>
      </w:r>
      <w:r>
        <w:rPr>
          <w:spacing w:val="-16"/>
        </w:rPr>
        <w:t> </w:t>
      </w:r>
      <w:r>
        <w:rPr/>
        <w:t>de</w:t>
      </w:r>
      <w:r>
        <w:rPr>
          <w:spacing w:val="-13"/>
        </w:rPr>
        <w:t> </w:t>
      </w:r>
      <w:r>
        <w:rPr/>
        <w:t>coronas como</w:t>
      </w:r>
      <w:r>
        <w:rPr>
          <w:spacing w:val="-13"/>
        </w:rPr>
        <w:t> </w:t>
      </w:r>
      <w:r>
        <w:rPr/>
        <w:t>hierro,</w:t>
      </w:r>
      <w:r>
        <w:rPr>
          <w:spacing w:val="-11"/>
        </w:rPr>
        <w:t> </w:t>
      </w:r>
      <w:r>
        <w:rPr/>
        <w:t>cromo</w:t>
      </w:r>
      <w:r>
        <w:rPr>
          <w:spacing w:val="-11"/>
        </w:rPr>
        <w:t> </w:t>
      </w:r>
      <w:r>
        <w:rPr/>
        <w:t>y</w:t>
      </w:r>
      <w:r>
        <w:rPr>
          <w:spacing w:val="-14"/>
        </w:rPr>
        <w:t> </w:t>
      </w:r>
      <w:r>
        <w:rPr/>
        <w:t>níquel</w:t>
      </w:r>
      <w:r>
        <w:rPr>
          <w:spacing w:val="-12"/>
        </w:rPr>
        <w:t> </w:t>
      </w:r>
      <w:r>
        <w:rPr/>
        <w:t>además</w:t>
      </w:r>
      <w:r>
        <w:rPr>
          <w:spacing w:val="-14"/>
        </w:rPr>
        <w:t> </w:t>
      </w:r>
      <w:r>
        <w:rPr/>
        <w:t>de</w:t>
      </w:r>
      <w:r>
        <w:rPr>
          <w:spacing w:val="-11"/>
        </w:rPr>
        <w:t> </w:t>
      </w:r>
      <w:r>
        <w:rPr/>
        <w:t>ser</w:t>
      </w:r>
      <w:r>
        <w:rPr>
          <w:spacing w:val="-12"/>
        </w:rPr>
        <w:t> </w:t>
      </w:r>
      <w:r>
        <w:rPr/>
        <w:t>liberados</w:t>
      </w:r>
      <w:r>
        <w:rPr>
          <w:spacing w:val="-12"/>
        </w:rPr>
        <w:t> </w:t>
      </w:r>
      <w:r>
        <w:rPr/>
        <w:t>son</w:t>
      </w:r>
      <w:r>
        <w:rPr>
          <w:spacing w:val="-11"/>
        </w:rPr>
        <w:t> </w:t>
      </w:r>
      <w:r>
        <w:rPr/>
        <w:t>absorbidos</w:t>
      </w:r>
      <w:r>
        <w:rPr>
          <w:spacing w:val="-14"/>
        </w:rPr>
        <w:t> </w:t>
      </w:r>
      <w:r>
        <w:rPr/>
        <w:t>en</w:t>
      </w:r>
      <w:r>
        <w:rPr>
          <w:spacing w:val="-11"/>
        </w:rPr>
        <w:t> </w:t>
      </w:r>
      <w:r>
        <w:rPr/>
        <w:t>concentraciones 5-6 veces mayores en comparación con los microelementos encontrados en molares temporales</w:t>
      </w:r>
      <w:r>
        <w:rPr>
          <w:spacing w:val="-5"/>
        </w:rPr>
        <w:t> </w:t>
      </w:r>
      <w:r>
        <w:rPr/>
        <w:t>intactos.</w:t>
      </w:r>
    </w:p>
    <w:p>
      <w:pPr>
        <w:pStyle w:val="BodyText"/>
        <w:spacing w:line="360" w:lineRule="auto" w:before="199"/>
        <w:ind w:left="118" w:right="113"/>
        <w:jc w:val="both"/>
      </w:pPr>
      <w:r>
        <w:rPr/>
        <w:t>Menek</w:t>
      </w:r>
      <w:r>
        <w:rPr>
          <w:spacing w:val="-14"/>
        </w:rPr>
        <w:t> </w:t>
      </w:r>
      <w:r>
        <w:rPr/>
        <w:t>y</w:t>
      </w:r>
      <w:r>
        <w:rPr>
          <w:spacing w:val="-16"/>
        </w:rPr>
        <w:t> </w:t>
      </w:r>
      <w:r>
        <w:rPr/>
        <w:t>cols</w:t>
      </w:r>
      <w:r>
        <w:rPr>
          <w:position w:val="8"/>
          <w:sz w:val="16"/>
        </w:rPr>
        <w:t>17</w:t>
      </w:r>
      <w:r>
        <w:rPr/>
        <w:t>,</w:t>
      </w:r>
      <w:r>
        <w:rPr>
          <w:spacing w:val="-14"/>
        </w:rPr>
        <w:t> </w:t>
      </w:r>
      <w:r>
        <w:rPr/>
        <w:t>detectaron</w:t>
      </w:r>
      <w:r>
        <w:rPr>
          <w:spacing w:val="-12"/>
        </w:rPr>
        <w:t> </w:t>
      </w:r>
      <w:r>
        <w:rPr/>
        <w:t>la</w:t>
      </w:r>
      <w:r>
        <w:rPr>
          <w:spacing w:val="-14"/>
        </w:rPr>
        <w:t> </w:t>
      </w:r>
      <w:r>
        <w:rPr/>
        <w:t>liberación</w:t>
      </w:r>
      <w:r>
        <w:rPr>
          <w:spacing w:val="-15"/>
        </w:rPr>
        <w:t> </w:t>
      </w:r>
      <w:r>
        <w:rPr/>
        <w:t>de</w:t>
      </w:r>
      <w:r>
        <w:rPr>
          <w:spacing w:val="-14"/>
        </w:rPr>
        <w:t> </w:t>
      </w:r>
      <w:r>
        <w:rPr/>
        <w:t>iones</w:t>
      </w:r>
      <w:r>
        <w:rPr>
          <w:spacing w:val="-14"/>
        </w:rPr>
        <w:t> </w:t>
      </w:r>
      <w:r>
        <w:rPr/>
        <w:t>de</w:t>
      </w:r>
      <w:r>
        <w:rPr>
          <w:spacing w:val="-14"/>
        </w:rPr>
        <w:t> </w:t>
      </w:r>
      <w:r>
        <w:rPr/>
        <w:t>níquel</w:t>
      </w:r>
      <w:r>
        <w:rPr>
          <w:spacing w:val="-14"/>
        </w:rPr>
        <w:t> </w:t>
      </w:r>
      <w:r>
        <w:rPr/>
        <w:t>de</w:t>
      </w:r>
      <w:r>
        <w:rPr>
          <w:spacing w:val="-15"/>
        </w:rPr>
        <w:t> </w:t>
      </w:r>
      <w:r>
        <w:rPr/>
        <w:t>las</w:t>
      </w:r>
      <w:r>
        <w:rPr>
          <w:spacing w:val="-14"/>
        </w:rPr>
        <w:t> </w:t>
      </w:r>
      <w:r>
        <w:rPr/>
        <w:t>coronas</w:t>
      </w:r>
      <w:r>
        <w:rPr>
          <w:spacing w:val="-14"/>
        </w:rPr>
        <w:t> </w:t>
      </w:r>
      <w:r>
        <w:rPr/>
        <w:t>de</w:t>
      </w:r>
      <w:r>
        <w:rPr>
          <w:spacing w:val="-14"/>
        </w:rPr>
        <w:t> </w:t>
      </w:r>
      <w:r>
        <w:rPr/>
        <w:t>acero</w:t>
      </w:r>
      <w:r>
        <w:rPr>
          <w:spacing w:val="-14"/>
        </w:rPr>
        <w:t> </w:t>
      </w:r>
      <w:r>
        <w:rPr/>
        <w:t>cromo en saliva artificial, encías y diferencias en el pH, siendo este último un factor importante en liberación de iones de níquel, que disminuyó conforme se incrementó el pH. Concluyeron que las cantidades de iones metálicos liberados en saliva artificial, estuvieron muy por debajo del valor crítico para inducir algún tipo de</w:t>
      </w:r>
      <w:r>
        <w:rPr>
          <w:spacing w:val="-19"/>
        </w:rPr>
        <w:t> </w:t>
      </w:r>
      <w:r>
        <w:rPr/>
        <w:t>alergia.</w:t>
      </w:r>
    </w:p>
    <w:p>
      <w:pPr>
        <w:pStyle w:val="BodyText"/>
        <w:spacing w:line="360" w:lineRule="auto" w:before="205"/>
        <w:ind w:left="118" w:right="114"/>
        <w:jc w:val="both"/>
      </w:pPr>
      <w:r>
        <w:rPr/>
        <w:t>Por otra parte debemos tomar en cuenta que las coronas son similares a las bandas y alambres</w:t>
      </w:r>
      <w:r>
        <w:rPr>
          <w:spacing w:val="-7"/>
        </w:rPr>
        <w:t> </w:t>
      </w:r>
      <w:r>
        <w:rPr/>
        <w:t>de</w:t>
      </w:r>
      <w:r>
        <w:rPr>
          <w:spacing w:val="-7"/>
        </w:rPr>
        <w:t> </w:t>
      </w:r>
      <w:r>
        <w:rPr/>
        <w:t>ortodoncia,</w:t>
      </w:r>
      <w:r>
        <w:rPr>
          <w:spacing w:val="-7"/>
        </w:rPr>
        <w:t> </w:t>
      </w:r>
      <w:r>
        <w:rPr/>
        <w:t>por</w:t>
      </w:r>
      <w:r>
        <w:rPr>
          <w:spacing w:val="-8"/>
        </w:rPr>
        <w:t> </w:t>
      </w:r>
      <w:r>
        <w:rPr/>
        <w:t>su</w:t>
      </w:r>
      <w:r>
        <w:rPr>
          <w:spacing w:val="-6"/>
        </w:rPr>
        <w:t> </w:t>
      </w:r>
      <w:r>
        <w:rPr/>
        <w:t>composición</w:t>
      </w:r>
      <w:r>
        <w:rPr>
          <w:spacing w:val="-12"/>
        </w:rPr>
        <w:t> </w:t>
      </w:r>
      <w:r>
        <w:rPr/>
        <w:t>y</w:t>
      </w:r>
      <w:r>
        <w:rPr>
          <w:spacing w:val="-10"/>
        </w:rPr>
        <w:t> </w:t>
      </w:r>
      <w:r>
        <w:rPr/>
        <w:t>comportamiento</w:t>
      </w:r>
      <w:r>
        <w:rPr>
          <w:spacing w:val="-9"/>
        </w:rPr>
        <w:t> </w:t>
      </w:r>
      <w:r>
        <w:rPr/>
        <w:t>en</w:t>
      </w:r>
      <w:r>
        <w:rPr>
          <w:spacing w:val="-9"/>
        </w:rPr>
        <w:t> </w:t>
      </w:r>
      <w:r>
        <w:rPr/>
        <w:t>condiciones</w:t>
      </w:r>
      <w:r>
        <w:rPr>
          <w:spacing w:val="-8"/>
        </w:rPr>
        <w:t> </w:t>
      </w:r>
      <w:r>
        <w:rPr/>
        <w:t>del</w:t>
      </w:r>
      <w:r>
        <w:rPr>
          <w:spacing w:val="-11"/>
        </w:rPr>
        <w:t> </w:t>
      </w:r>
      <w:r>
        <w:rPr/>
        <w:t>medio bucal.</w:t>
      </w:r>
    </w:p>
    <w:p>
      <w:pPr>
        <w:pStyle w:val="BodyText"/>
        <w:spacing w:line="360" w:lineRule="auto" w:before="199"/>
        <w:ind w:left="118" w:right="112"/>
        <w:jc w:val="both"/>
        <w:rPr>
          <w:sz w:val="16"/>
        </w:rPr>
      </w:pPr>
      <w:r>
        <w:rPr/>
        <w:t>Bnaskar V.</w:t>
      </w:r>
      <w:r>
        <w:rPr>
          <w:position w:val="8"/>
          <w:sz w:val="16"/>
        </w:rPr>
        <w:t>18 </w:t>
      </w:r>
      <w:r>
        <w:rPr/>
        <w:t>realizó un estudio in vitro para analizar la biodegradación de mantenedores de</w:t>
      </w:r>
      <w:r>
        <w:rPr>
          <w:spacing w:val="-16"/>
        </w:rPr>
        <w:t> </w:t>
      </w:r>
      <w:r>
        <w:rPr/>
        <w:t>espacio</w:t>
      </w:r>
      <w:r>
        <w:rPr>
          <w:spacing w:val="-13"/>
        </w:rPr>
        <w:t> </w:t>
      </w:r>
      <w:r>
        <w:rPr/>
        <w:t>con</w:t>
      </w:r>
      <w:r>
        <w:rPr>
          <w:spacing w:val="-16"/>
        </w:rPr>
        <w:t> </w:t>
      </w:r>
      <w:r>
        <w:rPr/>
        <w:t>bandas</w:t>
      </w:r>
      <w:r>
        <w:rPr>
          <w:spacing w:val="-16"/>
        </w:rPr>
        <w:t> </w:t>
      </w:r>
      <w:r>
        <w:rPr/>
        <w:t>en</w:t>
      </w:r>
      <w:r>
        <w:rPr>
          <w:spacing w:val="-15"/>
        </w:rPr>
        <w:t> </w:t>
      </w:r>
      <w:r>
        <w:rPr/>
        <w:t>saliva</w:t>
      </w:r>
      <w:r>
        <w:rPr>
          <w:spacing w:val="-13"/>
        </w:rPr>
        <w:t> </w:t>
      </w:r>
      <w:r>
        <w:rPr/>
        <w:t>artificial</w:t>
      </w:r>
      <w:r>
        <w:rPr>
          <w:spacing w:val="-14"/>
        </w:rPr>
        <w:t> </w:t>
      </w:r>
      <w:r>
        <w:rPr/>
        <w:t>a</w:t>
      </w:r>
      <w:r>
        <w:rPr>
          <w:spacing w:val="-15"/>
        </w:rPr>
        <w:t> </w:t>
      </w:r>
      <w:r>
        <w:rPr/>
        <w:t>37°C,</w:t>
      </w:r>
      <w:r>
        <w:rPr>
          <w:spacing w:val="-14"/>
        </w:rPr>
        <w:t> </w:t>
      </w:r>
      <w:r>
        <w:rPr/>
        <w:t>incluyeron</w:t>
      </w:r>
      <w:r>
        <w:rPr>
          <w:spacing w:val="-13"/>
        </w:rPr>
        <w:t> </w:t>
      </w:r>
      <w:r>
        <w:rPr/>
        <w:t>la</w:t>
      </w:r>
      <w:r>
        <w:rPr>
          <w:spacing w:val="-16"/>
        </w:rPr>
        <w:t> </w:t>
      </w:r>
      <w:r>
        <w:rPr/>
        <w:t>ingesta</w:t>
      </w:r>
      <w:r>
        <w:rPr>
          <w:spacing w:val="-13"/>
        </w:rPr>
        <w:t> </w:t>
      </w:r>
      <w:r>
        <w:rPr/>
        <w:t>diaria</w:t>
      </w:r>
      <w:r>
        <w:rPr>
          <w:spacing w:val="-15"/>
        </w:rPr>
        <w:t> </w:t>
      </w:r>
      <w:r>
        <w:rPr/>
        <w:t>de</w:t>
      </w:r>
      <w:r>
        <w:rPr>
          <w:spacing w:val="-16"/>
        </w:rPr>
        <w:t> </w:t>
      </w:r>
      <w:r>
        <w:rPr/>
        <w:t>minerales en la dieta de cada paciente por 4 semanas. </w:t>
      </w:r>
      <w:r>
        <w:rPr>
          <w:spacing w:val="2"/>
        </w:rPr>
        <w:t>Se </w:t>
      </w:r>
      <w:r>
        <w:rPr/>
        <w:t>analizó la liberación de elementos que alcanzaron</w:t>
      </w:r>
      <w:r>
        <w:rPr>
          <w:spacing w:val="-2"/>
        </w:rPr>
        <w:t> </w:t>
      </w:r>
      <w:r>
        <w:rPr/>
        <w:t>su</w:t>
      </w:r>
      <w:r>
        <w:rPr>
          <w:spacing w:val="-5"/>
        </w:rPr>
        <w:t> </w:t>
      </w:r>
      <w:r>
        <w:rPr/>
        <w:t>máximo</w:t>
      </w:r>
      <w:r>
        <w:rPr>
          <w:spacing w:val="-5"/>
        </w:rPr>
        <w:t> </w:t>
      </w:r>
      <w:r>
        <w:rPr/>
        <w:t>a</w:t>
      </w:r>
      <w:r>
        <w:rPr>
          <w:spacing w:val="-3"/>
        </w:rPr>
        <w:t> </w:t>
      </w:r>
      <w:r>
        <w:rPr/>
        <w:t>los</w:t>
      </w:r>
      <w:r>
        <w:rPr>
          <w:spacing w:val="-3"/>
        </w:rPr>
        <w:t> </w:t>
      </w:r>
      <w:r>
        <w:rPr/>
        <w:t>7</w:t>
      </w:r>
      <w:r>
        <w:rPr>
          <w:spacing w:val="-3"/>
        </w:rPr>
        <w:t> </w:t>
      </w:r>
      <w:r>
        <w:rPr/>
        <w:t>días,</w:t>
      </w:r>
      <w:r>
        <w:rPr>
          <w:spacing w:val="-3"/>
        </w:rPr>
        <w:t> </w:t>
      </w:r>
      <w:r>
        <w:rPr/>
        <w:t>sin</w:t>
      </w:r>
      <w:r>
        <w:rPr>
          <w:spacing w:val="-5"/>
        </w:rPr>
        <w:t> </w:t>
      </w:r>
      <w:r>
        <w:rPr/>
        <w:t>diferencias</w:t>
      </w:r>
      <w:r>
        <w:rPr>
          <w:spacing w:val="-3"/>
        </w:rPr>
        <w:t> </w:t>
      </w:r>
      <w:r>
        <w:rPr/>
        <w:t>significativas</w:t>
      </w:r>
      <w:r>
        <w:rPr>
          <w:spacing w:val="-3"/>
        </w:rPr>
        <w:t> </w:t>
      </w:r>
      <w:r>
        <w:rPr/>
        <w:t>y</w:t>
      </w:r>
      <w:r>
        <w:rPr>
          <w:spacing w:val="-6"/>
        </w:rPr>
        <w:t> </w:t>
      </w:r>
      <w:r>
        <w:rPr/>
        <w:t>los</w:t>
      </w:r>
      <w:r>
        <w:rPr>
          <w:spacing w:val="-3"/>
        </w:rPr>
        <w:t> </w:t>
      </w:r>
      <w:r>
        <w:rPr/>
        <w:t>valores</w:t>
      </w:r>
      <w:r>
        <w:rPr>
          <w:spacing w:val="-3"/>
        </w:rPr>
        <w:t> </w:t>
      </w:r>
      <w:r>
        <w:rPr/>
        <w:t>de</w:t>
      </w:r>
      <w:r>
        <w:rPr>
          <w:spacing w:val="-2"/>
        </w:rPr>
        <w:t> </w:t>
      </w:r>
      <w:r>
        <w:rPr/>
        <w:t>metales por</w:t>
      </w:r>
      <w:r>
        <w:rPr>
          <w:spacing w:val="-12"/>
        </w:rPr>
        <w:t> </w:t>
      </w:r>
      <w:r>
        <w:rPr/>
        <w:t>debajo</w:t>
      </w:r>
      <w:r>
        <w:rPr>
          <w:spacing w:val="-13"/>
        </w:rPr>
        <w:t> </w:t>
      </w:r>
      <w:r>
        <w:rPr/>
        <w:t>del</w:t>
      </w:r>
      <w:r>
        <w:rPr>
          <w:spacing w:val="-14"/>
        </w:rPr>
        <w:t> </w:t>
      </w:r>
      <w:r>
        <w:rPr/>
        <w:t>promedio</w:t>
      </w:r>
      <w:r>
        <w:rPr>
          <w:spacing w:val="-11"/>
        </w:rPr>
        <w:t> </w:t>
      </w:r>
      <w:r>
        <w:rPr/>
        <w:t>de</w:t>
      </w:r>
      <w:r>
        <w:rPr>
          <w:spacing w:val="-13"/>
        </w:rPr>
        <w:t> </w:t>
      </w:r>
      <w:r>
        <w:rPr/>
        <w:t>ingesta.</w:t>
      </w:r>
      <w:r>
        <w:rPr>
          <w:spacing w:val="-13"/>
        </w:rPr>
        <w:t> </w:t>
      </w:r>
      <w:r>
        <w:rPr/>
        <w:t>Pero</w:t>
      </w:r>
      <w:r>
        <w:rPr>
          <w:spacing w:val="-14"/>
        </w:rPr>
        <w:t> </w:t>
      </w:r>
      <w:r>
        <w:rPr/>
        <w:t>si</w:t>
      </w:r>
      <w:r>
        <w:rPr>
          <w:spacing w:val="-12"/>
        </w:rPr>
        <w:t> </w:t>
      </w:r>
      <w:r>
        <w:rPr/>
        <w:t>determinan</w:t>
      </w:r>
      <w:r>
        <w:rPr>
          <w:spacing w:val="-13"/>
        </w:rPr>
        <w:t> </w:t>
      </w:r>
      <w:r>
        <w:rPr/>
        <w:t>que</w:t>
      </w:r>
      <w:r>
        <w:rPr>
          <w:spacing w:val="-11"/>
        </w:rPr>
        <w:t> </w:t>
      </w:r>
      <w:r>
        <w:rPr/>
        <w:t>la</w:t>
      </w:r>
      <w:r>
        <w:rPr>
          <w:spacing w:val="-13"/>
        </w:rPr>
        <w:t> </w:t>
      </w:r>
      <w:r>
        <w:rPr/>
        <w:t>dermatitis</w:t>
      </w:r>
      <w:r>
        <w:rPr>
          <w:spacing w:val="-12"/>
        </w:rPr>
        <w:t> </w:t>
      </w:r>
      <w:r>
        <w:rPr/>
        <w:t>por</w:t>
      </w:r>
      <w:r>
        <w:rPr>
          <w:spacing w:val="-12"/>
        </w:rPr>
        <w:t> </w:t>
      </w:r>
      <w:r>
        <w:rPr/>
        <w:t>contacto</w:t>
      </w:r>
      <w:r>
        <w:rPr>
          <w:spacing w:val="-13"/>
        </w:rPr>
        <w:t> </w:t>
      </w:r>
      <w:r>
        <w:rPr/>
        <w:t>por níquel puede limitar el estilo de vida de un individuo y la alergia por níquel tiene implicaciones en la salud debido al uso en la práctica</w:t>
      </w:r>
      <w:r>
        <w:rPr>
          <w:spacing w:val="-19"/>
        </w:rPr>
        <w:t> </w:t>
      </w:r>
      <w:r>
        <w:rPr/>
        <w:t>odontológica.</w:t>
      </w:r>
      <w:r>
        <w:rPr>
          <w:position w:val="8"/>
          <w:sz w:val="16"/>
        </w:rPr>
        <w:t>18</w:t>
      </w:r>
    </w:p>
    <w:p>
      <w:pPr>
        <w:pStyle w:val="BodyText"/>
        <w:rPr>
          <w:sz w:val="26"/>
        </w:rPr>
      </w:pPr>
    </w:p>
    <w:p>
      <w:pPr>
        <w:pStyle w:val="BodyText"/>
        <w:rPr>
          <w:sz w:val="26"/>
        </w:rPr>
      </w:pPr>
    </w:p>
    <w:p>
      <w:pPr>
        <w:pStyle w:val="Heading1"/>
        <w:numPr>
          <w:ilvl w:val="0"/>
          <w:numId w:val="4"/>
        </w:numPr>
        <w:tabs>
          <w:tab w:pos="479" w:val="left" w:leader="none"/>
        </w:tabs>
        <w:spacing w:line="240" w:lineRule="auto" w:before="214" w:after="0"/>
        <w:ind w:left="478" w:right="0" w:hanging="360"/>
        <w:jc w:val="both"/>
      </w:pPr>
      <w:r>
        <w:rPr/>
        <w:t>Espectrometría de absorción atómica de horno de grafito</w:t>
      </w:r>
      <w:r>
        <w:rPr>
          <w:spacing w:val="-15"/>
        </w:rPr>
        <w:t> </w:t>
      </w:r>
      <w:r>
        <w:rPr/>
        <w:t>(GFAAS)</w:t>
      </w:r>
    </w:p>
    <w:p>
      <w:pPr>
        <w:pStyle w:val="BodyText"/>
        <w:rPr>
          <w:b/>
        </w:rPr>
      </w:pPr>
    </w:p>
    <w:p>
      <w:pPr>
        <w:pStyle w:val="BodyText"/>
        <w:rPr>
          <w:b/>
        </w:rPr>
      </w:pPr>
    </w:p>
    <w:p>
      <w:pPr>
        <w:pStyle w:val="BodyText"/>
        <w:spacing w:line="357" w:lineRule="auto" w:before="201"/>
        <w:ind w:left="118" w:right="116"/>
        <w:jc w:val="both"/>
        <w:rPr>
          <w:sz w:val="16"/>
        </w:rPr>
      </w:pPr>
      <w:r>
        <w:rPr/>
        <w:t>La espectrometría de absorción atómica de horno de grafito permite trabajar con muestras de volumen muy reducido (inferior a 100 µL) o directamente sobre muestras orgánicas líquidas. Habitualmente se analizan muestras de material biológico de origen clínico (sangre, suero, orina, biopsias hepáticas, etc). </w:t>
      </w:r>
      <w:r>
        <w:rPr>
          <w:position w:val="8"/>
          <w:sz w:val="16"/>
        </w:rPr>
        <w:t>19,20</w:t>
      </w:r>
    </w:p>
    <w:p>
      <w:pPr>
        <w:pStyle w:val="BodyText"/>
        <w:spacing w:line="360" w:lineRule="auto" w:before="203"/>
        <w:ind w:left="118" w:right="123"/>
        <w:jc w:val="both"/>
      </w:pPr>
      <w:r>
        <w:rPr/>
        <w:t>Por su elevada sensibilidad (niveles de ppb), la técnica se aplica en la detección de metales en productos de alta pureza, como por ejemplo fármacos, alimentos (peces y</w:t>
      </w:r>
    </w:p>
    <w:p>
      <w:pPr>
        <w:spacing w:after="0" w:line="360" w:lineRule="auto"/>
        <w:jc w:val="both"/>
        <w:sectPr>
          <w:pgSz w:w="12240" w:h="15840"/>
          <w:pgMar w:header="0" w:footer="887" w:top="1360" w:bottom="1140" w:left="1300" w:right="1300"/>
        </w:sectPr>
      </w:pPr>
    </w:p>
    <w:p>
      <w:pPr>
        <w:pStyle w:val="BodyText"/>
        <w:spacing w:line="355" w:lineRule="auto" w:before="56"/>
        <w:ind w:left="118" w:right="119"/>
        <w:jc w:val="both"/>
        <w:rPr>
          <w:sz w:val="16"/>
        </w:rPr>
      </w:pPr>
      <w:r>
        <w:rPr/>
        <w:t>carne) y productos industriales, y también en aguas de bebida y de acuíferos (determinación de la presencia de Cu, Cd, Pb, As, Hg, etc). </w:t>
      </w:r>
      <w:r>
        <w:rPr>
          <w:position w:val="8"/>
          <w:sz w:val="16"/>
        </w:rPr>
        <w:t>20,21</w:t>
      </w:r>
    </w:p>
    <w:p>
      <w:pPr>
        <w:pStyle w:val="BodyText"/>
        <w:spacing w:line="360" w:lineRule="auto" w:before="206"/>
        <w:ind w:left="118" w:right="114"/>
        <w:jc w:val="both"/>
      </w:pPr>
      <w:r>
        <w:rPr/>
        <w:t>Los equipos de espectrometría de absorción atómica por horno de grafito modernos son fiables y precisos. Por lo general, los dispositivos están equipados con un cargador de muestras</w:t>
      </w:r>
      <w:r>
        <w:rPr>
          <w:spacing w:val="-16"/>
        </w:rPr>
        <w:t> </w:t>
      </w:r>
      <w:r>
        <w:rPr/>
        <w:t>automático,</w:t>
      </w:r>
      <w:r>
        <w:rPr>
          <w:spacing w:val="-18"/>
        </w:rPr>
        <w:t> </w:t>
      </w:r>
      <w:r>
        <w:rPr/>
        <w:t>que</w:t>
      </w:r>
      <w:r>
        <w:rPr>
          <w:spacing w:val="-16"/>
        </w:rPr>
        <w:t> </w:t>
      </w:r>
      <w:r>
        <w:rPr/>
        <w:t>permite</w:t>
      </w:r>
      <w:r>
        <w:rPr>
          <w:spacing w:val="-18"/>
        </w:rPr>
        <w:t> </w:t>
      </w:r>
      <w:r>
        <w:rPr/>
        <w:t>procesar</w:t>
      </w:r>
      <w:r>
        <w:rPr>
          <w:spacing w:val="-19"/>
        </w:rPr>
        <w:t> </w:t>
      </w:r>
      <w:r>
        <w:rPr/>
        <w:t>un</w:t>
      </w:r>
      <w:r>
        <w:rPr>
          <w:spacing w:val="-16"/>
        </w:rPr>
        <w:t> </w:t>
      </w:r>
      <w:r>
        <w:rPr/>
        <w:t>gran</w:t>
      </w:r>
      <w:r>
        <w:rPr>
          <w:spacing w:val="-16"/>
        </w:rPr>
        <w:t> </w:t>
      </w:r>
      <w:r>
        <w:rPr/>
        <w:t>número</w:t>
      </w:r>
      <w:r>
        <w:rPr>
          <w:spacing w:val="-16"/>
        </w:rPr>
        <w:t> </w:t>
      </w:r>
      <w:r>
        <w:rPr/>
        <w:t>de</w:t>
      </w:r>
      <w:r>
        <w:rPr>
          <w:spacing w:val="-18"/>
        </w:rPr>
        <w:t> </w:t>
      </w:r>
      <w:r>
        <w:rPr/>
        <w:t>muestras</w:t>
      </w:r>
      <w:r>
        <w:rPr>
          <w:spacing w:val="-16"/>
        </w:rPr>
        <w:t> </w:t>
      </w:r>
      <w:r>
        <w:rPr/>
        <w:t>y</w:t>
      </w:r>
      <w:r>
        <w:rPr>
          <w:spacing w:val="-19"/>
        </w:rPr>
        <w:t> </w:t>
      </w:r>
      <w:r>
        <w:rPr/>
        <w:t>obtener</w:t>
      </w:r>
      <w:r>
        <w:rPr>
          <w:spacing w:val="-19"/>
        </w:rPr>
        <w:t> </w:t>
      </w:r>
      <w:r>
        <w:rPr/>
        <w:t>mayor exactitud.</w:t>
      </w:r>
    </w:p>
    <w:p>
      <w:pPr>
        <w:pStyle w:val="BodyText"/>
        <w:spacing w:line="360" w:lineRule="auto" w:before="202"/>
        <w:ind w:left="118" w:right="116"/>
        <w:jc w:val="both"/>
        <w:rPr>
          <w:sz w:val="16"/>
        </w:rPr>
      </w:pPr>
      <w:r>
        <w:rPr/>
        <w:t>Algunos fabricantes también ofrecen instrumentos GFAAS para el análisis directo de muestras sólidas tales como polvos, hojuelas, tejidos, etc. La cantidad de muestras tomadas para el análisis fluctúa de 0,1 a 10 mg para concentraciones de analitos en el rango</w:t>
      </w:r>
      <w:r>
        <w:rPr>
          <w:spacing w:val="-4"/>
        </w:rPr>
        <w:t> </w:t>
      </w:r>
      <w:r>
        <w:rPr/>
        <w:t>de</w:t>
      </w:r>
      <w:r>
        <w:rPr>
          <w:spacing w:val="-6"/>
        </w:rPr>
        <w:t> </w:t>
      </w:r>
      <w:r>
        <w:rPr/>
        <w:t>ppm</w:t>
      </w:r>
      <w:r>
        <w:rPr>
          <w:spacing w:val="-3"/>
        </w:rPr>
        <w:t> </w:t>
      </w:r>
      <w:r>
        <w:rPr/>
        <w:t>y</w:t>
      </w:r>
      <w:r>
        <w:rPr>
          <w:spacing w:val="-7"/>
        </w:rPr>
        <w:t> </w:t>
      </w:r>
      <w:r>
        <w:rPr/>
        <w:t>las</w:t>
      </w:r>
      <w:r>
        <w:rPr>
          <w:spacing w:val="-4"/>
        </w:rPr>
        <w:t> </w:t>
      </w:r>
      <w:r>
        <w:rPr/>
        <w:t>ppb.</w:t>
      </w:r>
      <w:r>
        <w:rPr>
          <w:spacing w:val="-4"/>
        </w:rPr>
        <w:t> </w:t>
      </w:r>
      <w:r>
        <w:rPr/>
        <w:t>El</w:t>
      </w:r>
      <w:r>
        <w:rPr>
          <w:spacing w:val="-7"/>
        </w:rPr>
        <w:t> </w:t>
      </w:r>
      <w:r>
        <w:rPr/>
        <w:t>muestreo</w:t>
      </w:r>
      <w:r>
        <w:rPr>
          <w:spacing w:val="-6"/>
        </w:rPr>
        <w:t> </w:t>
      </w:r>
      <w:r>
        <w:rPr/>
        <w:t>directo</w:t>
      </w:r>
      <w:r>
        <w:rPr>
          <w:spacing w:val="-8"/>
        </w:rPr>
        <w:t> </w:t>
      </w:r>
      <w:r>
        <w:rPr/>
        <w:t>de</w:t>
      </w:r>
      <w:r>
        <w:rPr>
          <w:spacing w:val="-4"/>
        </w:rPr>
        <w:t> </w:t>
      </w:r>
      <w:r>
        <w:rPr/>
        <w:t>sólidos</w:t>
      </w:r>
      <w:r>
        <w:rPr>
          <w:spacing w:val="-4"/>
        </w:rPr>
        <w:t> </w:t>
      </w:r>
      <w:r>
        <w:rPr/>
        <w:t>es</w:t>
      </w:r>
      <w:r>
        <w:rPr>
          <w:spacing w:val="-7"/>
        </w:rPr>
        <w:t> </w:t>
      </w:r>
      <w:r>
        <w:rPr/>
        <w:t>útil</w:t>
      </w:r>
      <w:r>
        <w:rPr>
          <w:spacing w:val="-5"/>
        </w:rPr>
        <w:t> </w:t>
      </w:r>
      <w:r>
        <w:rPr/>
        <w:t>para</w:t>
      </w:r>
      <w:r>
        <w:rPr>
          <w:spacing w:val="-7"/>
        </w:rPr>
        <w:t> </w:t>
      </w:r>
      <w:r>
        <w:rPr/>
        <w:t>aumentar</w:t>
      </w:r>
      <w:r>
        <w:rPr>
          <w:spacing w:val="-5"/>
        </w:rPr>
        <w:t> </w:t>
      </w:r>
      <w:r>
        <w:rPr/>
        <w:t>el</w:t>
      </w:r>
      <w:r>
        <w:rPr>
          <w:spacing w:val="-7"/>
        </w:rPr>
        <w:t> </w:t>
      </w:r>
      <w:r>
        <w:rPr/>
        <w:t>poder</w:t>
      </w:r>
      <w:r>
        <w:rPr>
          <w:spacing w:val="-5"/>
        </w:rPr>
        <w:t> </w:t>
      </w:r>
      <w:r>
        <w:rPr/>
        <w:t>de detección y evitar la disolución de la muestra, la cual ocupa mucho tiempo y aumenta el riesgo de</w:t>
      </w:r>
      <w:r>
        <w:rPr>
          <w:spacing w:val="-5"/>
        </w:rPr>
        <w:t> </w:t>
      </w:r>
      <w:r>
        <w:rPr/>
        <w:t>contaminación.</w:t>
      </w:r>
      <w:r>
        <w:rPr>
          <w:position w:val="8"/>
          <w:sz w:val="16"/>
        </w:rPr>
        <w:t>22</w:t>
      </w:r>
    </w:p>
    <w:p>
      <w:pPr>
        <w:pStyle w:val="BodyText"/>
        <w:rPr>
          <w:sz w:val="36"/>
        </w:rPr>
      </w:pPr>
    </w:p>
    <w:p>
      <w:pPr>
        <w:pStyle w:val="BodyText"/>
        <w:spacing w:line="360" w:lineRule="auto"/>
        <w:ind w:left="118" w:right="114"/>
        <w:jc w:val="both"/>
      </w:pPr>
      <w:r>
        <w:rPr/>
        <w:t>La espectrometría de absorción atómica por horno de grafito utiliza una técnica </w:t>
      </w:r>
      <w:r>
        <w:rPr>
          <w:spacing w:val="-2"/>
        </w:rPr>
        <w:t>que </w:t>
      </w:r>
      <w:r>
        <w:rPr/>
        <w:t>comienza con la solución de la muestra, típicamente 5-100 μl, es inyectada dentro de</w:t>
      </w:r>
      <w:r>
        <w:rPr>
          <w:spacing w:val="-36"/>
        </w:rPr>
        <w:t> </w:t>
      </w:r>
      <w:r>
        <w:rPr/>
        <w:t>un tubo de grafito de 3-5 cm de longitud, posteriormente es calentado eléctricamente en etapas para producir vapor atómico para el analito, obteniendo una alta densidad de átomos,</w:t>
      </w:r>
      <w:r>
        <w:rPr>
          <w:spacing w:val="-18"/>
        </w:rPr>
        <w:t> </w:t>
      </w:r>
      <w:r>
        <w:rPr/>
        <w:t>lo</w:t>
      </w:r>
      <w:r>
        <w:rPr>
          <w:spacing w:val="-18"/>
        </w:rPr>
        <w:t> </w:t>
      </w:r>
      <w:r>
        <w:rPr/>
        <w:t>que</w:t>
      </w:r>
      <w:r>
        <w:rPr>
          <w:spacing w:val="-18"/>
        </w:rPr>
        <w:t> </w:t>
      </w:r>
      <w:r>
        <w:rPr/>
        <w:t>la</w:t>
      </w:r>
      <w:r>
        <w:rPr>
          <w:spacing w:val="-21"/>
        </w:rPr>
        <w:t> </w:t>
      </w:r>
      <w:r>
        <w:rPr/>
        <w:t>hace</w:t>
      </w:r>
      <w:r>
        <w:rPr>
          <w:spacing w:val="-20"/>
        </w:rPr>
        <w:t> </w:t>
      </w:r>
      <w:r>
        <w:rPr/>
        <w:t>sumamente</w:t>
      </w:r>
      <w:r>
        <w:rPr>
          <w:spacing w:val="-20"/>
        </w:rPr>
        <w:t> </w:t>
      </w:r>
      <w:r>
        <w:rPr/>
        <w:t>sensible.</w:t>
      </w:r>
      <w:r>
        <w:rPr>
          <w:spacing w:val="-21"/>
        </w:rPr>
        <w:t> </w:t>
      </w:r>
      <w:r>
        <w:rPr/>
        <w:t>Por</w:t>
      </w:r>
      <w:r>
        <w:rPr>
          <w:spacing w:val="-19"/>
        </w:rPr>
        <w:t> </w:t>
      </w:r>
      <w:r>
        <w:rPr/>
        <w:t>lo</w:t>
      </w:r>
      <w:r>
        <w:rPr>
          <w:spacing w:val="-18"/>
        </w:rPr>
        <w:t> </w:t>
      </w:r>
      <w:r>
        <w:rPr/>
        <w:t>general</w:t>
      </w:r>
      <w:r>
        <w:rPr>
          <w:spacing w:val="-21"/>
        </w:rPr>
        <w:t> </w:t>
      </w:r>
      <w:r>
        <w:rPr/>
        <w:t>el</w:t>
      </w:r>
      <w:r>
        <w:rPr>
          <w:spacing w:val="-19"/>
        </w:rPr>
        <w:t> </w:t>
      </w:r>
      <w:r>
        <w:rPr/>
        <w:t>programa</w:t>
      </w:r>
      <w:r>
        <w:rPr>
          <w:spacing w:val="-20"/>
        </w:rPr>
        <w:t> </w:t>
      </w:r>
      <w:r>
        <w:rPr/>
        <w:t>de</w:t>
      </w:r>
      <w:r>
        <w:rPr>
          <w:spacing w:val="-18"/>
        </w:rPr>
        <w:t> </w:t>
      </w:r>
      <w:r>
        <w:rPr/>
        <w:t>calentamiento, comprende una etapa de secado para evaporar el solvente (70-120°C); una etapa de calcinación para remover la materia orgánica o los componentes volátiles de la matriz (350-1250°C); una etapa de atomización (2000-3000°C) y, un ciclo de limpieza a temperatura máxima a fin de quemar el analito</w:t>
      </w:r>
      <w:r>
        <w:rPr>
          <w:spacing w:val="-22"/>
        </w:rPr>
        <w:t> </w:t>
      </w:r>
      <w:r>
        <w:rPr/>
        <w:t>remanente.</w:t>
      </w:r>
    </w:p>
    <w:p>
      <w:pPr>
        <w:pStyle w:val="BodyText"/>
      </w:pPr>
    </w:p>
    <w:p>
      <w:pPr>
        <w:pStyle w:val="BodyText"/>
        <w:spacing w:line="360" w:lineRule="auto" w:before="142"/>
        <w:ind w:left="118" w:right="113"/>
        <w:jc w:val="both"/>
        <w:rPr>
          <w:sz w:val="16"/>
        </w:rPr>
      </w:pPr>
      <w:r>
        <w:rPr/>
        <w:t>Los iones formados son acelerados y enfocados hacia el analizador, que los separa en función</w:t>
      </w:r>
      <w:r>
        <w:rPr>
          <w:spacing w:val="-6"/>
        </w:rPr>
        <w:t> </w:t>
      </w:r>
      <w:r>
        <w:rPr/>
        <w:t>de</w:t>
      </w:r>
      <w:r>
        <w:rPr>
          <w:spacing w:val="-6"/>
        </w:rPr>
        <w:t> </w:t>
      </w:r>
      <w:r>
        <w:rPr/>
        <w:t>su</w:t>
      </w:r>
      <w:r>
        <w:rPr>
          <w:spacing w:val="-6"/>
        </w:rPr>
        <w:t> </w:t>
      </w:r>
      <w:r>
        <w:rPr/>
        <w:t>relación</w:t>
      </w:r>
      <w:r>
        <w:rPr>
          <w:spacing w:val="-8"/>
        </w:rPr>
        <w:t> </w:t>
      </w:r>
      <w:r>
        <w:rPr/>
        <w:t>masa/carga</w:t>
      </w:r>
      <w:r>
        <w:rPr>
          <w:spacing w:val="-4"/>
        </w:rPr>
        <w:t> </w:t>
      </w:r>
      <w:r>
        <w:rPr/>
        <w:t>(m/z)</w:t>
      </w:r>
      <w:r>
        <w:rPr>
          <w:spacing w:val="-5"/>
        </w:rPr>
        <w:t> </w:t>
      </w:r>
      <w:r>
        <w:rPr/>
        <w:t>y</w:t>
      </w:r>
      <w:r>
        <w:rPr>
          <w:spacing w:val="-7"/>
        </w:rPr>
        <w:t> </w:t>
      </w:r>
      <w:r>
        <w:rPr/>
        <w:t>estos,</w:t>
      </w:r>
      <w:r>
        <w:rPr>
          <w:spacing w:val="-4"/>
        </w:rPr>
        <w:t> </w:t>
      </w:r>
      <w:r>
        <w:rPr/>
        <w:t>son</w:t>
      </w:r>
      <w:r>
        <w:rPr>
          <w:spacing w:val="-6"/>
        </w:rPr>
        <w:t> </w:t>
      </w:r>
      <w:r>
        <w:rPr/>
        <w:t>detectados</w:t>
      </w:r>
      <w:r>
        <w:rPr>
          <w:spacing w:val="-7"/>
        </w:rPr>
        <w:t> </w:t>
      </w:r>
      <w:r>
        <w:rPr/>
        <w:t>como</w:t>
      </w:r>
      <w:r>
        <w:rPr>
          <w:spacing w:val="-6"/>
        </w:rPr>
        <w:t> </w:t>
      </w:r>
      <w:r>
        <w:rPr/>
        <w:t>corrientes</w:t>
      </w:r>
      <w:r>
        <w:rPr>
          <w:spacing w:val="-4"/>
        </w:rPr>
        <w:t> </w:t>
      </w:r>
      <w:r>
        <w:rPr/>
        <w:t>iónicas cuyas intensidades son proporcionales a sus abundancias respectivas. Estas intensidades son digitalizadas y enviadas a un sistema informático que permite estudiar las señales recibidas, manipularlas y compararlas con resultados de espectros ya registrados.</w:t>
      </w:r>
      <w:r>
        <w:rPr>
          <w:spacing w:val="-3"/>
        </w:rPr>
        <w:t> </w:t>
      </w:r>
      <w:r>
        <w:rPr>
          <w:position w:val="8"/>
          <w:sz w:val="16"/>
        </w:rPr>
        <w:t>23</w:t>
      </w:r>
    </w:p>
    <w:p>
      <w:pPr>
        <w:spacing w:after="0" w:line="360" w:lineRule="auto"/>
        <w:jc w:val="both"/>
        <w:rPr>
          <w:sz w:val="16"/>
        </w:rPr>
        <w:sectPr>
          <w:pgSz w:w="12240" w:h="15840"/>
          <w:pgMar w:header="0" w:footer="887" w:top="1360" w:bottom="1140" w:left="1300" w:right="1300"/>
        </w:sectPr>
      </w:pPr>
    </w:p>
    <w:p>
      <w:pPr>
        <w:pStyle w:val="BodyText"/>
        <w:spacing w:before="56"/>
        <w:ind w:left="118" w:right="42"/>
      </w:pPr>
      <w:r>
        <w:rPr/>
        <w:t>Ventajas</w:t>
      </w:r>
    </w:p>
    <w:p>
      <w:pPr>
        <w:pStyle w:val="BodyText"/>
      </w:pPr>
    </w:p>
    <w:p>
      <w:pPr>
        <w:pStyle w:val="BodyText"/>
        <w:spacing w:before="7"/>
        <w:rPr>
          <w:sz w:val="23"/>
        </w:rPr>
      </w:pPr>
    </w:p>
    <w:p>
      <w:pPr>
        <w:pStyle w:val="BodyText"/>
        <w:ind w:left="118" w:right="42"/>
        <w:rPr>
          <w:rFonts w:ascii="Times New Roman" w:hAnsi="Times New Roman"/>
        </w:rPr>
      </w:pPr>
      <w:r>
        <w:rPr>
          <w:rFonts w:ascii="Wingdings" w:hAnsi="Wingdings"/>
        </w:rPr>
        <w:t></w:t>
      </w:r>
      <w:r>
        <w:rPr>
          <w:rFonts w:ascii="Times New Roman" w:hAnsi="Times New Roman"/>
        </w:rPr>
        <w:t>  </w:t>
      </w:r>
      <w:r>
        <w:rPr/>
        <w:t>Buen límite de detección (&lt;1-2 </w:t>
      </w:r>
      <w:r>
        <w:rPr>
          <w:rFonts w:ascii="Times New Roman" w:hAnsi="Times New Roman"/>
        </w:rPr>
        <w:t>µg/dl)</w:t>
      </w:r>
    </w:p>
    <w:p>
      <w:pPr>
        <w:pStyle w:val="BodyText"/>
        <w:spacing w:before="143"/>
        <w:ind w:left="118" w:right="42"/>
      </w:pPr>
      <w:r>
        <w:rPr>
          <w:rFonts w:ascii="Wingdings" w:hAnsi="Wingdings"/>
        </w:rPr>
        <w:t></w:t>
      </w:r>
      <w:r>
        <w:rPr>
          <w:rFonts w:ascii="Times New Roman" w:hAnsi="Times New Roman"/>
        </w:rPr>
        <w:t>  </w:t>
      </w:r>
      <w:r>
        <w:rPr/>
        <w:t>Tamaño reducido de la muestra</w:t>
      </w:r>
    </w:p>
    <w:p>
      <w:pPr>
        <w:pStyle w:val="BodyText"/>
        <w:spacing w:before="137"/>
        <w:ind w:left="118" w:right="42"/>
      </w:pPr>
      <w:r>
        <w:rPr>
          <w:rFonts w:ascii="Wingdings" w:hAnsi="Wingdings"/>
        </w:rPr>
        <w:t></w:t>
      </w:r>
      <w:r>
        <w:rPr>
          <w:rFonts w:ascii="Times New Roman" w:hAnsi="Times New Roman"/>
        </w:rPr>
        <w:t>  </w:t>
      </w:r>
      <w:r>
        <w:rPr/>
        <w:t>Precio y costos de funcionamiento moderados</w:t>
      </w:r>
    </w:p>
    <w:p>
      <w:pPr>
        <w:pStyle w:val="BodyText"/>
        <w:spacing w:before="139"/>
        <w:ind w:left="118" w:right="42"/>
      </w:pPr>
      <w:r>
        <w:rPr>
          <w:rFonts w:ascii="Wingdings" w:hAnsi="Wingdings"/>
        </w:rPr>
        <w:t></w:t>
      </w:r>
      <w:r>
        <w:rPr>
          <w:rFonts w:ascii="Times New Roman" w:hAnsi="Times New Roman"/>
        </w:rPr>
        <w:t>  </w:t>
      </w:r>
      <w:r>
        <w:rPr/>
        <w:t>Moderada capacidad para analizar múltiples elementos</w:t>
      </w:r>
    </w:p>
    <w:p>
      <w:pPr>
        <w:pStyle w:val="BodyText"/>
        <w:spacing w:line="360" w:lineRule="auto" w:before="137"/>
        <w:ind w:left="478" w:right="42" w:hanging="360"/>
      </w:pPr>
      <w:r>
        <w:rPr>
          <w:rFonts w:ascii="Wingdings" w:hAnsi="Wingdings"/>
        </w:rPr>
        <w:t></w:t>
      </w:r>
      <w:r>
        <w:rPr>
          <w:rFonts w:ascii="Times New Roman" w:hAnsi="Times New Roman"/>
        </w:rPr>
        <w:t> </w:t>
      </w:r>
      <w:r>
        <w:rPr/>
        <w:t>Relativamente pocas interferencias (aunque más que con la espectrometría de absorción atómica por llama)</w:t>
      </w:r>
    </w:p>
    <w:p>
      <w:pPr>
        <w:pStyle w:val="BodyText"/>
        <w:spacing w:line="720" w:lineRule="auto" w:before="2"/>
        <w:ind w:left="118" w:right="2190"/>
      </w:pPr>
      <w:r>
        <w:rPr>
          <w:rFonts w:ascii="Wingdings" w:hAnsi="Wingdings"/>
        </w:rPr>
        <w:t></w:t>
      </w:r>
      <w:r>
        <w:rPr>
          <w:rFonts w:ascii="Times New Roman" w:hAnsi="Times New Roman"/>
        </w:rPr>
        <w:t> </w:t>
      </w:r>
      <w:r>
        <w:rPr/>
        <w:t>Ampliamente utilizada, existen múltiples proveedores. Limitaciones</w:t>
      </w:r>
    </w:p>
    <w:p>
      <w:pPr>
        <w:pStyle w:val="BodyText"/>
        <w:spacing w:before="15"/>
        <w:ind w:left="118" w:right="42"/>
      </w:pPr>
      <w:r>
        <w:rPr>
          <w:rFonts w:ascii="Wingdings" w:hAnsi="Wingdings"/>
        </w:rPr>
        <w:t></w:t>
      </w:r>
      <w:r>
        <w:rPr>
          <w:rFonts w:ascii="Times New Roman" w:hAnsi="Times New Roman"/>
        </w:rPr>
        <w:t>  </w:t>
      </w:r>
      <w:r>
        <w:rPr/>
        <w:t>La prueba lleva más tiempo</w:t>
      </w:r>
    </w:p>
    <w:p>
      <w:pPr>
        <w:pStyle w:val="BodyText"/>
        <w:spacing w:line="360" w:lineRule="auto" w:before="139"/>
        <w:ind w:left="478" w:right="42" w:hanging="360"/>
      </w:pPr>
      <w:r>
        <w:rPr>
          <w:rFonts w:ascii="Wingdings" w:hAnsi="Wingdings"/>
        </w:rPr>
        <w:t></w:t>
      </w:r>
      <w:r>
        <w:rPr>
          <w:rFonts w:ascii="Times New Roman" w:hAnsi="Times New Roman"/>
        </w:rPr>
        <w:t> </w:t>
      </w:r>
      <w:r>
        <w:rPr/>
        <w:t>Requiere algo de experiencia de laboratorio (más que con la espectrometría de absorción atómica por llama)</w:t>
      </w:r>
    </w:p>
    <w:p>
      <w:pPr>
        <w:pStyle w:val="BodyText"/>
        <w:spacing w:line="355" w:lineRule="auto" w:before="5"/>
        <w:ind w:left="478" w:right="42" w:hanging="360"/>
        <w:rPr>
          <w:sz w:val="16"/>
        </w:rPr>
      </w:pPr>
      <w:r>
        <w:rPr>
          <w:rFonts w:ascii="Wingdings" w:hAnsi="Wingdings"/>
        </w:rPr>
        <w:t></w:t>
      </w:r>
      <w:r>
        <w:rPr>
          <w:rFonts w:ascii="Times New Roman" w:hAnsi="Times New Roman"/>
        </w:rPr>
        <w:t> </w:t>
      </w:r>
      <w:r>
        <w:rPr/>
        <w:t>Mayor potencial de interferencia espectral que con la espectrometría de absorción atómica por llama. </w:t>
      </w:r>
      <w:r>
        <w:rPr>
          <w:position w:val="8"/>
          <w:sz w:val="16"/>
        </w:rPr>
        <w:t>22,23</w:t>
      </w:r>
    </w:p>
    <w:p>
      <w:pPr>
        <w:spacing w:after="0" w:line="355" w:lineRule="auto"/>
        <w:rPr>
          <w:sz w:val="16"/>
        </w:rPr>
        <w:sectPr>
          <w:pgSz w:w="12240" w:h="15840"/>
          <w:pgMar w:header="0" w:footer="887" w:top="1360" w:bottom="1140" w:left="1300" w:right="1300"/>
        </w:sectPr>
      </w:pPr>
    </w:p>
    <w:p>
      <w:pPr>
        <w:pStyle w:val="Heading1"/>
        <w:numPr>
          <w:ilvl w:val="1"/>
          <w:numId w:val="10"/>
        </w:numPr>
        <w:tabs>
          <w:tab w:pos="3513" w:val="left" w:leader="none"/>
        </w:tabs>
        <w:spacing w:line="240" w:lineRule="auto" w:before="56" w:after="0"/>
        <w:ind w:left="3513" w:right="0" w:hanging="360"/>
        <w:jc w:val="left"/>
      </w:pPr>
      <w:r>
        <w:rPr/>
        <w:t>PLANTEAMIENTO DEL</w:t>
      </w:r>
      <w:r>
        <w:rPr>
          <w:spacing w:val="-8"/>
        </w:rPr>
        <w:t> </w:t>
      </w:r>
      <w:r>
        <w:rPr/>
        <w:t>PROBLEMA</w:t>
      </w:r>
    </w:p>
    <w:p>
      <w:pPr>
        <w:pStyle w:val="BodyText"/>
        <w:rPr>
          <w:b/>
        </w:rPr>
      </w:pPr>
    </w:p>
    <w:p>
      <w:pPr>
        <w:pStyle w:val="BodyText"/>
        <w:rPr>
          <w:b/>
        </w:rPr>
      </w:pPr>
    </w:p>
    <w:p>
      <w:pPr>
        <w:pStyle w:val="BodyText"/>
        <w:spacing w:line="360" w:lineRule="auto"/>
        <w:ind w:left="118" w:right="42"/>
      </w:pPr>
      <w:r>
        <w:rPr/>
        <w:t>La Odontopediatría juega un papel importante en la actualidad, la demanda de tratamientos en la rehabilitación bucal de los pacientes infantiles ha ido en incremento. Siendo la colocación de coronas precontorneadas de níquel-cromo el material específico e ideal para devolver la forma, función y salud al órgano dentario, previniendo nuevas lesiones cariosas.</w:t>
      </w:r>
    </w:p>
    <w:p>
      <w:pPr>
        <w:pStyle w:val="BodyText"/>
      </w:pPr>
    </w:p>
    <w:p>
      <w:pPr>
        <w:pStyle w:val="BodyText"/>
        <w:spacing w:line="360" w:lineRule="auto" w:before="142"/>
        <w:ind w:left="118" w:right="112"/>
        <w:jc w:val="both"/>
        <w:rPr>
          <w:sz w:val="16"/>
        </w:rPr>
      </w:pPr>
      <w:r>
        <w:rPr/>
        <w:t>Las coronas de níquel-cromo están conformadas de aleaciones de metales, elaboradas con distintos elementos como el hierro, cromo y níquel, que favorece sus propiedades físicas y químicas, diseñadas para cada uno de los órganos dentarios de la dentición temporal y permanente, de igual manera existen diferentes tamaños para cubrir toda posibilidad en cada paciente.</w:t>
      </w:r>
      <w:r>
        <w:rPr>
          <w:position w:val="8"/>
          <w:sz w:val="16"/>
        </w:rPr>
        <w:t>5</w:t>
      </w:r>
    </w:p>
    <w:p>
      <w:pPr>
        <w:pStyle w:val="BodyText"/>
        <w:rPr>
          <w:sz w:val="36"/>
        </w:rPr>
      </w:pPr>
    </w:p>
    <w:p>
      <w:pPr>
        <w:pStyle w:val="BodyText"/>
        <w:spacing w:line="360" w:lineRule="auto"/>
        <w:ind w:left="118" w:right="113"/>
        <w:jc w:val="both"/>
      </w:pPr>
      <w:r>
        <w:rPr/>
        <w:t>Las</w:t>
      </w:r>
      <w:r>
        <w:rPr>
          <w:spacing w:val="-4"/>
        </w:rPr>
        <w:t> </w:t>
      </w:r>
      <w:r>
        <w:rPr/>
        <w:t>condiciones</w:t>
      </w:r>
      <w:r>
        <w:rPr>
          <w:spacing w:val="-7"/>
        </w:rPr>
        <w:t> </w:t>
      </w:r>
      <w:r>
        <w:rPr/>
        <w:t>ambientales,</w:t>
      </w:r>
      <w:r>
        <w:rPr>
          <w:spacing w:val="-6"/>
        </w:rPr>
        <w:t> </w:t>
      </w:r>
      <w:r>
        <w:rPr/>
        <w:t>la</w:t>
      </w:r>
      <w:r>
        <w:rPr>
          <w:spacing w:val="-6"/>
        </w:rPr>
        <w:t> </w:t>
      </w:r>
      <w:r>
        <w:rPr/>
        <w:t>calidad</w:t>
      </w:r>
      <w:r>
        <w:rPr>
          <w:spacing w:val="-4"/>
        </w:rPr>
        <w:t> </w:t>
      </w:r>
      <w:r>
        <w:rPr/>
        <w:t>y</w:t>
      </w:r>
      <w:r>
        <w:rPr>
          <w:spacing w:val="-7"/>
        </w:rPr>
        <w:t> </w:t>
      </w:r>
      <w:r>
        <w:rPr/>
        <w:t>cantidad</w:t>
      </w:r>
      <w:r>
        <w:rPr>
          <w:spacing w:val="-6"/>
        </w:rPr>
        <w:t> </w:t>
      </w:r>
      <w:r>
        <w:rPr/>
        <w:t>de</w:t>
      </w:r>
      <w:r>
        <w:rPr>
          <w:spacing w:val="-6"/>
        </w:rPr>
        <w:t> </w:t>
      </w:r>
      <w:r>
        <w:rPr/>
        <w:t>aleación</w:t>
      </w:r>
      <w:r>
        <w:rPr>
          <w:spacing w:val="-5"/>
        </w:rPr>
        <w:t> </w:t>
      </w:r>
      <w:r>
        <w:rPr/>
        <w:t>de</w:t>
      </w:r>
      <w:r>
        <w:rPr>
          <w:spacing w:val="-4"/>
        </w:rPr>
        <w:t> </w:t>
      </w:r>
      <w:r>
        <w:rPr/>
        <w:t>las</w:t>
      </w:r>
      <w:r>
        <w:rPr>
          <w:spacing w:val="-4"/>
        </w:rPr>
        <w:t> </w:t>
      </w:r>
      <w:r>
        <w:rPr/>
        <w:t>coronas</w:t>
      </w:r>
      <w:r>
        <w:rPr>
          <w:spacing w:val="-7"/>
        </w:rPr>
        <w:t> </w:t>
      </w:r>
      <w:r>
        <w:rPr/>
        <w:t>de</w:t>
      </w:r>
      <w:r>
        <w:rPr>
          <w:spacing w:val="-6"/>
        </w:rPr>
        <w:t> </w:t>
      </w:r>
      <w:r>
        <w:rPr/>
        <w:t>níquel- cromo, su manipulación al ser colocadas, el pH salival y el factor nutricional pueden determinar la liberación de iones de metal en la cavidad</w:t>
      </w:r>
      <w:r>
        <w:rPr>
          <w:spacing w:val="-15"/>
        </w:rPr>
        <w:t> </w:t>
      </w:r>
      <w:r>
        <w:rPr/>
        <w:t>bucal.</w:t>
      </w:r>
    </w:p>
    <w:p>
      <w:pPr>
        <w:pStyle w:val="BodyText"/>
      </w:pPr>
    </w:p>
    <w:p>
      <w:pPr>
        <w:pStyle w:val="BodyText"/>
        <w:spacing w:line="360" w:lineRule="auto" w:before="142"/>
        <w:ind w:left="118" w:right="114"/>
        <w:jc w:val="both"/>
        <w:rPr>
          <w:sz w:val="16"/>
        </w:rPr>
      </w:pPr>
      <w:r>
        <w:rPr/>
        <w:t>Se</w:t>
      </w:r>
      <w:r>
        <w:rPr>
          <w:spacing w:val="-11"/>
        </w:rPr>
        <w:t> </w:t>
      </w:r>
      <w:r>
        <w:rPr/>
        <w:t>ha</w:t>
      </w:r>
      <w:r>
        <w:rPr>
          <w:spacing w:val="-13"/>
        </w:rPr>
        <w:t> </w:t>
      </w:r>
      <w:r>
        <w:rPr/>
        <w:t>demostrado</w:t>
      </w:r>
      <w:r>
        <w:rPr>
          <w:spacing w:val="-11"/>
        </w:rPr>
        <w:t> </w:t>
      </w:r>
      <w:r>
        <w:rPr/>
        <w:t>que</w:t>
      </w:r>
      <w:r>
        <w:rPr>
          <w:spacing w:val="-15"/>
        </w:rPr>
        <w:t> </w:t>
      </w:r>
      <w:r>
        <w:rPr/>
        <w:t>las</w:t>
      </w:r>
      <w:r>
        <w:rPr>
          <w:spacing w:val="-11"/>
        </w:rPr>
        <w:t> </w:t>
      </w:r>
      <w:r>
        <w:rPr/>
        <w:t>restauraciones</w:t>
      </w:r>
      <w:r>
        <w:rPr>
          <w:spacing w:val="-12"/>
        </w:rPr>
        <w:t> </w:t>
      </w:r>
      <w:r>
        <w:rPr/>
        <w:t>a</w:t>
      </w:r>
      <w:r>
        <w:rPr>
          <w:spacing w:val="-13"/>
        </w:rPr>
        <w:t> </w:t>
      </w:r>
      <w:r>
        <w:rPr/>
        <w:t>base</w:t>
      </w:r>
      <w:r>
        <w:rPr>
          <w:spacing w:val="-11"/>
        </w:rPr>
        <w:t> </w:t>
      </w:r>
      <w:r>
        <w:rPr/>
        <w:t>de</w:t>
      </w:r>
      <w:r>
        <w:rPr>
          <w:spacing w:val="-15"/>
        </w:rPr>
        <w:t> </w:t>
      </w:r>
      <w:r>
        <w:rPr/>
        <w:t>metales</w:t>
      </w:r>
      <w:r>
        <w:rPr>
          <w:spacing w:val="-12"/>
        </w:rPr>
        <w:t> </w:t>
      </w:r>
      <w:r>
        <w:rPr/>
        <w:t>en</w:t>
      </w:r>
      <w:r>
        <w:rPr>
          <w:spacing w:val="-11"/>
        </w:rPr>
        <w:t> </w:t>
      </w:r>
      <w:r>
        <w:rPr/>
        <w:t>boca</w:t>
      </w:r>
      <w:r>
        <w:rPr>
          <w:spacing w:val="-15"/>
        </w:rPr>
        <w:t> </w:t>
      </w:r>
      <w:r>
        <w:rPr/>
        <w:t>al</w:t>
      </w:r>
      <w:r>
        <w:rPr>
          <w:spacing w:val="-12"/>
        </w:rPr>
        <w:t> </w:t>
      </w:r>
      <w:r>
        <w:rPr/>
        <w:t>estar</w:t>
      </w:r>
      <w:r>
        <w:rPr>
          <w:spacing w:val="-15"/>
        </w:rPr>
        <w:t> </w:t>
      </w:r>
      <w:r>
        <w:rPr/>
        <w:t>en</w:t>
      </w:r>
      <w:r>
        <w:rPr>
          <w:spacing w:val="-13"/>
        </w:rPr>
        <w:t> </w:t>
      </w:r>
      <w:r>
        <w:rPr/>
        <w:t>contacto con el medio bucal producen reacciones químicas, tales como la oxidación, </w:t>
      </w:r>
      <w:r>
        <w:rPr>
          <w:spacing w:val="4"/>
        </w:rPr>
        <w:t>la </w:t>
      </w:r>
      <w:r>
        <w:rPr/>
        <w:t>corrosión y el galvanismo, las cuales al liberar iones metálicos pueden ser nocivos para la salud e integridad</w:t>
      </w:r>
      <w:r>
        <w:rPr>
          <w:spacing w:val="-16"/>
        </w:rPr>
        <w:t> </w:t>
      </w:r>
      <w:r>
        <w:rPr/>
        <w:t>del</w:t>
      </w:r>
      <w:r>
        <w:rPr>
          <w:spacing w:val="-17"/>
        </w:rPr>
        <w:t> </w:t>
      </w:r>
      <w:r>
        <w:rPr/>
        <w:t>paciente,</w:t>
      </w:r>
      <w:r>
        <w:rPr>
          <w:spacing w:val="-14"/>
        </w:rPr>
        <w:t> </w:t>
      </w:r>
      <w:r>
        <w:rPr/>
        <w:t>ya</w:t>
      </w:r>
      <w:r>
        <w:rPr>
          <w:spacing w:val="-14"/>
        </w:rPr>
        <w:t> </w:t>
      </w:r>
      <w:r>
        <w:rPr/>
        <w:t>que</w:t>
      </w:r>
      <w:r>
        <w:rPr>
          <w:spacing w:val="-14"/>
        </w:rPr>
        <w:t> </w:t>
      </w:r>
      <w:r>
        <w:rPr/>
        <w:t>son</w:t>
      </w:r>
      <w:r>
        <w:rPr>
          <w:spacing w:val="-16"/>
        </w:rPr>
        <w:t> </w:t>
      </w:r>
      <w:r>
        <w:rPr/>
        <w:t>absorbidos</w:t>
      </w:r>
      <w:r>
        <w:rPr>
          <w:spacing w:val="-14"/>
        </w:rPr>
        <w:t> </w:t>
      </w:r>
      <w:r>
        <w:rPr/>
        <w:t>por</w:t>
      </w:r>
      <w:r>
        <w:rPr>
          <w:spacing w:val="-17"/>
        </w:rPr>
        <w:t> </w:t>
      </w:r>
      <w:r>
        <w:rPr/>
        <w:t>medio</w:t>
      </w:r>
      <w:r>
        <w:rPr>
          <w:spacing w:val="-16"/>
        </w:rPr>
        <w:t> </w:t>
      </w:r>
      <w:r>
        <w:rPr/>
        <w:t>de</w:t>
      </w:r>
      <w:r>
        <w:rPr>
          <w:spacing w:val="-15"/>
        </w:rPr>
        <w:t> </w:t>
      </w:r>
      <w:r>
        <w:rPr/>
        <w:t>la</w:t>
      </w:r>
      <w:r>
        <w:rPr>
          <w:spacing w:val="-16"/>
        </w:rPr>
        <w:t> </w:t>
      </w:r>
      <w:r>
        <w:rPr/>
        <w:t>encía,</w:t>
      </w:r>
      <w:r>
        <w:rPr>
          <w:spacing w:val="-14"/>
        </w:rPr>
        <w:t> </w:t>
      </w:r>
      <w:r>
        <w:rPr/>
        <w:t>la</w:t>
      </w:r>
      <w:r>
        <w:rPr>
          <w:spacing w:val="-16"/>
        </w:rPr>
        <w:t> </w:t>
      </w:r>
      <w:r>
        <w:rPr/>
        <w:t>dentina</w:t>
      </w:r>
      <w:r>
        <w:rPr>
          <w:spacing w:val="-15"/>
        </w:rPr>
        <w:t> </w:t>
      </w:r>
      <w:r>
        <w:rPr/>
        <w:t>y</w:t>
      </w:r>
      <w:r>
        <w:rPr>
          <w:spacing w:val="-16"/>
        </w:rPr>
        <w:t> </w:t>
      </w:r>
      <w:r>
        <w:rPr/>
        <w:t>la</w:t>
      </w:r>
      <w:r>
        <w:rPr>
          <w:spacing w:val="-14"/>
        </w:rPr>
        <w:t> </w:t>
      </w:r>
      <w:r>
        <w:rPr/>
        <w:t>pulpa del diente.</w:t>
      </w:r>
      <w:r>
        <w:rPr>
          <w:spacing w:val="-4"/>
        </w:rPr>
        <w:t> </w:t>
      </w:r>
      <w:r>
        <w:rPr>
          <w:position w:val="8"/>
          <w:sz w:val="16"/>
        </w:rPr>
        <w:t>13,14</w:t>
      </w:r>
    </w:p>
    <w:p>
      <w:pPr>
        <w:pStyle w:val="BodyText"/>
        <w:spacing w:line="360" w:lineRule="auto"/>
        <w:ind w:left="118" w:right="120"/>
        <w:jc w:val="both"/>
      </w:pPr>
      <w:r>
        <w:rPr/>
        <w:t>Sin</w:t>
      </w:r>
      <w:r>
        <w:rPr>
          <w:spacing w:val="-12"/>
        </w:rPr>
        <w:t> </w:t>
      </w:r>
      <w:r>
        <w:rPr/>
        <w:t>embargo,</w:t>
      </w:r>
      <w:r>
        <w:rPr>
          <w:spacing w:val="-11"/>
        </w:rPr>
        <w:t> </w:t>
      </w:r>
      <w:r>
        <w:rPr/>
        <w:t>no</w:t>
      </w:r>
      <w:r>
        <w:rPr>
          <w:spacing w:val="-14"/>
        </w:rPr>
        <w:t> </w:t>
      </w:r>
      <w:r>
        <w:rPr/>
        <w:t>existe</w:t>
      </w:r>
      <w:r>
        <w:rPr>
          <w:spacing w:val="-12"/>
        </w:rPr>
        <w:t> </w:t>
      </w:r>
      <w:r>
        <w:rPr/>
        <w:t>suficiente</w:t>
      </w:r>
      <w:r>
        <w:rPr>
          <w:spacing w:val="-14"/>
        </w:rPr>
        <w:t> </w:t>
      </w:r>
      <w:r>
        <w:rPr/>
        <w:t>información</w:t>
      </w:r>
      <w:r>
        <w:rPr>
          <w:spacing w:val="-14"/>
        </w:rPr>
        <w:t> </w:t>
      </w:r>
      <w:r>
        <w:rPr/>
        <w:t>respecto</w:t>
      </w:r>
      <w:r>
        <w:rPr>
          <w:spacing w:val="-14"/>
        </w:rPr>
        <w:t> </w:t>
      </w:r>
      <w:r>
        <w:rPr/>
        <w:t>a</w:t>
      </w:r>
      <w:r>
        <w:rPr>
          <w:spacing w:val="-14"/>
        </w:rPr>
        <w:t> </w:t>
      </w:r>
      <w:r>
        <w:rPr/>
        <w:t>la</w:t>
      </w:r>
      <w:r>
        <w:rPr>
          <w:spacing w:val="-14"/>
        </w:rPr>
        <w:t> </w:t>
      </w:r>
      <w:r>
        <w:rPr/>
        <w:t>liberación</w:t>
      </w:r>
      <w:r>
        <w:rPr>
          <w:spacing w:val="-14"/>
        </w:rPr>
        <w:t> </w:t>
      </w:r>
      <w:r>
        <w:rPr/>
        <w:t>de</w:t>
      </w:r>
      <w:r>
        <w:rPr>
          <w:spacing w:val="-15"/>
        </w:rPr>
        <w:t> </w:t>
      </w:r>
      <w:r>
        <w:rPr/>
        <w:t>metales</w:t>
      </w:r>
      <w:r>
        <w:rPr>
          <w:spacing w:val="-14"/>
        </w:rPr>
        <w:t> </w:t>
      </w:r>
      <w:r>
        <w:rPr/>
        <w:t>en</w:t>
      </w:r>
      <w:r>
        <w:rPr>
          <w:spacing w:val="-14"/>
        </w:rPr>
        <w:t> </w:t>
      </w:r>
      <w:r>
        <w:rPr/>
        <w:t>boca posteriores a la colocación de coronas níquel cromo, por lo que con el presente trabajo se pretende responde a la siguiente pregunta de</w:t>
      </w:r>
      <w:r>
        <w:rPr>
          <w:spacing w:val="-21"/>
        </w:rPr>
        <w:t> </w:t>
      </w:r>
      <w:r>
        <w:rPr/>
        <w:t>investigación:</w:t>
      </w:r>
    </w:p>
    <w:p>
      <w:pPr>
        <w:pStyle w:val="BodyText"/>
      </w:pPr>
    </w:p>
    <w:p>
      <w:pPr>
        <w:pStyle w:val="BodyText"/>
        <w:spacing w:line="360" w:lineRule="auto" w:before="142"/>
        <w:ind w:left="118" w:right="115"/>
        <w:jc w:val="both"/>
      </w:pPr>
      <w:r>
        <w:rPr/>
        <w:t>¿Cuál es la concentración de metales en saliva en los pacientes que requieren de rehabilitación bucal con coronas de níquel-cromo antes de su colocación y al mes posterior a su colocación?</w:t>
      </w:r>
    </w:p>
    <w:p>
      <w:pPr>
        <w:spacing w:after="0" w:line="360" w:lineRule="auto"/>
        <w:jc w:val="both"/>
        <w:sectPr>
          <w:pgSz w:w="12240" w:h="15840"/>
          <w:pgMar w:header="0" w:footer="887" w:top="1360" w:bottom="1140" w:left="1300" w:right="1300"/>
        </w:sectPr>
      </w:pPr>
    </w:p>
    <w:p>
      <w:pPr>
        <w:pStyle w:val="Heading1"/>
        <w:numPr>
          <w:ilvl w:val="1"/>
          <w:numId w:val="10"/>
        </w:numPr>
        <w:tabs>
          <w:tab w:pos="4620" w:val="left" w:leader="none"/>
        </w:tabs>
        <w:spacing w:line="240" w:lineRule="auto" w:before="56" w:after="0"/>
        <w:ind w:left="4619" w:right="0" w:hanging="360"/>
        <w:jc w:val="left"/>
      </w:pPr>
      <w:r>
        <w:rPr/>
        <w:t>JUSTIFICACIÓN</w:t>
      </w:r>
    </w:p>
    <w:p>
      <w:pPr>
        <w:pStyle w:val="BodyText"/>
        <w:rPr>
          <w:b/>
        </w:rPr>
      </w:pPr>
    </w:p>
    <w:p>
      <w:pPr>
        <w:pStyle w:val="BodyText"/>
        <w:rPr>
          <w:b/>
        </w:rPr>
      </w:pPr>
    </w:p>
    <w:p>
      <w:pPr>
        <w:pStyle w:val="BodyText"/>
        <w:spacing w:line="357" w:lineRule="auto"/>
        <w:ind w:left="118" w:right="112"/>
        <w:jc w:val="both"/>
      </w:pPr>
      <w:r>
        <w:rPr/>
        <w:t>Existe la posibilidad de que aleaciones metálicas empleadas en Odontopediatría y Ortodoncia</w:t>
      </w:r>
      <w:r>
        <w:rPr>
          <w:spacing w:val="-13"/>
        </w:rPr>
        <w:t> </w:t>
      </w:r>
      <w:r>
        <w:rPr/>
        <w:t>puedan</w:t>
      </w:r>
      <w:r>
        <w:rPr>
          <w:spacing w:val="-11"/>
        </w:rPr>
        <w:t> </w:t>
      </w:r>
      <w:r>
        <w:rPr/>
        <w:t>aumentar</w:t>
      </w:r>
      <w:r>
        <w:rPr>
          <w:spacing w:val="-12"/>
        </w:rPr>
        <w:t> </w:t>
      </w:r>
      <w:r>
        <w:rPr/>
        <w:t>la</w:t>
      </w:r>
      <w:r>
        <w:rPr>
          <w:spacing w:val="-13"/>
        </w:rPr>
        <w:t> </w:t>
      </w:r>
      <w:r>
        <w:rPr/>
        <w:t>cantidad</w:t>
      </w:r>
      <w:r>
        <w:rPr>
          <w:spacing w:val="-13"/>
        </w:rPr>
        <w:t> </w:t>
      </w:r>
      <w:r>
        <w:rPr/>
        <w:t>de</w:t>
      </w:r>
      <w:r>
        <w:rPr>
          <w:spacing w:val="-11"/>
        </w:rPr>
        <w:t> </w:t>
      </w:r>
      <w:r>
        <w:rPr/>
        <w:t>iones</w:t>
      </w:r>
      <w:r>
        <w:rPr>
          <w:spacing w:val="-14"/>
        </w:rPr>
        <w:t> </w:t>
      </w:r>
      <w:r>
        <w:rPr/>
        <w:t>metálicos</w:t>
      </w:r>
      <w:r>
        <w:rPr>
          <w:spacing w:val="-14"/>
        </w:rPr>
        <w:t> </w:t>
      </w:r>
      <w:r>
        <w:rPr/>
        <w:t>en</w:t>
      </w:r>
      <w:r>
        <w:rPr>
          <w:spacing w:val="-13"/>
        </w:rPr>
        <w:t> </w:t>
      </w:r>
      <w:r>
        <w:rPr/>
        <w:t>la</w:t>
      </w:r>
      <w:r>
        <w:rPr>
          <w:spacing w:val="-11"/>
        </w:rPr>
        <w:t> </w:t>
      </w:r>
      <w:r>
        <w:rPr/>
        <w:t>cavidad</w:t>
      </w:r>
      <w:r>
        <w:rPr>
          <w:spacing w:val="-11"/>
        </w:rPr>
        <w:t> </w:t>
      </w:r>
      <w:r>
        <w:rPr/>
        <w:t>bucal.</w:t>
      </w:r>
      <w:r>
        <w:rPr>
          <w:spacing w:val="-13"/>
        </w:rPr>
        <w:t> </w:t>
      </w:r>
      <w:r>
        <w:rPr/>
        <w:t>Algunos autores indican que no existen datos cuantitativos de níquel y cromo liberados de los aparatos ortodónticos</w:t>
      </w:r>
      <w:r>
        <w:rPr>
          <w:position w:val="8"/>
          <w:sz w:val="16"/>
        </w:rPr>
        <w:t>18</w:t>
      </w:r>
      <w:r>
        <w:rPr/>
        <w:t>. Sin embargo, otras aportaciones señalan aproximadamente</w:t>
      </w:r>
      <w:r>
        <w:rPr>
          <w:spacing w:val="53"/>
        </w:rPr>
        <w:t> </w:t>
      </w:r>
      <w:r>
        <w:rPr/>
        <w:t>40</w:t>
      </w:r>
    </w:p>
    <w:p>
      <w:pPr>
        <w:pStyle w:val="BodyText"/>
        <w:spacing w:line="357" w:lineRule="auto" w:before="4"/>
        <w:ind w:left="118" w:right="113"/>
        <w:jc w:val="both"/>
        <w:rPr>
          <w:sz w:val="16"/>
        </w:rPr>
      </w:pPr>
      <w:r>
        <w:rPr/>
        <w:t>µg/L/día de un componente de níquel soluble es liberado de una serie completa de aditamentos de ortodoncia (brackets) de acero inoxidable</w:t>
      </w:r>
      <w:r>
        <w:rPr>
          <w:position w:val="8"/>
          <w:sz w:val="16"/>
        </w:rPr>
        <w:t>19</w:t>
      </w:r>
      <w:r>
        <w:rPr/>
        <w:t>; otros estudios reportan valores máximos de níquel en saliva de individuos con aparatología de ortodoncia aproximadamente de 75 µg/L/día, siendo esta cantidad casi una cuarta parte de aquella después de la ingesta de metales aportados en la dieta.</w:t>
      </w:r>
      <w:r>
        <w:rPr>
          <w:position w:val="8"/>
          <w:sz w:val="16"/>
        </w:rPr>
        <w:t>24</w:t>
      </w:r>
    </w:p>
    <w:p>
      <w:pPr>
        <w:pStyle w:val="BodyText"/>
        <w:spacing w:before="9"/>
        <w:rPr>
          <w:sz w:val="35"/>
        </w:rPr>
      </w:pPr>
    </w:p>
    <w:p>
      <w:pPr>
        <w:pStyle w:val="BodyText"/>
        <w:spacing w:line="360" w:lineRule="auto"/>
        <w:ind w:left="118" w:right="111"/>
        <w:jc w:val="both"/>
        <w:rPr>
          <w:sz w:val="16"/>
        </w:rPr>
      </w:pPr>
      <w:r>
        <w:rPr/>
        <w:t>Otras investigaciones</w:t>
      </w:r>
      <w:r>
        <w:rPr>
          <w:position w:val="8"/>
          <w:sz w:val="16"/>
        </w:rPr>
        <w:t>12,25 </w:t>
      </w:r>
      <w:r>
        <w:rPr/>
        <w:t>basadas en la liberación de iones metálicos, valoraron el contenido de níquel y hierro en la saliva de pacientes con aparatología fija ortodóntica; demostraron</w:t>
      </w:r>
      <w:r>
        <w:rPr>
          <w:spacing w:val="-12"/>
        </w:rPr>
        <w:t> </w:t>
      </w:r>
      <w:r>
        <w:rPr/>
        <w:t>que</w:t>
      </w:r>
      <w:r>
        <w:rPr>
          <w:spacing w:val="-10"/>
        </w:rPr>
        <w:t> </w:t>
      </w:r>
      <w:r>
        <w:rPr/>
        <w:t>después</w:t>
      </w:r>
      <w:r>
        <w:rPr>
          <w:spacing w:val="-13"/>
        </w:rPr>
        <w:t> </w:t>
      </w:r>
      <w:r>
        <w:rPr/>
        <w:t>de</w:t>
      </w:r>
      <w:r>
        <w:rPr>
          <w:spacing w:val="-12"/>
        </w:rPr>
        <w:t> </w:t>
      </w:r>
      <w:r>
        <w:rPr/>
        <w:t>cinco</w:t>
      </w:r>
      <w:r>
        <w:rPr>
          <w:spacing w:val="-9"/>
        </w:rPr>
        <w:t> </w:t>
      </w:r>
      <w:r>
        <w:rPr/>
        <w:t>a</w:t>
      </w:r>
      <w:r>
        <w:rPr>
          <w:spacing w:val="-14"/>
        </w:rPr>
        <w:t> </w:t>
      </w:r>
      <w:r>
        <w:rPr/>
        <w:t>diez</w:t>
      </w:r>
      <w:r>
        <w:rPr>
          <w:spacing w:val="-14"/>
        </w:rPr>
        <w:t> </w:t>
      </w:r>
      <w:r>
        <w:rPr/>
        <w:t>minutos</w:t>
      </w:r>
      <w:r>
        <w:rPr>
          <w:spacing w:val="-14"/>
        </w:rPr>
        <w:t> </w:t>
      </w:r>
      <w:r>
        <w:rPr/>
        <w:t>de</w:t>
      </w:r>
      <w:r>
        <w:rPr>
          <w:spacing w:val="-12"/>
        </w:rPr>
        <w:t> </w:t>
      </w:r>
      <w:r>
        <w:rPr/>
        <w:t>haber</w:t>
      </w:r>
      <w:r>
        <w:rPr>
          <w:spacing w:val="-13"/>
        </w:rPr>
        <w:t> </w:t>
      </w:r>
      <w:r>
        <w:rPr/>
        <w:t>colocado</w:t>
      </w:r>
      <w:r>
        <w:rPr>
          <w:spacing w:val="-12"/>
        </w:rPr>
        <w:t> </w:t>
      </w:r>
      <w:r>
        <w:rPr/>
        <w:t>dicha</w:t>
      </w:r>
      <w:r>
        <w:rPr>
          <w:spacing w:val="-12"/>
        </w:rPr>
        <w:t> </w:t>
      </w:r>
      <w:r>
        <w:rPr/>
        <w:t>aparatología, existía</w:t>
      </w:r>
      <w:r>
        <w:rPr>
          <w:spacing w:val="-16"/>
        </w:rPr>
        <w:t> </w:t>
      </w:r>
      <w:r>
        <w:rPr/>
        <w:t>una</w:t>
      </w:r>
      <w:r>
        <w:rPr>
          <w:spacing w:val="-16"/>
        </w:rPr>
        <w:t> </w:t>
      </w:r>
      <w:r>
        <w:rPr/>
        <w:t>liberación</w:t>
      </w:r>
      <w:r>
        <w:rPr>
          <w:spacing w:val="-16"/>
        </w:rPr>
        <w:t> </w:t>
      </w:r>
      <w:r>
        <w:rPr/>
        <w:t>elevada</w:t>
      </w:r>
      <w:r>
        <w:rPr>
          <w:spacing w:val="-16"/>
        </w:rPr>
        <w:t> </w:t>
      </w:r>
      <w:r>
        <w:rPr/>
        <w:t>de</w:t>
      </w:r>
      <w:r>
        <w:rPr>
          <w:spacing w:val="-16"/>
        </w:rPr>
        <w:t> </w:t>
      </w:r>
      <w:r>
        <w:rPr/>
        <w:t>iones</w:t>
      </w:r>
      <w:r>
        <w:rPr>
          <w:spacing w:val="-16"/>
        </w:rPr>
        <w:t> </w:t>
      </w:r>
      <w:r>
        <w:rPr/>
        <w:t>metálicos,</w:t>
      </w:r>
      <w:r>
        <w:rPr>
          <w:spacing w:val="-12"/>
        </w:rPr>
        <w:t> </w:t>
      </w:r>
      <w:r>
        <w:rPr/>
        <w:t>lo</w:t>
      </w:r>
      <w:r>
        <w:rPr>
          <w:spacing w:val="-16"/>
        </w:rPr>
        <w:t> </w:t>
      </w:r>
      <w:r>
        <w:rPr/>
        <w:t>que</w:t>
      </w:r>
      <w:r>
        <w:rPr>
          <w:spacing w:val="-16"/>
        </w:rPr>
        <w:t> </w:t>
      </w:r>
      <w:r>
        <w:rPr/>
        <w:t>disminuía</w:t>
      </w:r>
      <w:r>
        <w:rPr>
          <w:spacing w:val="-16"/>
        </w:rPr>
        <w:t> </w:t>
      </w:r>
      <w:r>
        <w:rPr/>
        <w:t>con</w:t>
      </w:r>
      <w:r>
        <w:rPr>
          <w:spacing w:val="-16"/>
        </w:rPr>
        <w:t> </w:t>
      </w:r>
      <w:r>
        <w:rPr/>
        <w:t>el</w:t>
      </w:r>
      <w:r>
        <w:rPr>
          <w:spacing w:val="-17"/>
        </w:rPr>
        <w:t> </w:t>
      </w:r>
      <w:r>
        <w:rPr/>
        <w:t>tiempo;</w:t>
      </w:r>
      <w:r>
        <w:rPr>
          <w:spacing w:val="37"/>
        </w:rPr>
        <w:t> </w:t>
      </w:r>
      <w:r>
        <w:rPr/>
        <w:t>aunque indicaban que este incremento en la liberación después de la colocación de la aparatología en boca, podría ser debida a la manipulación de las bandas, aditamentos de</w:t>
      </w:r>
      <w:r>
        <w:rPr>
          <w:spacing w:val="-7"/>
        </w:rPr>
        <w:t> </w:t>
      </w:r>
      <w:r>
        <w:rPr/>
        <w:t>ortodoncia</w:t>
      </w:r>
      <w:r>
        <w:rPr>
          <w:spacing w:val="-7"/>
        </w:rPr>
        <w:t> </w:t>
      </w:r>
      <w:r>
        <w:rPr/>
        <w:t>y</w:t>
      </w:r>
      <w:r>
        <w:rPr>
          <w:spacing w:val="-8"/>
        </w:rPr>
        <w:t> </w:t>
      </w:r>
      <w:r>
        <w:rPr/>
        <w:t>alambres,</w:t>
      </w:r>
      <w:r>
        <w:rPr>
          <w:spacing w:val="-7"/>
        </w:rPr>
        <w:t> </w:t>
      </w:r>
      <w:r>
        <w:rPr/>
        <w:t>debido</w:t>
      </w:r>
      <w:r>
        <w:rPr>
          <w:spacing w:val="-7"/>
        </w:rPr>
        <w:t> </w:t>
      </w:r>
      <w:r>
        <w:rPr/>
        <w:t>a</w:t>
      </w:r>
      <w:r>
        <w:rPr>
          <w:spacing w:val="-7"/>
        </w:rPr>
        <w:t> </w:t>
      </w:r>
      <w:r>
        <w:rPr/>
        <w:t>una</w:t>
      </w:r>
      <w:r>
        <w:rPr>
          <w:spacing w:val="-7"/>
        </w:rPr>
        <w:t> </w:t>
      </w:r>
      <w:r>
        <w:rPr/>
        <w:t>abrasión</w:t>
      </w:r>
      <w:r>
        <w:rPr>
          <w:spacing w:val="-4"/>
        </w:rPr>
        <w:t> </w:t>
      </w:r>
      <w:r>
        <w:rPr/>
        <w:t>de</w:t>
      </w:r>
      <w:r>
        <w:rPr>
          <w:spacing w:val="-5"/>
        </w:rPr>
        <w:t> </w:t>
      </w:r>
      <w:r>
        <w:rPr/>
        <w:t>la</w:t>
      </w:r>
      <w:r>
        <w:rPr>
          <w:spacing w:val="-5"/>
        </w:rPr>
        <w:t> </w:t>
      </w:r>
      <w:r>
        <w:rPr/>
        <w:t>superficie</w:t>
      </w:r>
      <w:r>
        <w:rPr>
          <w:spacing w:val="-7"/>
        </w:rPr>
        <w:t> </w:t>
      </w:r>
      <w:r>
        <w:rPr/>
        <w:t>metálica</w:t>
      </w:r>
      <w:r>
        <w:rPr>
          <w:spacing w:val="-5"/>
        </w:rPr>
        <w:t> </w:t>
      </w:r>
      <w:r>
        <w:rPr/>
        <w:t>y</w:t>
      </w:r>
      <w:r>
        <w:rPr>
          <w:spacing w:val="-8"/>
        </w:rPr>
        <w:t> </w:t>
      </w:r>
      <w:r>
        <w:rPr/>
        <w:t>concluyendo que la liberación del níquel y/o hierro de aparatos ortodónticos en pacientes es baja.</w:t>
      </w:r>
      <w:r>
        <w:rPr>
          <w:spacing w:val="-19"/>
        </w:rPr>
        <w:t> </w:t>
      </w:r>
      <w:r>
        <w:rPr>
          <w:position w:val="8"/>
          <w:sz w:val="16"/>
        </w:rPr>
        <w:t>12</w:t>
      </w:r>
    </w:p>
    <w:p>
      <w:pPr>
        <w:pStyle w:val="BodyText"/>
        <w:spacing w:before="6"/>
        <w:rPr>
          <w:sz w:val="35"/>
        </w:rPr>
      </w:pPr>
    </w:p>
    <w:p>
      <w:pPr>
        <w:pStyle w:val="BodyText"/>
        <w:spacing w:line="360" w:lineRule="auto"/>
        <w:ind w:left="118" w:right="113"/>
        <w:jc w:val="both"/>
      </w:pPr>
      <w:r>
        <w:rPr/>
        <w:t>Otro ejemplo, es una publicación</w:t>
      </w:r>
      <w:r>
        <w:rPr>
          <w:position w:val="8"/>
          <w:sz w:val="16"/>
        </w:rPr>
        <w:t>25 </w:t>
      </w:r>
      <w:r>
        <w:rPr/>
        <w:t>reciente sobre la concentración de níquel y cromo en cavidad bucal en pacientes que recibieron tratamiento de ortodoncia con aparatología fija, mostrando un aumento de iones de metales antes mencionados, a los tres días de su colocación, pero no encontrándose después de tres meses.</w:t>
      </w:r>
    </w:p>
    <w:p>
      <w:pPr>
        <w:pStyle w:val="BodyText"/>
      </w:pPr>
    </w:p>
    <w:p>
      <w:pPr>
        <w:pStyle w:val="BodyText"/>
        <w:spacing w:line="360" w:lineRule="auto" w:before="142"/>
        <w:ind w:left="118" w:right="118"/>
        <w:jc w:val="both"/>
      </w:pPr>
      <w:r>
        <w:rPr/>
        <w:t>Debido al grado de mineralización que presentan los dientes temporales, su alta vascularización</w:t>
      </w:r>
      <w:r>
        <w:rPr>
          <w:spacing w:val="-14"/>
        </w:rPr>
        <w:t> </w:t>
      </w:r>
      <w:r>
        <w:rPr/>
        <w:t>e</w:t>
      </w:r>
      <w:r>
        <w:rPr>
          <w:spacing w:val="-14"/>
        </w:rPr>
        <w:t> </w:t>
      </w:r>
      <w:r>
        <w:rPr/>
        <w:t>irrigación</w:t>
      </w:r>
      <w:r>
        <w:rPr>
          <w:spacing w:val="-14"/>
        </w:rPr>
        <w:t> </w:t>
      </w:r>
      <w:r>
        <w:rPr/>
        <w:t>y</w:t>
      </w:r>
      <w:r>
        <w:rPr>
          <w:spacing w:val="-17"/>
        </w:rPr>
        <w:t> </w:t>
      </w:r>
      <w:r>
        <w:rPr/>
        <w:t>permeabilidad,</w:t>
      </w:r>
      <w:r>
        <w:rPr>
          <w:spacing w:val="-14"/>
        </w:rPr>
        <w:t> </w:t>
      </w:r>
      <w:r>
        <w:rPr/>
        <w:t>podría</w:t>
      </w:r>
      <w:r>
        <w:rPr>
          <w:spacing w:val="-14"/>
        </w:rPr>
        <w:t> </w:t>
      </w:r>
      <w:r>
        <w:rPr/>
        <w:t>haber</w:t>
      </w:r>
      <w:r>
        <w:rPr>
          <w:spacing w:val="-16"/>
        </w:rPr>
        <w:t> </w:t>
      </w:r>
      <w:r>
        <w:rPr/>
        <w:t>una</w:t>
      </w:r>
      <w:r>
        <w:rPr>
          <w:spacing w:val="-17"/>
        </w:rPr>
        <w:t> </w:t>
      </w:r>
      <w:r>
        <w:rPr/>
        <w:t>mayor</w:t>
      </w:r>
      <w:r>
        <w:rPr>
          <w:spacing w:val="-16"/>
        </w:rPr>
        <w:t> </w:t>
      </w:r>
      <w:r>
        <w:rPr/>
        <w:t>absorción</w:t>
      </w:r>
      <w:r>
        <w:rPr>
          <w:spacing w:val="-14"/>
        </w:rPr>
        <w:t> </w:t>
      </w:r>
      <w:r>
        <w:rPr/>
        <w:t>y</w:t>
      </w:r>
      <w:r>
        <w:rPr>
          <w:spacing w:val="-17"/>
        </w:rPr>
        <w:t> </w:t>
      </w:r>
      <w:r>
        <w:rPr/>
        <w:t>difusión hacia los tejidos periodontales y adyacentes, </w:t>
      </w:r>
      <w:r>
        <w:rPr>
          <w:spacing w:val="3"/>
        </w:rPr>
        <w:t>en </w:t>
      </w:r>
      <w:r>
        <w:rPr/>
        <w:t>donde influirá el tipo de metal y su absorción.</w:t>
      </w:r>
    </w:p>
    <w:p>
      <w:pPr>
        <w:spacing w:after="0" w:line="360" w:lineRule="auto"/>
        <w:jc w:val="both"/>
        <w:sectPr>
          <w:pgSz w:w="12240" w:h="15840"/>
          <w:pgMar w:header="0" w:footer="887" w:top="1360" w:bottom="1140" w:left="1300" w:right="1300"/>
        </w:sectPr>
      </w:pPr>
    </w:p>
    <w:p>
      <w:pPr>
        <w:pStyle w:val="BodyText"/>
        <w:spacing w:line="360" w:lineRule="auto" w:before="56"/>
        <w:ind w:left="118" w:right="112"/>
        <w:jc w:val="both"/>
      </w:pPr>
      <w:r>
        <w:rPr/>
        <w:t>En el caso de pacientes odontopediátricos, no existen datos reportados respecto a las concentraciones de metales liberados por la colocación de coronas de níquel cromo, las cuales son el tratamiento de primera elección para rehabilitar incisivos y molares temporales con gran destrucción coronal.</w:t>
      </w:r>
    </w:p>
    <w:p>
      <w:pPr>
        <w:spacing w:after="0" w:line="360" w:lineRule="auto"/>
        <w:jc w:val="both"/>
        <w:sectPr>
          <w:pgSz w:w="12240" w:h="15840"/>
          <w:pgMar w:header="0" w:footer="887" w:top="1360" w:bottom="1140" w:left="1300" w:right="1300"/>
        </w:sectPr>
      </w:pPr>
    </w:p>
    <w:p>
      <w:pPr>
        <w:pStyle w:val="Heading1"/>
        <w:numPr>
          <w:ilvl w:val="1"/>
          <w:numId w:val="10"/>
        </w:numPr>
        <w:tabs>
          <w:tab w:pos="4855" w:val="left" w:leader="none"/>
        </w:tabs>
        <w:spacing w:line="240" w:lineRule="auto" w:before="56" w:after="0"/>
        <w:ind w:left="4854" w:right="0" w:hanging="360"/>
        <w:jc w:val="left"/>
      </w:pPr>
      <w:r>
        <w:rPr/>
        <w:t>OBJETIVOS</w:t>
      </w:r>
    </w:p>
    <w:p>
      <w:pPr>
        <w:pStyle w:val="BodyText"/>
        <w:rPr>
          <w:b/>
          <w:sz w:val="20"/>
        </w:rPr>
      </w:pPr>
    </w:p>
    <w:p>
      <w:pPr>
        <w:pStyle w:val="BodyText"/>
        <w:rPr>
          <w:b/>
          <w:sz w:val="22"/>
        </w:rPr>
      </w:pPr>
    </w:p>
    <w:p>
      <w:pPr>
        <w:spacing w:before="69"/>
        <w:ind w:left="118" w:right="42" w:firstLine="0"/>
        <w:jc w:val="left"/>
        <w:rPr>
          <w:b/>
          <w:sz w:val="24"/>
        </w:rPr>
      </w:pPr>
      <w:r>
        <w:rPr>
          <w:b/>
          <w:sz w:val="24"/>
        </w:rPr>
        <w:t>General</w:t>
      </w:r>
    </w:p>
    <w:p>
      <w:pPr>
        <w:pStyle w:val="BodyText"/>
        <w:spacing w:before="4"/>
        <w:rPr>
          <w:b/>
          <w:sz w:val="29"/>
        </w:rPr>
      </w:pPr>
    </w:p>
    <w:p>
      <w:pPr>
        <w:pStyle w:val="BodyText"/>
        <w:spacing w:line="360" w:lineRule="auto" w:before="1"/>
        <w:ind w:left="118" w:right="42"/>
      </w:pPr>
      <w:r>
        <w:rPr/>
        <w:t>Cuantificar los metales en saliva en pacientes un mes después de la colocación de coronas níquel-cromo.</w:t>
      </w:r>
    </w:p>
    <w:p>
      <w:pPr>
        <w:pStyle w:val="BodyText"/>
      </w:pPr>
    </w:p>
    <w:p>
      <w:pPr>
        <w:pStyle w:val="BodyText"/>
      </w:pPr>
    </w:p>
    <w:p>
      <w:pPr>
        <w:pStyle w:val="BodyText"/>
        <w:spacing w:before="2"/>
        <w:rPr>
          <w:sz w:val="23"/>
        </w:rPr>
      </w:pPr>
    </w:p>
    <w:p>
      <w:pPr>
        <w:pStyle w:val="Heading1"/>
        <w:spacing w:before="0"/>
        <w:ind w:right="42"/>
      </w:pPr>
      <w:r>
        <w:rPr/>
        <w:t>Específicos</w:t>
      </w:r>
    </w:p>
    <w:p>
      <w:pPr>
        <w:pStyle w:val="BodyText"/>
        <w:spacing w:before="5"/>
        <w:rPr>
          <w:b/>
          <w:sz w:val="29"/>
        </w:rPr>
      </w:pPr>
    </w:p>
    <w:p>
      <w:pPr>
        <w:pStyle w:val="BodyText"/>
        <w:spacing w:line="360" w:lineRule="auto"/>
        <w:ind w:left="478" w:right="42" w:hanging="360"/>
      </w:pPr>
      <w:r>
        <w:rPr>
          <w:rFonts w:ascii="Wingdings" w:hAnsi="Wingdings"/>
        </w:rPr>
        <w:t></w:t>
      </w:r>
      <w:r>
        <w:rPr>
          <w:rFonts w:ascii="Times New Roman" w:hAnsi="Times New Roman"/>
        </w:rPr>
        <w:t> </w:t>
      </w:r>
      <w:r>
        <w:rPr/>
        <w:t>Cuantificar la concentración de metales en saliva de pacientes antes de la rehabilitación con coronas níquel-cromo.</w:t>
      </w:r>
    </w:p>
    <w:p>
      <w:pPr>
        <w:pStyle w:val="BodyText"/>
        <w:spacing w:before="5"/>
      </w:pPr>
    </w:p>
    <w:p>
      <w:pPr>
        <w:pStyle w:val="BodyText"/>
        <w:spacing w:line="360" w:lineRule="auto"/>
        <w:ind w:left="478" w:right="42" w:hanging="360"/>
      </w:pPr>
      <w:r>
        <w:rPr>
          <w:rFonts w:ascii="Wingdings" w:hAnsi="Wingdings"/>
        </w:rPr>
        <w:t></w:t>
      </w:r>
      <w:r>
        <w:rPr>
          <w:rFonts w:ascii="Times New Roman" w:hAnsi="Times New Roman"/>
        </w:rPr>
        <w:t> </w:t>
      </w:r>
      <w:r>
        <w:rPr/>
        <w:t>Cuantificar la concentración de metales en saliva de pacientes que fueron rehabilitados con coronas níquel-cromo al mes, posterior a su colocación.</w:t>
      </w:r>
    </w:p>
    <w:p>
      <w:pPr>
        <w:pStyle w:val="BodyText"/>
      </w:pPr>
    </w:p>
    <w:p>
      <w:pPr>
        <w:pStyle w:val="BodyText"/>
        <w:spacing w:line="360" w:lineRule="auto" w:before="142"/>
        <w:ind w:left="478" w:right="42" w:hanging="360"/>
      </w:pPr>
      <w:r>
        <w:rPr>
          <w:rFonts w:ascii="Wingdings" w:hAnsi="Wingdings"/>
        </w:rPr>
        <w:t></w:t>
      </w:r>
      <w:r>
        <w:rPr>
          <w:rFonts w:ascii="Times New Roman" w:hAnsi="Times New Roman"/>
        </w:rPr>
        <w:t> </w:t>
      </w:r>
      <w:r>
        <w:rPr/>
        <w:t>Medir el pH salival de los pacientes infantiles que estén siendo rehabilitados con coronas de níquel-cromo.</w:t>
      </w:r>
    </w:p>
    <w:p>
      <w:pPr>
        <w:pStyle w:val="BodyText"/>
        <w:spacing w:before="5"/>
      </w:pPr>
    </w:p>
    <w:p>
      <w:pPr>
        <w:pStyle w:val="BodyText"/>
        <w:spacing w:line="360" w:lineRule="auto"/>
        <w:ind w:left="478" w:right="42" w:hanging="360"/>
      </w:pPr>
      <w:r>
        <w:rPr>
          <w:rFonts w:ascii="Wingdings" w:hAnsi="Wingdings"/>
        </w:rPr>
        <w:t></w:t>
      </w:r>
      <w:r>
        <w:rPr>
          <w:rFonts w:ascii="Times New Roman" w:hAnsi="Times New Roman"/>
        </w:rPr>
        <w:t> </w:t>
      </w:r>
      <w:r>
        <w:rPr/>
        <w:t>Determinar el índice de placa dentobacteriana en el paciente en cada toma de la muestra.</w:t>
      </w:r>
    </w:p>
    <w:p>
      <w:pPr>
        <w:pStyle w:val="BodyText"/>
        <w:spacing w:before="5"/>
      </w:pPr>
    </w:p>
    <w:p>
      <w:pPr>
        <w:pStyle w:val="BodyText"/>
        <w:spacing w:line="360" w:lineRule="auto"/>
        <w:ind w:left="478" w:right="95" w:hanging="360"/>
      </w:pPr>
      <w:r>
        <w:rPr>
          <w:rFonts w:ascii="Wingdings" w:hAnsi="Wingdings"/>
        </w:rPr>
        <w:t></w:t>
      </w:r>
      <w:r>
        <w:rPr>
          <w:rFonts w:ascii="Times New Roman" w:hAnsi="Times New Roman"/>
        </w:rPr>
        <w:t> </w:t>
      </w:r>
      <w:r>
        <w:rPr/>
        <w:t>Valorar y comparar las diferencias entre la cuantificación de metales antes y al mes de haber sido colocadas coronas níquel- cromo.</w:t>
      </w:r>
    </w:p>
    <w:p>
      <w:pPr>
        <w:spacing w:after="0" w:line="360" w:lineRule="auto"/>
        <w:sectPr>
          <w:pgSz w:w="12240" w:h="15840"/>
          <w:pgMar w:header="0" w:footer="887" w:top="1360" w:bottom="1140" w:left="1300" w:right="1300"/>
        </w:sectPr>
      </w:pPr>
    </w:p>
    <w:p>
      <w:pPr>
        <w:pStyle w:val="Heading1"/>
        <w:numPr>
          <w:ilvl w:val="1"/>
          <w:numId w:val="10"/>
        </w:numPr>
        <w:tabs>
          <w:tab w:pos="4901" w:val="left" w:leader="none"/>
        </w:tabs>
        <w:spacing w:line="240" w:lineRule="auto" w:before="56" w:after="0"/>
        <w:ind w:left="4900" w:right="0" w:hanging="360"/>
        <w:jc w:val="left"/>
      </w:pPr>
      <w:r>
        <w:rPr/>
        <w:t>HIPÓTESIS</w:t>
      </w:r>
    </w:p>
    <w:p>
      <w:pPr>
        <w:pStyle w:val="BodyText"/>
        <w:rPr>
          <w:b/>
        </w:rPr>
      </w:pPr>
    </w:p>
    <w:p>
      <w:pPr>
        <w:pStyle w:val="BodyText"/>
        <w:rPr>
          <w:b/>
        </w:rPr>
      </w:pPr>
    </w:p>
    <w:p>
      <w:pPr>
        <w:pStyle w:val="BodyText"/>
        <w:spacing w:before="10"/>
        <w:rPr>
          <w:b/>
          <w:sz w:val="35"/>
        </w:rPr>
      </w:pPr>
    </w:p>
    <w:p>
      <w:pPr>
        <w:spacing w:before="1"/>
        <w:ind w:left="118" w:right="0" w:firstLine="0"/>
        <w:jc w:val="both"/>
        <w:rPr>
          <w:b/>
          <w:sz w:val="24"/>
        </w:rPr>
      </w:pPr>
      <w:r>
        <w:rPr>
          <w:b/>
          <w:sz w:val="24"/>
        </w:rPr>
        <w:t>Hipótesis General</w:t>
      </w:r>
    </w:p>
    <w:p>
      <w:pPr>
        <w:pStyle w:val="BodyText"/>
        <w:spacing w:line="360" w:lineRule="auto" w:before="139"/>
        <w:ind w:left="118" w:right="98"/>
        <w:jc w:val="both"/>
      </w:pPr>
      <w:r>
        <w:rPr/>
        <w:t>Un mes después de la colocación de coronas níquel cromo, se observará elementos prevalentes en la saliva como: hierro, cromo y níquel, con valores debajo del promedio permisible (4mg/ ml).</w:t>
      </w:r>
    </w:p>
    <w:p>
      <w:pPr>
        <w:pStyle w:val="BodyText"/>
      </w:pPr>
    </w:p>
    <w:p>
      <w:pPr>
        <w:pStyle w:val="Heading1"/>
        <w:spacing w:before="142"/>
        <w:jc w:val="both"/>
      </w:pPr>
      <w:r>
        <w:rPr/>
        <w:t>Hipótesis Nula</w:t>
      </w:r>
    </w:p>
    <w:p>
      <w:pPr>
        <w:pStyle w:val="BodyText"/>
        <w:spacing w:line="360" w:lineRule="auto" w:before="137"/>
        <w:ind w:left="118" w:right="104"/>
        <w:jc w:val="both"/>
      </w:pPr>
      <w:r>
        <w:rPr/>
        <w:t>Un mes después de la colocación de coronas de níquel cromo, no se observarán elementos prevalentes en la saliva como: hierro, cromo y níquel.</w:t>
      </w:r>
    </w:p>
    <w:p>
      <w:pPr>
        <w:pStyle w:val="BodyText"/>
      </w:pPr>
    </w:p>
    <w:p>
      <w:pPr>
        <w:pStyle w:val="Heading1"/>
        <w:spacing w:before="142"/>
        <w:jc w:val="both"/>
      </w:pPr>
      <w:r>
        <w:rPr/>
        <w:t>Hipótesis Alterna</w:t>
      </w:r>
    </w:p>
    <w:p>
      <w:pPr>
        <w:pStyle w:val="BodyText"/>
        <w:spacing w:line="360" w:lineRule="auto" w:before="137"/>
        <w:ind w:left="118" w:right="102"/>
        <w:jc w:val="both"/>
      </w:pPr>
      <w:r>
        <w:rPr/>
        <w:t>Un</w:t>
      </w:r>
      <w:r>
        <w:rPr>
          <w:spacing w:val="-6"/>
        </w:rPr>
        <w:t> </w:t>
      </w:r>
      <w:r>
        <w:rPr/>
        <w:t>mes</w:t>
      </w:r>
      <w:r>
        <w:rPr>
          <w:spacing w:val="-7"/>
        </w:rPr>
        <w:t> </w:t>
      </w:r>
      <w:r>
        <w:rPr/>
        <w:t>después</w:t>
      </w:r>
      <w:r>
        <w:rPr>
          <w:spacing w:val="-7"/>
        </w:rPr>
        <w:t> </w:t>
      </w:r>
      <w:r>
        <w:rPr/>
        <w:t>de</w:t>
      </w:r>
      <w:r>
        <w:rPr>
          <w:spacing w:val="-6"/>
        </w:rPr>
        <w:t> </w:t>
      </w:r>
      <w:r>
        <w:rPr/>
        <w:t>la</w:t>
      </w:r>
      <w:r>
        <w:rPr>
          <w:spacing w:val="-9"/>
        </w:rPr>
        <w:t> </w:t>
      </w:r>
      <w:r>
        <w:rPr/>
        <w:t>colocación</w:t>
      </w:r>
      <w:r>
        <w:rPr>
          <w:spacing w:val="-8"/>
        </w:rPr>
        <w:t> </w:t>
      </w:r>
      <w:r>
        <w:rPr/>
        <w:t>de</w:t>
      </w:r>
      <w:r>
        <w:rPr>
          <w:spacing w:val="-6"/>
        </w:rPr>
        <w:t> </w:t>
      </w:r>
      <w:r>
        <w:rPr/>
        <w:t>coronas</w:t>
      </w:r>
      <w:r>
        <w:rPr>
          <w:spacing w:val="-9"/>
        </w:rPr>
        <w:t> </w:t>
      </w:r>
      <w:r>
        <w:rPr/>
        <w:t>de</w:t>
      </w:r>
      <w:r>
        <w:rPr>
          <w:spacing w:val="-6"/>
        </w:rPr>
        <w:t> </w:t>
      </w:r>
      <w:r>
        <w:rPr/>
        <w:t>níquel</w:t>
      </w:r>
      <w:r>
        <w:rPr>
          <w:spacing w:val="-7"/>
        </w:rPr>
        <w:t> </w:t>
      </w:r>
      <w:r>
        <w:rPr/>
        <w:t>cromo,</w:t>
      </w:r>
      <w:r>
        <w:rPr>
          <w:spacing w:val="-6"/>
        </w:rPr>
        <w:t> </w:t>
      </w:r>
      <w:r>
        <w:rPr/>
        <w:t>no</w:t>
      </w:r>
      <w:r>
        <w:rPr>
          <w:spacing w:val="-6"/>
        </w:rPr>
        <w:t> </w:t>
      </w:r>
      <w:r>
        <w:rPr/>
        <w:t>se</w:t>
      </w:r>
      <w:r>
        <w:rPr>
          <w:spacing w:val="-8"/>
        </w:rPr>
        <w:t> </w:t>
      </w:r>
      <w:r>
        <w:rPr/>
        <w:t>detectaron</w:t>
      </w:r>
      <w:r>
        <w:rPr>
          <w:spacing w:val="-6"/>
        </w:rPr>
        <w:t> </w:t>
      </w:r>
      <w:r>
        <w:rPr/>
        <w:t>níquel</w:t>
      </w:r>
      <w:r>
        <w:rPr>
          <w:spacing w:val="-7"/>
        </w:rPr>
        <w:t> </w:t>
      </w:r>
      <w:r>
        <w:rPr/>
        <w:t>y cromo, pero si se observaron cantidades significativas de hierro en la saliva de los pacientes, con valores debajo del promedio permisible (4mg/</w:t>
      </w:r>
      <w:r>
        <w:rPr>
          <w:spacing w:val="-25"/>
        </w:rPr>
        <w:t> </w:t>
      </w:r>
      <w:r>
        <w:rPr/>
        <w:t>ml).</w:t>
      </w:r>
    </w:p>
    <w:p>
      <w:pPr>
        <w:spacing w:after="0" w:line="360" w:lineRule="auto"/>
        <w:jc w:val="both"/>
        <w:sectPr>
          <w:pgSz w:w="12240" w:h="15840"/>
          <w:pgMar w:header="0" w:footer="887" w:top="1360" w:bottom="1140" w:left="1300" w:right="1320"/>
        </w:sectPr>
      </w:pPr>
    </w:p>
    <w:p>
      <w:pPr>
        <w:pStyle w:val="Heading1"/>
        <w:numPr>
          <w:ilvl w:val="1"/>
          <w:numId w:val="10"/>
        </w:numPr>
        <w:tabs>
          <w:tab w:pos="4169" w:val="left" w:leader="none"/>
        </w:tabs>
        <w:spacing w:line="240" w:lineRule="auto" w:before="56" w:after="0"/>
        <w:ind w:left="4168" w:right="0" w:hanging="360"/>
        <w:jc w:val="left"/>
      </w:pPr>
      <w:r>
        <w:rPr/>
        <w:t>MATERIAL Y</w:t>
      </w:r>
      <w:r>
        <w:rPr>
          <w:spacing w:val="-6"/>
        </w:rPr>
        <w:t> </w:t>
      </w:r>
      <w:r>
        <w:rPr/>
        <w:t>MÉTODOS</w:t>
      </w:r>
    </w:p>
    <w:p>
      <w:pPr>
        <w:pStyle w:val="BodyText"/>
        <w:rPr>
          <w:b/>
        </w:rPr>
      </w:pPr>
    </w:p>
    <w:p>
      <w:pPr>
        <w:pStyle w:val="BodyText"/>
        <w:rPr>
          <w:b/>
        </w:rPr>
      </w:pPr>
    </w:p>
    <w:p>
      <w:pPr>
        <w:spacing w:before="0"/>
        <w:ind w:left="118" w:right="42" w:firstLine="0"/>
        <w:jc w:val="left"/>
        <w:rPr>
          <w:b/>
          <w:sz w:val="24"/>
        </w:rPr>
      </w:pPr>
      <w:r>
        <w:rPr>
          <w:b/>
          <w:sz w:val="24"/>
        </w:rPr>
        <w:t>Diseño de estudio</w:t>
      </w:r>
    </w:p>
    <w:p>
      <w:pPr>
        <w:pStyle w:val="BodyText"/>
        <w:spacing w:before="137"/>
        <w:ind w:left="118" w:right="42"/>
      </w:pPr>
      <w:r>
        <w:rPr/>
        <w:t>Prospectivo, observacional y experimental</w:t>
      </w:r>
    </w:p>
    <w:p>
      <w:pPr>
        <w:pStyle w:val="BodyText"/>
      </w:pPr>
    </w:p>
    <w:p>
      <w:pPr>
        <w:pStyle w:val="BodyText"/>
      </w:pPr>
    </w:p>
    <w:p>
      <w:pPr>
        <w:pStyle w:val="Heading1"/>
        <w:spacing w:before="0"/>
        <w:ind w:right="42"/>
      </w:pPr>
      <w:r>
        <w:rPr/>
        <w:t>Universo de estudio</w:t>
      </w:r>
    </w:p>
    <w:p>
      <w:pPr>
        <w:pStyle w:val="BodyText"/>
        <w:spacing w:line="360" w:lineRule="auto" w:before="139"/>
        <w:ind w:left="118" w:right="115"/>
        <w:jc w:val="both"/>
      </w:pPr>
      <w:r>
        <w:rPr/>
        <w:t>Pacientes que fueron rehabilitados con coronas de níquel-cromo en la Clínica de Odontopediatría del Centro de Investigación y Estudios Avanzados de la Universidad Autónoma del Estado de México.</w:t>
      </w:r>
    </w:p>
    <w:p>
      <w:pPr>
        <w:pStyle w:val="BodyText"/>
      </w:pPr>
    </w:p>
    <w:p>
      <w:pPr>
        <w:pStyle w:val="Heading1"/>
        <w:spacing w:before="142"/>
        <w:ind w:right="42"/>
      </w:pPr>
      <w:r>
        <w:rPr/>
        <w:t>Muestra</w:t>
      </w:r>
    </w:p>
    <w:p>
      <w:pPr>
        <w:pStyle w:val="BodyText"/>
        <w:spacing w:line="360" w:lineRule="auto" w:before="137"/>
        <w:ind w:left="118" w:right="42"/>
      </w:pPr>
      <w:r>
        <w:rPr/>
        <w:t>Por conveniencia, conformada de 30 pacientes pediátricos que reunieron los siguientes criterios de inclusión:</w:t>
      </w:r>
    </w:p>
    <w:p>
      <w:pPr>
        <w:pStyle w:val="ListParagraph"/>
        <w:numPr>
          <w:ilvl w:val="0"/>
          <w:numId w:val="11"/>
        </w:numPr>
        <w:tabs>
          <w:tab w:pos="478" w:val="left" w:leader="none"/>
          <w:tab w:pos="479" w:val="left" w:leader="none"/>
        </w:tabs>
        <w:spacing w:line="360" w:lineRule="auto" w:before="202" w:after="0"/>
        <w:ind w:left="478" w:right="117" w:hanging="360"/>
        <w:jc w:val="left"/>
        <w:rPr>
          <w:sz w:val="24"/>
        </w:rPr>
      </w:pPr>
      <w:r>
        <w:rPr>
          <w:sz w:val="24"/>
        </w:rPr>
        <w:t>Pacientes</w:t>
      </w:r>
      <w:r>
        <w:rPr>
          <w:spacing w:val="-8"/>
          <w:sz w:val="24"/>
        </w:rPr>
        <w:t> </w:t>
      </w:r>
      <w:r>
        <w:rPr>
          <w:sz w:val="24"/>
        </w:rPr>
        <w:t>que</w:t>
      </w:r>
      <w:r>
        <w:rPr>
          <w:spacing w:val="-7"/>
          <w:sz w:val="24"/>
        </w:rPr>
        <w:t> </w:t>
      </w:r>
      <w:r>
        <w:rPr>
          <w:sz w:val="24"/>
        </w:rPr>
        <w:t>les</w:t>
      </w:r>
      <w:r>
        <w:rPr>
          <w:spacing w:val="-9"/>
          <w:sz w:val="24"/>
        </w:rPr>
        <w:t> </w:t>
      </w:r>
      <w:r>
        <w:rPr>
          <w:sz w:val="24"/>
        </w:rPr>
        <w:t>colocaron</w:t>
      </w:r>
      <w:r>
        <w:rPr>
          <w:spacing w:val="-4"/>
          <w:sz w:val="24"/>
        </w:rPr>
        <w:t> </w:t>
      </w:r>
      <w:r>
        <w:rPr>
          <w:sz w:val="24"/>
        </w:rPr>
        <w:t>coronas</w:t>
      </w:r>
      <w:r>
        <w:rPr>
          <w:spacing w:val="-9"/>
          <w:sz w:val="24"/>
        </w:rPr>
        <w:t> </w:t>
      </w:r>
      <w:r>
        <w:rPr>
          <w:sz w:val="24"/>
        </w:rPr>
        <w:t>níquel-</w:t>
      </w:r>
      <w:r>
        <w:rPr>
          <w:spacing w:val="-8"/>
          <w:sz w:val="24"/>
        </w:rPr>
        <w:t> </w:t>
      </w:r>
      <w:r>
        <w:rPr>
          <w:sz w:val="24"/>
        </w:rPr>
        <w:t>cromo,</w:t>
      </w:r>
      <w:r>
        <w:rPr>
          <w:spacing w:val="-9"/>
          <w:sz w:val="24"/>
        </w:rPr>
        <w:t> </w:t>
      </w:r>
      <w:r>
        <w:rPr>
          <w:sz w:val="24"/>
        </w:rPr>
        <w:t>con</w:t>
      </w:r>
      <w:r>
        <w:rPr>
          <w:spacing w:val="-8"/>
          <w:sz w:val="24"/>
        </w:rPr>
        <w:t> </w:t>
      </w:r>
      <w:r>
        <w:rPr>
          <w:sz w:val="24"/>
        </w:rPr>
        <w:t>un</w:t>
      </w:r>
      <w:r>
        <w:rPr>
          <w:spacing w:val="-8"/>
          <w:sz w:val="24"/>
        </w:rPr>
        <w:t> </w:t>
      </w:r>
      <w:r>
        <w:rPr>
          <w:sz w:val="24"/>
        </w:rPr>
        <w:t>mínimo</w:t>
      </w:r>
      <w:r>
        <w:rPr>
          <w:spacing w:val="-8"/>
          <w:sz w:val="24"/>
        </w:rPr>
        <w:t> </w:t>
      </w:r>
      <w:r>
        <w:rPr>
          <w:sz w:val="24"/>
        </w:rPr>
        <w:t>de</w:t>
      </w:r>
      <w:r>
        <w:rPr>
          <w:spacing w:val="-8"/>
          <w:sz w:val="24"/>
        </w:rPr>
        <w:t> </w:t>
      </w:r>
      <w:r>
        <w:rPr>
          <w:sz w:val="24"/>
        </w:rPr>
        <w:t>3</w:t>
      </w:r>
      <w:r>
        <w:rPr>
          <w:spacing w:val="-7"/>
          <w:sz w:val="24"/>
        </w:rPr>
        <w:t> </w:t>
      </w:r>
      <w:r>
        <w:rPr>
          <w:sz w:val="24"/>
        </w:rPr>
        <w:t>y</w:t>
      </w:r>
      <w:r>
        <w:rPr>
          <w:spacing w:val="-9"/>
          <w:sz w:val="24"/>
        </w:rPr>
        <w:t> </w:t>
      </w:r>
      <w:r>
        <w:rPr>
          <w:sz w:val="24"/>
        </w:rPr>
        <w:t>un</w:t>
      </w:r>
      <w:r>
        <w:rPr>
          <w:spacing w:val="-8"/>
          <w:sz w:val="24"/>
        </w:rPr>
        <w:t> </w:t>
      </w:r>
      <w:r>
        <w:rPr>
          <w:sz w:val="24"/>
        </w:rPr>
        <w:t>máximo de 8</w:t>
      </w:r>
      <w:r>
        <w:rPr>
          <w:spacing w:val="-3"/>
          <w:sz w:val="24"/>
        </w:rPr>
        <w:t> </w:t>
      </w:r>
      <w:r>
        <w:rPr>
          <w:sz w:val="24"/>
        </w:rPr>
        <w:t>coronas</w:t>
      </w:r>
    </w:p>
    <w:p>
      <w:pPr>
        <w:pStyle w:val="ListParagraph"/>
        <w:numPr>
          <w:ilvl w:val="0"/>
          <w:numId w:val="11"/>
        </w:numPr>
        <w:tabs>
          <w:tab w:pos="478" w:val="left" w:leader="none"/>
          <w:tab w:pos="479" w:val="left" w:leader="none"/>
        </w:tabs>
        <w:spacing w:line="240" w:lineRule="auto" w:before="2" w:after="0"/>
        <w:ind w:left="478" w:right="0" w:hanging="360"/>
        <w:jc w:val="left"/>
        <w:rPr>
          <w:sz w:val="24"/>
        </w:rPr>
      </w:pPr>
      <w:r>
        <w:rPr>
          <w:sz w:val="24"/>
        </w:rPr>
        <w:t>Sistémicamente</w:t>
      </w:r>
      <w:r>
        <w:rPr>
          <w:spacing w:val="-7"/>
          <w:sz w:val="24"/>
        </w:rPr>
        <w:t> </w:t>
      </w:r>
      <w:r>
        <w:rPr>
          <w:sz w:val="24"/>
        </w:rPr>
        <w:t>sanos</w:t>
      </w:r>
    </w:p>
    <w:p>
      <w:pPr>
        <w:pStyle w:val="ListParagraph"/>
        <w:numPr>
          <w:ilvl w:val="0"/>
          <w:numId w:val="11"/>
        </w:numPr>
        <w:tabs>
          <w:tab w:pos="478" w:val="left" w:leader="none"/>
          <w:tab w:pos="479" w:val="left" w:leader="none"/>
        </w:tabs>
        <w:spacing w:line="240" w:lineRule="auto" w:before="139" w:after="0"/>
        <w:ind w:left="478" w:right="0" w:hanging="360"/>
        <w:jc w:val="left"/>
        <w:rPr>
          <w:sz w:val="24"/>
        </w:rPr>
      </w:pPr>
      <w:r>
        <w:rPr>
          <w:sz w:val="24"/>
        </w:rPr>
        <w:t>Con dentición</w:t>
      </w:r>
      <w:r>
        <w:rPr>
          <w:spacing w:val="-8"/>
          <w:sz w:val="24"/>
        </w:rPr>
        <w:t> </w:t>
      </w:r>
      <w:r>
        <w:rPr>
          <w:sz w:val="24"/>
        </w:rPr>
        <w:t>temporal</w:t>
      </w:r>
    </w:p>
    <w:p>
      <w:pPr>
        <w:pStyle w:val="ListParagraph"/>
        <w:numPr>
          <w:ilvl w:val="0"/>
          <w:numId w:val="11"/>
        </w:numPr>
        <w:tabs>
          <w:tab w:pos="478" w:val="left" w:leader="none"/>
          <w:tab w:pos="479" w:val="left" w:leader="none"/>
        </w:tabs>
        <w:spacing w:line="240" w:lineRule="auto" w:before="137" w:after="0"/>
        <w:ind w:left="478" w:right="0" w:hanging="360"/>
        <w:jc w:val="left"/>
        <w:rPr>
          <w:sz w:val="24"/>
        </w:rPr>
      </w:pPr>
      <w:r>
        <w:rPr>
          <w:sz w:val="24"/>
        </w:rPr>
        <w:t>Que los padres hayan firmado previamente el consentimiento bajo</w:t>
      </w:r>
      <w:r>
        <w:rPr>
          <w:spacing w:val="-26"/>
          <w:sz w:val="24"/>
        </w:rPr>
        <w:t> </w:t>
      </w:r>
      <w:r>
        <w:rPr>
          <w:sz w:val="24"/>
        </w:rPr>
        <w:t>información</w:t>
      </w:r>
    </w:p>
    <w:p>
      <w:pPr>
        <w:pStyle w:val="ListParagraph"/>
        <w:numPr>
          <w:ilvl w:val="0"/>
          <w:numId w:val="11"/>
        </w:numPr>
        <w:tabs>
          <w:tab w:pos="478" w:val="left" w:leader="none"/>
          <w:tab w:pos="479" w:val="left" w:leader="none"/>
        </w:tabs>
        <w:spacing w:line="240" w:lineRule="auto" w:before="139" w:after="0"/>
        <w:ind w:left="478" w:right="0" w:hanging="360"/>
        <w:jc w:val="left"/>
        <w:rPr>
          <w:sz w:val="24"/>
        </w:rPr>
      </w:pPr>
      <w:r>
        <w:rPr>
          <w:sz w:val="24"/>
        </w:rPr>
        <w:t>Cooperadores</w:t>
      </w:r>
    </w:p>
    <w:p>
      <w:pPr>
        <w:pStyle w:val="ListParagraph"/>
        <w:numPr>
          <w:ilvl w:val="0"/>
          <w:numId w:val="11"/>
        </w:numPr>
        <w:tabs>
          <w:tab w:pos="478" w:val="left" w:leader="none"/>
          <w:tab w:pos="479" w:val="left" w:leader="none"/>
        </w:tabs>
        <w:spacing w:line="240" w:lineRule="auto" w:before="137" w:after="0"/>
        <w:ind w:left="478" w:right="0" w:hanging="360"/>
        <w:jc w:val="left"/>
        <w:rPr>
          <w:sz w:val="24"/>
        </w:rPr>
      </w:pPr>
      <w:r>
        <w:rPr>
          <w:sz w:val="24"/>
        </w:rPr>
        <w:t>Con un rango de edad entre 2 y 5</w:t>
      </w:r>
      <w:r>
        <w:rPr>
          <w:spacing w:val="-11"/>
          <w:sz w:val="24"/>
        </w:rPr>
        <w:t> </w:t>
      </w:r>
      <w:r>
        <w:rPr>
          <w:sz w:val="24"/>
        </w:rPr>
        <w:t>años</w:t>
      </w:r>
    </w:p>
    <w:p>
      <w:pPr>
        <w:pStyle w:val="ListParagraph"/>
        <w:numPr>
          <w:ilvl w:val="0"/>
          <w:numId w:val="11"/>
        </w:numPr>
        <w:tabs>
          <w:tab w:pos="478" w:val="left" w:leader="none"/>
          <w:tab w:pos="479" w:val="left" w:leader="none"/>
        </w:tabs>
        <w:spacing w:line="240" w:lineRule="auto" w:before="139" w:after="0"/>
        <w:ind w:left="478" w:right="0" w:hanging="360"/>
        <w:jc w:val="left"/>
        <w:rPr>
          <w:sz w:val="24"/>
        </w:rPr>
      </w:pPr>
      <w:r>
        <w:rPr>
          <w:sz w:val="24"/>
        </w:rPr>
        <w:t>Pacientes con buena o regular higiene</w:t>
      </w:r>
      <w:r>
        <w:rPr>
          <w:spacing w:val="-12"/>
          <w:sz w:val="24"/>
        </w:rPr>
        <w:t> </w:t>
      </w:r>
      <w:r>
        <w:rPr>
          <w:sz w:val="24"/>
        </w:rPr>
        <w:t>bucal</w:t>
      </w:r>
    </w:p>
    <w:p>
      <w:pPr>
        <w:pStyle w:val="BodyText"/>
      </w:pPr>
    </w:p>
    <w:p>
      <w:pPr>
        <w:pStyle w:val="BodyText"/>
      </w:pPr>
    </w:p>
    <w:p>
      <w:pPr>
        <w:pStyle w:val="Heading1"/>
        <w:spacing w:before="0"/>
        <w:ind w:right="42"/>
      </w:pPr>
      <w:r>
        <w:rPr/>
        <w:t>Criterios de exclusión</w:t>
      </w:r>
    </w:p>
    <w:p>
      <w:pPr>
        <w:pStyle w:val="BodyText"/>
        <w:spacing w:before="4"/>
        <w:rPr>
          <w:b/>
          <w:sz w:val="29"/>
        </w:rPr>
      </w:pPr>
    </w:p>
    <w:p>
      <w:pPr>
        <w:pStyle w:val="ListParagraph"/>
        <w:numPr>
          <w:ilvl w:val="0"/>
          <w:numId w:val="11"/>
        </w:numPr>
        <w:tabs>
          <w:tab w:pos="478" w:val="left" w:leader="none"/>
          <w:tab w:pos="479" w:val="left" w:leader="none"/>
        </w:tabs>
        <w:spacing w:line="240" w:lineRule="auto" w:before="1" w:after="0"/>
        <w:ind w:left="478" w:right="0" w:hanging="360"/>
        <w:jc w:val="left"/>
        <w:rPr>
          <w:sz w:val="24"/>
        </w:rPr>
      </w:pPr>
      <w:r>
        <w:rPr>
          <w:sz w:val="24"/>
        </w:rPr>
        <w:t>Pacientes que no requieran de la colocación de coronas níquel-</w:t>
      </w:r>
      <w:r>
        <w:rPr>
          <w:spacing w:val="-18"/>
          <w:sz w:val="24"/>
        </w:rPr>
        <w:t> </w:t>
      </w:r>
      <w:r>
        <w:rPr>
          <w:sz w:val="24"/>
        </w:rPr>
        <w:t>cromo</w:t>
      </w:r>
    </w:p>
    <w:p>
      <w:pPr>
        <w:pStyle w:val="ListParagraph"/>
        <w:numPr>
          <w:ilvl w:val="0"/>
          <w:numId w:val="11"/>
        </w:numPr>
        <w:tabs>
          <w:tab w:pos="478" w:val="left" w:leader="none"/>
          <w:tab w:pos="479" w:val="left" w:leader="none"/>
        </w:tabs>
        <w:spacing w:line="240" w:lineRule="auto" w:before="137" w:after="0"/>
        <w:ind w:left="478" w:right="0" w:hanging="360"/>
        <w:jc w:val="left"/>
        <w:rPr>
          <w:sz w:val="24"/>
        </w:rPr>
      </w:pPr>
      <w:r>
        <w:rPr>
          <w:sz w:val="24"/>
        </w:rPr>
        <w:t>Presencia de compromiso</w:t>
      </w:r>
      <w:r>
        <w:rPr>
          <w:spacing w:val="-8"/>
          <w:sz w:val="24"/>
        </w:rPr>
        <w:t> </w:t>
      </w:r>
      <w:r>
        <w:rPr>
          <w:sz w:val="24"/>
        </w:rPr>
        <w:t>sistémico</w:t>
      </w:r>
    </w:p>
    <w:p>
      <w:pPr>
        <w:pStyle w:val="ListParagraph"/>
        <w:numPr>
          <w:ilvl w:val="0"/>
          <w:numId w:val="11"/>
        </w:numPr>
        <w:tabs>
          <w:tab w:pos="478" w:val="left" w:leader="none"/>
          <w:tab w:pos="479" w:val="left" w:leader="none"/>
        </w:tabs>
        <w:spacing w:line="240" w:lineRule="auto" w:before="140" w:after="0"/>
        <w:ind w:left="478" w:right="0" w:hanging="360"/>
        <w:jc w:val="left"/>
        <w:rPr>
          <w:sz w:val="24"/>
        </w:rPr>
      </w:pPr>
      <w:r>
        <w:rPr>
          <w:sz w:val="24"/>
        </w:rPr>
        <w:t>Menores de 1 año y mayores de 5</w:t>
      </w:r>
      <w:r>
        <w:rPr>
          <w:spacing w:val="-12"/>
          <w:sz w:val="24"/>
        </w:rPr>
        <w:t> </w:t>
      </w:r>
      <w:r>
        <w:rPr>
          <w:sz w:val="24"/>
        </w:rPr>
        <w:t>años</w:t>
      </w:r>
    </w:p>
    <w:p>
      <w:pPr>
        <w:pStyle w:val="ListParagraph"/>
        <w:numPr>
          <w:ilvl w:val="0"/>
          <w:numId w:val="11"/>
        </w:numPr>
        <w:tabs>
          <w:tab w:pos="478" w:val="left" w:leader="none"/>
          <w:tab w:pos="479" w:val="left" w:leader="none"/>
        </w:tabs>
        <w:spacing w:line="240" w:lineRule="auto" w:before="137" w:after="0"/>
        <w:ind w:left="478" w:right="0" w:hanging="360"/>
        <w:jc w:val="left"/>
        <w:rPr>
          <w:sz w:val="24"/>
        </w:rPr>
      </w:pPr>
      <w:r>
        <w:rPr>
          <w:sz w:val="24"/>
        </w:rPr>
        <w:t>Pacientes con dentición mixta y</w:t>
      </w:r>
      <w:r>
        <w:rPr>
          <w:spacing w:val="-12"/>
          <w:sz w:val="24"/>
        </w:rPr>
        <w:t> </w:t>
      </w:r>
      <w:r>
        <w:rPr>
          <w:sz w:val="24"/>
        </w:rPr>
        <w:t>permanente</w:t>
      </w:r>
    </w:p>
    <w:p>
      <w:pPr>
        <w:pStyle w:val="ListParagraph"/>
        <w:numPr>
          <w:ilvl w:val="0"/>
          <w:numId w:val="11"/>
        </w:numPr>
        <w:tabs>
          <w:tab w:pos="478" w:val="left" w:leader="none"/>
          <w:tab w:pos="479" w:val="left" w:leader="none"/>
        </w:tabs>
        <w:spacing w:line="360" w:lineRule="auto" w:before="139" w:after="0"/>
        <w:ind w:left="478" w:right="123" w:hanging="360"/>
        <w:jc w:val="left"/>
        <w:rPr>
          <w:sz w:val="24"/>
        </w:rPr>
      </w:pPr>
      <w:r>
        <w:rPr>
          <w:sz w:val="24"/>
        </w:rPr>
        <w:t>Que los padres o tutores no hayan firmado previamente el consentimiento bajo información</w:t>
      </w:r>
    </w:p>
    <w:p>
      <w:pPr>
        <w:pStyle w:val="ListParagraph"/>
        <w:numPr>
          <w:ilvl w:val="0"/>
          <w:numId w:val="11"/>
        </w:numPr>
        <w:tabs>
          <w:tab w:pos="478" w:val="left" w:leader="none"/>
          <w:tab w:pos="479" w:val="left" w:leader="none"/>
        </w:tabs>
        <w:spacing w:line="240" w:lineRule="auto" w:before="5" w:after="0"/>
        <w:ind w:left="478" w:right="0" w:hanging="360"/>
        <w:jc w:val="left"/>
        <w:rPr>
          <w:sz w:val="24"/>
        </w:rPr>
      </w:pPr>
      <w:r>
        <w:rPr>
          <w:sz w:val="24"/>
        </w:rPr>
        <w:t>No</w:t>
      </w:r>
      <w:r>
        <w:rPr>
          <w:spacing w:val="-5"/>
          <w:sz w:val="24"/>
        </w:rPr>
        <w:t> </w:t>
      </w:r>
      <w:r>
        <w:rPr>
          <w:sz w:val="24"/>
        </w:rPr>
        <w:t>cooperadores</w:t>
      </w:r>
    </w:p>
    <w:p>
      <w:pPr>
        <w:spacing w:after="0" w:line="240" w:lineRule="auto"/>
        <w:jc w:val="left"/>
        <w:rPr>
          <w:sz w:val="24"/>
        </w:rPr>
        <w:sectPr>
          <w:pgSz w:w="12240" w:h="15840"/>
          <w:pgMar w:header="0" w:footer="887" w:top="1360" w:bottom="1140" w:left="1300" w:right="1300"/>
        </w:sectPr>
      </w:pPr>
    </w:p>
    <w:p>
      <w:pPr>
        <w:pStyle w:val="ListParagraph"/>
        <w:numPr>
          <w:ilvl w:val="0"/>
          <w:numId w:val="11"/>
        </w:numPr>
        <w:tabs>
          <w:tab w:pos="479" w:val="left" w:leader="none"/>
        </w:tabs>
        <w:spacing w:line="240" w:lineRule="auto" w:before="56" w:after="0"/>
        <w:ind w:left="478" w:right="0" w:hanging="360"/>
        <w:jc w:val="both"/>
        <w:rPr>
          <w:sz w:val="24"/>
        </w:rPr>
      </w:pPr>
      <w:r>
        <w:rPr>
          <w:sz w:val="24"/>
        </w:rPr>
        <w:t>Pacientes con higiene bucal</w:t>
      </w:r>
      <w:r>
        <w:rPr>
          <w:spacing w:val="-13"/>
          <w:sz w:val="24"/>
        </w:rPr>
        <w:t> </w:t>
      </w:r>
      <w:r>
        <w:rPr>
          <w:sz w:val="24"/>
        </w:rPr>
        <w:t>deficiente</w:t>
      </w:r>
    </w:p>
    <w:p>
      <w:pPr>
        <w:pStyle w:val="BodyText"/>
      </w:pPr>
    </w:p>
    <w:p>
      <w:pPr>
        <w:pStyle w:val="BodyText"/>
      </w:pPr>
    </w:p>
    <w:p>
      <w:pPr>
        <w:pStyle w:val="Heading1"/>
        <w:spacing w:before="199"/>
        <w:jc w:val="both"/>
      </w:pPr>
      <w:r>
        <w:rPr/>
        <w:t>Criterios de eliminación</w:t>
      </w:r>
    </w:p>
    <w:p>
      <w:pPr>
        <w:pStyle w:val="BodyText"/>
        <w:spacing w:before="4"/>
        <w:rPr>
          <w:b/>
          <w:sz w:val="29"/>
        </w:rPr>
      </w:pPr>
    </w:p>
    <w:p>
      <w:pPr>
        <w:pStyle w:val="BodyText"/>
        <w:spacing w:before="1"/>
        <w:ind w:left="118"/>
        <w:jc w:val="both"/>
      </w:pPr>
      <w:r>
        <w:rPr/>
        <w:t>Pacientes que no hayan regresado a citas subsecuentes.</w:t>
      </w:r>
    </w:p>
    <w:p>
      <w:pPr>
        <w:pStyle w:val="BodyText"/>
      </w:pPr>
    </w:p>
    <w:p>
      <w:pPr>
        <w:pStyle w:val="BodyText"/>
      </w:pPr>
    </w:p>
    <w:p>
      <w:pPr>
        <w:pStyle w:val="Heading1"/>
        <w:spacing w:before="0"/>
        <w:jc w:val="both"/>
      </w:pPr>
      <w:r>
        <w:rPr/>
        <w:t>Consentimiento informado</w:t>
      </w:r>
    </w:p>
    <w:p>
      <w:pPr>
        <w:pStyle w:val="BodyText"/>
        <w:spacing w:line="360" w:lineRule="auto" w:before="137"/>
        <w:ind w:left="118" w:right="123"/>
        <w:jc w:val="both"/>
      </w:pPr>
      <w:r>
        <w:rPr/>
        <w:t>Se le informó de forma oral y escrita el objetivo del estudio mediante el consentimiento informado a cada paciente y a los padres o tutores, tanto al comité de Ética de Investigación en la Salud, así como a la Institución en donde se realizará el estudio.</w:t>
      </w:r>
    </w:p>
    <w:p>
      <w:pPr>
        <w:pStyle w:val="BodyText"/>
      </w:pPr>
    </w:p>
    <w:p>
      <w:pPr>
        <w:pStyle w:val="Heading1"/>
        <w:spacing w:before="142"/>
        <w:jc w:val="both"/>
      </w:pPr>
      <w:r>
        <w:rPr/>
        <w:t>Implicaciones bioéticas</w:t>
      </w:r>
    </w:p>
    <w:p>
      <w:pPr>
        <w:pStyle w:val="BodyText"/>
        <w:spacing w:line="360" w:lineRule="auto" w:before="139"/>
        <w:ind w:left="118" w:right="115"/>
        <w:jc w:val="both"/>
      </w:pPr>
      <w:r>
        <w:rPr/>
        <w:t>De</w:t>
      </w:r>
      <w:r>
        <w:rPr>
          <w:spacing w:val="-14"/>
        </w:rPr>
        <w:t> </w:t>
      </w:r>
      <w:r>
        <w:rPr/>
        <w:t>acuerdo</w:t>
      </w:r>
      <w:r>
        <w:rPr>
          <w:spacing w:val="-13"/>
        </w:rPr>
        <w:t> </w:t>
      </w:r>
      <w:r>
        <w:rPr/>
        <w:t>al</w:t>
      </w:r>
      <w:r>
        <w:rPr>
          <w:spacing w:val="-15"/>
        </w:rPr>
        <w:t> </w:t>
      </w:r>
      <w:r>
        <w:rPr/>
        <w:t>Código</w:t>
      </w:r>
      <w:r>
        <w:rPr>
          <w:spacing w:val="-16"/>
        </w:rPr>
        <w:t> </w:t>
      </w:r>
      <w:r>
        <w:rPr/>
        <w:t>de</w:t>
      </w:r>
      <w:r>
        <w:rPr>
          <w:spacing w:val="-14"/>
        </w:rPr>
        <w:t> </w:t>
      </w:r>
      <w:r>
        <w:rPr/>
        <w:t>Bioética</w:t>
      </w:r>
      <w:r>
        <w:rPr>
          <w:spacing w:val="-14"/>
        </w:rPr>
        <w:t> </w:t>
      </w:r>
      <w:r>
        <w:rPr/>
        <w:t>se</w:t>
      </w:r>
      <w:r>
        <w:rPr>
          <w:spacing w:val="-14"/>
        </w:rPr>
        <w:t> </w:t>
      </w:r>
      <w:r>
        <w:rPr/>
        <w:t>solicitaron</w:t>
      </w:r>
      <w:r>
        <w:rPr>
          <w:spacing w:val="-11"/>
        </w:rPr>
        <w:t> </w:t>
      </w:r>
      <w:r>
        <w:rPr/>
        <w:t>los</w:t>
      </w:r>
      <w:r>
        <w:rPr>
          <w:spacing w:val="-14"/>
        </w:rPr>
        <w:t> </w:t>
      </w:r>
      <w:r>
        <w:rPr/>
        <w:t>permisos</w:t>
      </w:r>
      <w:r>
        <w:rPr>
          <w:spacing w:val="-14"/>
        </w:rPr>
        <w:t> </w:t>
      </w:r>
      <w:r>
        <w:rPr/>
        <w:t>necesarios</w:t>
      </w:r>
      <w:r>
        <w:rPr>
          <w:spacing w:val="-15"/>
        </w:rPr>
        <w:t> </w:t>
      </w:r>
      <w:r>
        <w:rPr/>
        <w:t>para</w:t>
      </w:r>
      <w:r>
        <w:rPr>
          <w:spacing w:val="-15"/>
        </w:rPr>
        <w:t> </w:t>
      </w:r>
      <w:r>
        <w:rPr/>
        <w:t>poder</w:t>
      </w:r>
      <w:r>
        <w:rPr>
          <w:spacing w:val="-16"/>
        </w:rPr>
        <w:t> </w:t>
      </w:r>
      <w:r>
        <w:rPr/>
        <w:t>llevar a cabo las pruebas necesarias para la</w:t>
      </w:r>
      <w:r>
        <w:rPr>
          <w:spacing w:val="-20"/>
        </w:rPr>
        <w:t> </w:t>
      </w:r>
      <w:r>
        <w:rPr/>
        <w:t>investigación.</w:t>
      </w:r>
    </w:p>
    <w:p>
      <w:pPr>
        <w:pStyle w:val="BodyText"/>
      </w:pPr>
    </w:p>
    <w:p>
      <w:pPr>
        <w:pStyle w:val="BodyText"/>
        <w:spacing w:line="360" w:lineRule="auto" w:before="142"/>
        <w:ind w:left="118" w:right="120"/>
        <w:jc w:val="both"/>
      </w:pPr>
      <w:r>
        <w:rPr/>
        <w:t>De acuerdo con la Ley General de Salud en la protección de la salud en el artículo 7 fracción VIII, impulsar las actividades científicas y tecnológicas en el campo de la salud. Artículo</w:t>
      </w:r>
      <w:r>
        <w:rPr>
          <w:spacing w:val="-6"/>
        </w:rPr>
        <w:t> </w:t>
      </w:r>
      <w:r>
        <w:rPr/>
        <w:t>27,</w:t>
      </w:r>
      <w:r>
        <w:rPr>
          <w:spacing w:val="-9"/>
        </w:rPr>
        <w:t> </w:t>
      </w:r>
      <w:r>
        <w:rPr/>
        <w:t>fracción</w:t>
      </w:r>
      <w:r>
        <w:rPr>
          <w:spacing w:val="-6"/>
        </w:rPr>
        <w:t> </w:t>
      </w:r>
      <w:r>
        <w:rPr/>
        <w:t>VII</w:t>
      </w:r>
      <w:r>
        <w:rPr>
          <w:spacing w:val="-6"/>
        </w:rPr>
        <w:t> </w:t>
      </w:r>
      <w:r>
        <w:rPr/>
        <w:t>prevención</w:t>
      </w:r>
      <w:r>
        <w:rPr>
          <w:spacing w:val="-6"/>
        </w:rPr>
        <w:t> </w:t>
      </w:r>
      <w:r>
        <w:rPr/>
        <w:t>y</w:t>
      </w:r>
      <w:r>
        <w:rPr>
          <w:spacing w:val="-9"/>
        </w:rPr>
        <w:t> </w:t>
      </w:r>
      <w:r>
        <w:rPr/>
        <w:t>control</w:t>
      </w:r>
      <w:r>
        <w:rPr>
          <w:spacing w:val="-7"/>
        </w:rPr>
        <w:t> </w:t>
      </w:r>
      <w:r>
        <w:rPr/>
        <w:t>de</w:t>
      </w:r>
      <w:r>
        <w:rPr>
          <w:spacing w:val="-6"/>
        </w:rPr>
        <w:t> </w:t>
      </w:r>
      <w:r>
        <w:rPr/>
        <w:t>las</w:t>
      </w:r>
      <w:r>
        <w:rPr>
          <w:spacing w:val="-6"/>
        </w:rPr>
        <w:t> </w:t>
      </w:r>
      <w:r>
        <w:rPr/>
        <w:t>enfermedades</w:t>
      </w:r>
      <w:r>
        <w:rPr>
          <w:spacing w:val="-7"/>
        </w:rPr>
        <w:t> </w:t>
      </w:r>
      <w:r>
        <w:rPr/>
        <w:t>bucodentales.</w:t>
      </w:r>
      <w:r>
        <w:rPr>
          <w:spacing w:val="-6"/>
        </w:rPr>
        <w:t> </w:t>
      </w:r>
      <w:r>
        <w:rPr/>
        <w:t>Artículo 99, al conocimiento y control de los efectos nocivos del ambiente en la</w:t>
      </w:r>
      <w:r>
        <w:rPr>
          <w:spacing w:val="-28"/>
        </w:rPr>
        <w:t> </w:t>
      </w:r>
      <w:r>
        <w:rPr/>
        <w:t>salud:</w:t>
      </w:r>
    </w:p>
    <w:p>
      <w:pPr>
        <w:pStyle w:val="BodyText"/>
        <w:spacing w:line="360" w:lineRule="auto" w:before="2"/>
        <w:ind w:left="118" w:right="116"/>
        <w:jc w:val="both"/>
      </w:pPr>
      <w:r>
        <w:rPr/>
        <w:t>Deberá adaptarse a los principios científicos y éticos que justifican la investigación médica, especialmente en lo que se refiere a su posible contribución a la solución de problemas de salud y al desarrollo de nuevos campos de la ciencia médica;</w:t>
      </w:r>
    </w:p>
    <w:p>
      <w:pPr>
        <w:pStyle w:val="ListParagraph"/>
        <w:numPr>
          <w:ilvl w:val="0"/>
          <w:numId w:val="12"/>
        </w:numPr>
        <w:tabs>
          <w:tab w:pos="428" w:val="left" w:leader="none"/>
        </w:tabs>
        <w:spacing w:line="360" w:lineRule="auto" w:before="5" w:after="0"/>
        <w:ind w:left="118" w:right="117" w:firstLine="0"/>
        <w:jc w:val="both"/>
        <w:rPr>
          <w:sz w:val="24"/>
        </w:rPr>
      </w:pPr>
      <w:r>
        <w:rPr>
          <w:sz w:val="24"/>
        </w:rPr>
        <w:t>Podrá realizarse sólo cuando el conocimiento que se pretenda producir no pueda obtenerse por otro método</w:t>
      </w:r>
      <w:r>
        <w:rPr>
          <w:spacing w:val="-14"/>
          <w:sz w:val="24"/>
        </w:rPr>
        <w:t> </w:t>
      </w:r>
      <w:r>
        <w:rPr>
          <w:sz w:val="24"/>
        </w:rPr>
        <w:t>idóneo;</w:t>
      </w:r>
    </w:p>
    <w:p>
      <w:pPr>
        <w:pStyle w:val="ListParagraph"/>
        <w:numPr>
          <w:ilvl w:val="0"/>
          <w:numId w:val="12"/>
        </w:numPr>
        <w:tabs>
          <w:tab w:pos="476" w:val="left" w:leader="none"/>
        </w:tabs>
        <w:spacing w:line="360" w:lineRule="auto" w:before="5" w:after="0"/>
        <w:ind w:left="118" w:right="127" w:firstLine="0"/>
        <w:jc w:val="both"/>
        <w:rPr>
          <w:sz w:val="24"/>
        </w:rPr>
      </w:pPr>
      <w:r>
        <w:rPr>
          <w:sz w:val="24"/>
        </w:rPr>
        <w:t>Podrá efectuarse sólo cuando exista una razonable seguridad de que no expone a riesgos ni daños innecesarios al sujeto en</w:t>
      </w:r>
      <w:r>
        <w:rPr>
          <w:spacing w:val="-25"/>
          <w:sz w:val="24"/>
        </w:rPr>
        <w:t> </w:t>
      </w:r>
      <w:r>
        <w:rPr>
          <w:sz w:val="24"/>
        </w:rPr>
        <w:t>experimentación;</w:t>
      </w:r>
    </w:p>
    <w:p>
      <w:pPr>
        <w:pStyle w:val="ListParagraph"/>
        <w:numPr>
          <w:ilvl w:val="0"/>
          <w:numId w:val="12"/>
        </w:numPr>
        <w:tabs>
          <w:tab w:pos="479" w:val="left" w:leader="none"/>
        </w:tabs>
        <w:spacing w:line="360" w:lineRule="auto" w:before="5" w:after="0"/>
        <w:ind w:left="118" w:right="114" w:firstLine="0"/>
        <w:jc w:val="both"/>
        <w:rPr>
          <w:sz w:val="24"/>
        </w:rPr>
      </w:pPr>
      <w:r>
        <w:rPr>
          <w:sz w:val="24"/>
        </w:rPr>
        <w:t>Se deberá contar con el consentimiento por escrito del sujeto en quien se realizará</w:t>
      </w:r>
      <w:r>
        <w:rPr>
          <w:spacing w:val="-42"/>
          <w:sz w:val="24"/>
        </w:rPr>
        <w:t> </w:t>
      </w:r>
      <w:r>
        <w:rPr>
          <w:sz w:val="24"/>
        </w:rPr>
        <w:t>la investigación,</w:t>
      </w:r>
      <w:r>
        <w:rPr>
          <w:spacing w:val="-12"/>
          <w:sz w:val="24"/>
        </w:rPr>
        <w:t> </w:t>
      </w:r>
      <w:r>
        <w:rPr>
          <w:sz w:val="24"/>
        </w:rPr>
        <w:t>o</w:t>
      </w:r>
      <w:r>
        <w:rPr>
          <w:spacing w:val="-13"/>
          <w:sz w:val="24"/>
        </w:rPr>
        <w:t> </w:t>
      </w:r>
      <w:r>
        <w:rPr>
          <w:sz w:val="24"/>
        </w:rPr>
        <w:t>de</w:t>
      </w:r>
      <w:r>
        <w:rPr>
          <w:spacing w:val="-12"/>
          <w:sz w:val="24"/>
        </w:rPr>
        <w:t> </w:t>
      </w:r>
      <w:r>
        <w:rPr>
          <w:sz w:val="24"/>
        </w:rPr>
        <w:t>su</w:t>
      </w:r>
      <w:r>
        <w:rPr>
          <w:spacing w:val="-12"/>
          <w:sz w:val="24"/>
        </w:rPr>
        <w:t> </w:t>
      </w:r>
      <w:r>
        <w:rPr>
          <w:sz w:val="24"/>
        </w:rPr>
        <w:t>representante</w:t>
      </w:r>
      <w:r>
        <w:rPr>
          <w:spacing w:val="-14"/>
          <w:sz w:val="24"/>
        </w:rPr>
        <w:t> </w:t>
      </w:r>
      <w:r>
        <w:rPr>
          <w:sz w:val="24"/>
        </w:rPr>
        <w:t>legal</w:t>
      </w:r>
      <w:r>
        <w:rPr>
          <w:spacing w:val="-15"/>
          <w:sz w:val="24"/>
        </w:rPr>
        <w:t> </w:t>
      </w:r>
      <w:r>
        <w:rPr>
          <w:sz w:val="24"/>
        </w:rPr>
        <w:t>en</w:t>
      </w:r>
      <w:r>
        <w:rPr>
          <w:spacing w:val="-16"/>
          <w:sz w:val="24"/>
        </w:rPr>
        <w:t> </w:t>
      </w:r>
      <w:r>
        <w:rPr>
          <w:sz w:val="24"/>
        </w:rPr>
        <w:t>caso</w:t>
      </w:r>
      <w:r>
        <w:rPr>
          <w:spacing w:val="-14"/>
          <w:sz w:val="24"/>
        </w:rPr>
        <w:t> </w:t>
      </w:r>
      <w:r>
        <w:rPr>
          <w:sz w:val="24"/>
        </w:rPr>
        <w:t>de</w:t>
      </w:r>
      <w:r>
        <w:rPr>
          <w:spacing w:val="-14"/>
          <w:sz w:val="24"/>
        </w:rPr>
        <w:t> </w:t>
      </w:r>
      <w:r>
        <w:rPr>
          <w:sz w:val="24"/>
        </w:rPr>
        <w:t>incapacidad</w:t>
      </w:r>
      <w:r>
        <w:rPr>
          <w:spacing w:val="-14"/>
          <w:sz w:val="24"/>
        </w:rPr>
        <w:t> </w:t>
      </w:r>
      <w:r>
        <w:rPr>
          <w:sz w:val="24"/>
        </w:rPr>
        <w:t>legal</w:t>
      </w:r>
      <w:r>
        <w:rPr>
          <w:spacing w:val="-13"/>
          <w:sz w:val="24"/>
        </w:rPr>
        <w:t> </w:t>
      </w:r>
      <w:r>
        <w:rPr>
          <w:sz w:val="24"/>
        </w:rPr>
        <w:t>de</w:t>
      </w:r>
      <w:r>
        <w:rPr>
          <w:spacing w:val="-14"/>
          <w:sz w:val="24"/>
        </w:rPr>
        <w:t> </w:t>
      </w:r>
      <w:r>
        <w:rPr>
          <w:sz w:val="24"/>
        </w:rPr>
        <w:t>aquél,</w:t>
      </w:r>
      <w:r>
        <w:rPr>
          <w:spacing w:val="-15"/>
          <w:sz w:val="24"/>
        </w:rPr>
        <w:t> </w:t>
      </w:r>
      <w:r>
        <w:rPr>
          <w:sz w:val="24"/>
        </w:rPr>
        <w:t>una</w:t>
      </w:r>
      <w:r>
        <w:rPr>
          <w:spacing w:val="-14"/>
          <w:sz w:val="24"/>
        </w:rPr>
        <w:t> </w:t>
      </w:r>
      <w:r>
        <w:rPr>
          <w:sz w:val="24"/>
        </w:rPr>
        <w:t>vez enterado</w:t>
      </w:r>
      <w:r>
        <w:rPr>
          <w:spacing w:val="-19"/>
          <w:sz w:val="24"/>
        </w:rPr>
        <w:t> </w:t>
      </w:r>
      <w:r>
        <w:rPr>
          <w:sz w:val="24"/>
        </w:rPr>
        <w:t>de</w:t>
      </w:r>
      <w:r>
        <w:rPr>
          <w:spacing w:val="-19"/>
          <w:sz w:val="24"/>
        </w:rPr>
        <w:t> </w:t>
      </w:r>
      <w:r>
        <w:rPr>
          <w:sz w:val="24"/>
        </w:rPr>
        <w:t>los</w:t>
      </w:r>
      <w:r>
        <w:rPr>
          <w:spacing w:val="-17"/>
          <w:sz w:val="24"/>
        </w:rPr>
        <w:t> </w:t>
      </w:r>
      <w:r>
        <w:rPr>
          <w:sz w:val="24"/>
        </w:rPr>
        <w:t>objetivos</w:t>
      </w:r>
      <w:r>
        <w:rPr>
          <w:spacing w:val="-17"/>
          <w:sz w:val="24"/>
        </w:rPr>
        <w:t> </w:t>
      </w:r>
      <w:r>
        <w:rPr>
          <w:sz w:val="24"/>
        </w:rPr>
        <w:t>de</w:t>
      </w:r>
      <w:r>
        <w:rPr>
          <w:spacing w:val="-19"/>
          <w:sz w:val="24"/>
        </w:rPr>
        <w:t> </w:t>
      </w:r>
      <w:r>
        <w:rPr>
          <w:sz w:val="24"/>
        </w:rPr>
        <w:t>la</w:t>
      </w:r>
      <w:r>
        <w:rPr>
          <w:spacing w:val="-17"/>
          <w:sz w:val="24"/>
        </w:rPr>
        <w:t> </w:t>
      </w:r>
      <w:r>
        <w:rPr>
          <w:sz w:val="24"/>
        </w:rPr>
        <w:t>experimentación</w:t>
      </w:r>
      <w:r>
        <w:rPr>
          <w:spacing w:val="-17"/>
          <w:sz w:val="24"/>
        </w:rPr>
        <w:t> </w:t>
      </w:r>
      <w:r>
        <w:rPr>
          <w:sz w:val="24"/>
        </w:rPr>
        <w:t>y</w:t>
      </w:r>
      <w:r>
        <w:rPr>
          <w:spacing w:val="-20"/>
          <w:sz w:val="24"/>
        </w:rPr>
        <w:t> </w:t>
      </w:r>
      <w:r>
        <w:rPr>
          <w:sz w:val="24"/>
        </w:rPr>
        <w:t>de</w:t>
      </w:r>
      <w:r>
        <w:rPr>
          <w:spacing w:val="-17"/>
          <w:sz w:val="24"/>
        </w:rPr>
        <w:t> </w:t>
      </w:r>
      <w:r>
        <w:rPr>
          <w:sz w:val="24"/>
        </w:rPr>
        <w:t>las</w:t>
      </w:r>
      <w:r>
        <w:rPr>
          <w:spacing w:val="-17"/>
          <w:sz w:val="24"/>
        </w:rPr>
        <w:t> </w:t>
      </w:r>
      <w:r>
        <w:rPr>
          <w:sz w:val="24"/>
        </w:rPr>
        <w:t>posibles</w:t>
      </w:r>
      <w:r>
        <w:rPr>
          <w:spacing w:val="-17"/>
          <w:sz w:val="24"/>
        </w:rPr>
        <w:t> </w:t>
      </w:r>
      <w:r>
        <w:rPr>
          <w:sz w:val="24"/>
        </w:rPr>
        <w:t>consecuencias</w:t>
      </w:r>
      <w:r>
        <w:rPr>
          <w:spacing w:val="-19"/>
          <w:sz w:val="24"/>
        </w:rPr>
        <w:t> </w:t>
      </w:r>
      <w:r>
        <w:rPr>
          <w:sz w:val="24"/>
        </w:rPr>
        <w:t>positivas o negativas para su</w:t>
      </w:r>
      <w:r>
        <w:rPr>
          <w:spacing w:val="-10"/>
          <w:sz w:val="24"/>
        </w:rPr>
        <w:t> </w:t>
      </w:r>
      <w:r>
        <w:rPr>
          <w:sz w:val="24"/>
        </w:rPr>
        <w:t>salud;</w:t>
      </w:r>
    </w:p>
    <w:p>
      <w:pPr>
        <w:spacing w:after="0" w:line="360" w:lineRule="auto"/>
        <w:jc w:val="both"/>
        <w:rPr>
          <w:sz w:val="24"/>
        </w:rPr>
        <w:sectPr>
          <w:pgSz w:w="12240" w:h="15840"/>
          <w:pgMar w:header="0" w:footer="887" w:top="1360" w:bottom="1140" w:left="1300" w:right="1300"/>
        </w:sectPr>
      </w:pPr>
    </w:p>
    <w:p>
      <w:pPr>
        <w:pStyle w:val="ListParagraph"/>
        <w:numPr>
          <w:ilvl w:val="0"/>
          <w:numId w:val="12"/>
        </w:numPr>
        <w:tabs>
          <w:tab w:pos="460" w:val="left" w:leader="none"/>
        </w:tabs>
        <w:spacing w:line="360" w:lineRule="auto" w:before="56" w:after="0"/>
        <w:ind w:left="118" w:right="116" w:firstLine="0"/>
        <w:jc w:val="both"/>
        <w:rPr>
          <w:sz w:val="24"/>
        </w:rPr>
      </w:pPr>
      <w:r>
        <w:rPr>
          <w:sz w:val="24"/>
        </w:rPr>
        <w:t>Sólo podrá realizarse por profesionales de la salud en instituciones médicas que actúen bajo la vigilancia de las autoridades sanitarias</w:t>
      </w:r>
      <w:r>
        <w:rPr>
          <w:spacing w:val="-28"/>
          <w:sz w:val="24"/>
        </w:rPr>
        <w:t> </w:t>
      </w:r>
      <w:r>
        <w:rPr>
          <w:sz w:val="24"/>
        </w:rPr>
        <w:t>competentes;</w:t>
      </w:r>
    </w:p>
    <w:p>
      <w:pPr>
        <w:pStyle w:val="ListParagraph"/>
        <w:numPr>
          <w:ilvl w:val="0"/>
          <w:numId w:val="12"/>
        </w:numPr>
        <w:tabs>
          <w:tab w:pos="524" w:val="left" w:leader="none"/>
        </w:tabs>
        <w:spacing w:line="360" w:lineRule="auto" w:before="5" w:after="0"/>
        <w:ind w:left="118" w:right="112" w:firstLine="0"/>
        <w:jc w:val="both"/>
        <w:rPr>
          <w:sz w:val="24"/>
        </w:rPr>
      </w:pPr>
      <w:r>
        <w:rPr>
          <w:sz w:val="24"/>
        </w:rPr>
        <w:t>El profesional responsable suspenderá la investigación en cualquier momento, si sobreviene</w:t>
      </w:r>
      <w:r>
        <w:rPr>
          <w:spacing w:val="-7"/>
          <w:sz w:val="24"/>
        </w:rPr>
        <w:t> </w:t>
      </w:r>
      <w:r>
        <w:rPr>
          <w:sz w:val="24"/>
        </w:rPr>
        <w:t>el</w:t>
      </w:r>
      <w:r>
        <w:rPr>
          <w:spacing w:val="-8"/>
          <w:sz w:val="24"/>
        </w:rPr>
        <w:t> </w:t>
      </w:r>
      <w:r>
        <w:rPr>
          <w:sz w:val="24"/>
        </w:rPr>
        <w:t>riesgo</w:t>
      </w:r>
      <w:r>
        <w:rPr>
          <w:spacing w:val="-8"/>
          <w:sz w:val="24"/>
        </w:rPr>
        <w:t> </w:t>
      </w:r>
      <w:r>
        <w:rPr>
          <w:sz w:val="24"/>
        </w:rPr>
        <w:t>de</w:t>
      </w:r>
      <w:r>
        <w:rPr>
          <w:spacing w:val="-7"/>
          <w:sz w:val="24"/>
        </w:rPr>
        <w:t> </w:t>
      </w:r>
      <w:r>
        <w:rPr>
          <w:sz w:val="24"/>
        </w:rPr>
        <w:t>lesiones</w:t>
      </w:r>
      <w:r>
        <w:rPr>
          <w:spacing w:val="-8"/>
          <w:sz w:val="24"/>
        </w:rPr>
        <w:t> </w:t>
      </w:r>
      <w:r>
        <w:rPr>
          <w:sz w:val="24"/>
        </w:rPr>
        <w:t>graves,</w:t>
      </w:r>
      <w:r>
        <w:rPr>
          <w:spacing w:val="-7"/>
          <w:sz w:val="24"/>
        </w:rPr>
        <w:t> </w:t>
      </w:r>
      <w:r>
        <w:rPr>
          <w:sz w:val="24"/>
        </w:rPr>
        <w:t>invalidez</w:t>
      </w:r>
      <w:r>
        <w:rPr>
          <w:spacing w:val="-10"/>
          <w:sz w:val="24"/>
        </w:rPr>
        <w:t> </w:t>
      </w:r>
      <w:r>
        <w:rPr>
          <w:sz w:val="24"/>
        </w:rPr>
        <w:t>o</w:t>
      </w:r>
      <w:r>
        <w:rPr>
          <w:spacing w:val="-7"/>
          <w:sz w:val="24"/>
        </w:rPr>
        <w:t> </w:t>
      </w:r>
      <w:r>
        <w:rPr>
          <w:sz w:val="24"/>
        </w:rPr>
        <w:t>muerte</w:t>
      </w:r>
      <w:r>
        <w:rPr>
          <w:spacing w:val="-10"/>
          <w:sz w:val="24"/>
        </w:rPr>
        <w:t> </w:t>
      </w:r>
      <w:r>
        <w:rPr>
          <w:sz w:val="24"/>
        </w:rPr>
        <w:t>del</w:t>
      </w:r>
      <w:r>
        <w:rPr>
          <w:spacing w:val="-8"/>
          <w:sz w:val="24"/>
        </w:rPr>
        <w:t> </w:t>
      </w:r>
      <w:r>
        <w:rPr>
          <w:sz w:val="24"/>
        </w:rPr>
        <w:t>sujeto</w:t>
      </w:r>
      <w:r>
        <w:rPr>
          <w:spacing w:val="-7"/>
          <w:sz w:val="24"/>
        </w:rPr>
        <w:t> </w:t>
      </w:r>
      <w:r>
        <w:rPr>
          <w:sz w:val="24"/>
        </w:rPr>
        <w:t>en</w:t>
      </w:r>
      <w:r>
        <w:rPr>
          <w:spacing w:val="-9"/>
          <w:sz w:val="24"/>
        </w:rPr>
        <w:t> </w:t>
      </w:r>
      <w:r>
        <w:rPr>
          <w:sz w:val="24"/>
        </w:rPr>
        <w:t>quien se</w:t>
      </w:r>
      <w:r>
        <w:rPr>
          <w:spacing w:val="-7"/>
          <w:sz w:val="24"/>
        </w:rPr>
        <w:t> </w:t>
      </w:r>
      <w:r>
        <w:rPr>
          <w:sz w:val="24"/>
        </w:rPr>
        <w:t>realice la</w:t>
      </w:r>
      <w:r>
        <w:rPr>
          <w:spacing w:val="-4"/>
          <w:sz w:val="24"/>
        </w:rPr>
        <w:t> </w:t>
      </w:r>
      <w:r>
        <w:rPr>
          <w:sz w:val="24"/>
        </w:rPr>
        <w:t>investigación.</w:t>
      </w:r>
    </w:p>
    <w:p>
      <w:pPr>
        <w:pStyle w:val="ListParagraph"/>
        <w:numPr>
          <w:ilvl w:val="0"/>
          <w:numId w:val="12"/>
        </w:numPr>
        <w:tabs>
          <w:tab w:pos="546" w:val="left" w:leader="none"/>
        </w:tabs>
        <w:spacing w:line="240" w:lineRule="auto" w:before="2" w:after="0"/>
        <w:ind w:left="545" w:right="0" w:hanging="427"/>
        <w:jc w:val="both"/>
        <w:rPr>
          <w:sz w:val="24"/>
        </w:rPr>
      </w:pPr>
      <w:r>
        <w:rPr>
          <w:sz w:val="24"/>
        </w:rPr>
        <w:t>Las demás que establezca la correspondiente</w:t>
      </w:r>
      <w:r>
        <w:rPr>
          <w:spacing w:val="-14"/>
          <w:sz w:val="24"/>
        </w:rPr>
        <w:t> </w:t>
      </w:r>
      <w:r>
        <w:rPr>
          <w:sz w:val="24"/>
        </w:rPr>
        <w:t>reglamentación.</w:t>
      </w:r>
    </w:p>
    <w:p>
      <w:pPr>
        <w:spacing w:after="0" w:line="240" w:lineRule="auto"/>
        <w:jc w:val="both"/>
        <w:rPr>
          <w:sz w:val="24"/>
        </w:rPr>
        <w:sectPr>
          <w:pgSz w:w="12240" w:h="15840"/>
          <w:pgMar w:header="0" w:footer="887" w:top="1360" w:bottom="1140" w:left="1300" w:right="1300"/>
        </w:sectPr>
      </w:pPr>
    </w:p>
    <w:p>
      <w:pPr>
        <w:pStyle w:val="Heading1"/>
      </w:pPr>
      <w:r>
        <w:rPr/>
        <w:t>Variables</w:t>
      </w:r>
    </w:p>
    <w:p>
      <w:pPr>
        <w:pStyle w:val="BodyText"/>
        <w:spacing w:before="5"/>
        <w:rPr>
          <w:b/>
          <w:sz w:val="29"/>
        </w:rPr>
      </w:pPr>
    </w:p>
    <w:p>
      <w:pPr>
        <w:pStyle w:val="BodyText"/>
        <w:ind w:left="118"/>
      </w:pPr>
      <w:r>
        <w:rPr/>
        <w:t>Variables dependientes</w:t>
      </w:r>
    </w:p>
    <w:p>
      <w:pPr>
        <w:pStyle w:val="BodyText"/>
        <w:spacing w:before="2"/>
        <w:rPr>
          <w:sz w:val="29"/>
        </w:rPr>
      </w:pPr>
    </w:p>
    <w:p>
      <w:pPr>
        <w:pStyle w:val="ListParagraph"/>
        <w:numPr>
          <w:ilvl w:val="0"/>
          <w:numId w:val="11"/>
        </w:numPr>
        <w:tabs>
          <w:tab w:pos="478" w:val="left" w:leader="none"/>
          <w:tab w:pos="479" w:val="left" w:leader="none"/>
        </w:tabs>
        <w:spacing w:line="240" w:lineRule="auto" w:before="0" w:after="0"/>
        <w:ind w:left="478" w:right="0" w:hanging="360"/>
        <w:jc w:val="left"/>
        <w:rPr>
          <w:sz w:val="24"/>
        </w:rPr>
      </w:pPr>
      <w:r>
        <w:rPr>
          <w:sz w:val="24"/>
        </w:rPr>
        <w:t>Concentración de hierro</w:t>
      </w:r>
      <w:r>
        <w:rPr>
          <w:spacing w:val="-5"/>
          <w:sz w:val="24"/>
        </w:rPr>
        <w:t> </w:t>
      </w:r>
      <w:r>
        <w:rPr>
          <w:sz w:val="24"/>
        </w:rPr>
        <w:t>(Fe)</w:t>
      </w:r>
    </w:p>
    <w:p>
      <w:pPr>
        <w:pStyle w:val="ListParagraph"/>
        <w:numPr>
          <w:ilvl w:val="0"/>
          <w:numId w:val="11"/>
        </w:numPr>
        <w:tabs>
          <w:tab w:pos="478" w:val="left" w:leader="none"/>
          <w:tab w:pos="479" w:val="left" w:leader="none"/>
        </w:tabs>
        <w:spacing w:line="240" w:lineRule="auto" w:before="139" w:after="0"/>
        <w:ind w:left="478" w:right="0" w:hanging="360"/>
        <w:jc w:val="left"/>
        <w:rPr>
          <w:sz w:val="24"/>
        </w:rPr>
      </w:pPr>
      <w:r>
        <w:rPr>
          <w:sz w:val="24"/>
        </w:rPr>
        <w:t>Concentración de níquel</w:t>
      </w:r>
      <w:r>
        <w:rPr>
          <w:spacing w:val="-11"/>
          <w:sz w:val="24"/>
        </w:rPr>
        <w:t> </w:t>
      </w:r>
      <w:r>
        <w:rPr>
          <w:sz w:val="24"/>
        </w:rPr>
        <w:t>(Ni)</w:t>
      </w:r>
    </w:p>
    <w:p>
      <w:pPr>
        <w:pStyle w:val="ListParagraph"/>
        <w:numPr>
          <w:ilvl w:val="0"/>
          <w:numId w:val="11"/>
        </w:numPr>
        <w:tabs>
          <w:tab w:pos="478" w:val="left" w:leader="none"/>
          <w:tab w:pos="479" w:val="left" w:leader="none"/>
        </w:tabs>
        <w:spacing w:line="240" w:lineRule="auto" w:before="137" w:after="0"/>
        <w:ind w:left="478" w:right="0" w:hanging="360"/>
        <w:jc w:val="left"/>
        <w:rPr>
          <w:sz w:val="24"/>
        </w:rPr>
      </w:pPr>
      <w:r>
        <w:rPr>
          <w:sz w:val="24"/>
        </w:rPr>
        <w:t>Concentración de cromo</w:t>
      </w:r>
      <w:r>
        <w:rPr>
          <w:spacing w:val="-5"/>
          <w:sz w:val="24"/>
        </w:rPr>
        <w:t> </w:t>
      </w:r>
      <w:r>
        <w:rPr>
          <w:sz w:val="24"/>
        </w:rPr>
        <w:t>(Cr)</w:t>
      </w:r>
    </w:p>
    <w:p>
      <w:pPr>
        <w:pStyle w:val="BodyText"/>
      </w:pPr>
    </w:p>
    <w:p>
      <w:pPr>
        <w:pStyle w:val="BodyText"/>
      </w:pPr>
    </w:p>
    <w:p>
      <w:pPr>
        <w:pStyle w:val="BodyText"/>
        <w:spacing w:before="201"/>
        <w:ind w:left="118"/>
      </w:pPr>
      <w:r>
        <w:rPr/>
        <w:t>Variables independientes</w:t>
      </w:r>
    </w:p>
    <w:p>
      <w:pPr>
        <w:pStyle w:val="BodyText"/>
        <w:spacing w:before="5"/>
        <w:rPr>
          <w:sz w:val="29"/>
        </w:rPr>
      </w:pPr>
    </w:p>
    <w:p>
      <w:pPr>
        <w:pStyle w:val="ListParagraph"/>
        <w:numPr>
          <w:ilvl w:val="0"/>
          <w:numId w:val="11"/>
        </w:numPr>
        <w:tabs>
          <w:tab w:pos="478" w:val="left" w:leader="none"/>
          <w:tab w:pos="479" w:val="left" w:leader="none"/>
        </w:tabs>
        <w:spacing w:line="240" w:lineRule="auto" w:before="0" w:after="0"/>
        <w:ind w:left="478" w:right="0" w:hanging="360"/>
        <w:jc w:val="left"/>
        <w:rPr>
          <w:sz w:val="24"/>
        </w:rPr>
      </w:pPr>
      <w:r>
        <w:rPr>
          <w:sz w:val="24"/>
        </w:rPr>
        <w:t>Sexo</w:t>
      </w:r>
    </w:p>
    <w:p>
      <w:pPr>
        <w:pStyle w:val="ListParagraph"/>
        <w:numPr>
          <w:ilvl w:val="0"/>
          <w:numId w:val="11"/>
        </w:numPr>
        <w:tabs>
          <w:tab w:pos="478" w:val="left" w:leader="none"/>
          <w:tab w:pos="479" w:val="left" w:leader="none"/>
        </w:tabs>
        <w:spacing w:line="240" w:lineRule="auto" w:before="137" w:after="0"/>
        <w:ind w:left="478" w:right="0" w:hanging="360"/>
        <w:jc w:val="left"/>
        <w:rPr>
          <w:sz w:val="24"/>
        </w:rPr>
      </w:pPr>
      <w:r>
        <w:rPr>
          <w:sz w:val="24"/>
        </w:rPr>
        <w:t>Edad</w:t>
      </w:r>
    </w:p>
    <w:p>
      <w:pPr>
        <w:pStyle w:val="ListParagraph"/>
        <w:numPr>
          <w:ilvl w:val="0"/>
          <w:numId w:val="11"/>
        </w:numPr>
        <w:tabs>
          <w:tab w:pos="478" w:val="left" w:leader="none"/>
          <w:tab w:pos="479" w:val="left" w:leader="none"/>
        </w:tabs>
        <w:spacing w:line="240" w:lineRule="auto" w:before="139" w:after="0"/>
        <w:ind w:left="478" w:right="0" w:hanging="360"/>
        <w:jc w:val="left"/>
        <w:rPr>
          <w:sz w:val="24"/>
        </w:rPr>
      </w:pPr>
      <w:r>
        <w:rPr>
          <w:sz w:val="24"/>
        </w:rPr>
        <w:t>pH</w:t>
      </w:r>
      <w:r>
        <w:rPr>
          <w:spacing w:val="-5"/>
          <w:sz w:val="24"/>
        </w:rPr>
        <w:t> </w:t>
      </w:r>
      <w:r>
        <w:rPr>
          <w:sz w:val="24"/>
        </w:rPr>
        <w:t>salival</w:t>
      </w:r>
    </w:p>
    <w:p>
      <w:pPr>
        <w:pStyle w:val="ListParagraph"/>
        <w:numPr>
          <w:ilvl w:val="0"/>
          <w:numId w:val="11"/>
        </w:numPr>
        <w:tabs>
          <w:tab w:pos="478" w:val="left" w:leader="none"/>
          <w:tab w:pos="479" w:val="left" w:leader="none"/>
        </w:tabs>
        <w:spacing w:line="240" w:lineRule="auto" w:before="137" w:after="0"/>
        <w:ind w:left="478" w:right="0" w:hanging="360"/>
        <w:jc w:val="left"/>
        <w:rPr>
          <w:sz w:val="24"/>
        </w:rPr>
      </w:pPr>
      <w:r>
        <w:rPr>
          <w:sz w:val="24"/>
        </w:rPr>
        <w:t>Índice de placa</w:t>
      </w:r>
      <w:r>
        <w:rPr>
          <w:spacing w:val="-13"/>
          <w:sz w:val="24"/>
        </w:rPr>
        <w:t> </w:t>
      </w:r>
      <w:r>
        <w:rPr>
          <w:sz w:val="24"/>
        </w:rPr>
        <w:t>dentobacteriana</w:t>
      </w:r>
    </w:p>
    <w:p>
      <w:pPr>
        <w:pStyle w:val="ListParagraph"/>
        <w:numPr>
          <w:ilvl w:val="0"/>
          <w:numId w:val="11"/>
        </w:numPr>
        <w:tabs>
          <w:tab w:pos="478" w:val="left" w:leader="none"/>
          <w:tab w:pos="479" w:val="left" w:leader="none"/>
        </w:tabs>
        <w:spacing w:line="240" w:lineRule="auto" w:before="139" w:after="0"/>
        <w:ind w:left="478" w:right="0" w:hanging="360"/>
        <w:jc w:val="left"/>
        <w:rPr>
          <w:sz w:val="24"/>
        </w:rPr>
      </w:pPr>
      <w:r>
        <w:rPr>
          <w:sz w:val="24"/>
        </w:rPr>
        <w:t>Dientes temporales</w:t>
      </w:r>
      <w:r>
        <w:rPr>
          <w:spacing w:val="-12"/>
          <w:sz w:val="24"/>
        </w:rPr>
        <w:t> </w:t>
      </w:r>
      <w:r>
        <w:rPr>
          <w:sz w:val="24"/>
        </w:rPr>
        <w:t>presentes</w:t>
      </w:r>
    </w:p>
    <w:p>
      <w:pPr>
        <w:pStyle w:val="ListParagraph"/>
        <w:numPr>
          <w:ilvl w:val="0"/>
          <w:numId w:val="11"/>
        </w:numPr>
        <w:tabs>
          <w:tab w:pos="478" w:val="left" w:leader="none"/>
          <w:tab w:pos="479" w:val="left" w:leader="none"/>
        </w:tabs>
        <w:spacing w:line="240" w:lineRule="auto" w:before="137" w:after="0"/>
        <w:ind w:left="478" w:right="0" w:hanging="360"/>
        <w:jc w:val="left"/>
        <w:rPr>
          <w:sz w:val="24"/>
        </w:rPr>
      </w:pPr>
      <w:r>
        <w:rPr>
          <w:sz w:val="24"/>
        </w:rPr>
        <w:t>Cepillado</w:t>
      </w:r>
      <w:r>
        <w:rPr>
          <w:spacing w:val="-3"/>
          <w:sz w:val="24"/>
        </w:rPr>
        <w:t> </w:t>
      </w:r>
      <w:r>
        <w:rPr>
          <w:sz w:val="24"/>
        </w:rPr>
        <w:t>dental</w:t>
      </w:r>
    </w:p>
    <w:p>
      <w:pPr>
        <w:pStyle w:val="ListParagraph"/>
        <w:numPr>
          <w:ilvl w:val="0"/>
          <w:numId w:val="11"/>
        </w:numPr>
        <w:tabs>
          <w:tab w:pos="478" w:val="left" w:leader="none"/>
          <w:tab w:pos="479" w:val="left" w:leader="none"/>
        </w:tabs>
        <w:spacing w:line="240" w:lineRule="auto" w:before="137" w:after="0"/>
        <w:ind w:left="478" w:right="0" w:hanging="360"/>
        <w:jc w:val="left"/>
        <w:rPr>
          <w:sz w:val="24"/>
        </w:rPr>
      </w:pPr>
      <w:r>
        <w:rPr>
          <w:sz w:val="24"/>
        </w:rPr>
        <w:t>Operador del cepillado</w:t>
      </w:r>
      <w:r>
        <w:rPr>
          <w:spacing w:val="-9"/>
          <w:sz w:val="24"/>
        </w:rPr>
        <w:t> </w:t>
      </w:r>
      <w:r>
        <w:rPr>
          <w:sz w:val="24"/>
        </w:rPr>
        <w:t>dental</w:t>
      </w:r>
    </w:p>
    <w:p>
      <w:pPr>
        <w:pStyle w:val="ListParagraph"/>
        <w:numPr>
          <w:ilvl w:val="0"/>
          <w:numId w:val="11"/>
        </w:numPr>
        <w:tabs>
          <w:tab w:pos="478" w:val="left" w:leader="none"/>
          <w:tab w:pos="479" w:val="left" w:leader="none"/>
        </w:tabs>
        <w:spacing w:line="240" w:lineRule="auto" w:before="139" w:after="0"/>
        <w:ind w:left="478" w:right="0" w:hanging="360"/>
        <w:jc w:val="left"/>
        <w:rPr>
          <w:sz w:val="24"/>
        </w:rPr>
      </w:pPr>
      <w:r>
        <w:rPr>
          <w:sz w:val="24"/>
        </w:rPr>
        <w:t>Aditamentos de higiene bucal básico</w:t>
      </w:r>
      <w:r>
        <w:rPr>
          <w:spacing w:val="-15"/>
          <w:sz w:val="24"/>
        </w:rPr>
        <w:t> </w:t>
      </w:r>
      <w:r>
        <w:rPr>
          <w:sz w:val="24"/>
        </w:rPr>
        <w:t>utilizados</w:t>
      </w:r>
    </w:p>
    <w:p>
      <w:pPr>
        <w:pStyle w:val="ListParagraph"/>
        <w:numPr>
          <w:ilvl w:val="0"/>
          <w:numId w:val="11"/>
        </w:numPr>
        <w:tabs>
          <w:tab w:pos="478" w:val="left" w:leader="none"/>
          <w:tab w:pos="479" w:val="left" w:leader="none"/>
        </w:tabs>
        <w:spacing w:line="240" w:lineRule="auto" w:before="137" w:after="0"/>
        <w:ind w:left="478" w:right="0" w:hanging="360"/>
        <w:jc w:val="left"/>
        <w:rPr>
          <w:sz w:val="24"/>
        </w:rPr>
      </w:pPr>
      <w:r>
        <w:rPr>
          <w:sz w:val="24"/>
        </w:rPr>
        <w:t>Vivienda cerca de fábricas o zonas</w:t>
      </w:r>
      <w:r>
        <w:rPr>
          <w:spacing w:val="-19"/>
          <w:sz w:val="24"/>
        </w:rPr>
        <w:t> </w:t>
      </w:r>
      <w:r>
        <w:rPr>
          <w:sz w:val="24"/>
        </w:rPr>
        <w:t>industriales</w:t>
      </w:r>
    </w:p>
    <w:p>
      <w:pPr>
        <w:pStyle w:val="ListParagraph"/>
        <w:numPr>
          <w:ilvl w:val="0"/>
          <w:numId w:val="11"/>
        </w:numPr>
        <w:tabs>
          <w:tab w:pos="478" w:val="left" w:leader="none"/>
          <w:tab w:pos="479" w:val="left" w:leader="none"/>
        </w:tabs>
        <w:spacing w:line="240" w:lineRule="auto" w:before="139" w:after="0"/>
        <w:ind w:left="478" w:right="0" w:hanging="360"/>
        <w:jc w:val="left"/>
        <w:rPr>
          <w:sz w:val="24"/>
        </w:rPr>
      </w:pPr>
      <w:r>
        <w:rPr>
          <w:sz w:val="24"/>
        </w:rPr>
        <w:t>Auxiliar de higiene bucal</w:t>
      </w:r>
      <w:r>
        <w:rPr>
          <w:spacing w:val="-13"/>
          <w:sz w:val="24"/>
        </w:rPr>
        <w:t> </w:t>
      </w:r>
      <w:r>
        <w:rPr>
          <w:sz w:val="24"/>
        </w:rPr>
        <w:t>utilizados</w:t>
      </w:r>
    </w:p>
    <w:p>
      <w:pPr>
        <w:spacing w:after="0" w:line="240" w:lineRule="auto"/>
        <w:jc w:val="left"/>
        <w:rPr>
          <w:sz w:val="24"/>
        </w:rPr>
        <w:sectPr>
          <w:pgSz w:w="12240" w:h="15840"/>
          <w:pgMar w:header="0" w:footer="887" w:top="1360" w:bottom="1140" w:left="1300" w:right="1720"/>
        </w:sectPr>
      </w:pPr>
    </w:p>
    <w:p>
      <w:pPr>
        <w:spacing w:line="549" w:lineRule="auto" w:before="53"/>
        <w:ind w:left="4280" w:right="2457" w:hanging="1806"/>
        <w:jc w:val="left"/>
        <w:rPr>
          <w:b/>
          <w:sz w:val="22"/>
        </w:rPr>
      </w:pPr>
      <w:r>
        <w:rPr>
          <w:b/>
          <w:sz w:val="22"/>
        </w:rPr>
        <w:t>Tabla I.- Definición Conceptual y Operacional de Variables Variables Dependientes</w:t>
      </w:r>
    </w:p>
    <w:p>
      <w:pPr>
        <w:pStyle w:val="BodyText"/>
        <w:spacing w:before="10" w:after="1"/>
        <w:rPr>
          <w:b/>
          <w:sz w:val="9"/>
        </w:rPr>
      </w:pPr>
    </w:p>
    <w:tbl>
      <w:tblPr>
        <w:tblW w:w="0" w:type="auto"/>
        <w:jc w:val="left"/>
        <w:tblInd w:w="103" w:type="dxa"/>
        <w:tblBorders>
          <w:top w:val="single" w:sz="4" w:space="0" w:color="C2D59B"/>
          <w:left w:val="single" w:sz="4" w:space="0" w:color="C2D59B"/>
          <w:bottom w:val="single" w:sz="4" w:space="0" w:color="C2D59B"/>
          <w:right w:val="single" w:sz="4" w:space="0" w:color="C2D59B"/>
          <w:insideH w:val="single" w:sz="4" w:space="0" w:color="C2D59B"/>
          <w:insideV w:val="single" w:sz="4" w:space="0" w:color="C2D59B"/>
        </w:tblBorders>
        <w:tblLayout w:type="fixed"/>
        <w:tblCellMar>
          <w:top w:w="0" w:type="dxa"/>
          <w:left w:w="0" w:type="dxa"/>
          <w:bottom w:w="0" w:type="dxa"/>
          <w:right w:w="0" w:type="dxa"/>
        </w:tblCellMar>
        <w:tblLook w:val="01E0"/>
      </w:tblPr>
      <w:tblGrid>
        <w:gridCol w:w="1544"/>
        <w:gridCol w:w="2533"/>
        <w:gridCol w:w="2672"/>
        <w:gridCol w:w="2043"/>
        <w:gridCol w:w="2035"/>
      </w:tblGrid>
      <w:tr>
        <w:trPr>
          <w:trHeight w:val="1228" w:hRule="exact"/>
        </w:trPr>
        <w:tc>
          <w:tcPr>
            <w:tcW w:w="1544" w:type="dxa"/>
            <w:tcBorders>
              <w:top w:val="nil"/>
              <w:left w:val="nil"/>
              <w:right w:val="nil"/>
            </w:tcBorders>
          </w:tcPr>
          <w:p>
            <w:pPr>
              <w:pStyle w:val="TableParagraph"/>
              <w:spacing w:line="184" w:lineRule="exact"/>
              <w:ind w:left="420"/>
              <w:rPr>
                <w:b/>
                <w:sz w:val="18"/>
              </w:rPr>
            </w:pPr>
            <w:r>
              <w:rPr>
                <w:b/>
                <w:sz w:val="18"/>
              </w:rPr>
              <w:t>Variable</w:t>
            </w:r>
          </w:p>
        </w:tc>
        <w:tc>
          <w:tcPr>
            <w:tcW w:w="2533" w:type="dxa"/>
            <w:tcBorders>
              <w:top w:val="nil"/>
              <w:left w:val="nil"/>
              <w:right w:val="nil"/>
            </w:tcBorders>
          </w:tcPr>
          <w:p>
            <w:pPr>
              <w:pStyle w:val="TableParagraph"/>
              <w:spacing w:line="184" w:lineRule="exact"/>
              <w:ind w:left="316"/>
              <w:rPr>
                <w:b/>
                <w:sz w:val="18"/>
              </w:rPr>
            </w:pPr>
            <w:r>
              <w:rPr>
                <w:b/>
                <w:sz w:val="18"/>
              </w:rPr>
              <w:t>Definición Conceptual</w:t>
            </w:r>
          </w:p>
        </w:tc>
        <w:tc>
          <w:tcPr>
            <w:tcW w:w="2672" w:type="dxa"/>
            <w:tcBorders>
              <w:top w:val="nil"/>
              <w:left w:val="nil"/>
              <w:right w:val="nil"/>
            </w:tcBorders>
          </w:tcPr>
          <w:p>
            <w:pPr>
              <w:pStyle w:val="TableParagraph"/>
              <w:spacing w:line="184" w:lineRule="exact"/>
              <w:ind w:left="331"/>
              <w:rPr>
                <w:b/>
                <w:sz w:val="18"/>
              </w:rPr>
            </w:pPr>
            <w:r>
              <w:rPr>
                <w:b/>
                <w:sz w:val="18"/>
              </w:rPr>
              <w:t>Definición Operacional</w:t>
            </w:r>
          </w:p>
        </w:tc>
        <w:tc>
          <w:tcPr>
            <w:tcW w:w="2043" w:type="dxa"/>
            <w:tcBorders>
              <w:top w:val="nil"/>
              <w:left w:val="nil"/>
              <w:right w:val="nil"/>
            </w:tcBorders>
          </w:tcPr>
          <w:p>
            <w:pPr>
              <w:pStyle w:val="TableParagraph"/>
              <w:spacing w:line="184" w:lineRule="exact"/>
              <w:ind w:left="326"/>
              <w:rPr>
                <w:b/>
                <w:sz w:val="18"/>
              </w:rPr>
            </w:pPr>
            <w:r>
              <w:rPr>
                <w:b/>
                <w:sz w:val="18"/>
              </w:rPr>
              <w:t>Tipo de Variable</w:t>
            </w:r>
          </w:p>
        </w:tc>
        <w:tc>
          <w:tcPr>
            <w:tcW w:w="2035" w:type="dxa"/>
            <w:tcBorders>
              <w:top w:val="nil"/>
              <w:left w:val="nil"/>
              <w:right w:val="nil"/>
            </w:tcBorders>
          </w:tcPr>
          <w:p>
            <w:pPr>
              <w:pStyle w:val="TableParagraph"/>
              <w:spacing w:line="184" w:lineRule="exact"/>
              <w:ind w:left="166" w:right="167"/>
              <w:jc w:val="center"/>
              <w:rPr>
                <w:b/>
                <w:sz w:val="18"/>
              </w:rPr>
            </w:pPr>
            <w:r>
              <w:rPr>
                <w:b/>
                <w:sz w:val="18"/>
              </w:rPr>
              <w:t>Escala de Medición</w:t>
            </w:r>
          </w:p>
        </w:tc>
      </w:tr>
      <w:tr>
        <w:trPr>
          <w:trHeight w:val="2585" w:hRule="exact"/>
        </w:trPr>
        <w:tc>
          <w:tcPr>
            <w:tcW w:w="1544" w:type="dxa"/>
            <w:tcBorders>
              <w:left w:val="nil"/>
              <w:bottom w:val="nil"/>
            </w:tcBorders>
          </w:tcPr>
          <w:p>
            <w:pPr>
              <w:pStyle w:val="TableParagraph"/>
              <w:spacing w:line="206" w:lineRule="exact" w:before="1"/>
              <w:ind w:left="355" w:right="83" w:hanging="82"/>
              <w:rPr>
                <w:i/>
                <w:sz w:val="18"/>
              </w:rPr>
            </w:pPr>
            <w:r>
              <w:rPr>
                <w:i/>
                <w:sz w:val="18"/>
              </w:rPr>
              <w:t>Concentración </w:t>
            </w:r>
            <w:r>
              <w:rPr>
                <w:i/>
                <w:sz w:val="18"/>
              </w:rPr>
              <w:t>de níquel (Ni)</w:t>
            </w:r>
          </w:p>
        </w:tc>
        <w:tc>
          <w:tcPr>
            <w:tcW w:w="2533" w:type="dxa"/>
            <w:shd w:val="clear" w:color="auto" w:fill="EAF0DD"/>
          </w:tcPr>
          <w:p>
            <w:pPr>
              <w:pStyle w:val="TableParagraph"/>
              <w:ind w:right="99"/>
              <w:jc w:val="both"/>
              <w:rPr>
                <w:sz w:val="18"/>
              </w:rPr>
            </w:pPr>
            <w:r>
              <w:rPr>
                <w:sz w:val="18"/>
              </w:rPr>
              <w:t>El níquel es un elemento químico situado en el grupo de metal de transición de color blanco plateado, conductor de electricidad y de calor, maleable que se puede pulir y forjar fácilmente.</w:t>
            </w:r>
          </w:p>
          <w:p>
            <w:pPr>
              <w:pStyle w:val="TableParagraph"/>
              <w:spacing w:before="2"/>
              <w:ind w:right="338"/>
              <w:rPr>
                <w:sz w:val="18"/>
              </w:rPr>
            </w:pPr>
            <w:r>
              <w:rPr>
                <w:sz w:val="18"/>
              </w:rPr>
              <w:t>Es aleado con hierro para proporcionar tenacidad y resistencia a la corrosión.</w:t>
            </w:r>
          </w:p>
        </w:tc>
        <w:tc>
          <w:tcPr>
            <w:tcW w:w="2672" w:type="dxa"/>
            <w:shd w:val="clear" w:color="auto" w:fill="EAF0DD"/>
          </w:tcPr>
          <w:p>
            <w:pPr>
              <w:pStyle w:val="TableParagraph"/>
              <w:ind w:left="105" w:right="101"/>
              <w:jc w:val="both"/>
              <w:rPr>
                <w:sz w:val="18"/>
              </w:rPr>
            </w:pPr>
            <w:r>
              <w:rPr>
                <w:sz w:val="18"/>
              </w:rPr>
              <w:t>La medición de la concentración  del  metal será</w:t>
            </w:r>
          </w:p>
          <w:p>
            <w:pPr>
              <w:pStyle w:val="TableParagraph"/>
              <w:ind w:left="105" w:right="101"/>
              <w:jc w:val="both"/>
              <w:rPr>
                <w:sz w:val="18"/>
              </w:rPr>
            </w:pPr>
            <w:r>
              <w:rPr>
                <w:sz w:val="18"/>
              </w:rPr>
              <w:t>µg/ml de saliva con espectómetro de absorción atómica con horno de grafito</w:t>
            </w:r>
          </w:p>
        </w:tc>
        <w:tc>
          <w:tcPr>
            <w:tcW w:w="2043" w:type="dxa"/>
            <w:shd w:val="clear" w:color="auto" w:fill="EAF0DD"/>
          </w:tcPr>
          <w:p>
            <w:pPr>
              <w:pStyle w:val="TableParagraph"/>
              <w:ind w:left="655" w:right="523" w:hanging="116"/>
              <w:rPr>
                <w:sz w:val="18"/>
              </w:rPr>
            </w:pPr>
            <w:r>
              <w:rPr>
                <w:sz w:val="18"/>
              </w:rPr>
              <w:t>Cuantitativa Continua</w:t>
            </w:r>
          </w:p>
        </w:tc>
        <w:tc>
          <w:tcPr>
            <w:tcW w:w="2035" w:type="dxa"/>
            <w:shd w:val="clear" w:color="auto" w:fill="EAF0DD"/>
          </w:tcPr>
          <w:p>
            <w:pPr>
              <w:pStyle w:val="TableParagraph"/>
              <w:spacing w:line="206" w:lineRule="exact"/>
              <w:ind w:left="636" w:right="638"/>
              <w:jc w:val="center"/>
              <w:rPr>
                <w:sz w:val="18"/>
              </w:rPr>
            </w:pPr>
            <w:r>
              <w:rPr>
                <w:sz w:val="18"/>
              </w:rPr>
              <w:t>Razones</w:t>
            </w:r>
          </w:p>
        </w:tc>
      </w:tr>
      <w:tr>
        <w:trPr>
          <w:trHeight w:val="1982" w:hRule="exact"/>
        </w:trPr>
        <w:tc>
          <w:tcPr>
            <w:tcW w:w="1544" w:type="dxa"/>
            <w:tcBorders>
              <w:top w:val="nil"/>
              <w:left w:val="nil"/>
              <w:bottom w:val="nil"/>
            </w:tcBorders>
          </w:tcPr>
          <w:p>
            <w:pPr>
              <w:pStyle w:val="TableParagraph"/>
              <w:spacing w:before="1"/>
              <w:ind w:left="324" w:right="84" w:hanging="51"/>
              <w:rPr>
                <w:i/>
                <w:sz w:val="18"/>
              </w:rPr>
            </w:pPr>
            <w:r>
              <w:rPr>
                <w:i/>
                <w:sz w:val="18"/>
              </w:rPr>
              <w:t>Concentración </w:t>
            </w:r>
            <w:r>
              <w:rPr>
                <w:i/>
                <w:sz w:val="18"/>
              </w:rPr>
              <w:t>de cromo (Cr)</w:t>
            </w:r>
          </w:p>
        </w:tc>
        <w:tc>
          <w:tcPr>
            <w:tcW w:w="2533" w:type="dxa"/>
          </w:tcPr>
          <w:p>
            <w:pPr>
              <w:pStyle w:val="TableParagraph"/>
              <w:ind w:right="99"/>
              <w:jc w:val="both"/>
              <w:rPr>
                <w:sz w:val="18"/>
              </w:rPr>
            </w:pPr>
            <w:r>
              <w:rPr>
                <w:sz w:val="18"/>
              </w:rPr>
              <w:t>El cromo es un elemento químico</w:t>
            </w:r>
            <w:r>
              <w:rPr>
                <w:spacing w:val="-13"/>
                <w:sz w:val="18"/>
              </w:rPr>
              <w:t> </w:t>
            </w:r>
            <w:r>
              <w:rPr>
                <w:sz w:val="18"/>
              </w:rPr>
              <w:t>situado</w:t>
            </w:r>
            <w:r>
              <w:rPr>
                <w:spacing w:val="-10"/>
                <w:sz w:val="18"/>
              </w:rPr>
              <w:t> </w:t>
            </w:r>
            <w:r>
              <w:rPr>
                <w:sz w:val="18"/>
              </w:rPr>
              <w:t>en</w:t>
            </w:r>
            <w:r>
              <w:rPr>
                <w:spacing w:val="-10"/>
                <w:sz w:val="18"/>
              </w:rPr>
              <w:t> </w:t>
            </w:r>
            <w:r>
              <w:rPr>
                <w:sz w:val="18"/>
              </w:rPr>
              <w:t>el</w:t>
            </w:r>
            <w:r>
              <w:rPr>
                <w:spacing w:val="-10"/>
                <w:sz w:val="18"/>
              </w:rPr>
              <w:t> </w:t>
            </w:r>
            <w:r>
              <w:rPr>
                <w:sz w:val="18"/>
              </w:rPr>
              <w:t>grupo</w:t>
            </w:r>
            <w:r>
              <w:rPr>
                <w:spacing w:val="-10"/>
                <w:sz w:val="18"/>
              </w:rPr>
              <w:t> </w:t>
            </w:r>
            <w:r>
              <w:rPr>
                <w:sz w:val="18"/>
              </w:rPr>
              <w:t>6 de la tabla periódica, es un metal de transición frágil, de color gris acerado y brillante, resistente a la corrosión, empleado en aleaciones de acero</w:t>
            </w:r>
            <w:r>
              <w:rPr>
                <w:spacing w:val="-7"/>
                <w:sz w:val="18"/>
              </w:rPr>
              <w:t> </w:t>
            </w:r>
            <w:r>
              <w:rPr>
                <w:sz w:val="18"/>
              </w:rPr>
              <w:t>inoxidable.</w:t>
            </w:r>
          </w:p>
        </w:tc>
        <w:tc>
          <w:tcPr>
            <w:tcW w:w="2672" w:type="dxa"/>
          </w:tcPr>
          <w:p>
            <w:pPr>
              <w:pStyle w:val="TableParagraph"/>
              <w:ind w:left="105" w:right="101"/>
              <w:jc w:val="both"/>
              <w:rPr>
                <w:sz w:val="18"/>
              </w:rPr>
            </w:pPr>
            <w:r>
              <w:rPr>
                <w:sz w:val="18"/>
              </w:rPr>
              <w:t>La medición de la concentración  del  metal será</w:t>
            </w:r>
          </w:p>
          <w:p>
            <w:pPr>
              <w:pStyle w:val="TableParagraph"/>
              <w:ind w:left="105" w:right="101"/>
              <w:jc w:val="both"/>
              <w:rPr>
                <w:sz w:val="18"/>
              </w:rPr>
            </w:pPr>
            <w:r>
              <w:rPr>
                <w:sz w:val="18"/>
              </w:rPr>
              <w:t>µg/ml de saliva con espectómetro de absorción atómica con horno de grafito</w:t>
            </w:r>
          </w:p>
        </w:tc>
        <w:tc>
          <w:tcPr>
            <w:tcW w:w="2043" w:type="dxa"/>
          </w:tcPr>
          <w:p>
            <w:pPr>
              <w:pStyle w:val="TableParagraph"/>
              <w:ind w:left="655" w:right="523" w:hanging="116"/>
              <w:rPr>
                <w:sz w:val="18"/>
              </w:rPr>
            </w:pPr>
            <w:r>
              <w:rPr>
                <w:sz w:val="18"/>
              </w:rPr>
              <w:t>Cuantitativa Continua</w:t>
            </w:r>
          </w:p>
        </w:tc>
        <w:tc>
          <w:tcPr>
            <w:tcW w:w="2035" w:type="dxa"/>
          </w:tcPr>
          <w:p>
            <w:pPr>
              <w:pStyle w:val="TableParagraph"/>
              <w:spacing w:line="206" w:lineRule="exact"/>
              <w:ind w:left="636" w:right="638"/>
              <w:jc w:val="center"/>
              <w:rPr>
                <w:sz w:val="18"/>
              </w:rPr>
            </w:pPr>
            <w:r>
              <w:rPr>
                <w:sz w:val="18"/>
              </w:rPr>
              <w:t>Razones</w:t>
            </w:r>
          </w:p>
        </w:tc>
      </w:tr>
      <w:tr>
        <w:trPr>
          <w:trHeight w:val="2424" w:hRule="exact"/>
        </w:trPr>
        <w:tc>
          <w:tcPr>
            <w:tcW w:w="1544" w:type="dxa"/>
            <w:tcBorders>
              <w:top w:val="nil"/>
              <w:left w:val="nil"/>
              <w:bottom w:val="nil"/>
            </w:tcBorders>
          </w:tcPr>
          <w:p>
            <w:pPr>
              <w:pStyle w:val="TableParagraph"/>
              <w:spacing w:before="1"/>
              <w:ind w:left="345" w:right="83" w:hanging="72"/>
              <w:rPr>
                <w:i/>
                <w:sz w:val="18"/>
              </w:rPr>
            </w:pPr>
            <w:r>
              <w:rPr>
                <w:i/>
                <w:sz w:val="18"/>
              </w:rPr>
              <w:t>Concentración </w:t>
            </w:r>
            <w:r>
              <w:rPr>
                <w:i/>
                <w:sz w:val="18"/>
              </w:rPr>
              <w:t>de hierro (Fe)</w:t>
            </w:r>
          </w:p>
        </w:tc>
        <w:tc>
          <w:tcPr>
            <w:tcW w:w="2533" w:type="dxa"/>
            <w:shd w:val="clear" w:color="auto" w:fill="EAF0DD"/>
          </w:tcPr>
          <w:p>
            <w:pPr>
              <w:pStyle w:val="TableParagraph"/>
              <w:ind w:right="99"/>
              <w:jc w:val="both"/>
              <w:rPr>
                <w:sz w:val="18"/>
              </w:rPr>
            </w:pPr>
            <w:r>
              <w:rPr>
                <w:sz w:val="18"/>
              </w:rPr>
              <w:t>El hierro es un elemento químico</w:t>
            </w:r>
            <w:r>
              <w:rPr>
                <w:spacing w:val="-13"/>
                <w:sz w:val="18"/>
              </w:rPr>
              <w:t> </w:t>
            </w:r>
            <w:r>
              <w:rPr>
                <w:sz w:val="18"/>
              </w:rPr>
              <w:t>situado</w:t>
            </w:r>
            <w:r>
              <w:rPr>
                <w:spacing w:val="-10"/>
                <w:sz w:val="18"/>
              </w:rPr>
              <w:t> </w:t>
            </w:r>
            <w:r>
              <w:rPr>
                <w:sz w:val="18"/>
              </w:rPr>
              <w:t>en</w:t>
            </w:r>
            <w:r>
              <w:rPr>
                <w:spacing w:val="-10"/>
                <w:sz w:val="18"/>
              </w:rPr>
              <w:t> </w:t>
            </w:r>
            <w:r>
              <w:rPr>
                <w:sz w:val="18"/>
              </w:rPr>
              <w:t>el</w:t>
            </w:r>
            <w:r>
              <w:rPr>
                <w:spacing w:val="-10"/>
                <w:sz w:val="18"/>
              </w:rPr>
              <w:t> </w:t>
            </w:r>
            <w:r>
              <w:rPr>
                <w:sz w:val="18"/>
              </w:rPr>
              <w:t>grupo</w:t>
            </w:r>
            <w:r>
              <w:rPr>
                <w:spacing w:val="-10"/>
                <w:sz w:val="18"/>
              </w:rPr>
              <w:t> </w:t>
            </w:r>
            <w:r>
              <w:rPr>
                <w:sz w:val="18"/>
              </w:rPr>
              <w:t>8 de la tabla periódica, es un metal de transición, el cuarto más abundante en la</w:t>
            </w:r>
            <w:r>
              <w:rPr>
                <w:spacing w:val="-14"/>
                <w:sz w:val="18"/>
              </w:rPr>
              <w:t> </w:t>
            </w:r>
            <w:r>
              <w:rPr>
                <w:sz w:val="18"/>
              </w:rPr>
              <w:t>corteza terrestre. Metal maleable, de color gris plateado con propiedades magnéticas y</w:t>
            </w:r>
            <w:r>
              <w:rPr>
                <w:spacing w:val="-34"/>
                <w:sz w:val="18"/>
              </w:rPr>
              <w:t> </w:t>
            </w:r>
            <w:r>
              <w:rPr>
                <w:sz w:val="18"/>
              </w:rPr>
              <w:t>ex extremandamente duro y denso.</w:t>
            </w:r>
          </w:p>
        </w:tc>
        <w:tc>
          <w:tcPr>
            <w:tcW w:w="2672" w:type="dxa"/>
            <w:shd w:val="clear" w:color="auto" w:fill="EAF0DD"/>
          </w:tcPr>
          <w:p>
            <w:pPr>
              <w:pStyle w:val="TableParagraph"/>
              <w:ind w:left="105" w:right="101"/>
              <w:jc w:val="both"/>
              <w:rPr>
                <w:sz w:val="18"/>
              </w:rPr>
            </w:pPr>
            <w:r>
              <w:rPr>
                <w:sz w:val="18"/>
              </w:rPr>
              <w:t>La medición de la concentración  del  metal será</w:t>
            </w:r>
          </w:p>
          <w:p>
            <w:pPr>
              <w:pStyle w:val="TableParagraph"/>
              <w:spacing w:before="2"/>
              <w:ind w:left="105" w:right="101"/>
              <w:jc w:val="both"/>
              <w:rPr>
                <w:sz w:val="18"/>
              </w:rPr>
            </w:pPr>
            <w:r>
              <w:rPr>
                <w:sz w:val="18"/>
              </w:rPr>
              <w:t>µg/ml de saliva con espectómetro de absorción atómica con horno de grafito</w:t>
            </w:r>
          </w:p>
        </w:tc>
        <w:tc>
          <w:tcPr>
            <w:tcW w:w="2043" w:type="dxa"/>
            <w:shd w:val="clear" w:color="auto" w:fill="EAF0DD"/>
          </w:tcPr>
          <w:p>
            <w:pPr>
              <w:pStyle w:val="TableParagraph"/>
              <w:ind w:left="655" w:right="523" w:hanging="116"/>
              <w:rPr>
                <w:sz w:val="18"/>
              </w:rPr>
            </w:pPr>
            <w:r>
              <w:rPr>
                <w:sz w:val="18"/>
              </w:rPr>
              <w:t>Cuantitativa Continua</w:t>
            </w:r>
          </w:p>
        </w:tc>
        <w:tc>
          <w:tcPr>
            <w:tcW w:w="2035" w:type="dxa"/>
            <w:shd w:val="clear" w:color="auto" w:fill="EAF0DD"/>
          </w:tcPr>
          <w:p>
            <w:pPr>
              <w:pStyle w:val="TableParagraph"/>
              <w:spacing w:line="206" w:lineRule="exact"/>
              <w:ind w:left="636" w:right="638"/>
              <w:jc w:val="center"/>
              <w:rPr>
                <w:sz w:val="18"/>
              </w:rPr>
            </w:pPr>
            <w:r>
              <w:rPr>
                <w:sz w:val="18"/>
              </w:rPr>
              <w:t>Razones</w:t>
            </w:r>
          </w:p>
        </w:tc>
      </w:tr>
    </w:tbl>
    <w:p>
      <w:pPr>
        <w:spacing w:after="0" w:line="206" w:lineRule="exact"/>
        <w:jc w:val="center"/>
        <w:rPr>
          <w:sz w:val="18"/>
        </w:rPr>
        <w:sectPr>
          <w:pgSz w:w="12240" w:h="15840"/>
          <w:pgMar w:header="0" w:footer="887" w:top="1360" w:bottom="1140" w:left="600" w:right="600"/>
        </w:sectPr>
      </w:pPr>
    </w:p>
    <w:p>
      <w:pPr>
        <w:pStyle w:val="BodyText"/>
        <w:spacing w:before="3"/>
        <w:rPr>
          <w:rFonts w:ascii="Times New Roman"/>
          <w:sz w:val="6"/>
        </w:rPr>
      </w:pPr>
    </w:p>
    <w:tbl>
      <w:tblPr>
        <w:tblW w:w="0" w:type="auto"/>
        <w:jc w:val="left"/>
        <w:tblInd w:w="101" w:type="dxa"/>
        <w:tblBorders>
          <w:top w:val="single" w:sz="4" w:space="0" w:color="C2D59B"/>
          <w:left w:val="single" w:sz="4" w:space="0" w:color="C2D59B"/>
          <w:bottom w:val="single" w:sz="4" w:space="0" w:color="C2D59B"/>
          <w:right w:val="single" w:sz="4" w:space="0" w:color="C2D59B"/>
          <w:insideH w:val="single" w:sz="4" w:space="0" w:color="C2D59B"/>
          <w:insideV w:val="single" w:sz="4" w:space="0" w:color="C2D59B"/>
        </w:tblBorders>
        <w:tblLayout w:type="fixed"/>
        <w:tblCellMar>
          <w:top w:w="0" w:type="dxa"/>
          <w:left w:w="0" w:type="dxa"/>
          <w:bottom w:w="0" w:type="dxa"/>
          <w:right w:w="0" w:type="dxa"/>
        </w:tblCellMar>
        <w:tblLook w:val="01E0"/>
      </w:tblPr>
      <w:tblGrid>
        <w:gridCol w:w="1560"/>
        <w:gridCol w:w="2693"/>
        <w:gridCol w:w="2268"/>
        <w:gridCol w:w="1843"/>
        <w:gridCol w:w="1705"/>
      </w:tblGrid>
      <w:tr>
        <w:trPr>
          <w:trHeight w:val="608" w:hRule="exact"/>
        </w:trPr>
        <w:tc>
          <w:tcPr>
            <w:tcW w:w="1560" w:type="dxa"/>
            <w:tcBorders>
              <w:top w:val="nil"/>
              <w:left w:val="nil"/>
              <w:right w:val="nil"/>
            </w:tcBorders>
          </w:tcPr>
          <w:p>
            <w:pPr>
              <w:pStyle w:val="TableParagraph"/>
              <w:spacing w:line="184" w:lineRule="exact"/>
              <w:ind w:left="410" w:right="410"/>
              <w:jc w:val="center"/>
              <w:rPr>
                <w:b/>
                <w:sz w:val="18"/>
              </w:rPr>
            </w:pPr>
            <w:r>
              <w:rPr>
                <w:b/>
                <w:sz w:val="18"/>
              </w:rPr>
              <w:t>Variable</w:t>
            </w:r>
          </w:p>
        </w:tc>
        <w:tc>
          <w:tcPr>
            <w:tcW w:w="2693" w:type="dxa"/>
            <w:tcBorders>
              <w:top w:val="nil"/>
              <w:left w:val="nil"/>
              <w:right w:val="nil"/>
            </w:tcBorders>
          </w:tcPr>
          <w:p>
            <w:pPr>
              <w:pStyle w:val="TableParagraph"/>
              <w:spacing w:line="184" w:lineRule="exact"/>
              <w:ind w:left="410"/>
              <w:rPr>
                <w:b/>
                <w:sz w:val="18"/>
              </w:rPr>
            </w:pPr>
            <w:r>
              <w:rPr>
                <w:b/>
                <w:sz w:val="18"/>
              </w:rPr>
              <w:t>Definición conceptual</w:t>
            </w:r>
          </w:p>
        </w:tc>
        <w:tc>
          <w:tcPr>
            <w:tcW w:w="2268" w:type="dxa"/>
            <w:tcBorders>
              <w:top w:val="nil"/>
              <w:left w:val="nil"/>
              <w:right w:val="nil"/>
            </w:tcBorders>
          </w:tcPr>
          <w:p>
            <w:pPr>
              <w:pStyle w:val="TableParagraph"/>
              <w:spacing w:line="184" w:lineRule="exact"/>
              <w:ind w:left="168"/>
              <w:rPr>
                <w:b/>
                <w:sz w:val="18"/>
              </w:rPr>
            </w:pPr>
            <w:r>
              <w:rPr>
                <w:b/>
                <w:sz w:val="18"/>
              </w:rPr>
              <w:t>Definición operacional</w:t>
            </w:r>
          </w:p>
        </w:tc>
        <w:tc>
          <w:tcPr>
            <w:tcW w:w="1843" w:type="dxa"/>
            <w:tcBorders>
              <w:top w:val="nil"/>
              <w:left w:val="nil"/>
              <w:right w:val="nil"/>
            </w:tcBorders>
          </w:tcPr>
          <w:p>
            <w:pPr>
              <w:pStyle w:val="TableParagraph"/>
              <w:spacing w:line="184" w:lineRule="exact"/>
              <w:ind w:left="235"/>
              <w:rPr>
                <w:b/>
                <w:sz w:val="18"/>
              </w:rPr>
            </w:pPr>
            <w:r>
              <w:rPr>
                <w:b/>
                <w:sz w:val="18"/>
              </w:rPr>
              <w:t>Tipo de variable</w:t>
            </w:r>
          </w:p>
        </w:tc>
        <w:tc>
          <w:tcPr>
            <w:tcW w:w="1705" w:type="dxa"/>
            <w:tcBorders>
              <w:top w:val="nil"/>
              <w:left w:val="nil"/>
              <w:right w:val="nil"/>
            </w:tcBorders>
          </w:tcPr>
          <w:p>
            <w:pPr>
              <w:pStyle w:val="TableParagraph"/>
              <w:spacing w:line="184" w:lineRule="exact"/>
              <w:ind w:left="456" w:hanging="22"/>
              <w:rPr>
                <w:b/>
                <w:sz w:val="18"/>
              </w:rPr>
            </w:pPr>
            <w:r>
              <w:rPr>
                <w:b/>
                <w:sz w:val="18"/>
              </w:rPr>
              <w:t>Escala de</w:t>
            </w:r>
          </w:p>
          <w:p>
            <w:pPr>
              <w:pStyle w:val="TableParagraph"/>
              <w:spacing w:before="103"/>
              <w:ind w:left="456"/>
              <w:rPr>
                <w:b/>
                <w:sz w:val="18"/>
              </w:rPr>
            </w:pPr>
            <w:r>
              <w:rPr>
                <w:b/>
                <w:sz w:val="18"/>
              </w:rPr>
              <w:t>medición</w:t>
            </w:r>
          </w:p>
        </w:tc>
      </w:tr>
      <w:tr>
        <w:trPr>
          <w:trHeight w:val="630" w:hRule="exact"/>
        </w:trPr>
        <w:tc>
          <w:tcPr>
            <w:tcW w:w="1560" w:type="dxa"/>
            <w:tcBorders>
              <w:left w:val="nil"/>
              <w:bottom w:val="nil"/>
            </w:tcBorders>
          </w:tcPr>
          <w:p>
            <w:pPr>
              <w:pStyle w:val="TableParagraph"/>
              <w:spacing w:line="205" w:lineRule="exact"/>
              <w:ind w:left="113" w:right="110"/>
              <w:jc w:val="center"/>
              <w:rPr>
                <w:i/>
                <w:sz w:val="18"/>
              </w:rPr>
            </w:pPr>
            <w:r>
              <w:rPr>
                <w:i/>
                <w:sz w:val="18"/>
              </w:rPr>
              <w:t>Sexo</w:t>
            </w:r>
          </w:p>
        </w:tc>
        <w:tc>
          <w:tcPr>
            <w:tcW w:w="2693" w:type="dxa"/>
            <w:shd w:val="clear" w:color="auto" w:fill="EAF0DD"/>
          </w:tcPr>
          <w:p>
            <w:pPr>
              <w:pStyle w:val="TableParagraph"/>
              <w:ind w:right="103"/>
              <w:jc w:val="both"/>
              <w:rPr>
                <w:sz w:val="18"/>
              </w:rPr>
            </w:pPr>
            <w:r>
              <w:rPr>
                <w:sz w:val="18"/>
              </w:rPr>
              <w:t>Distinción de características biológicas o fisiológicas del ser humano</w:t>
            </w:r>
          </w:p>
        </w:tc>
        <w:tc>
          <w:tcPr>
            <w:tcW w:w="2268" w:type="dxa"/>
            <w:shd w:val="clear" w:color="auto" w:fill="EAF0DD"/>
          </w:tcPr>
          <w:p>
            <w:pPr>
              <w:pStyle w:val="TableParagraph"/>
              <w:spacing w:line="207" w:lineRule="exact"/>
              <w:ind w:right="101"/>
              <w:rPr>
                <w:sz w:val="18"/>
              </w:rPr>
            </w:pPr>
            <w:r>
              <w:rPr>
                <w:sz w:val="18"/>
              </w:rPr>
              <w:t>Femenino = 1</w:t>
            </w:r>
          </w:p>
          <w:p>
            <w:pPr>
              <w:pStyle w:val="TableParagraph"/>
              <w:spacing w:line="207" w:lineRule="exact"/>
              <w:ind w:right="101"/>
              <w:rPr>
                <w:sz w:val="18"/>
              </w:rPr>
            </w:pPr>
            <w:r>
              <w:rPr>
                <w:sz w:val="18"/>
              </w:rPr>
              <w:t>Masculino = 2</w:t>
            </w:r>
          </w:p>
        </w:tc>
        <w:tc>
          <w:tcPr>
            <w:tcW w:w="1843" w:type="dxa"/>
            <w:shd w:val="clear" w:color="auto" w:fill="EAF0DD"/>
          </w:tcPr>
          <w:p>
            <w:pPr>
              <w:pStyle w:val="TableParagraph"/>
              <w:spacing w:line="207" w:lineRule="exact"/>
              <w:rPr>
                <w:sz w:val="18"/>
              </w:rPr>
            </w:pPr>
            <w:r>
              <w:rPr>
                <w:sz w:val="18"/>
              </w:rPr>
              <w:t>Cualitativa</w:t>
            </w:r>
          </w:p>
          <w:p>
            <w:pPr>
              <w:pStyle w:val="TableParagraph"/>
              <w:spacing w:line="207" w:lineRule="exact"/>
              <w:rPr>
                <w:sz w:val="18"/>
              </w:rPr>
            </w:pPr>
            <w:r>
              <w:rPr>
                <w:sz w:val="18"/>
              </w:rPr>
              <w:t>Nominal: dicotómica</w:t>
            </w:r>
          </w:p>
        </w:tc>
        <w:tc>
          <w:tcPr>
            <w:tcW w:w="1705" w:type="dxa"/>
            <w:shd w:val="clear" w:color="auto" w:fill="EAF0DD"/>
          </w:tcPr>
          <w:p>
            <w:pPr>
              <w:pStyle w:val="TableParagraph"/>
              <w:rPr>
                <w:sz w:val="18"/>
              </w:rPr>
            </w:pPr>
            <w:r>
              <w:rPr>
                <w:sz w:val="18"/>
              </w:rPr>
              <w:t>Nominal</w:t>
            </w:r>
          </w:p>
        </w:tc>
      </w:tr>
      <w:tr>
        <w:trPr>
          <w:trHeight w:val="839" w:hRule="exact"/>
        </w:trPr>
        <w:tc>
          <w:tcPr>
            <w:tcW w:w="1560" w:type="dxa"/>
            <w:tcBorders>
              <w:top w:val="nil"/>
              <w:left w:val="nil"/>
              <w:bottom w:val="nil"/>
            </w:tcBorders>
          </w:tcPr>
          <w:p>
            <w:pPr>
              <w:pStyle w:val="TableParagraph"/>
              <w:spacing w:before="1"/>
              <w:ind w:left="113" w:right="110"/>
              <w:jc w:val="center"/>
              <w:rPr>
                <w:i/>
                <w:sz w:val="18"/>
              </w:rPr>
            </w:pPr>
            <w:r>
              <w:rPr>
                <w:i/>
                <w:sz w:val="18"/>
              </w:rPr>
              <w:t>Edad</w:t>
            </w:r>
          </w:p>
        </w:tc>
        <w:tc>
          <w:tcPr>
            <w:tcW w:w="2693" w:type="dxa"/>
          </w:tcPr>
          <w:p>
            <w:pPr>
              <w:pStyle w:val="TableParagraph"/>
              <w:ind w:right="99"/>
              <w:rPr>
                <w:sz w:val="18"/>
              </w:rPr>
            </w:pPr>
            <w:r>
              <w:rPr>
                <w:sz w:val="18"/>
              </w:rPr>
              <w:t>Tiempo que ha vivido una persona desde su nacimiento. Número de años y meses cumplidos</w:t>
            </w:r>
          </w:p>
        </w:tc>
        <w:tc>
          <w:tcPr>
            <w:tcW w:w="2268" w:type="dxa"/>
          </w:tcPr>
          <w:p>
            <w:pPr>
              <w:pStyle w:val="TableParagraph"/>
              <w:numPr>
                <w:ilvl w:val="0"/>
                <w:numId w:val="13"/>
              </w:numPr>
              <w:tabs>
                <w:tab w:pos="254" w:val="left" w:leader="none"/>
              </w:tabs>
              <w:spacing w:line="206" w:lineRule="exact" w:before="0" w:after="0"/>
              <w:ind w:left="253" w:right="0" w:hanging="150"/>
              <w:jc w:val="left"/>
              <w:rPr>
                <w:sz w:val="18"/>
              </w:rPr>
            </w:pPr>
            <w:r>
              <w:rPr>
                <w:sz w:val="18"/>
              </w:rPr>
              <w:t>años</w:t>
            </w:r>
          </w:p>
          <w:p>
            <w:pPr>
              <w:pStyle w:val="TableParagraph"/>
              <w:numPr>
                <w:ilvl w:val="0"/>
                <w:numId w:val="13"/>
              </w:numPr>
              <w:tabs>
                <w:tab w:pos="254" w:val="left" w:leader="none"/>
              </w:tabs>
              <w:spacing w:line="207" w:lineRule="exact" w:before="2" w:after="0"/>
              <w:ind w:left="253" w:right="0" w:hanging="150"/>
              <w:jc w:val="left"/>
              <w:rPr>
                <w:sz w:val="18"/>
              </w:rPr>
            </w:pPr>
            <w:r>
              <w:rPr>
                <w:sz w:val="18"/>
              </w:rPr>
              <w:t>años</w:t>
            </w:r>
          </w:p>
          <w:p>
            <w:pPr>
              <w:pStyle w:val="TableParagraph"/>
              <w:numPr>
                <w:ilvl w:val="0"/>
                <w:numId w:val="13"/>
              </w:numPr>
              <w:tabs>
                <w:tab w:pos="254" w:val="left" w:leader="none"/>
              </w:tabs>
              <w:spacing w:line="207" w:lineRule="exact" w:before="0" w:after="0"/>
              <w:ind w:left="253" w:right="0" w:hanging="150"/>
              <w:jc w:val="left"/>
              <w:rPr>
                <w:sz w:val="18"/>
              </w:rPr>
            </w:pPr>
            <w:r>
              <w:rPr>
                <w:sz w:val="18"/>
              </w:rPr>
              <w:t>años</w:t>
            </w:r>
          </w:p>
        </w:tc>
        <w:tc>
          <w:tcPr>
            <w:tcW w:w="1843" w:type="dxa"/>
          </w:tcPr>
          <w:p>
            <w:pPr>
              <w:pStyle w:val="TableParagraph"/>
              <w:ind w:right="760"/>
              <w:rPr>
                <w:sz w:val="18"/>
              </w:rPr>
            </w:pPr>
            <w:r>
              <w:rPr>
                <w:sz w:val="18"/>
              </w:rPr>
              <w:t>Cuantitativa Discontinua</w:t>
            </w:r>
          </w:p>
        </w:tc>
        <w:tc>
          <w:tcPr>
            <w:tcW w:w="1705" w:type="dxa"/>
          </w:tcPr>
          <w:p>
            <w:pPr>
              <w:pStyle w:val="TableParagraph"/>
              <w:spacing w:line="206" w:lineRule="exact"/>
              <w:rPr>
                <w:sz w:val="18"/>
              </w:rPr>
            </w:pPr>
            <w:r>
              <w:rPr>
                <w:sz w:val="18"/>
              </w:rPr>
              <w:t>Intervalo</w:t>
            </w:r>
          </w:p>
        </w:tc>
      </w:tr>
      <w:tr>
        <w:trPr>
          <w:trHeight w:val="2080" w:hRule="exact"/>
        </w:trPr>
        <w:tc>
          <w:tcPr>
            <w:tcW w:w="1560" w:type="dxa"/>
            <w:tcBorders>
              <w:top w:val="nil"/>
              <w:left w:val="nil"/>
              <w:bottom w:val="nil"/>
            </w:tcBorders>
          </w:tcPr>
          <w:p>
            <w:pPr>
              <w:pStyle w:val="TableParagraph"/>
              <w:spacing w:before="2"/>
              <w:ind w:left="112" w:right="110"/>
              <w:jc w:val="center"/>
              <w:rPr>
                <w:i/>
                <w:sz w:val="18"/>
              </w:rPr>
            </w:pPr>
            <w:r>
              <w:rPr>
                <w:i/>
                <w:sz w:val="18"/>
              </w:rPr>
              <w:t>pH salival</w:t>
            </w:r>
          </w:p>
        </w:tc>
        <w:tc>
          <w:tcPr>
            <w:tcW w:w="2693" w:type="dxa"/>
            <w:shd w:val="clear" w:color="auto" w:fill="EAF0DD"/>
          </w:tcPr>
          <w:p>
            <w:pPr>
              <w:pStyle w:val="TableParagraph"/>
              <w:ind w:right="99"/>
              <w:rPr>
                <w:sz w:val="18"/>
              </w:rPr>
            </w:pPr>
            <w:r>
              <w:rPr>
                <w:sz w:val="18"/>
              </w:rPr>
              <w:t>Es el grado de alcalinidad o acidez de la saliva estimulada</w:t>
            </w:r>
          </w:p>
        </w:tc>
        <w:tc>
          <w:tcPr>
            <w:tcW w:w="2268" w:type="dxa"/>
            <w:shd w:val="clear" w:color="auto" w:fill="EAF0DD"/>
          </w:tcPr>
          <w:p>
            <w:pPr>
              <w:pStyle w:val="TableParagraph"/>
              <w:ind w:right="101"/>
              <w:jc w:val="both"/>
              <w:rPr>
                <w:sz w:val="18"/>
              </w:rPr>
            </w:pPr>
            <w:r>
              <w:rPr>
                <w:sz w:val="18"/>
              </w:rPr>
              <w:t>Se realizará por medio</w:t>
            </w:r>
            <w:r>
              <w:rPr>
                <w:spacing w:val="-19"/>
                <w:sz w:val="18"/>
              </w:rPr>
              <w:t> </w:t>
            </w:r>
            <w:r>
              <w:rPr>
                <w:sz w:val="18"/>
              </w:rPr>
              <w:t>de tiras reactivas de</w:t>
            </w:r>
            <w:r>
              <w:rPr>
                <w:spacing w:val="-16"/>
                <w:sz w:val="18"/>
              </w:rPr>
              <w:t> </w:t>
            </w:r>
            <w:r>
              <w:rPr>
                <w:sz w:val="18"/>
              </w:rPr>
              <w:t>acuerdo a las indicaciones del fabricante.</w:t>
            </w:r>
          </w:p>
          <w:p>
            <w:pPr>
              <w:pStyle w:val="TableParagraph"/>
              <w:spacing w:before="2"/>
              <w:ind w:right="101"/>
              <w:rPr>
                <w:sz w:val="18"/>
              </w:rPr>
            </w:pPr>
            <w:r>
              <w:rPr>
                <w:sz w:val="18"/>
              </w:rPr>
              <w:t>Acidez elevada (rojo): pH 5.0-5.8=1</w:t>
            </w:r>
          </w:p>
          <w:p>
            <w:pPr>
              <w:pStyle w:val="TableParagraph"/>
              <w:tabs>
                <w:tab w:pos="1345" w:val="left" w:leader="none"/>
              </w:tabs>
              <w:ind w:right="98"/>
              <w:rPr>
                <w:sz w:val="18"/>
              </w:rPr>
            </w:pPr>
            <w:r>
              <w:rPr>
                <w:sz w:val="18"/>
              </w:rPr>
              <w:t>Acidez</w:t>
              <w:tab/>
              <w:t>moderada (amarillo): pH 6.0-6.6=2 Normal (verde): pH 6.8- 7.8=3</w:t>
            </w:r>
          </w:p>
        </w:tc>
        <w:tc>
          <w:tcPr>
            <w:tcW w:w="1843" w:type="dxa"/>
            <w:shd w:val="clear" w:color="auto" w:fill="EAF0DD"/>
          </w:tcPr>
          <w:p>
            <w:pPr>
              <w:pStyle w:val="TableParagraph"/>
              <w:ind w:right="870"/>
              <w:rPr>
                <w:sz w:val="18"/>
              </w:rPr>
            </w:pPr>
            <w:r>
              <w:rPr>
                <w:sz w:val="18"/>
              </w:rPr>
              <w:t>Cualitativa Ordinal</w:t>
            </w:r>
          </w:p>
        </w:tc>
        <w:tc>
          <w:tcPr>
            <w:tcW w:w="1705" w:type="dxa"/>
            <w:shd w:val="clear" w:color="auto" w:fill="EAF0DD"/>
          </w:tcPr>
          <w:p>
            <w:pPr>
              <w:pStyle w:val="TableParagraph"/>
              <w:rPr>
                <w:sz w:val="18"/>
              </w:rPr>
            </w:pPr>
            <w:r>
              <w:rPr>
                <w:sz w:val="18"/>
              </w:rPr>
              <w:t>Ordinal</w:t>
            </w:r>
          </w:p>
        </w:tc>
      </w:tr>
      <w:tr>
        <w:trPr>
          <w:trHeight w:val="2700" w:hRule="exact"/>
        </w:trPr>
        <w:tc>
          <w:tcPr>
            <w:tcW w:w="1560" w:type="dxa"/>
            <w:tcBorders>
              <w:top w:val="nil"/>
              <w:left w:val="nil"/>
              <w:bottom w:val="nil"/>
            </w:tcBorders>
          </w:tcPr>
          <w:p>
            <w:pPr>
              <w:pStyle w:val="TableParagraph"/>
              <w:spacing w:before="1"/>
              <w:ind w:left="134" w:right="110" w:firstLine="38"/>
              <w:rPr>
                <w:i/>
                <w:sz w:val="18"/>
              </w:rPr>
            </w:pPr>
            <w:r>
              <w:rPr>
                <w:i/>
                <w:sz w:val="18"/>
              </w:rPr>
              <w:t>Índice de placa </w:t>
            </w:r>
            <w:r>
              <w:rPr>
                <w:i/>
                <w:sz w:val="18"/>
              </w:rPr>
              <w:t>dentobacteriana</w:t>
            </w:r>
          </w:p>
        </w:tc>
        <w:tc>
          <w:tcPr>
            <w:tcW w:w="2693" w:type="dxa"/>
          </w:tcPr>
          <w:p>
            <w:pPr>
              <w:pStyle w:val="TableParagraph"/>
              <w:ind w:right="189"/>
              <w:rPr>
                <w:sz w:val="18"/>
              </w:rPr>
            </w:pPr>
            <w:r>
              <w:rPr>
                <w:sz w:val="18"/>
              </w:rPr>
              <w:t>La placa dental o bacteriana es una capa blanda que se encuentra en la boca y que crece adhiriéndose al margen gingival, espacios interproximales y fisuras oclusales.</w:t>
            </w:r>
          </w:p>
        </w:tc>
        <w:tc>
          <w:tcPr>
            <w:tcW w:w="2268" w:type="dxa"/>
          </w:tcPr>
          <w:p>
            <w:pPr>
              <w:pStyle w:val="TableParagraph"/>
              <w:spacing w:line="206" w:lineRule="exact"/>
              <w:jc w:val="both"/>
              <w:rPr>
                <w:sz w:val="18"/>
              </w:rPr>
            </w:pPr>
            <w:r>
              <w:rPr>
                <w:sz w:val="18"/>
              </w:rPr>
              <w:t>Índice O´Leary</w:t>
            </w:r>
          </w:p>
          <w:p>
            <w:pPr>
              <w:pStyle w:val="TableParagraph"/>
              <w:ind w:right="102"/>
              <w:jc w:val="both"/>
              <w:rPr>
                <w:sz w:val="18"/>
              </w:rPr>
            </w:pPr>
            <w:r>
              <w:rPr>
                <w:sz w:val="18"/>
              </w:rPr>
              <w:t>Se realiza mediante la tinción de biofilm mediante una sustancia reveladora de un tono.</w:t>
            </w:r>
          </w:p>
          <w:p>
            <w:pPr>
              <w:pStyle w:val="TableParagraph"/>
              <w:ind w:right="100"/>
              <w:jc w:val="both"/>
              <w:rPr>
                <w:sz w:val="18"/>
              </w:rPr>
            </w:pPr>
            <w:r>
              <w:rPr>
                <w:sz w:val="18"/>
              </w:rPr>
              <w:t>Para cada paciente con dos controles de placa en cada valoración y seguimiento.</w:t>
            </w:r>
          </w:p>
          <w:p>
            <w:pPr>
              <w:pStyle w:val="TableParagraph"/>
              <w:tabs>
                <w:tab w:pos="568" w:val="left" w:leader="none"/>
                <w:tab w:pos="911" w:val="left" w:leader="none"/>
                <w:tab w:pos="1916" w:val="left" w:leader="none"/>
              </w:tabs>
              <w:ind w:right="101"/>
              <w:rPr>
                <w:sz w:val="18"/>
              </w:rPr>
            </w:pPr>
            <w:r>
              <w:rPr>
                <w:sz w:val="18"/>
              </w:rPr>
              <w:t>En  porcentaje  0-100% Va</w:t>
              <w:tab/>
              <w:t>a</w:t>
              <w:tab/>
              <w:t>depender</w:t>
              <w:tab/>
              <w:t>del</w:t>
            </w:r>
            <w:r>
              <w:rPr>
                <w:w w:val="99"/>
                <w:sz w:val="18"/>
              </w:rPr>
              <w:t> </w:t>
            </w:r>
            <w:r>
              <w:rPr>
                <w:sz w:val="18"/>
              </w:rPr>
              <w:t>número de dientes y las superficies</w:t>
            </w:r>
            <w:r>
              <w:rPr>
                <w:spacing w:val="-10"/>
                <w:sz w:val="18"/>
              </w:rPr>
              <w:t> </w:t>
            </w:r>
            <w:r>
              <w:rPr>
                <w:sz w:val="18"/>
              </w:rPr>
              <w:t>pintadas</w:t>
            </w:r>
          </w:p>
        </w:tc>
        <w:tc>
          <w:tcPr>
            <w:tcW w:w="1843" w:type="dxa"/>
          </w:tcPr>
          <w:p>
            <w:pPr>
              <w:pStyle w:val="TableParagraph"/>
              <w:spacing w:line="206" w:lineRule="exact"/>
              <w:rPr>
                <w:sz w:val="18"/>
              </w:rPr>
            </w:pPr>
            <w:r>
              <w:rPr>
                <w:sz w:val="18"/>
              </w:rPr>
              <w:t>Cuantitativa</w:t>
            </w:r>
          </w:p>
        </w:tc>
        <w:tc>
          <w:tcPr>
            <w:tcW w:w="1705" w:type="dxa"/>
          </w:tcPr>
          <w:p>
            <w:pPr>
              <w:pStyle w:val="TableParagraph"/>
              <w:spacing w:line="206" w:lineRule="exact"/>
              <w:rPr>
                <w:sz w:val="18"/>
              </w:rPr>
            </w:pPr>
            <w:r>
              <w:rPr>
                <w:sz w:val="18"/>
              </w:rPr>
              <w:t>Intervalo</w:t>
            </w:r>
          </w:p>
        </w:tc>
      </w:tr>
      <w:tr>
        <w:trPr>
          <w:trHeight w:val="1047" w:hRule="exact"/>
        </w:trPr>
        <w:tc>
          <w:tcPr>
            <w:tcW w:w="1560" w:type="dxa"/>
            <w:tcBorders>
              <w:top w:val="nil"/>
              <w:left w:val="nil"/>
              <w:bottom w:val="nil"/>
            </w:tcBorders>
          </w:tcPr>
          <w:p>
            <w:pPr>
              <w:pStyle w:val="TableParagraph"/>
              <w:spacing w:before="1"/>
              <w:ind w:left="333" w:right="329" w:hanging="2"/>
              <w:jc w:val="center"/>
              <w:rPr>
                <w:i/>
                <w:sz w:val="18"/>
              </w:rPr>
            </w:pPr>
            <w:r>
              <w:rPr>
                <w:i/>
                <w:sz w:val="18"/>
              </w:rPr>
              <w:t>Dientes </w:t>
            </w:r>
            <w:r>
              <w:rPr>
                <w:i/>
                <w:sz w:val="18"/>
              </w:rPr>
              <w:t>temporales presentes</w:t>
            </w:r>
          </w:p>
        </w:tc>
        <w:tc>
          <w:tcPr>
            <w:tcW w:w="2693" w:type="dxa"/>
            <w:shd w:val="clear" w:color="auto" w:fill="EAF0DD"/>
          </w:tcPr>
          <w:p>
            <w:pPr>
              <w:pStyle w:val="TableParagraph"/>
              <w:spacing w:line="242" w:lineRule="auto"/>
              <w:ind w:right="239"/>
              <w:rPr>
                <w:sz w:val="18"/>
              </w:rPr>
            </w:pPr>
            <w:r>
              <w:rPr>
                <w:sz w:val="18"/>
              </w:rPr>
              <w:t>Número de órganos dentales presentes en la infancia</w:t>
            </w:r>
          </w:p>
        </w:tc>
        <w:tc>
          <w:tcPr>
            <w:tcW w:w="2268" w:type="dxa"/>
            <w:shd w:val="clear" w:color="auto" w:fill="EAF0DD"/>
          </w:tcPr>
          <w:p>
            <w:pPr>
              <w:pStyle w:val="TableParagraph"/>
              <w:spacing w:line="206" w:lineRule="exact"/>
              <w:ind w:right="101"/>
              <w:rPr>
                <w:sz w:val="18"/>
              </w:rPr>
            </w:pPr>
            <w:r>
              <w:rPr>
                <w:sz w:val="18"/>
              </w:rPr>
              <w:t>16=1</w:t>
            </w:r>
          </w:p>
          <w:p>
            <w:pPr>
              <w:pStyle w:val="TableParagraph"/>
              <w:spacing w:line="207" w:lineRule="exact" w:before="2"/>
              <w:ind w:right="101"/>
              <w:rPr>
                <w:sz w:val="18"/>
              </w:rPr>
            </w:pPr>
            <w:r>
              <w:rPr>
                <w:sz w:val="18"/>
              </w:rPr>
              <w:t>17=2</w:t>
            </w:r>
          </w:p>
          <w:p>
            <w:pPr>
              <w:pStyle w:val="TableParagraph"/>
              <w:spacing w:line="206" w:lineRule="exact"/>
              <w:ind w:right="101"/>
              <w:rPr>
                <w:sz w:val="18"/>
              </w:rPr>
            </w:pPr>
            <w:r>
              <w:rPr>
                <w:sz w:val="18"/>
              </w:rPr>
              <w:t>18=4</w:t>
            </w:r>
          </w:p>
          <w:p>
            <w:pPr>
              <w:pStyle w:val="TableParagraph"/>
              <w:spacing w:line="206" w:lineRule="exact"/>
              <w:ind w:right="101"/>
              <w:rPr>
                <w:sz w:val="18"/>
              </w:rPr>
            </w:pPr>
            <w:r>
              <w:rPr>
                <w:sz w:val="18"/>
              </w:rPr>
              <w:t>19_5</w:t>
            </w:r>
          </w:p>
          <w:p>
            <w:pPr>
              <w:pStyle w:val="TableParagraph"/>
              <w:spacing w:line="207" w:lineRule="exact"/>
              <w:ind w:right="101"/>
              <w:rPr>
                <w:sz w:val="18"/>
              </w:rPr>
            </w:pPr>
            <w:r>
              <w:rPr>
                <w:sz w:val="18"/>
              </w:rPr>
              <w:t>20=6</w:t>
            </w:r>
          </w:p>
        </w:tc>
        <w:tc>
          <w:tcPr>
            <w:tcW w:w="1843" w:type="dxa"/>
            <w:shd w:val="clear" w:color="auto" w:fill="EAF0DD"/>
          </w:tcPr>
          <w:p>
            <w:pPr>
              <w:pStyle w:val="TableParagraph"/>
              <w:spacing w:line="206" w:lineRule="exact"/>
              <w:rPr>
                <w:sz w:val="18"/>
              </w:rPr>
            </w:pPr>
            <w:r>
              <w:rPr>
                <w:sz w:val="18"/>
              </w:rPr>
              <w:t>Cuantitativa</w:t>
            </w:r>
          </w:p>
        </w:tc>
        <w:tc>
          <w:tcPr>
            <w:tcW w:w="1705" w:type="dxa"/>
            <w:shd w:val="clear" w:color="auto" w:fill="EAF0DD"/>
          </w:tcPr>
          <w:p>
            <w:pPr>
              <w:pStyle w:val="TableParagraph"/>
              <w:spacing w:line="206" w:lineRule="exact"/>
              <w:rPr>
                <w:sz w:val="18"/>
              </w:rPr>
            </w:pPr>
            <w:r>
              <w:rPr>
                <w:sz w:val="18"/>
              </w:rPr>
              <w:t>Nominal</w:t>
            </w:r>
          </w:p>
        </w:tc>
      </w:tr>
      <w:tr>
        <w:trPr>
          <w:trHeight w:val="631" w:hRule="exact"/>
        </w:trPr>
        <w:tc>
          <w:tcPr>
            <w:tcW w:w="1560" w:type="dxa"/>
            <w:tcBorders>
              <w:top w:val="nil"/>
              <w:left w:val="nil"/>
              <w:bottom w:val="nil"/>
            </w:tcBorders>
          </w:tcPr>
          <w:p>
            <w:pPr>
              <w:pStyle w:val="TableParagraph"/>
              <w:spacing w:before="1"/>
              <w:ind w:left="114" w:right="110"/>
              <w:jc w:val="center"/>
              <w:rPr>
                <w:i/>
                <w:sz w:val="18"/>
              </w:rPr>
            </w:pPr>
            <w:r>
              <w:rPr>
                <w:i/>
                <w:sz w:val="18"/>
              </w:rPr>
              <w:t>Cepillado dental</w:t>
            </w:r>
          </w:p>
        </w:tc>
        <w:tc>
          <w:tcPr>
            <w:tcW w:w="2693" w:type="dxa"/>
          </w:tcPr>
          <w:p>
            <w:pPr>
              <w:pStyle w:val="TableParagraph"/>
              <w:ind w:right="99"/>
              <w:rPr>
                <w:sz w:val="18"/>
              </w:rPr>
            </w:pPr>
            <w:r>
              <w:rPr>
                <w:sz w:val="18"/>
              </w:rPr>
              <w:t>Número de veces del cepillado dental al día</w:t>
            </w:r>
          </w:p>
        </w:tc>
        <w:tc>
          <w:tcPr>
            <w:tcW w:w="2268" w:type="dxa"/>
          </w:tcPr>
          <w:p>
            <w:pPr>
              <w:pStyle w:val="TableParagraph"/>
              <w:numPr>
                <w:ilvl w:val="0"/>
                <w:numId w:val="14"/>
              </w:numPr>
              <w:tabs>
                <w:tab w:pos="254" w:val="left" w:leader="none"/>
              </w:tabs>
              <w:spacing w:line="206" w:lineRule="exact" w:before="0" w:after="0"/>
              <w:ind w:left="253" w:right="0" w:hanging="150"/>
              <w:jc w:val="left"/>
              <w:rPr>
                <w:sz w:val="18"/>
              </w:rPr>
            </w:pPr>
            <w:r>
              <w:rPr>
                <w:sz w:val="18"/>
              </w:rPr>
              <w:t>vez al</w:t>
            </w:r>
            <w:r>
              <w:rPr>
                <w:spacing w:val="-4"/>
                <w:sz w:val="18"/>
              </w:rPr>
              <w:t> </w:t>
            </w:r>
            <w:r>
              <w:rPr>
                <w:sz w:val="18"/>
              </w:rPr>
              <w:t>día</w:t>
            </w:r>
          </w:p>
          <w:p>
            <w:pPr>
              <w:pStyle w:val="TableParagraph"/>
              <w:numPr>
                <w:ilvl w:val="0"/>
                <w:numId w:val="14"/>
              </w:numPr>
              <w:tabs>
                <w:tab w:pos="254" w:val="left" w:leader="none"/>
              </w:tabs>
              <w:spacing w:line="206" w:lineRule="exact" w:before="0" w:after="0"/>
              <w:ind w:left="253" w:right="0" w:hanging="150"/>
              <w:jc w:val="left"/>
              <w:rPr>
                <w:sz w:val="18"/>
              </w:rPr>
            </w:pPr>
            <w:r>
              <w:rPr>
                <w:sz w:val="18"/>
              </w:rPr>
              <w:t>veces al</w:t>
            </w:r>
            <w:r>
              <w:rPr>
                <w:spacing w:val="-4"/>
                <w:sz w:val="18"/>
              </w:rPr>
              <w:t> </w:t>
            </w:r>
            <w:r>
              <w:rPr>
                <w:sz w:val="18"/>
              </w:rPr>
              <w:t>día</w:t>
            </w:r>
          </w:p>
          <w:p>
            <w:pPr>
              <w:pStyle w:val="TableParagraph"/>
              <w:numPr>
                <w:ilvl w:val="0"/>
                <w:numId w:val="14"/>
              </w:numPr>
              <w:tabs>
                <w:tab w:pos="254" w:val="left" w:leader="none"/>
              </w:tabs>
              <w:spacing w:line="207" w:lineRule="exact" w:before="0" w:after="0"/>
              <w:ind w:left="253" w:right="0" w:hanging="150"/>
              <w:jc w:val="left"/>
              <w:rPr>
                <w:sz w:val="18"/>
              </w:rPr>
            </w:pPr>
            <w:r>
              <w:rPr>
                <w:sz w:val="18"/>
              </w:rPr>
              <w:t>o más veces al</w:t>
            </w:r>
            <w:r>
              <w:rPr>
                <w:spacing w:val="-7"/>
                <w:sz w:val="18"/>
              </w:rPr>
              <w:t> </w:t>
            </w:r>
            <w:r>
              <w:rPr>
                <w:sz w:val="18"/>
              </w:rPr>
              <w:t>día</w:t>
            </w:r>
          </w:p>
        </w:tc>
        <w:tc>
          <w:tcPr>
            <w:tcW w:w="1843" w:type="dxa"/>
          </w:tcPr>
          <w:p>
            <w:pPr>
              <w:pStyle w:val="TableParagraph"/>
              <w:spacing w:line="206" w:lineRule="exact"/>
              <w:rPr>
                <w:sz w:val="18"/>
              </w:rPr>
            </w:pPr>
            <w:r>
              <w:rPr>
                <w:sz w:val="18"/>
              </w:rPr>
              <w:t>Cualitativa</w:t>
            </w:r>
          </w:p>
        </w:tc>
        <w:tc>
          <w:tcPr>
            <w:tcW w:w="1705" w:type="dxa"/>
          </w:tcPr>
          <w:p>
            <w:pPr>
              <w:pStyle w:val="TableParagraph"/>
              <w:spacing w:line="206" w:lineRule="exact"/>
              <w:rPr>
                <w:sz w:val="18"/>
              </w:rPr>
            </w:pPr>
            <w:r>
              <w:rPr>
                <w:sz w:val="18"/>
              </w:rPr>
              <w:t>Nominal</w:t>
            </w:r>
          </w:p>
        </w:tc>
      </w:tr>
      <w:tr>
        <w:trPr>
          <w:trHeight w:val="838" w:hRule="exact"/>
        </w:trPr>
        <w:tc>
          <w:tcPr>
            <w:tcW w:w="1560" w:type="dxa"/>
            <w:tcBorders>
              <w:top w:val="nil"/>
              <w:left w:val="nil"/>
              <w:bottom w:val="nil"/>
            </w:tcBorders>
          </w:tcPr>
          <w:p>
            <w:pPr>
              <w:pStyle w:val="TableParagraph"/>
              <w:spacing w:before="1"/>
              <w:ind w:left="153" w:right="131" w:firstLine="98"/>
              <w:rPr>
                <w:i/>
                <w:sz w:val="18"/>
              </w:rPr>
            </w:pPr>
            <w:r>
              <w:rPr>
                <w:i/>
                <w:sz w:val="18"/>
              </w:rPr>
              <w:t>Operador del </w:t>
            </w:r>
            <w:r>
              <w:rPr>
                <w:i/>
                <w:sz w:val="18"/>
              </w:rPr>
              <w:t>cepillado dental</w:t>
            </w:r>
          </w:p>
        </w:tc>
        <w:tc>
          <w:tcPr>
            <w:tcW w:w="2693" w:type="dxa"/>
            <w:shd w:val="clear" w:color="auto" w:fill="EAF0DD"/>
          </w:tcPr>
          <w:p>
            <w:pPr>
              <w:pStyle w:val="TableParagraph"/>
              <w:ind w:right="103"/>
              <w:jc w:val="both"/>
              <w:rPr>
                <w:sz w:val="18"/>
              </w:rPr>
            </w:pPr>
            <w:r>
              <w:rPr>
                <w:sz w:val="18"/>
              </w:rPr>
              <w:t>Individuo que lleva a cabo el cepillado dental para el control de la placa dentobacteriana.</w:t>
            </w:r>
          </w:p>
        </w:tc>
        <w:tc>
          <w:tcPr>
            <w:tcW w:w="2268" w:type="dxa"/>
            <w:shd w:val="clear" w:color="auto" w:fill="EAF0DD"/>
          </w:tcPr>
          <w:p>
            <w:pPr>
              <w:pStyle w:val="TableParagraph"/>
              <w:spacing w:line="206" w:lineRule="exact"/>
              <w:ind w:right="101"/>
              <w:rPr>
                <w:sz w:val="18"/>
              </w:rPr>
            </w:pPr>
            <w:r>
              <w:rPr>
                <w:sz w:val="18"/>
              </w:rPr>
              <w:t>Niño =1</w:t>
            </w:r>
          </w:p>
          <w:p>
            <w:pPr>
              <w:pStyle w:val="TableParagraph"/>
              <w:spacing w:line="206" w:lineRule="exact"/>
              <w:ind w:right="101"/>
              <w:rPr>
                <w:sz w:val="18"/>
              </w:rPr>
            </w:pPr>
            <w:r>
              <w:rPr>
                <w:sz w:val="18"/>
              </w:rPr>
              <w:t>Mamá =2</w:t>
            </w:r>
          </w:p>
          <w:p>
            <w:pPr>
              <w:pStyle w:val="TableParagraph"/>
              <w:spacing w:line="206" w:lineRule="exact"/>
              <w:ind w:right="101"/>
              <w:rPr>
                <w:sz w:val="18"/>
              </w:rPr>
            </w:pPr>
            <w:r>
              <w:rPr>
                <w:sz w:val="18"/>
              </w:rPr>
              <w:t>Papá =3</w:t>
            </w:r>
          </w:p>
          <w:p>
            <w:pPr>
              <w:pStyle w:val="TableParagraph"/>
              <w:spacing w:line="207" w:lineRule="exact"/>
              <w:ind w:right="101"/>
              <w:rPr>
                <w:sz w:val="18"/>
              </w:rPr>
            </w:pPr>
            <w:r>
              <w:rPr>
                <w:sz w:val="18"/>
              </w:rPr>
              <w:t>Otro familiar=4</w:t>
            </w:r>
          </w:p>
        </w:tc>
        <w:tc>
          <w:tcPr>
            <w:tcW w:w="1843" w:type="dxa"/>
            <w:shd w:val="clear" w:color="auto" w:fill="EAF0DD"/>
          </w:tcPr>
          <w:p>
            <w:pPr>
              <w:pStyle w:val="TableParagraph"/>
              <w:spacing w:line="206" w:lineRule="exact"/>
              <w:rPr>
                <w:sz w:val="18"/>
              </w:rPr>
            </w:pPr>
            <w:r>
              <w:rPr>
                <w:sz w:val="18"/>
              </w:rPr>
              <w:t>Cualitativo</w:t>
            </w:r>
          </w:p>
        </w:tc>
        <w:tc>
          <w:tcPr>
            <w:tcW w:w="1705" w:type="dxa"/>
            <w:shd w:val="clear" w:color="auto" w:fill="EAF0DD"/>
          </w:tcPr>
          <w:p>
            <w:pPr>
              <w:pStyle w:val="TableParagraph"/>
              <w:spacing w:line="206" w:lineRule="exact"/>
              <w:rPr>
                <w:sz w:val="18"/>
              </w:rPr>
            </w:pPr>
            <w:r>
              <w:rPr>
                <w:sz w:val="18"/>
              </w:rPr>
              <w:t>Nominal</w:t>
            </w:r>
          </w:p>
        </w:tc>
      </w:tr>
      <w:tr>
        <w:trPr>
          <w:trHeight w:val="1044" w:hRule="exact"/>
        </w:trPr>
        <w:tc>
          <w:tcPr>
            <w:tcW w:w="1560" w:type="dxa"/>
            <w:tcBorders>
              <w:top w:val="nil"/>
              <w:left w:val="nil"/>
              <w:bottom w:val="nil"/>
            </w:tcBorders>
          </w:tcPr>
          <w:p>
            <w:pPr>
              <w:pStyle w:val="TableParagraph"/>
              <w:spacing w:before="1"/>
              <w:ind w:left="113" w:right="110"/>
              <w:jc w:val="center"/>
              <w:rPr>
                <w:i/>
                <w:sz w:val="18"/>
              </w:rPr>
            </w:pPr>
            <w:r>
              <w:rPr>
                <w:i/>
                <w:sz w:val="18"/>
              </w:rPr>
              <w:t>Aditamentos de </w:t>
            </w:r>
            <w:r>
              <w:rPr>
                <w:i/>
                <w:sz w:val="18"/>
              </w:rPr>
              <w:t>higiene bucal básico</w:t>
            </w:r>
          </w:p>
        </w:tc>
        <w:tc>
          <w:tcPr>
            <w:tcW w:w="2693" w:type="dxa"/>
          </w:tcPr>
          <w:p>
            <w:pPr>
              <w:pStyle w:val="TableParagraph"/>
              <w:ind w:right="102"/>
              <w:jc w:val="both"/>
              <w:rPr>
                <w:sz w:val="18"/>
              </w:rPr>
            </w:pPr>
            <w:r>
              <w:rPr>
                <w:sz w:val="18"/>
              </w:rPr>
              <w:t>Instrumentos de higiene oral empleados en la remoción de placa dentobacteriana. Consta principalmente de pasta dental y cepillo dental.</w:t>
            </w:r>
          </w:p>
        </w:tc>
        <w:tc>
          <w:tcPr>
            <w:tcW w:w="2268" w:type="dxa"/>
          </w:tcPr>
          <w:p>
            <w:pPr>
              <w:pStyle w:val="TableParagraph"/>
              <w:ind w:right="749"/>
              <w:rPr>
                <w:sz w:val="18"/>
              </w:rPr>
            </w:pPr>
            <w:r>
              <w:rPr>
                <w:sz w:val="18"/>
              </w:rPr>
              <w:t>Cepillo y pasta=1 Cepillo=2</w:t>
            </w:r>
          </w:p>
          <w:p>
            <w:pPr>
              <w:pStyle w:val="TableParagraph"/>
              <w:ind w:right="101"/>
              <w:rPr>
                <w:sz w:val="18"/>
              </w:rPr>
            </w:pPr>
            <w:r>
              <w:rPr>
                <w:sz w:val="18"/>
              </w:rPr>
              <w:t>No usa cepillo, ni pasta dental =3</w:t>
            </w:r>
          </w:p>
        </w:tc>
        <w:tc>
          <w:tcPr>
            <w:tcW w:w="1843" w:type="dxa"/>
          </w:tcPr>
          <w:p>
            <w:pPr>
              <w:pStyle w:val="TableParagraph"/>
              <w:spacing w:line="206" w:lineRule="exact"/>
              <w:rPr>
                <w:sz w:val="18"/>
              </w:rPr>
            </w:pPr>
            <w:r>
              <w:rPr>
                <w:sz w:val="18"/>
              </w:rPr>
              <w:t>Cualitativo</w:t>
            </w:r>
          </w:p>
        </w:tc>
        <w:tc>
          <w:tcPr>
            <w:tcW w:w="1705" w:type="dxa"/>
          </w:tcPr>
          <w:p>
            <w:pPr>
              <w:pStyle w:val="TableParagraph"/>
              <w:spacing w:line="206" w:lineRule="exact"/>
              <w:rPr>
                <w:sz w:val="18"/>
              </w:rPr>
            </w:pPr>
            <w:r>
              <w:rPr>
                <w:sz w:val="18"/>
              </w:rPr>
              <w:t>Nominal</w:t>
            </w:r>
          </w:p>
        </w:tc>
      </w:tr>
      <w:tr>
        <w:trPr>
          <w:trHeight w:val="838" w:hRule="exact"/>
        </w:trPr>
        <w:tc>
          <w:tcPr>
            <w:tcW w:w="1560" w:type="dxa"/>
            <w:tcBorders>
              <w:top w:val="nil"/>
              <w:left w:val="nil"/>
              <w:bottom w:val="nil"/>
            </w:tcBorders>
          </w:tcPr>
          <w:p>
            <w:pPr>
              <w:pStyle w:val="TableParagraph"/>
              <w:spacing w:before="2"/>
              <w:ind w:left="112" w:right="110"/>
              <w:jc w:val="center"/>
              <w:rPr>
                <w:i/>
                <w:sz w:val="18"/>
              </w:rPr>
            </w:pPr>
            <w:r>
              <w:rPr>
                <w:i/>
                <w:sz w:val="18"/>
              </w:rPr>
              <w:t>Vivienda cerca </w:t>
            </w:r>
            <w:r>
              <w:rPr>
                <w:i/>
                <w:sz w:val="18"/>
              </w:rPr>
              <w:t>de fábricas o zonas industriales</w:t>
            </w:r>
          </w:p>
        </w:tc>
        <w:tc>
          <w:tcPr>
            <w:tcW w:w="2693" w:type="dxa"/>
            <w:shd w:val="clear" w:color="auto" w:fill="EAF0DD"/>
          </w:tcPr>
          <w:p>
            <w:pPr>
              <w:pStyle w:val="TableParagraph"/>
              <w:ind w:right="105"/>
              <w:jc w:val="both"/>
              <w:rPr>
                <w:sz w:val="18"/>
              </w:rPr>
            </w:pPr>
            <w:r>
              <w:rPr>
                <w:sz w:val="18"/>
              </w:rPr>
              <w:t>Espacio físico destinado a la elaboración de objetos o materiales.</w:t>
            </w:r>
          </w:p>
        </w:tc>
        <w:tc>
          <w:tcPr>
            <w:tcW w:w="2268" w:type="dxa"/>
            <w:shd w:val="clear" w:color="auto" w:fill="EAF0DD"/>
          </w:tcPr>
          <w:p>
            <w:pPr>
              <w:pStyle w:val="TableParagraph"/>
              <w:spacing w:line="207" w:lineRule="exact"/>
              <w:ind w:right="101"/>
              <w:rPr>
                <w:sz w:val="18"/>
              </w:rPr>
            </w:pPr>
            <w:r>
              <w:rPr>
                <w:sz w:val="18"/>
              </w:rPr>
              <w:t>Si= 1</w:t>
            </w:r>
          </w:p>
          <w:p>
            <w:pPr>
              <w:pStyle w:val="TableParagraph"/>
              <w:spacing w:before="2"/>
              <w:ind w:right="101"/>
              <w:rPr>
                <w:sz w:val="18"/>
              </w:rPr>
            </w:pPr>
            <w:r>
              <w:rPr>
                <w:sz w:val="18"/>
              </w:rPr>
              <w:t>No= 2</w:t>
            </w:r>
          </w:p>
        </w:tc>
        <w:tc>
          <w:tcPr>
            <w:tcW w:w="1843" w:type="dxa"/>
            <w:shd w:val="clear" w:color="auto" w:fill="EAF0DD"/>
          </w:tcPr>
          <w:p>
            <w:pPr>
              <w:pStyle w:val="TableParagraph"/>
              <w:spacing w:line="207" w:lineRule="exact"/>
              <w:rPr>
                <w:sz w:val="18"/>
              </w:rPr>
            </w:pPr>
            <w:r>
              <w:rPr>
                <w:sz w:val="18"/>
              </w:rPr>
              <w:t>Cualitativo</w:t>
            </w:r>
          </w:p>
        </w:tc>
        <w:tc>
          <w:tcPr>
            <w:tcW w:w="1705" w:type="dxa"/>
            <w:shd w:val="clear" w:color="auto" w:fill="EAF0DD"/>
          </w:tcPr>
          <w:p>
            <w:pPr>
              <w:pStyle w:val="TableParagraph"/>
              <w:spacing w:line="207" w:lineRule="exact"/>
              <w:rPr>
                <w:sz w:val="18"/>
              </w:rPr>
            </w:pPr>
            <w:r>
              <w:rPr>
                <w:sz w:val="18"/>
              </w:rPr>
              <w:t>Nominal</w:t>
            </w:r>
          </w:p>
        </w:tc>
      </w:tr>
      <w:tr>
        <w:trPr>
          <w:trHeight w:val="1046" w:hRule="exact"/>
        </w:trPr>
        <w:tc>
          <w:tcPr>
            <w:tcW w:w="1560" w:type="dxa"/>
            <w:tcBorders>
              <w:top w:val="nil"/>
              <w:left w:val="nil"/>
              <w:bottom w:val="nil"/>
            </w:tcBorders>
          </w:tcPr>
          <w:p>
            <w:pPr>
              <w:pStyle w:val="TableParagraph"/>
              <w:spacing w:before="1"/>
              <w:ind w:left="249" w:right="225" w:firstLine="108"/>
              <w:rPr>
                <w:i/>
                <w:sz w:val="18"/>
              </w:rPr>
            </w:pPr>
            <w:r>
              <w:rPr>
                <w:i/>
                <w:sz w:val="18"/>
              </w:rPr>
              <w:t>Auxiliar de </w:t>
            </w:r>
            <w:r>
              <w:rPr>
                <w:i/>
                <w:sz w:val="18"/>
              </w:rPr>
              <w:t>higiene bucal</w:t>
            </w:r>
          </w:p>
        </w:tc>
        <w:tc>
          <w:tcPr>
            <w:tcW w:w="2693" w:type="dxa"/>
          </w:tcPr>
          <w:p>
            <w:pPr>
              <w:pStyle w:val="TableParagraph"/>
              <w:ind w:right="102"/>
              <w:jc w:val="both"/>
              <w:rPr>
                <w:sz w:val="18"/>
              </w:rPr>
            </w:pPr>
            <w:r>
              <w:rPr>
                <w:sz w:val="18"/>
              </w:rPr>
              <w:t>Instrumentos complementarios de la higiene bucal por medio de enjuague, hilo dental y cepillo interproximal como principales.</w:t>
            </w:r>
          </w:p>
        </w:tc>
        <w:tc>
          <w:tcPr>
            <w:tcW w:w="2268" w:type="dxa"/>
          </w:tcPr>
          <w:p>
            <w:pPr>
              <w:pStyle w:val="TableParagraph"/>
              <w:ind w:right="1080"/>
              <w:rPr>
                <w:sz w:val="18"/>
              </w:rPr>
            </w:pPr>
            <w:r>
              <w:rPr>
                <w:sz w:val="18"/>
              </w:rPr>
              <w:t>Enjuague=1 Hilo dental=2</w:t>
            </w:r>
          </w:p>
          <w:p>
            <w:pPr>
              <w:pStyle w:val="TableParagraph"/>
              <w:ind w:right="299"/>
              <w:rPr>
                <w:sz w:val="18"/>
              </w:rPr>
            </w:pPr>
            <w:r>
              <w:rPr>
                <w:sz w:val="18"/>
              </w:rPr>
              <w:t>Cepillo interproximal=3 Otro=4</w:t>
            </w:r>
          </w:p>
        </w:tc>
        <w:tc>
          <w:tcPr>
            <w:tcW w:w="1843" w:type="dxa"/>
          </w:tcPr>
          <w:p>
            <w:pPr>
              <w:pStyle w:val="TableParagraph"/>
              <w:spacing w:line="206" w:lineRule="exact"/>
              <w:rPr>
                <w:sz w:val="18"/>
              </w:rPr>
            </w:pPr>
            <w:r>
              <w:rPr>
                <w:sz w:val="18"/>
              </w:rPr>
              <w:t>Cualitativo</w:t>
            </w:r>
          </w:p>
        </w:tc>
        <w:tc>
          <w:tcPr>
            <w:tcW w:w="1705" w:type="dxa"/>
          </w:tcPr>
          <w:p>
            <w:pPr>
              <w:pStyle w:val="TableParagraph"/>
              <w:spacing w:line="206" w:lineRule="exact"/>
              <w:rPr>
                <w:sz w:val="18"/>
              </w:rPr>
            </w:pPr>
            <w:r>
              <w:rPr>
                <w:sz w:val="18"/>
              </w:rPr>
              <w:t>Nominal</w:t>
            </w:r>
          </w:p>
        </w:tc>
      </w:tr>
    </w:tbl>
    <w:p>
      <w:pPr>
        <w:spacing w:after="0" w:line="206" w:lineRule="exact"/>
        <w:rPr>
          <w:sz w:val="18"/>
        </w:rPr>
        <w:sectPr>
          <w:pgSz w:w="12240" w:h="15840"/>
          <w:pgMar w:header="0" w:footer="887" w:top="1500" w:bottom="1080" w:left="640" w:right="1300"/>
        </w:sectPr>
      </w:pPr>
    </w:p>
    <w:p>
      <w:pPr>
        <w:pStyle w:val="Heading1"/>
        <w:ind w:left="1675" w:right="1676"/>
        <w:jc w:val="center"/>
      </w:pPr>
      <w:r>
        <w:rPr/>
        <w:t>PROCEDIMIENTO</w:t>
      </w:r>
    </w:p>
    <w:p>
      <w:pPr>
        <w:pStyle w:val="BodyText"/>
        <w:spacing w:before="2"/>
        <w:rPr>
          <w:b/>
          <w:sz w:val="29"/>
        </w:rPr>
      </w:pPr>
    </w:p>
    <w:p>
      <w:pPr>
        <w:pStyle w:val="ListParagraph"/>
        <w:numPr>
          <w:ilvl w:val="0"/>
          <w:numId w:val="15"/>
        </w:numPr>
        <w:tabs>
          <w:tab w:pos="479" w:val="left" w:leader="none"/>
        </w:tabs>
        <w:spacing w:line="482" w:lineRule="auto" w:before="1" w:after="0"/>
        <w:ind w:left="118" w:right="5506" w:firstLine="0"/>
        <w:jc w:val="left"/>
        <w:rPr>
          <w:b/>
          <w:sz w:val="24"/>
        </w:rPr>
      </w:pPr>
      <w:r>
        <w:rPr>
          <w:b/>
          <w:sz w:val="24"/>
        </w:rPr>
        <w:t>Primera fase de la</w:t>
      </w:r>
      <w:r>
        <w:rPr>
          <w:b/>
          <w:spacing w:val="-12"/>
          <w:sz w:val="24"/>
        </w:rPr>
        <w:t> </w:t>
      </w:r>
      <w:r>
        <w:rPr>
          <w:b/>
          <w:sz w:val="24"/>
        </w:rPr>
        <w:t>investigación Estudio</w:t>
      </w:r>
      <w:r>
        <w:rPr>
          <w:b/>
          <w:spacing w:val="-1"/>
          <w:sz w:val="24"/>
        </w:rPr>
        <w:t> </w:t>
      </w:r>
      <w:r>
        <w:rPr>
          <w:b/>
          <w:sz w:val="24"/>
        </w:rPr>
        <w:t>piloto</w:t>
      </w:r>
    </w:p>
    <w:p>
      <w:pPr>
        <w:pStyle w:val="BodyText"/>
        <w:spacing w:line="360" w:lineRule="auto" w:before="65"/>
        <w:ind w:left="118" w:right="114"/>
        <w:jc w:val="both"/>
      </w:pPr>
      <w:r>
        <w:rPr/>
        <w:t>Se realizó un experimento piloto en la Facultad de Química que consistió en detectar metales en una solución simulada con los elementos básicos de la saliva y un pH ácido 5.7, para posteriormente analizar las muestras e identificar la presencia o no de elementos metálicos de las coronas de níquel cromo, de acuerdo al siguiente procedimiento:</w:t>
      </w:r>
    </w:p>
    <w:p>
      <w:pPr>
        <w:pStyle w:val="ListParagraph"/>
        <w:numPr>
          <w:ilvl w:val="1"/>
          <w:numId w:val="15"/>
        </w:numPr>
        <w:tabs>
          <w:tab w:pos="594" w:val="left" w:leader="none"/>
        </w:tabs>
        <w:spacing w:line="360" w:lineRule="auto" w:before="205" w:after="0"/>
        <w:ind w:left="118" w:right="123" w:firstLine="0"/>
        <w:jc w:val="left"/>
        <w:rPr>
          <w:sz w:val="24"/>
        </w:rPr>
      </w:pPr>
      <w:r>
        <w:rPr>
          <w:sz w:val="24"/>
        </w:rPr>
        <w:t>Se colocaron 10 recipientes de plástico en una primera fila y 10 recipientes de polietileno estériles en una segunda fila sobre una gradilla de esponja.</w:t>
      </w:r>
      <w:r>
        <w:rPr>
          <w:spacing w:val="-27"/>
          <w:sz w:val="24"/>
        </w:rPr>
        <w:t> </w:t>
      </w:r>
      <w:r>
        <w:rPr>
          <w:sz w:val="24"/>
        </w:rPr>
        <w:t>(Fig.1)</w:t>
      </w:r>
    </w:p>
    <w:p>
      <w:pPr>
        <w:pStyle w:val="BodyText"/>
        <w:rPr>
          <w:sz w:val="20"/>
        </w:rPr>
      </w:pPr>
    </w:p>
    <w:p>
      <w:pPr>
        <w:pStyle w:val="BodyText"/>
        <w:rPr>
          <w:sz w:val="20"/>
        </w:rPr>
      </w:pPr>
    </w:p>
    <w:p>
      <w:pPr>
        <w:pStyle w:val="BodyText"/>
        <w:spacing w:before="4"/>
        <w:rPr>
          <w:sz w:val="16"/>
        </w:rPr>
      </w:pPr>
      <w:r>
        <w:rPr/>
        <w:drawing>
          <wp:anchor distT="0" distB="0" distL="0" distR="0" allowOverlap="1" layoutInCell="1" locked="0" behindDoc="0" simplePos="0" relativeHeight="1096">
            <wp:simplePos x="0" y="0"/>
            <wp:positionH relativeFrom="page">
              <wp:posOffset>2578607</wp:posOffset>
            </wp:positionH>
            <wp:positionV relativeFrom="paragraph">
              <wp:posOffset>144600</wp:posOffset>
            </wp:positionV>
            <wp:extent cx="2864294" cy="1609343"/>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8" cstate="print"/>
                    <a:stretch>
                      <a:fillRect/>
                    </a:stretch>
                  </pic:blipFill>
                  <pic:spPr>
                    <a:xfrm>
                      <a:off x="0" y="0"/>
                      <a:ext cx="2864294" cy="1609343"/>
                    </a:xfrm>
                    <a:prstGeom prst="rect">
                      <a:avLst/>
                    </a:prstGeom>
                  </pic:spPr>
                </pic:pic>
              </a:graphicData>
            </a:graphic>
          </wp:anchor>
        </w:drawing>
      </w:r>
    </w:p>
    <w:p>
      <w:pPr>
        <w:pStyle w:val="BodyText"/>
        <w:spacing w:before="23"/>
        <w:ind w:left="1677" w:right="1676"/>
        <w:jc w:val="center"/>
      </w:pPr>
      <w:r>
        <w:rPr/>
        <w:t>Fig.1 Recipientes de polietileno</w:t>
      </w:r>
    </w:p>
    <w:p>
      <w:pPr>
        <w:pStyle w:val="BodyText"/>
        <w:spacing w:before="2"/>
        <w:rPr>
          <w:sz w:val="29"/>
        </w:rPr>
      </w:pPr>
    </w:p>
    <w:p>
      <w:pPr>
        <w:pStyle w:val="ListParagraph"/>
        <w:numPr>
          <w:ilvl w:val="1"/>
          <w:numId w:val="15"/>
        </w:numPr>
        <w:tabs>
          <w:tab w:pos="548" w:val="left" w:leader="none"/>
        </w:tabs>
        <w:spacing w:line="360" w:lineRule="auto" w:before="0" w:after="0"/>
        <w:ind w:left="118" w:right="226" w:firstLine="0"/>
        <w:jc w:val="left"/>
        <w:rPr>
          <w:sz w:val="24"/>
        </w:rPr>
      </w:pPr>
      <w:r>
        <w:rPr/>
        <w:drawing>
          <wp:anchor distT="0" distB="0" distL="0" distR="0" allowOverlap="1" layoutInCell="1" locked="0" behindDoc="1" simplePos="0" relativeHeight="268380335">
            <wp:simplePos x="0" y="0"/>
            <wp:positionH relativeFrom="page">
              <wp:posOffset>2577083</wp:posOffset>
            </wp:positionH>
            <wp:positionV relativeFrom="paragraph">
              <wp:posOffset>737944</wp:posOffset>
            </wp:positionV>
            <wp:extent cx="2857499" cy="1606296"/>
            <wp:effectExtent l="0" t="0" r="0" b="0"/>
            <wp:wrapNone/>
            <wp:docPr id="7" name="image4.jpeg" descr=""/>
            <wp:cNvGraphicFramePr>
              <a:graphicFrameLocks noChangeAspect="1"/>
            </wp:cNvGraphicFramePr>
            <a:graphic>
              <a:graphicData uri="http://schemas.openxmlformats.org/drawingml/2006/picture">
                <pic:pic>
                  <pic:nvPicPr>
                    <pic:cNvPr id="8" name="image4.jpeg"/>
                    <pic:cNvPicPr/>
                  </pic:nvPicPr>
                  <pic:blipFill>
                    <a:blip r:embed="rId9" cstate="print"/>
                    <a:stretch>
                      <a:fillRect/>
                    </a:stretch>
                  </pic:blipFill>
                  <pic:spPr>
                    <a:xfrm>
                      <a:off x="0" y="0"/>
                      <a:ext cx="2857499" cy="1606296"/>
                    </a:xfrm>
                    <a:prstGeom prst="rect">
                      <a:avLst/>
                    </a:prstGeom>
                  </pic:spPr>
                </pic:pic>
              </a:graphicData>
            </a:graphic>
          </wp:anchor>
        </w:drawing>
      </w:r>
      <w:r>
        <w:rPr>
          <w:sz w:val="24"/>
        </w:rPr>
        <w:t>Previamente marcados con la fecha y el número de muestra, la primera fila</w:t>
      </w:r>
      <w:r>
        <w:rPr>
          <w:spacing w:val="-35"/>
          <w:sz w:val="24"/>
        </w:rPr>
        <w:t> </w:t>
      </w:r>
      <w:r>
        <w:rPr>
          <w:sz w:val="24"/>
        </w:rPr>
        <w:t>durante 15 días y la segunda fila durante 30 días, con la fecha 26 de enero de 2015 y 1/15 y 1/30 así sucesivamente en cada recipiente. (Fig.</w:t>
      </w:r>
      <w:r>
        <w:rPr>
          <w:spacing w:val="-12"/>
          <w:sz w:val="24"/>
        </w:rPr>
        <w:t> </w:t>
      </w:r>
      <w:r>
        <w:rPr>
          <w:sz w:val="24"/>
        </w:rPr>
        <w:t>2)</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76"/>
        <w:ind w:left="1677" w:right="1676"/>
        <w:jc w:val="center"/>
      </w:pPr>
      <w:r>
        <w:rPr/>
        <w:t>Fig.2 Etiquetado de los recipientes</w:t>
      </w:r>
    </w:p>
    <w:p>
      <w:pPr>
        <w:spacing w:after="0"/>
        <w:jc w:val="center"/>
        <w:sectPr>
          <w:pgSz w:w="12240" w:h="15840"/>
          <w:pgMar w:header="0" w:footer="887" w:top="1360" w:bottom="1080" w:left="1300" w:right="1300"/>
        </w:sectPr>
      </w:pPr>
    </w:p>
    <w:p>
      <w:pPr>
        <w:pStyle w:val="ListParagraph"/>
        <w:numPr>
          <w:ilvl w:val="1"/>
          <w:numId w:val="15"/>
        </w:numPr>
        <w:tabs>
          <w:tab w:pos="560" w:val="left" w:leader="none"/>
        </w:tabs>
        <w:spacing w:line="360" w:lineRule="auto" w:before="56" w:after="0"/>
        <w:ind w:left="118" w:right="112" w:firstLine="0"/>
        <w:jc w:val="both"/>
        <w:rPr>
          <w:sz w:val="24"/>
        </w:rPr>
      </w:pPr>
      <w:r>
        <w:rPr>
          <w:sz w:val="24"/>
        </w:rPr>
        <w:t>Se creó la solución ideal, a base de electrolitos, de tal forma que pudiera asemejar saliva</w:t>
      </w:r>
      <w:r>
        <w:rPr>
          <w:spacing w:val="-16"/>
          <w:sz w:val="24"/>
        </w:rPr>
        <w:t> </w:t>
      </w:r>
      <w:r>
        <w:rPr>
          <w:sz w:val="24"/>
        </w:rPr>
        <w:t>humana,</w:t>
      </w:r>
      <w:r>
        <w:rPr>
          <w:spacing w:val="-18"/>
          <w:sz w:val="24"/>
        </w:rPr>
        <w:t> </w:t>
      </w:r>
      <w:r>
        <w:rPr>
          <w:sz w:val="24"/>
        </w:rPr>
        <w:t>se</w:t>
      </w:r>
      <w:r>
        <w:rPr>
          <w:spacing w:val="-16"/>
          <w:sz w:val="24"/>
        </w:rPr>
        <w:t> </w:t>
      </w:r>
      <w:r>
        <w:rPr>
          <w:sz w:val="24"/>
        </w:rPr>
        <w:t>creó</w:t>
      </w:r>
      <w:r>
        <w:rPr>
          <w:spacing w:val="-18"/>
          <w:sz w:val="24"/>
        </w:rPr>
        <w:t> </w:t>
      </w:r>
      <w:r>
        <w:rPr>
          <w:sz w:val="24"/>
        </w:rPr>
        <w:t>mediante</w:t>
      </w:r>
      <w:r>
        <w:rPr>
          <w:spacing w:val="-16"/>
          <w:sz w:val="24"/>
        </w:rPr>
        <w:t> </w:t>
      </w:r>
      <w:r>
        <w:rPr>
          <w:sz w:val="24"/>
        </w:rPr>
        <w:t>una</w:t>
      </w:r>
      <w:r>
        <w:rPr>
          <w:spacing w:val="-16"/>
          <w:sz w:val="24"/>
        </w:rPr>
        <w:t> </w:t>
      </w:r>
      <w:r>
        <w:rPr>
          <w:sz w:val="24"/>
        </w:rPr>
        <w:t>solución</w:t>
      </w:r>
      <w:r>
        <w:rPr>
          <w:spacing w:val="-18"/>
          <w:sz w:val="24"/>
        </w:rPr>
        <w:t> </w:t>
      </w:r>
      <w:r>
        <w:rPr>
          <w:sz w:val="24"/>
        </w:rPr>
        <w:t>isotónica</w:t>
      </w:r>
      <w:r>
        <w:rPr>
          <w:spacing w:val="-16"/>
          <w:sz w:val="24"/>
        </w:rPr>
        <w:t> </w:t>
      </w:r>
      <w:r>
        <w:rPr>
          <w:sz w:val="24"/>
        </w:rPr>
        <w:t>de</w:t>
      </w:r>
      <w:r>
        <w:rPr>
          <w:spacing w:val="-16"/>
          <w:sz w:val="24"/>
        </w:rPr>
        <w:t> </w:t>
      </w:r>
      <w:r>
        <w:rPr>
          <w:sz w:val="24"/>
        </w:rPr>
        <w:t>cloruro</w:t>
      </w:r>
      <w:r>
        <w:rPr>
          <w:spacing w:val="-16"/>
          <w:sz w:val="24"/>
        </w:rPr>
        <w:t> </w:t>
      </w:r>
      <w:r>
        <w:rPr>
          <w:sz w:val="24"/>
        </w:rPr>
        <w:t>sódico</w:t>
      </w:r>
      <w:r>
        <w:rPr>
          <w:spacing w:val="-16"/>
          <w:sz w:val="24"/>
        </w:rPr>
        <w:t> </w:t>
      </w:r>
      <w:r>
        <w:rPr>
          <w:sz w:val="24"/>
        </w:rPr>
        <w:t>0,9%</w:t>
      </w:r>
      <w:r>
        <w:rPr>
          <w:spacing w:val="-16"/>
          <w:sz w:val="24"/>
        </w:rPr>
        <w:t> </w:t>
      </w:r>
      <w:r>
        <w:rPr>
          <w:sz w:val="24"/>
        </w:rPr>
        <w:t>y</w:t>
      </w:r>
      <w:r>
        <w:rPr>
          <w:spacing w:val="-19"/>
          <w:sz w:val="24"/>
        </w:rPr>
        <w:t> </w:t>
      </w:r>
      <w:r>
        <w:rPr>
          <w:sz w:val="24"/>
        </w:rPr>
        <w:t>solución Hartman (SOLUCION HT PISA®) cada 100 ml contienen: cloruro de calcio 0.020 g, cloruro de potasio </w:t>
      </w:r>
      <w:r>
        <w:rPr>
          <w:color w:val="282828"/>
          <w:sz w:val="24"/>
        </w:rPr>
        <w:t>0.030 </w:t>
      </w:r>
      <w:r>
        <w:rPr>
          <w:sz w:val="24"/>
        </w:rPr>
        <w:t>g, cloruro de sodio </w:t>
      </w:r>
      <w:r>
        <w:rPr>
          <w:color w:val="282828"/>
          <w:sz w:val="24"/>
        </w:rPr>
        <w:t>0.600 </w:t>
      </w:r>
      <w:r>
        <w:rPr>
          <w:sz w:val="24"/>
        </w:rPr>
        <w:t>g, lactato de sodio 0.310 g. (Fig. 3, Tabla I.)</w:t>
      </w:r>
    </w:p>
    <w:p>
      <w:pPr>
        <w:pStyle w:val="BodyText"/>
        <w:spacing w:before="8"/>
        <w:rPr>
          <w:sz w:val="29"/>
        </w:rPr>
      </w:pPr>
      <w:r>
        <w:rPr/>
        <w:drawing>
          <wp:anchor distT="0" distB="0" distL="0" distR="0" allowOverlap="1" layoutInCell="1" locked="0" behindDoc="0" simplePos="0" relativeHeight="1144">
            <wp:simplePos x="0" y="0"/>
            <wp:positionH relativeFrom="page">
              <wp:posOffset>2659379</wp:posOffset>
            </wp:positionH>
            <wp:positionV relativeFrom="paragraph">
              <wp:posOffset>241984</wp:posOffset>
            </wp:positionV>
            <wp:extent cx="252280" cy="1885950"/>
            <wp:effectExtent l="0" t="0" r="0" b="0"/>
            <wp:wrapTopAndBottom/>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0" cstate="print"/>
                    <a:stretch>
                      <a:fillRect/>
                    </a:stretch>
                  </pic:blipFill>
                  <pic:spPr>
                    <a:xfrm>
                      <a:off x="0" y="0"/>
                      <a:ext cx="252280" cy="1885950"/>
                    </a:xfrm>
                    <a:prstGeom prst="rect">
                      <a:avLst/>
                    </a:prstGeom>
                  </pic:spPr>
                </pic:pic>
              </a:graphicData>
            </a:graphic>
          </wp:anchor>
        </w:drawing>
      </w:r>
      <w:r>
        <w:rPr/>
        <w:drawing>
          <wp:anchor distT="0" distB="0" distL="0" distR="0" allowOverlap="1" layoutInCell="1" locked="0" behindDoc="0" simplePos="0" relativeHeight="1168">
            <wp:simplePos x="0" y="0"/>
            <wp:positionH relativeFrom="page">
              <wp:posOffset>3302508</wp:posOffset>
            </wp:positionH>
            <wp:positionV relativeFrom="paragraph">
              <wp:posOffset>459916</wp:posOffset>
            </wp:positionV>
            <wp:extent cx="866181" cy="1638680"/>
            <wp:effectExtent l="0" t="0" r="0" b="0"/>
            <wp:wrapTopAndBottom/>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1" cstate="print"/>
                    <a:stretch>
                      <a:fillRect/>
                    </a:stretch>
                  </pic:blipFill>
                  <pic:spPr>
                    <a:xfrm>
                      <a:off x="0" y="0"/>
                      <a:ext cx="866181" cy="1638680"/>
                    </a:xfrm>
                    <a:prstGeom prst="rect">
                      <a:avLst/>
                    </a:prstGeom>
                  </pic:spPr>
                </pic:pic>
              </a:graphicData>
            </a:graphic>
          </wp:anchor>
        </w:drawing>
      </w:r>
      <w:r>
        <w:rPr/>
        <w:drawing>
          <wp:anchor distT="0" distB="0" distL="0" distR="0" allowOverlap="1" layoutInCell="1" locked="0" behindDoc="0" simplePos="0" relativeHeight="1192">
            <wp:simplePos x="0" y="0"/>
            <wp:positionH relativeFrom="page">
              <wp:posOffset>4541520</wp:posOffset>
            </wp:positionH>
            <wp:positionV relativeFrom="paragraph">
              <wp:posOffset>462964</wp:posOffset>
            </wp:positionV>
            <wp:extent cx="900813" cy="1638680"/>
            <wp:effectExtent l="0" t="0" r="0" b="0"/>
            <wp:wrapTopAndBottom/>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12" cstate="print"/>
                    <a:stretch>
                      <a:fillRect/>
                    </a:stretch>
                  </pic:blipFill>
                  <pic:spPr>
                    <a:xfrm>
                      <a:off x="0" y="0"/>
                      <a:ext cx="900813" cy="1638680"/>
                    </a:xfrm>
                    <a:prstGeom prst="rect">
                      <a:avLst/>
                    </a:prstGeom>
                  </pic:spPr>
                </pic:pic>
              </a:graphicData>
            </a:graphic>
          </wp:anchor>
        </w:drawing>
      </w:r>
    </w:p>
    <w:p>
      <w:pPr>
        <w:pStyle w:val="BodyText"/>
      </w:pPr>
    </w:p>
    <w:p>
      <w:pPr>
        <w:pStyle w:val="BodyText"/>
        <w:spacing w:before="2"/>
        <w:rPr>
          <w:sz w:val="20"/>
        </w:rPr>
      </w:pPr>
    </w:p>
    <w:p>
      <w:pPr>
        <w:pStyle w:val="BodyText"/>
        <w:spacing w:line="532" w:lineRule="auto" w:before="1"/>
        <w:ind w:left="1678" w:right="1676"/>
        <w:jc w:val="center"/>
      </w:pPr>
      <w:r>
        <w:rPr/>
        <w:t>Fig. 3 Material empleado para la elaboración de la solución Tabla I. Componentes de la solución Hartman</w:t>
      </w:r>
    </w:p>
    <w:p>
      <w:pPr>
        <w:pStyle w:val="BodyText"/>
        <w:spacing w:before="2"/>
        <w:rPr>
          <w:sz w:val="6"/>
        </w:rPr>
      </w:pPr>
    </w:p>
    <w:tbl>
      <w:tblPr>
        <w:tblW w:w="0" w:type="auto"/>
        <w:jc w:val="left"/>
        <w:tblInd w:w="2050" w:type="dxa"/>
        <w:tblBorders>
          <w:top w:val="single" w:sz="4" w:space="0" w:color="C2D59B"/>
          <w:left w:val="single" w:sz="4" w:space="0" w:color="C2D59B"/>
          <w:bottom w:val="single" w:sz="4" w:space="0" w:color="C2D59B"/>
          <w:right w:val="single" w:sz="4" w:space="0" w:color="C2D59B"/>
          <w:insideH w:val="single" w:sz="4" w:space="0" w:color="C2D59B"/>
          <w:insideV w:val="single" w:sz="4" w:space="0" w:color="C2D59B"/>
        </w:tblBorders>
        <w:tblLayout w:type="fixed"/>
        <w:tblCellMar>
          <w:top w:w="0" w:type="dxa"/>
          <w:left w:w="0" w:type="dxa"/>
          <w:bottom w:w="0" w:type="dxa"/>
          <w:right w:w="0" w:type="dxa"/>
        </w:tblCellMar>
        <w:tblLook w:val="01E0"/>
      </w:tblPr>
      <w:tblGrid>
        <w:gridCol w:w="1877"/>
        <w:gridCol w:w="1385"/>
        <w:gridCol w:w="2271"/>
      </w:tblGrid>
      <w:tr>
        <w:trPr>
          <w:trHeight w:val="391" w:hRule="exact"/>
        </w:trPr>
        <w:tc>
          <w:tcPr>
            <w:tcW w:w="1877" w:type="dxa"/>
            <w:tcBorders>
              <w:top w:val="nil"/>
              <w:left w:val="nil"/>
              <w:right w:val="nil"/>
            </w:tcBorders>
          </w:tcPr>
          <w:p>
            <w:pPr>
              <w:pStyle w:val="TableParagraph"/>
              <w:spacing w:line="245" w:lineRule="exact"/>
              <w:ind w:left="108"/>
              <w:rPr>
                <w:b/>
                <w:i/>
                <w:sz w:val="24"/>
              </w:rPr>
            </w:pPr>
            <w:r>
              <w:rPr>
                <w:b/>
                <w:i/>
                <w:sz w:val="24"/>
              </w:rPr>
              <w:t>NaCl</w:t>
            </w:r>
          </w:p>
        </w:tc>
        <w:tc>
          <w:tcPr>
            <w:tcW w:w="1385" w:type="dxa"/>
            <w:tcBorders>
              <w:top w:val="nil"/>
              <w:left w:val="nil"/>
              <w:right w:val="nil"/>
            </w:tcBorders>
          </w:tcPr>
          <w:p>
            <w:pPr>
              <w:pStyle w:val="TableParagraph"/>
              <w:spacing w:line="245" w:lineRule="exact"/>
              <w:ind w:left="107"/>
              <w:rPr>
                <w:sz w:val="24"/>
              </w:rPr>
            </w:pPr>
            <w:r>
              <w:rPr>
                <w:sz w:val="24"/>
              </w:rPr>
              <w:t>0.6%</w:t>
            </w:r>
          </w:p>
        </w:tc>
        <w:tc>
          <w:tcPr>
            <w:tcW w:w="2271" w:type="dxa"/>
            <w:tcBorders>
              <w:top w:val="nil"/>
              <w:left w:val="nil"/>
              <w:right w:val="nil"/>
            </w:tcBorders>
          </w:tcPr>
          <w:p>
            <w:pPr>
              <w:pStyle w:val="TableParagraph"/>
              <w:spacing w:line="245" w:lineRule="exact"/>
              <w:ind w:left="108"/>
              <w:rPr>
                <w:sz w:val="24"/>
              </w:rPr>
            </w:pPr>
            <w:r>
              <w:rPr>
                <w:sz w:val="24"/>
              </w:rPr>
              <w:t>130 meq Na</w:t>
            </w:r>
          </w:p>
        </w:tc>
      </w:tr>
      <w:tr>
        <w:trPr>
          <w:trHeight w:val="422" w:hRule="exact"/>
        </w:trPr>
        <w:tc>
          <w:tcPr>
            <w:tcW w:w="1877" w:type="dxa"/>
            <w:tcBorders>
              <w:left w:val="nil"/>
              <w:bottom w:val="nil"/>
              <w:right w:val="single" w:sz="41" w:space="0" w:color="EAF0DD"/>
            </w:tcBorders>
          </w:tcPr>
          <w:p>
            <w:pPr>
              <w:pStyle w:val="TableParagraph"/>
              <w:spacing w:line="274" w:lineRule="exact"/>
              <w:ind w:left="108"/>
              <w:rPr>
                <w:b/>
                <w:i/>
                <w:sz w:val="24"/>
              </w:rPr>
            </w:pPr>
            <w:r>
              <w:rPr>
                <w:b/>
                <w:i/>
                <w:sz w:val="24"/>
              </w:rPr>
              <w:t>KCl</w:t>
            </w:r>
          </w:p>
        </w:tc>
        <w:tc>
          <w:tcPr>
            <w:tcW w:w="1385" w:type="dxa"/>
            <w:shd w:val="clear" w:color="auto" w:fill="EAF0DD"/>
          </w:tcPr>
          <w:p>
            <w:pPr>
              <w:pStyle w:val="TableParagraph"/>
              <w:spacing w:line="274" w:lineRule="exact"/>
              <w:rPr>
                <w:sz w:val="24"/>
              </w:rPr>
            </w:pPr>
            <w:r>
              <w:rPr>
                <w:sz w:val="24"/>
              </w:rPr>
              <w:t>0.030%</w:t>
            </w:r>
          </w:p>
        </w:tc>
        <w:tc>
          <w:tcPr>
            <w:tcW w:w="2271" w:type="dxa"/>
            <w:shd w:val="clear" w:color="auto" w:fill="EAF0DD"/>
          </w:tcPr>
          <w:p>
            <w:pPr>
              <w:pStyle w:val="TableParagraph"/>
              <w:spacing w:line="274" w:lineRule="exact"/>
              <w:rPr>
                <w:sz w:val="24"/>
              </w:rPr>
            </w:pPr>
            <w:r>
              <w:rPr>
                <w:sz w:val="24"/>
              </w:rPr>
              <w:t>4 meq K</w:t>
            </w:r>
          </w:p>
        </w:tc>
      </w:tr>
      <w:tr>
        <w:trPr>
          <w:trHeight w:val="425" w:hRule="exact"/>
        </w:trPr>
        <w:tc>
          <w:tcPr>
            <w:tcW w:w="1877" w:type="dxa"/>
            <w:tcBorders>
              <w:top w:val="nil"/>
              <w:left w:val="nil"/>
              <w:bottom w:val="nil"/>
            </w:tcBorders>
          </w:tcPr>
          <w:p>
            <w:pPr>
              <w:pStyle w:val="TableParagraph"/>
              <w:spacing w:before="5"/>
              <w:ind w:left="108"/>
              <w:rPr>
                <w:b/>
                <w:i/>
                <w:sz w:val="24"/>
              </w:rPr>
            </w:pPr>
            <w:r>
              <w:rPr>
                <w:b/>
                <w:i/>
                <w:sz w:val="24"/>
              </w:rPr>
              <w:t>CaCl2</w:t>
            </w:r>
          </w:p>
        </w:tc>
        <w:tc>
          <w:tcPr>
            <w:tcW w:w="1385" w:type="dxa"/>
          </w:tcPr>
          <w:p>
            <w:pPr>
              <w:pStyle w:val="TableParagraph"/>
              <w:rPr>
                <w:sz w:val="24"/>
              </w:rPr>
            </w:pPr>
            <w:r>
              <w:rPr>
                <w:sz w:val="24"/>
              </w:rPr>
              <w:t>0.020%</w:t>
            </w:r>
          </w:p>
        </w:tc>
        <w:tc>
          <w:tcPr>
            <w:tcW w:w="2271" w:type="dxa"/>
          </w:tcPr>
          <w:p>
            <w:pPr>
              <w:pStyle w:val="TableParagraph"/>
              <w:rPr>
                <w:sz w:val="24"/>
              </w:rPr>
            </w:pPr>
            <w:r>
              <w:rPr>
                <w:sz w:val="24"/>
              </w:rPr>
              <w:t>3 meq Ca</w:t>
            </w:r>
          </w:p>
        </w:tc>
      </w:tr>
      <w:tr>
        <w:trPr>
          <w:trHeight w:val="425" w:hRule="exact"/>
        </w:trPr>
        <w:tc>
          <w:tcPr>
            <w:tcW w:w="1877" w:type="dxa"/>
            <w:tcBorders>
              <w:top w:val="nil"/>
              <w:left w:val="nil"/>
              <w:bottom w:val="nil"/>
              <w:right w:val="single" w:sz="41" w:space="0" w:color="EAF0DD"/>
            </w:tcBorders>
          </w:tcPr>
          <w:p>
            <w:pPr>
              <w:pStyle w:val="TableParagraph"/>
              <w:spacing w:before="2"/>
              <w:ind w:left="108"/>
              <w:rPr>
                <w:b/>
                <w:i/>
                <w:sz w:val="20"/>
              </w:rPr>
            </w:pPr>
            <w:r>
              <w:rPr>
                <w:b/>
                <w:i/>
                <w:sz w:val="20"/>
              </w:rPr>
              <w:t>Lactato de Na</w:t>
            </w:r>
          </w:p>
        </w:tc>
        <w:tc>
          <w:tcPr>
            <w:tcW w:w="1385" w:type="dxa"/>
            <w:shd w:val="clear" w:color="auto" w:fill="EAF0DD"/>
          </w:tcPr>
          <w:p>
            <w:pPr>
              <w:pStyle w:val="TableParagraph"/>
              <w:spacing w:line="274" w:lineRule="exact"/>
              <w:rPr>
                <w:sz w:val="24"/>
              </w:rPr>
            </w:pPr>
            <w:r>
              <w:rPr>
                <w:sz w:val="24"/>
              </w:rPr>
              <w:t>0.360%</w:t>
            </w:r>
          </w:p>
        </w:tc>
        <w:tc>
          <w:tcPr>
            <w:tcW w:w="2271" w:type="dxa"/>
            <w:shd w:val="clear" w:color="auto" w:fill="EAF0DD"/>
          </w:tcPr>
          <w:p>
            <w:pPr>
              <w:pStyle w:val="TableParagraph"/>
              <w:spacing w:line="274" w:lineRule="exact"/>
              <w:rPr>
                <w:sz w:val="24"/>
              </w:rPr>
            </w:pPr>
            <w:r>
              <w:rPr>
                <w:sz w:val="24"/>
              </w:rPr>
              <w:t>28 meq lactato</w:t>
            </w:r>
          </w:p>
        </w:tc>
      </w:tr>
      <w:tr>
        <w:trPr>
          <w:trHeight w:val="425" w:hRule="exact"/>
        </w:trPr>
        <w:tc>
          <w:tcPr>
            <w:tcW w:w="1877" w:type="dxa"/>
            <w:tcBorders>
              <w:top w:val="nil"/>
              <w:left w:val="nil"/>
              <w:bottom w:val="nil"/>
            </w:tcBorders>
          </w:tcPr>
          <w:p>
            <w:pPr>
              <w:pStyle w:val="TableParagraph"/>
              <w:spacing w:before="3"/>
              <w:ind w:left="108"/>
              <w:rPr>
                <w:b/>
                <w:i/>
                <w:sz w:val="24"/>
              </w:rPr>
            </w:pPr>
            <w:r>
              <w:rPr>
                <w:b/>
                <w:i/>
                <w:sz w:val="24"/>
              </w:rPr>
              <w:t>Cl</w:t>
            </w:r>
          </w:p>
        </w:tc>
        <w:tc>
          <w:tcPr>
            <w:tcW w:w="1385" w:type="dxa"/>
          </w:tcPr>
          <w:p>
            <w:pPr>
              <w:pStyle w:val="TableParagraph"/>
              <w:spacing w:line="274" w:lineRule="exact"/>
              <w:rPr>
                <w:sz w:val="24"/>
              </w:rPr>
            </w:pPr>
            <w:r>
              <w:rPr>
                <w:sz w:val="24"/>
              </w:rPr>
              <w:t>0%</w:t>
            </w:r>
          </w:p>
        </w:tc>
        <w:tc>
          <w:tcPr>
            <w:tcW w:w="2271" w:type="dxa"/>
          </w:tcPr>
          <w:p>
            <w:pPr>
              <w:pStyle w:val="TableParagraph"/>
              <w:spacing w:line="274" w:lineRule="exact"/>
              <w:rPr>
                <w:sz w:val="24"/>
              </w:rPr>
            </w:pPr>
            <w:r>
              <w:rPr>
                <w:sz w:val="24"/>
              </w:rPr>
              <w:t>109 meq Cl</w:t>
            </w:r>
          </w:p>
        </w:tc>
      </w:tr>
    </w:tbl>
    <w:p>
      <w:pPr>
        <w:pStyle w:val="BodyText"/>
        <w:spacing w:before="5"/>
        <w:rPr>
          <w:sz w:val="26"/>
        </w:rPr>
      </w:pPr>
    </w:p>
    <w:p>
      <w:pPr>
        <w:spacing w:before="0"/>
        <w:ind w:left="1675" w:right="1676" w:firstLine="0"/>
        <w:jc w:val="center"/>
        <w:rPr>
          <w:sz w:val="20"/>
        </w:rPr>
      </w:pPr>
      <w:r>
        <w:rPr>
          <w:sz w:val="20"/>
        </w:rPr>
        <w:t>Fuente: tomada de etiqueta de solución Hartman de 250ml</w:t>
      </w:r>
    </w:p>
    <w:p>
      <w:pPr>
        <w:pStyle w:val="BodyText"/>
        <w:spacing w:before="2"/>
        <w:rPr>
          <w:sz w:val="27"/>
        </w:rPr>
      </w:pPr>
    </w:p>
    <w:p>
      <w:pPr>
        <w:pStyle w:val="ListParagraph"/>
        <w:numPr>
          <w:ilvl w:val="1"/>
          <w:numId w:val="15"/>
        </w:numPr>
        <w:tabs>
          <w:tab w:pos="573" w:val="left" w:leader="none"/>
        </w:tabs>
        <w:spacing w:line="360" w:lineRule="auto" w:before="1" w:after="0"/>
        <w:ind w:left="118" w:right="114" w:firstLine="0"/>
        <w:jc w:val="both"/>
        <w:rPr>
          <w:sz w:val="24"/>
        </w:rPr>
      </w:pPr>
      <w:r>
        <w:rPr>
          <w:sz w:val="24"/>
        </w:rPr>
        <w:t>Se agregó ácido nítrico para establecer un pH de 6 a la preparación mediante un conductómetro, posteriormente se depositó 2ml de dicha solución en cada recipiente. (Fig.</w:t>
      </w:r>
      <w:r>
        <w:rPr>
          <w:spacing w:val="-4"/>
          <w:sz w:val="24"/>
        </w:rPr>
        <w:t> </w:t>
      </w:r>
      <w:r>
        <w:rPr>
          <w:sz w:val="24"/>
        </w:rPr>
        <w:t>4)</w:t>
      </w:r>
    </w:p>
    <w:p>
      <w:pPr>
        <w:spacing w:after="0" w:line="360" w:lineRule="auto"/>
        <w:jc w:val="both"/>
        <w:rPr>
          <w:sz w:val="24"/>
        </w:rPr>
        <w:sectPr>
          <w:pgSz w:w="12240" w:h="15840"/>
          <w:pgMar w:header="0" w:footer="887" w:top="1360" w:bottom="1140" w:left="1300" w:right="1300"/>
        </w:sectPr>
      </w:pPr>
    </w:p>
    <w:p>
      <w:pPr>
        <w:pStyle w:val="BodyText"/>
        <w:spacing w:before="9"/>
        <w:rPr>
          <w:sz w:val="4"/>
        </w:rPr>
      </w:pPr>
    </w:p>
    <w:p>
      <w:pPr>
        <w:spacing w:line="240" w:lineRule="auto"/>
        <w:ind w:left="2268" w:right="0" w:firstLine="0"/>
        <w:rPr>
          <w:sz w:val="20"/>
        </w:rPr>
      </w:pPr>
      <w:r>
        <w:rPr>
          <w:sz w:val="20"/>
        </w:rPr>
        <w:pict>
          <v:group style="width:186pt;height:106.1pt;mso-position-horizontal-relative:char;mso-position-vertical-relative:line" coordorigin="0,0" coordsize="3720,2122">
            <v:shape style="position:absolute;left:0;top:0;width:3720;height:2122" type="#_x0000_t75" stroked="false">
              <v:imagedata r:id="rId13" o:title=""/>
            </v:shape>
            <v:shape style="position:absolute;left:156;top:1851;width:162;height:221" type="#_x0000_t202" filled="false" stroked="false">
              <v:textbox inset="0,0,0,0">
                <w:txbxContent>
                  <w:p>
                    <w:pPr>
                      <w:spacing w:line="221" w:lineRule="exact" w:before="0"/>
                      <w:ind w:left="0" w:right="-19" w:firstLine="0"/>
                      <w:jc w:val="left"/>
                      <w:rPr>
                        <w:rFonts w:ascii="Calibri"/>
                        <w:sz w:val="22"/>
                      </w:rPr>
                    </w:pPr>
                    <w:r>
                      <w:rPr>
                        <w:rFonts w:ascii="Calibri"/>
                        <w:sz w:val="22"/>
                      </w:rPr>
                      <w:t>a.</w:t>
                    </w:r>
                  </w:p>
                </w:txbxContent>
              </v:textbox>
              <w10:wrap type="none"/>
            </v:shape>
          </v:group>
        </w:pict>
      </w:r>
      <w:r>
        <w:rPr>
          <w:sz w:val="20"/>
        </w:rPr>
      </w:r>
      <w:r>
        <w:rPr>
          <w:rFonts w:ascii="Times New Roman"/>
          <w:spacing w:val="50"/>
          <w:sz w:val="20"/>
        </w:rPr>
        <w:t> </w:t>
      </w:r>
      <w:r>
        <w:rPr>
          <w:spacing w:val="50"/>
          <w:sz w:val="20"/>
        </w:rPr>
        <w:pict>
          <v:group style="width:65.3pt;height:150.5pt;mso-position-horizontal-relative:char;mso-position-vertical-relative:line" coordorigin="0,0" coordsize="1306,3010">
            <v:shape style="position:absolute;left:0;top:0;width:1306;height:3010" type="#_x0000_t75" stroked="false">
              <v:imagedata r:id="rId14" o:title=""/>
            </v:shape>
            <v:shape style="position:absolute;left:18;top:2744;width:171;height:221" type="#_x0000_t202" filled="false" stroked="false">
              <v:textbox inset="0,0,0,0">
                <w:txbxContent>
                  <w:p>
                    <w:pPr>
                      <w:spacing w:line="221" w:lineRule="exact" w:before="0"/>
                      <w:ind w:left="0" w:right="-19" w:firstLine="0"/>
                      <w:jc w:val="left"/>
                      <w:rPr>
                        <w:rFonts w:ascii="Calibri"/>
                        <w:sz w:val="22"/>
                      </w:rPr>
                    </w:pPr>
                    <w:r>
                      <w:rPr>
                        <w:rFonts w:ascii="Calibri"/>
                        <w:spacing w:val="-1"/>
                        <w:sz w:val="22"/>
                      </w:rPr>
                      <w:t>b.</w:t>
                    </w:r>
                  </w:p>
                </w:txbxContent>
              </v:textbox>
              <w10:wrap type="none"/>
            </v:shape>
          </v:group>
        </w:pict>
      </w:r>
      <w:r>
        <w:rPr>
          <w:spacing w:val="50"/>
          <w:sz w:val="20"/>
        </w:rPr>
      </w:r>
    </w:p>
    <w:p>
      <w:pPr>
        <w:pStyle w:val="BodyText"/>
        <w:rPr>
          <w:sz w:val="20"/>
        </w:rPr>
      </w:pPr>
    </w:p>
    <w:p>
      <w:pPr>
        <w:pStyle w:val="BodyText"/>
        <w:spacing w:before="3"/>
        <w:rPr>
          <w:sz w:val="19"/>
        </w:rPr>
      </w:pPr>
    </w:p>
    <w:p>
      <w:pPr>
        <w:pStyle w:val="BodyText"/>
        <w:spacing w:before="70"/>
        <w:ind w:left="776" w:right="42"/>
      </w:pPr>
      <w:r>
        <w:rPr/>
        <w:t>Fig. 4 a) Recipientes con pH de 4,7 y 10, b) Medición con el conductómetro.</w:t>
      </w:r>
    </w:p>
    <w:p>
      <w:pPr>
        <w:pStyle w:val="BodyText"/>
        <w:spacing w:before="4"/>
        <w:rPr>
          <w:sz w:val="29"/>
        </w:rPr>
      </w:pPr>
    </w:p>
    <w:p>
      <w:pPr>
        <w:pStyle w:val="ListParagraph"/>
        <w:numPr>
          <w:ilvl w:val="1"/>
          <w:numId w:val="15"/>
        </w:numPr>
        <w:tabs>
          <w:tab w:pos="592" w:val="left" w:leader="none"/>
        </w:tabs>
        <w:spacing w:line="360" w:lineRule="auto" w:before="1" w:after="0"/>
        <w:ind w:left="118" w:right="112" w:firstLine="0"/>
        <w:jc w:val="both"/>
        <w:rPr>
          <w:sz w:val="24"/>
        </w:rPr>
      </w:pPr>
      <w:r>
        <w:rPr>
          <w:sz w:val="24"/>
        </w:rPr>
        <w:t>Con ayuda de unas tijeras de corte fino (Hu Friedy), se cortaron fragmentos de corona. Mediante una balanza calibrada fueron pesados y colocados dentro de los recipientes con pinzas de</w:t>
      </w:r>
      <w:r>
        <w:rPr>
          <w:spacing w:val="-8"/>
          <w:sz w:val="24"/>
        </w:rPr>
        <w:t> </w:t>
      </w:r>
      <w:r>
        <w:rPr>
          <w:sz w:val="24"/>
        </w:rPr>
        <w:t>curación.</w:t>
      </w:r>
    </w:p>
    <w:p>
      <w:pPr>
        <w:pStyle w:val="ListParagraph"/>
        <w:numPr>
          <w:ilvl w:val="1"/>
          <w:numId w:val="15"/>
        </w:numPr>
        <w:tabs>
          <w:tab w:pos="631" w:val="left" w:leader="none"/>
        </w:tabs>
        <w:spacing w:line="360" w:lineRule="auto" w:before="202" w:after="0"/>
        <w:ind w:left="118" w:right="114" w:firstLine="0"/>
        <w:jc w:val="both"/>
        <w:rPr>
          <w:sz w:val="24"/>
        </w:rPr>
      </w:pPr>
      <w:r>
        <w:rPr>
          <w:sz w:val="24"/>
        </w:rPr>
        <w:t>Las 20 muestras se encontraban en las mismas condiciones, a temperatura ambiente,</w:t>
      </w:r>
      <w:r>
        <w:rPr>
          <w:spacing w:val="-18"/>
          <w:sz w:val="24"/>
        </w:rPr>
        <w:t> </w:t>
      </w:r>
      <w:r>
        <w:rPr>
          <w:sz w:val="24"/>
        </w:rPr>
        <w:t>agitadas</w:t>
      </w:r>
      <w:r>
        <w:rPr>
          <w:spacing w:val="-18"/>
          <w:sz w:val="24"/>
        </w:rPr>
        <w:t> </w:t>
      </w:r>
      <w:r>
        <w:rPr>
          <w:sz w:val="24"/>
        </w:rPr>
        <w:t>vigorosamente</w:t>
      </w:r>
      <w:r>
        <w:rPr>
          <w:spacing w:val="-17"/>
          <w:sz w:val="24"/>
        </w:rPr>
        <w:t> </w:t>
      </w:r>
      <w:r>
        <w:rPr>
          <w:sz w:val="24"/>
        </w:rPr>
        <w:t>todos</w:t>
      </w:r>
      <w:r>
        <w:rPr>
          <w:spacing w:val="-18"/>
          <w:sz w:val="24"/>
        </w:rPr>
        <w:t> </w:t>
      </w:r>
      <w:r>
        <w:rPr>
          <w:sz w:val="24"/>
        </w:rPr>
        <w:t>los</w:t>
      </w:r>
      <w:r>
        <w:rPr>
          <w:spacing w:val="-18"/>
          <w:sz w:val="24"/>
        </w:rPr>
        <w:t> </w:t>
      </w:r>
      <w:r>
        <w:rPr>
          <w:sz w:val="24"/>
        </w:rPr>
        <w:t>días</w:t>
      </w:r>
      <w:r>
        <w:rPr>
          <w:spacing w:val="-18"/>
          <w:sz w:val="24"/>
        </w:rPr>
        <w:t> </w:t>
      </w:r>
      <w:r>
        <w:rPr>
          <w:sz w:val="24"/>
        </w:rPr>
        <w:t>durante</w:t>
      </w:r>
      <w:r>
        <w:rPr>
          <w:spacing w:val="-20"/>
          <w:sz w:val="24"/>
        </w:rPr>
        <w:t> </w:t>
      </w:r>
      <w:r>
        <w:rPr>
          <w:sz w:val="24"/>
        </w:rPr>
        <w:t>30</w:t>
      </w:r>
      <w:r>
        <w:rPr>
          <w:spacing w:val="-18"/>
          <w:sz w:val="24"/>
        </w:rPr>
        <w:t> </w:t>
      </w:r>
      <w:r>
        <w:rPr>
          <w:sz w:val="24"/>
        </w:rPr>
        <w:t>segundos</w:t>
      </w:r>
      <w:r>
        <w:rPr>
          <w:spacing w:val="-18"/>
          <w:sz w:val="24"/>
        </w:rPr>
        <w:t> </w:t>
      </w:r>
      <w:r>
        <w:rPr>
          <w:sz w:val="24"/>
        </w:rPr>
        <w:t>aproximadamente a la misma hora, cerrados</w:t>
      </w:r>
      <w:r>
        <w:rPr>
          <w:spacing w:val="-14"/>
          <w:sz w:val="24"/>
        </w:rPr>
        <w:t> </w:t>
      </w:r>
      <w:r>
        <w:rPr>
          <w:sz w:val="24"/>
        </w:rPr>
        <w:t>herméticamente.</w:t>
      </w:r>
    </w:p>
    <w:p>
      <w:pPr>
        <w:pStyle w:val="ListParagraph"/>
        <w:numPr>
          <w:ilvl w:val="1"/>
          <w:numId w:val="15"/>
        </w:numPr>
        <w:tabs>
          <w:tab w:pos="556" w:val="left" w:leader="none"/>
        </w:tabs>
        <w:spacing w:line="360" w:lineRule="auto" w:before="5" w:after="0"/>
        <w:ind w:left="118" w:right="116" w:firstLine="0"/>
        <w:jc w:val="both"/>
        <w:rPr>
          <w:sz w:val="24"/>
        </w:rPr>
      </w:pPr>
      <w:r>
        <w:rPr>
          <w:sz w:val="24"/>
        </w:rPr>
        <w:t>Una vez que cumplieron los 15 días se retiraron los fragmentos de metal de corona de los recipientes de la primera</w:t>
      </w:r>
      <w:r>
        <w:rPr>
          <w:spacing w:val="-9"/>
          <w:sz w:val="24"/>
        </w:rPr>
        <w:t> </w:t>
      </w:r>
      <w:r>
        <w:rPr>
          <w:sz w:val="24"/>
        </w:rPr>
        <w:t>fila.</w:t>
      </w:r>
    </w:p>
    <w:p>
      <w:pPr>
        <w:pStyle w:val="ListParagraph"/>
        <w:numPr>
          <w:ilvl w:val="1"/>
          <w:numId w:val="15"/>
        </w:numPr>
        <w:tabs>
          <w:tab w:pos="554" w:val="left" w:leader="none"/>
        </w:tabs>
        <w:spacing w:line="360" w:lineRule="auto" w:before="5" w:after="0"/>
        <w:ind w:left="118" w:right="112" w:firstLine="0"/>
        <w:jc w:val="both"/>
        <w:rPr>
          <w:sz w:val="24"/>
        </w:rPr>
      </w:pPr>
      <w:r>
        <w:rPr>
          <w:sz w:val="24"/>
        </w:rPr>
        <w:t>Se continuó agitando los recipientes hasta cumplir con los 15 días restantes para la segunda</w:t>
      </w:r>
      <w:r>
        <w:rPr>
          <w:spacing w:val="-7"/>
          <w:sz w:val="24"/>
        </w:rPr>
        <w:t> </w:t>
      </w:r>
      <w:r>
        <w:rPr>
          <w:sz w:val="24"/>
        </w:rPr>
        <w:t>fila.</w:t>
      </w:r>
    </w:p>
    <w:p>
      <w:pPr>
        <w:pStyle w:val="ListParagraph"/>
        <w:numPr>
          <w:ilvl w:val="1"/>
          <w:numId w:val="15"/>
        </w:numPr>
        <w:tabs>
          <w:tab w:pos="580" w:val="left" w:leader="none"/>
        </w:tabs>
        <w:spacing w:line="360" w:lineRule="auto" w:before="5" w:after="0"/>
        <w:ind w:left="118" w:right="114" w:firstLine="0"/>
        <w:jc w:val="both"/>
        <w:rPr>
          <w:sz w:val="24"/>
        </w:rPr>
      </w:pPr>
      <w:r>
        <w:rPr>
          <w:sz w:val="24"/>
        </w:rPr>
        <w:t>Se mantuvieron las muestras en refrigeración de 0° a -10° para su análisis en el laboratorio</w:t>
      </w:r>
      <w:r>
        <w:rPr>
          <w:spacing w:val="-12"/>
          <w:sz w:val="24"/>
        </w:rPr>
        <w:t> </w:t>
      </w:r>
      <w:r>
        <w:rPr>
          <w:sz w:val="24"/>
        </w:rPr>
        <w:t>de</w:t>
      </w:r>
      <w:r>
        <w:rPr>
          <w:spacing w:val="-12"/>
          <w:sz w:val="24"/>
        </w:rPr>
        <w:t> </w:t>
      </w:r>
      <w:r>
        <w:rPr>
          <w:sz w:val="24"/>
        </w:rPr>
        <w:t>la</w:t>
      </w:r>
      <w:r>
        <w:rPr>
          <w:spacing w:val="-10"/>
          <w:sz w:val="24"/>
        </w:rPr>
        <w:t> </w:t>
      </w:r>
      <w:r>
        <w:rPr>
          <w:sz w:val="24"/>
        </w:rPr>
        <w:t>Facultad</w:t>
      </w:r>
      <w:r>
        <w:rPr>
          <w:spacing w:val="-12"/>
          <w:sz w:val="24"/>
        </w:rPr>
        <w:t> </w:t>
      </w:r>
      <w:r>
        <w:rPr>
          <w:sz w:val="24"/>
        </w:rPr>
        <w:t>de</w:t>
      </w:r>
      <w:r>
        <w:rPr>
          <w:spacing w:val="-12"/>
          <w:sz w:val="24"/>
        </w:rPr>
        <w:t> </w:t>
      </w:r>
      <w:r>
        <w:rPr>
          <w:sz w:val="24"/>
        </w:rPr>
        <w:t>Química</w:t>
      </w:r>
      <w:r>
        <w:rPr>
          <w:spacing w:val="-12"/>
          <w:sz w:val="24"/>
        </w:rPr>
        <w:t> </w:t>
      </w:r>
      <w:r>
        <w:rPr>
          <w:sz w:val="24"/>
        </w:rPr>
        <w:t>de</w:t>
      </w:r>
      <w:r>
        <w:rPr>
          <w:spacing w:val="-12"/>
          <w:sz w:val="24"/>
        </w:rPr>
        <w:t> </w:t>
      </w:r>
      <w:r>
        <w:rPr>
          <w:sz w:val="24"/>
        </w:rPr>
        <w:t>la</w:t>
      </w:r>
      <w:r>
        <w:rPr>
          <w:spacing w:val="-10"/>
          <w:sz w:val="24"/>
        </w:rPr>
        <w:t> </w:t>
      </w:r>
      <w:r>
        <w:rPr>
          <w:sz w:val="24"/>
        </w:rPr>
        <w:t>Universidad</w:t>
      </w:r>
      <w:r>
        <w:rPr>
          <w:spacing w:val="-9"/>
          <w:sz w:val="24"/>
        </w:rPr>
        <w:t> </w:t>
      </w:r>
      <w:r>
        <w:rPr>
          <w:sz w:val="24"/>
        </w:rPr>
        <w:t>Autónoma</w:t>
      </w:r>
      <w:r>
        <w:rPr>
          <w:spacing w:val="-12"/>
          <w:sz w:val="24"/>
        </w:rPr>
        <w:t> </w:t>
      </w:r>
      <w:r>
        <w:rPr>
          <w:sz w:val="24"/>
        </w:rPr>
        <w:t>del</w:t>
      </w:r>
      <w:r>
        <w:rPr>
          <w:spacing w:val="-11"/>
          <w:sz w:val="24"/>
        </w:rPr>
        <w:t> </w:t>
      </w:r>
      <w:r>
        <w:rPr>
          <w:sz w:val="24"/>
        </w:rPr>
        <w:t>Estado</w:t>
      </w:r>
      <w:r>
        <w:rPr>
          <w:spacing w:val="-13"/>
          <w:sz w:val="24"/>
        </w:rPr>
        <w:t> </w:t>
      </w:r>
      <w:r>
        <w:rPr>
          <w:sz w:val="24"/>
        </w:rPr>
        <w:t>de</w:t>
      </w:r>
      <w:r>
        <w:rPr>
          <w:spacing w:val="-12"/>
          <w:sz w:val="24"/>
        </w:rPr>
        <w:t> </w:t>
      </w:r>
      <w:r>
        <w:rPr>
          <w:sz w:val="24"/>
        </w:rPr>
        <w:t>México, por medio de un espectrómetro de masas con horno de grafito, determinando si los metales se encuentran presentes o no en las</w:t>
      </w:r>
      <w:r>
        <w:rPr>
          <w:spacing w:val="-18"/>
          <w:sz w:val="24"/>
        </w:rPr>
        <w:t> </w:t>
      </w:r>
      <w:r>
        <w:rPr>
          <w:sz w:val="24"/>
        </w:rPr>
        <w:t>muestras.</w:t>
      </w:r>
    </w:p>
    <w:p>
      <w:pPr>
        <w:pStyle w:val="BodyText"/>
      </w:pPr>
    </w:p>
    <w:p>
      <w:pPr>
        <w:pStyle w:val="Heading1"/>
        <w:numPr>
          <w:ilvl w:val="0"/>
          <w:numId w:val="15"/>
        </w:numPr>
        <w:tabs>
          <w:tab w:pos="479" w:val="left" w:leader="none"/>
        </w:tabs>
        <w:spacing w:line="240" w:lineRule="auto" w:before="142" w:after="0"/>
        <w:ind w:left="478" w:right="0" w:hanging="360"/>
        <w:jc w:val="both"/>
      </w:pPr>
      <w:r>
        <w:rPr/>
        <w:t>Segunda fase de la</w:t>
      </w:r>
      <w:r>
        <w:rPr>
          <w:spacing w:val="-10"/>
        </w:rPr>
        <w:t> </w:t>
      </w:r>
      <w:r>
        <w:rPr/>
        <w:t>investigación</w:t>
      </w:r>
    </w:p>
    <w:p>
      <w:pPr>
        <w:pStyle w:val="ListParagraph"/>
        <w:numPr>
          <w:ilvl w:val="1"/>
          <w:numId w:val="15"/>
        </w:numPr>
        <w:tabs>
          <w:tab w:pos="597" w:val="left" w:leader="none"/>
        </w:tabs>
        <w:spacing w:line="360" w:lineRule="auto" w:before="139" w:after="0"/>
        <w:ind w:left="118" w:right="117" w:firstLine="0"/>
        <w:jc w:val="both"/>
        <w:rPr>
          <w:sz w:val="24"/>
        </w:rPr>
      </w:pPr>
      <w:r>
        <w:rPr>
          <w:sz w:val="24"/>
        </w:rPr>
        <w:t>Antes de iniciar el tratamiento, para obtener un registro base referencial de los metales, tomando una muestra de saliva a los pacientes antes de colocar coronas de níquel</w:t>
      </w:r>
      <w:r>
        <w:rPr>
          <w:spacing w:val="-4"/>
          <w:sz w:val="24"/>
        </w:rPr>
        <w:t> </w:t>
      </w:r>
      <w:r>
        <w:rPr>
          <w:sz w:val="24"/>
        </w:rPr>
        <w:t>cromo.</w:t>
      </w:r>
    </w:p>
    <w:p>
      <w:pPr>
        <w:pStyle w:val="ListParagraph"/>
        <w:numPr>
          <w:ilvl w:val="1"/>
          <w:numId w:val="15"/>
        </w:numPr>
        <w:tabs>
          <w:tab w:pos="549" w:val="left" w:leader="none"/>
        </w:tabs>
        <w:spacing w:line="240" w:lineRule="auto" w:before="202" w:after="0"/>
        <w:ind w:left="548" w:right="0" w:hanging="430"/>
        <w:jc w:val="both"/>
        <w:rPr>
          <w:sz w:val="24"/>
        </w:rPr>
      </w:pPr>
      <w:r>
        <w:rPr>
          <w:sz w:val="24"/>
        </w:rPr>
        <w:t>Al mes posterior a la colocación de coronas níquel</w:t>
      </w:r>
      <w:r>
        <w:rPr>
          <w:spacing w:val="-21"/>
          <w:sz w:val="24"/>
        </w:rPr>
        <w:t> </w:t>
      </w:r>
      <w:r>
        <w:rPr>
          <w:sz w:val="24"/>
        </w:rPr>
        <w:t>cromo.</w:t>
      </w:r>
    </w:p>
    <w:p>
      <w:pPr>
        <w:spacing w:after="0" w:line="240" w:lineRule="auto"/>
        <w:jc w:val="both"/>
        <w:rPr>
          <w:sz w:val="24"/>
        </w:rPr>
        <w:sectPr>
          <w:pgSz w:w="12240" w:h="15840"/>
          <w:pgMar w:header="0" w:footer="887" w:top="1500" w:bottom="1140" w:left="1300" w:right="1300"/>
        </w:sectPr>
      </w:pPr>
    </w:p>
    <w:p>
      <w:pPr>
        <w:pStyle w:val="Heading1"/>
        <w:ind w:right="42"/>
      </w:pPr>
      <w:r>
        <w:rPr/>
        <w:t>Método</w:t>
      </w:r>
    </w:p>
    <w:p>
      <w:pPr>
        <w:pStyle w:val="BodyText"/>
        <w:spacing w:before="5"/>
        <w:rPr>
          <w:b/>
          <w:sz w:val="29"/>
        </w:rPr>
      </w:pPr>
    </w:p>
    <w:p>
      <w:pPr>
        <w:pStyle w:val="ListParagraph"/>
        <w:numPr>
          <w:ilvl w:val="0"/>
          <w:numId w:val="16"/>
        </w:numPr>
        <w:tabs>
          <w:tab w:pos="479" w:val="left" w:leader="none"/>
        </w:tabs>
        <w:spacing w:line="360" w:lineRule="auto" w:before="0" w:after="0"/>
        <w:ind w:left="478" w:right="114" w:hanging="360"/>
        <w:jc w:val="both"/>
        <w:rPr>
          <w:sz w:val="24"/>
        </w:rPr>
      </w:pPr>
      <w:r>
        <w:rPr>
          <w:sz w:val="24"/>
        </w:rPr>
        <w:t>La muestra se tomó durante la consulta en la clínica de la Especialidad de Odontopediatría.</w:t>
      </w:r>
    </w:p>
    <w:p>
      <w:pPr>
        <w:pStyle w:val="ListParagraph"/>
        <w:numPr>
          <w:ilvl w:val="0"/>
          <w:numId w:val="16"/>
        </w:numPr>
        <w:tabs>
          <w:tab w:pos="479" w:val="left" w:leader="none"/>
        </w:tabs>
        <w:spacing w:line="360" w:lineRule="auto" w:before="5" w:after="0"/>
        <w:ind w:left="478" w:right="127" w:hanging="360"/>
        <w:jc w:val="both"/>
        <w:rPr>
          <w:sz w:val="24"/>
        </w:rPr>
      </w:pPr>
      <w:r>
        <w:rPr>
          <w:sz w:val="24"/>
        </w:rPr>
        <w:t>Se les informó a los padres de familia el objetivo del estudio, de forma oral y escrita por medio del consentimiento informado (Anexo</w:t>
      </w:r>
      <w:r>
        <w:rPr>
          <w:spacing w:val="-19"/>
          <w:sz w:val="24"/>
        </w:rPr>
        <w:t> </w:t>
      </w:r>
      <w:r>
        <w:rPr>
          <w:sz w:val="24"/>
        </w:rPr>
        <w:t>1).</w:t>
      </w:r>
    </w:p>
    <w:p>
      <w:pPr>
        <w:pStyle w:val="ListParagraph"/>
        <w:numPr>
          <w:ilvl w:val="0"/>
          <w:numId w:val="16"/>
        </w:numPr>
        <w:tabs>
          <w:tab w:pos="479" w:val="left" w:leader="none"/>
        </w:tabs>
        <w:spacing w:line="360" w:lineRule="auto" w:before="5" w:after="0"/>
        <w:ind w:left="478" w:right="112" w:hanging="360"/>
        <w:jc w:val="both"/>
        <w:rPr>
          <w:sz w:val="24"/>
        </w:rPr>
      </w:pPr>
      <w:r>
        <w:rPr>
          <w:sz w:val="24"/>
        </w:rPr>
        <w:t>Se le aplicó a cada paciente un cuestionario, registrando los datos de identificación (Anexos</w:t>
      </w:r>
      <w:r>
        <w:rPr>
          <w:spacing w:val="-2"/>
          <w:sz w:val="24"/>
        </w:rPr>
        <w:t> </w:t>
      </w:r>
      <w:r>
        <w:rPr>
          <w:sz w:val="24"/>
        </w:rPr>
        <w:t>2,3).</w:t>
      </w:r>
    </w:p>
    <w:p>
      <w:pPr>
        <w:pStyle w:val="ListParagraph"/>
        <w:numPr>
          <w:ilvl w:val="0"/>
          <w:numId w:val="16"/>
        </w:numPr>
        <w:tabs>
          <w:tab w:pos="479" w:val="left" w:leader="none"/>
        </w:tabs>
        <w:spacing w:line="360" w:lineRule="auto" w:before="5" w:after="0"/>
        <w:ind w:left="478" w:right="125" w:hanging="360"/>
        <w:jc w:val="both"/>
        <w:rPr>
          <w:sz w:val="24"/>
        </w:rPr>
      </w:pPr>
      <w:r>
        <w:rPr>
          <w:sz w:val="24"/>
        </w:rPr>
        <w:t>La toma de muestra de saliva se llevó a cabo en la unidad dental, bajo luz artificial, con el operador de bata, guantes y cubrebocas</w:t>
      </w:r>
      <w:r>
        <w:rPr>
          <w:spacing w:val="-28"/>
          <w:sz w:val="24"/>
        </w:rPr>
        <w:t> </w:t>
      </w:r>
      <w:r>
        <w:rPr>
          <w:sz w:val="24"/>
        </w:rPr>
        <w:t>desechables.</w:t>
      </w:r>
    </w:p>
    <w:p>
      <w:pPr>
        <w:pStyle w:val="ListParagraph"/>
        <w:numPr>
          <w:ilvl w:val="0"/>
          <w:numId w:val="16"/>
        </w:numPr>
        <w:tabs>
          <w:tab w:pos="479" w:val="left" w:leader="none"/>
        </w:tabs>
        <w:spacing w:line="360" w:lineRule="auto" w:before="5" w:after="0"/>
        <w:ind w:left="478" w:right="113" w:hanging="360"/>
        <w:jc w:val="both"/>
        <w:rPr>
          <w:sz w:val="24"/>
        </w:rPr>
      </w:pPr>
      <w:r>
        <w:rPr>
          <w:sz w:val="24"/>
        </w:rPr>
        <w:t>Se depositó la muestra de saliva estimulada en recipientes de polietileno estériles de 10</w:t>
      </w:r>
      <w:r>
        <w:rPr>
          <w:spacing w:val="-12"/>
          <w:sz w:val="24"/>
        </w:rPr>
        <w:t> </w:t>
      </w:r>
      <w:r>
        <w:rPr>
          <w:sz w:val="24"/>
        </w:rPr>
        <w:t>ml.</w:t>
      </w:r>
      <w:r>
        <w:rPr>
          <w:spacing w:val="-15"/>
          <w:sz w:val="24"/>
        </w:rPr>
        <w:t> </w:t>
      </w:r>
      <w:r>
        <w:rPr>
          <w:sz w:val="24"/>
        </w:rPr>
        <w:t>Identificadas</w:t>
      </w:r>
      <w:r>
        <w:rPr>
          <w:spacing w:val="-13"/>
          <w:sz w:val="24"/>
        </w:rPr>
        <w:t> </w:t>
      </w:r>
      <w:r>
        <w:rPr>
          <w:sz w:val="24"/>
        </w:rPr>
        <w:t>con</w:t>
      </w:r>
      <w:r>
        <w:rPr>
          <w:spacing w:val="-12"/>
          <w:sz w:val="24"/>
        </w:rPr>
        <w:t> </w:t>
      </w:r>
      <w:r>
        <w:rPr>
          <w:sz w:val="24"/>
        </w:rPr>
        <w:t>etiquetas</w:t>
      </w:r>
      <w:r>
        <w:rPr>
          <w:spacing w:val="-13"/>
          <w:sz w:val="24"/>
        </w:rPr>
        <w:t> </w:t>
      </w:r>
      <w:r>
        <w:rPr>
          <w:sz w:val="24"/>
        </w:rPr>
        <w:t>colocando</w:t>
      </w:r>
      <w:r>
        <w:rPr>
          <w:spacing w:val="-15"/>
          <w:sz w:val="24"/>
        </w:rPr>
        <w:t> </w:t>
      </w:r>
      <w:r>
        <w:rPr>
          <w:sz w:val="24"/>
        </w:rPr>
        <w:t>el</w:t>
      </w:r>
      <w:r>
        <w:rPr>
          <w:spacing w:val="-13"/>
          <w:sz w:val="24"/>
        </w:rPr>
        <w:t> </w:t>
      </w:r>
      <w:r>
        <w:rPr>
          <w:sz w:val="24"/>
        </w:rPr>
        <w:t>número</w:t>
      </w:r>
      <w:r>
        <w:rPr>
          <w:spacing w:val="-13"/>
          <w:sz w:val="24"/>
        </w:rPr>
        <w:t> </w:t>
      </w:r>
      <w:r>
        <w:rPr>
          <w:sz w:val="24"/>
        </w:rPr>
        <w:t>y</w:t>
      </w:r>
      <w:r>
        <w:rPr>
          <w:spacing w:val="-15"/>
          <w:sz w:val="24"/>
        </w:rPr>
        <w:t> </w:t>
      </w:r>
      <w:r>
        <w:rPr>
          <w:sz w:val="24"/>
        </w:rPr>
        <w:t>nombre</w:t>
      </w:r>
      <w:r>
        <w:rPr>
          <w:spacing w:val="-13"/>
          <w:sz w:val="24"/>
        </w:rPr>
        <w:t> </w:t>
      </w:r>
      <w:r>
        <w:rPr>
          <w:sz w:val="24"/>
        </w:rPr>
        <w:t>del</w:t>
      </w:r>
      <w:r>
        <w:rPr>
          <w:spacing w:val="-13"/>
          <w:sz w:val="24"/>
        </w:rPr>
        <w:t> </w:t>
      </w:r>
      <w:r>
        <w:rPr>
          <w:sz w:val="24"/>
        </w:rPr>
        <w:t>paciente,</w:t>
      </w:r>
      <w:r>
        <w:rPr>
          <w:spacing w:val="-12"/>
          <w:sz w:val="24"/>
        </w:rPr>
        <w:t> </w:t>
      </w:r>
      <w:r>
        <w:rPr>
          <w:sz w:val="24"/>
        </w:rPr>
        <w:t>y</w:t>
      </w:r>
      <w:r>
        <w:rPr>
          <w:spacing w:val="-15"/>
          <w:sz w:val="24"/>
        </w:rPr>
        <w:t> </w:t>
      </w:r>
      <w:r>
        <w:rPr>
          <w:sz w:val="24"/>
        </w:rPr>
        <w:t>fecha de la toma de</w:t>
      </w:r>
      <w:r>
        <w:rPr>
          <w:spacing w:val="-8"/>
          <w:sz w:val="24"/>
        </w:rPr>
        <w:t> </w:t>
      </w:r>
      <w:r>
        <w:rPr>
          <w:sz w:val="24"/>
        </w:rPr>
        <w:t>muestra.</w:t>
      </w:r>
    </w:p>
    <w:p>
      <w:pPr>
        <w:pStyle w:val="BodyText"/>
      </w:pPr>
    </w:p>
    <w:p>
      <w:pPr>
        <w:pStyle w:val="ListParagraph"/>
        <w:numPr>
          <w:ilvl w:val="0"/>
          <w:numId w:val="16"/>
        </w:numPr>
        <w:tabs>
          <w:tab w:pos="479" w:val="left" w:leader="none"/>
        </w:tabs>
        <w:spacing w:line="360" w:lineRule="auto" w:before="139" w:after="0"/>
        <w:ind w:left="478" w:right="113" w:hanging="360"/>
        <w:jc w:val="both"/>
        <w:rPr>
          <w:sz w:val="24"/>
        </w:rPr>
      </w:pPr>
      <w:r>
        <w:rPr>
          <w:sz w:val="24"/>
        </w:rPr>
        <w:t>Una</w:t>
      </w:r>
      <w:r>
        <w:rPr>
          <w:spacing w:val="-10"/>
          <w:sz w:val="24"/>
        </w:rPr>
        <w:t> </w:t>
      </w:r>
      <w:r>
        <w:rPr>
          <w:sz w:val="24"/>
        </w:rPr>
        <w:t>vez</w:t>
      </w:r>
      <w:r>
        <w:rPr>
          <w:spacing w:val="-14"/>
          <w:sz w:val="24"/>
        </w:rPr>
        <w:t> </w:t>
      </w:r>
      <w:r>
        <w:rPr>
          <w:sz w:val="24"/>
        </w:rPr>
        <w:t>obtenida</w:t>
      </w:r>
      <w:r>
        <w:rPr>
          <w:spacing w:val="-10"/>
          <w:sz w:val="24"/>
        </w:rPr>
        <w:t> </w:t>
      </w:r>
      <w:r>
        <w:rPr>
          <w:sz w:val="24"/>
        </w:rPr>
        <w:t>la</w:t>
      </w:r>
      <w:r>
        <w:rPr>
          <w:spacing w:val="-11"/>
          <w:sz w:val="24"/>
        </w:rPr>
        <w:t> </w:t>
      </w:r>
      <w:r>
        <w:rPr>
          <w:sz w:val="24"/>
        </w:rPr>
        <w:t>muestra</w:t>
      </w:r>
      <w:r>
        <w:rPr>
          <w:spacing w:val="-11"/>
          <w:sz w:val="24"/>
        </w:rPr>
        <w:t> </w:t>
      </w:r>
      <w:r>
        <w:rPr>
          <w:sz w:val="24"/>
        </w:rPr>
        <w:t>se</w:t>
      </w:r>
      <w:r>
        <w:rPr>
          <w:spacing w:val="-11"/>
          <w:sz w:val="24"/>
        </w:rPr>
        <w:t> </w:t>
      </w:r>
      <w:r>
        <w:rPr>
          <w:sz w:val="24"/>
        </w:rPr>
        <w:t>prosiguió</w:t>
      </w:r>
      <w:r>
        <w:rPr>
          <w:spacing w:val="-11"/>
          <w:sz w:val="24"/>
        </w:rPr>
        <w:t> </w:t>
      </w:r>
      <w:r>
        <w:rPr>
          <w:sz w:val="24"/>
        </w:rPr>
        <w:t>con</w:t>
      </w:r>
      <w:r>
        <w:rPr>
          <w:spacing w:val="-13"/>
          <w:sz w:val="24"/>
        </w:rPr>
        <w:t> </w:t>
      </w:r>
      <w:r>
        <w:rPr>
          <w:sz w:val="24"/>
        </w:rPr>
        <w:t>la</w:t>
      </w:r>
      <w:r>
        <w:rPr>
          <w:spacing w:val="-11"/>
          <w:sz w:val="24"/>
        </w:rPr>
        <w:t> </w:t>
      </w:r>
      <w:r>
        <w:rPr>
          <w:sz w:val="24"/>
        </w:rPr>
        <w:t>medición</w:t>
      </w:r>
      <w:r>
        <w:rPr>
          <w:spacing w:val="-11"/>
          <w:sz w:val="24"/>
        </w:rPr>
        <w:t> </w:t>
      </w:r>
      <w:r>
        <w:rPr>
          <w:sz w:val="24"/>
        </w:rPr>
        <w:t>del</w:t>
      </w:r>
      <w:r>
        <w:rPr>
          <w:spacing w:val="-12"/>
          <w:sz w:val="24"/>
        </w:rPr>
        <w:t> </w:t>
      </w:r>
      <w:r>
        <w:rPr>
          <w:sz w:val="24"/>
        </w:rPr>
        <w:t>pH</w:t>
      </w:r>
      <w:r>
        <w:rPr>
          <w:spacing w:val="-12"/>
          <w:sz w:val="24"/>
        </w:rPr>
        <w:t> </w:t>
      </w:r>
      <w:r>
        <w:rPr>
          <w:sz w:val="24"/>
        </w:rPr>
        <w:t>salival</w:t>
      </w:r>
      <w:r>
        <w:rPr>
          <w:spacing w:val="-12"/>
          <w:sz w:val="24"/>
        </w:rPr>
        <w:t> </w:t>
      </w:r>
      <w:r>
        <w:rPr>
          <w:sz w:val="24"/>
        </w:rPr>
        <w:t>mediante</w:t>
      </w:r>
      <w:r>
        <w:rPr>
          <w:spacing w:val="-11"/>
          <w:sz w:val="24"/>
        </w:rPr>
        <w:t> </w:t>
      </w:r>
      <w:r>
        <w:rPr>
          <w:sz w:val="24"/>
        </w:rPr>
        <w:t>una tira reactiva, la cual fue introducida en la boca del paciente a nivel del primero molar temporal</w:t>
      </w:r>
      <w:r>
        <w:rPr>
          <w:spacing w:val="-12"/>
          <w:sz w:val="24"/>
        </w:rPr>
        <w:t> </w:t>
      </w:r>
      <w:r>
        <w:rPr>
          <w:sz w:val="24"/>
        </w:rPr>
        <w:t>inferior</w:t>
      </w:r>
      <w:r>
        <w:rPr>
          <w:spacing w:val="-11"/>
          <w:sz w:val="24"/>
        </w:rPr>
        <w:t> </w:t>
      </w:r>
      <w:r>
        <w:rPr>
          <w:sz w:val="24"/>
        </w:rPr>
        <w:t>durante</w:t>
      </w:r>
      <w:r>
        <w:rPr>
          <w:spacing w:val="-10"/>
          <w:sz w:val="24"/>
        </w:rPr>
        <w:t> </w:t>
      </w:r>
      <w:r>
        <w:rPr>
          <w:sz w:val="24"/>
        </w:rPr>
        <w:t>2</w:t>
      </w:r>
      <w:r>
        <w:rPr>
          <w:spacing w:val="-11"/>
          <w:sz w:val="24"/>
        </w:rPr>
        <w:t> </w:t>
      </w:r>
      <w:r>
        <w:rPr>
          <w:sz w:val="24"/>
        </w:rPr>
        <w:t>minutos,</w:t>
      </w:r>
      <w:r>
        <w:rPr>
          <w:spacing w:val="-11"/>
          <w:sz w:val="24"/>
        </w:rPr>
        <w:t> </w:t>
      </w:r>
      <w:r>
        <w:rPr>
          <w:sz w:val="24"/>
        </w:rPr>
        <w:t>posteriormente</w:t>
      </w:r>
      <w:r>
        <w:rPr>
          <w:spacing w:val="-10"/>
          <w:sz w:val="24"/>
        </w:rPr>
        <w:t> </w:t>
      </w:r>
      <w:r>
        <w:rPr>
          <w:sz w:val="24"/>
        </w:rPr>
        <w:t>se</w:t>
      </w:r>
      <w:r>
        <w:rPr>
          <w:spacing w:val="-11"/>
          <w:sz w:val="24"/>
        </w:rPr>
        <w:t> </w:t>
      </w:r>
      <w:r>
        <w:rPr>
          <w:sz w:val="24"/>
        </w:rPr>
        <w:t>comparó</w:t>
      </w:r>
      <w:r>
        <w:rPr>
          <w:spacing w:val="-9"/>
          <w:sz w:val="24"/>
        </w:rPr>
        <w:t> </w:t>
      </w:r>
      <w:r>
        <w:rPr>
          <w:sz w:val="24"/>
        </w:rPr>
        <w:t>con</w:t>
      </w:r>
      <w:r>
        <w:rPr>
          <w:spacing w:val="-13"/>
          <w:sz w:val="24"/>
        </w:rPr>
        <w:t> </w:t>
      </w:r>
      <w:r>
        <w:rPr>
          <w:sz w:val="24"/>
        </w:rPr>
        <w:t>el</w:t>
      </w:r>
      <w:r>
        <w:rPr>
          <w:spacing w:val="-12"/>
          <w:sz w:val="24"/>
        </w:rPr>
        <w:t> </w:t>
      </w:r>
      <w:r>
        <w:rPr>
          <w:sz w:val="24"/>
        </w:rPr>
        <w:t>colorímetro</w:t>
      </w:r>
      <w:r>
        <w:rPr>
          <w:spacing w:val="-11"/>
          <w:sz w:val="24"/>
        </w:rPr>
        <w:t> </w:t>
      </w:r>
      <w:r>
        <w:rPr>
          <w:sz w:val="24"/>
        </w:rPr>
        <w:t>del fabricante, anotando en el registro</w:t>
      </w:r>
      <w:r>
        <w:rPr>
          <w:spacing w:val="-15"/>
          <w:sz w:val="24"/>
        </w:rPr>
        <w:t> </w:t>
      </w:r>
      <w:r>
        <w:rPr>
          <w:sz w:val="24"/>
        </w:rPr>
        <w:t>individual.</w:t>
      </w:r>
    </w:p>
    <w:p>
      <w:pPr>
        <w:pStyle w:val="ListParagraph"/>
        <w:numPr>
          <w:ilvl w:val="0"/>
          <w:numId w:val="16"/>
        </w:numPr>
        <w:tabs>
          <w:tab w:pos="479" w:val="left" w:leader="none"/>
        </w:tabs>
        <w:spacing w:line="360" w:lineRule="auto" w:before="3" w:after="0"/>
        <w:ind w:left="478" w:right="116" w:hanging="360"/>
        <w:jc w:val="both"/>
        <w:rPr>
          <w:sz w:val="24"/>
        </w:rPr>
      </w:pPr>
      <w:r>
        <w:rPr>
          <w:sz w:val="24"/>
        </w:rPr>
        <w:t>Para</w:t>
      </w:r>
      <w:r>
        <w:rPr>
          <w:spacing w:val="-14"/>
          <w:sz w:val="24"/>
        </w:rPr>
        <w:t> </w:t>
      </w:r>
      <w:r>
        <w:rPr>
          <w:sz w:val="24"/>
        </w:rPr>
        <w:t>la</w:t>
      </w:r>
      <w:r>
        <w:rPr>
          <w:spacing w:val="-13"/>
          <w:sz w:val="24"/>
        </w:rPr>
        <w:t> </w:t>
      </w:r>
      <w:r>
        <w:rPr>
          <w:sz w:val="24"/>
        </w:rPr>
        <w:t>conservación</w:t>
      </w:r>
      <w:r>
        <w:rPr>
          <w:spacing w:val="-13"/>
          <w:sz w:val="24"/>
        </w:rPr>
        <w:t> </w:t>
      </w:r>
      <w:r>
        <w:rPr>
          <w:sz w:val="24"/>
        </w:rPr>
        <w:t>de</w:t>
      </w:r>
      <w:r>
        <w:rPr>
          <w:spacing w:val="-13"/>
          <w:sz w:val="24"/>
        </w:rPr>
        <w:t> </w:t>
      </w:r>
      <w:r>
        <w:rPr>
          <w:sz w:val="24"/>
        </w:rPr>
        <w:t>las</w:t>
      </w:r>
      <w:r>
        <w:rPr>
          <w:spacing w:val="-13"/>
          <w:sz w:val="24"/>
        </w:rPr>
        <w:t> </w:t>
      </w:r>
      <w:r>
        <w:rPr>
          <w:sz w:val="24"/>
        </w:rPr>
        <w:t>muestras</w:t>
      </w:r>
      <w:r>
        <w:rPr>
          <w:spacing w:val="-14"/>
          <w:sz w:val="24"/>
        </w:rPr>
        <w:t> </w:t>
      </w:r>
      <w:r>
        <w:rPr>
          <w:sz w:val="24"/>
        </w:rPr>
        <w:t>se</w:t>
      </w:r>
      <w:r>
        <w:rPr>
          <w:spacing w:val="-13"/>
          <w:sz w:val="24"/>
        </w:rPr>
        <w:t> </w:t>
      </w:r>
      <w:r>
        <w:rPr>
          <w:sz w:val="24"/>
        </w:rPr>
        <w:t>añadió</w:t>
      </w:r>
      <w:r>
        <w:rPr>
          <w:spacing w:val="-13"/>
          <w:sz w:val="24"/>
        </w:rPr>
        <w:t> </w:t>
      </w:r>
      <w:r>
        <w:rPr>
          <w:sz w:val="24"/>
        </w:rPr>
        <w:t>8</w:t>
      </w:r>
      <w:r>
        <w:rPr>
          <w:spacing w:val="-13"/>
          <w:sz w:val="24"/>
        </w:rPr>
        <w:t> </w:t>
      </w:r>
      <w:r>
        <w:rPr>
          <w:sz w:val="24"/>
        </w:rPr>
        <w:t>ml</w:t>
      </w:r>
      <w:r>
        <w:rPr>
          <w:spacing w:val="-17"/>
          <w:sz w:val="24"/>
        </w:rPr>
        <w:t> </w:t>
      </w:r>
      <w:r>
        <w:rPr>
          <w:sz w:val="24"/>
        </w:rPr>
        <w:t>de</w:t>
      </w:r>
      <w:r>
        <w:rPr>
          <w:spacing w:val="-13"/>
          <w:sz w:val="24"/>
        </w:rPr>
        <w:t> </w:t>
      </w:r>
      <w:r>
        <w:rPr>
          <w:sz w:val="24"/>
        </w:rPr>
        <w:t>ácido</w:t>
      </w:r>
      <w:r>
        <w:rPr>
          <w:spacing w:val="-13"/>
          <w:sz w:val="24"/>
        </w:rPr>
        <w:t> </w:t>
      </w:r>
      <w:r>
        <w:rPr>
          <w:sz w:val="24"/>
        </w:rPr>
        <w:t>nítrico</w:t>
      </w:r>
      <w:r>
        <w:rPr>
          <w:spacing w:val="-16"/>
          <w:sz w:val="24"/>
        </w:rPr>
        <w:t> </w:t>
      </w:r>
      <w:r>
        <w:rPr>
          <w:sz w:val="24"/>
        </w:rPr>
        <w:t>y</w:t>
      </w:r>
      <w:r>
        <w:rPr>
          <w:spacing w:val="-10"/>
          <w:sz w:val="24"/>
        </w:rPr>
        <w:t> </w:t>
      </w:r>
      <w:r>
        <w:rPr>
          <w:sz w:val="24"/>
        </w:rPr>
        <w:t>se</w:t>
      </w:r>
      <w:r>
        <w:rPr>
          <w:spacing w:val="-13"/>
          <w:sz w:val="24"/>
        </w:rPr>
        <w:t> </w:t>
      </w:r>
      <w:r>
        <w:rPr>
          <w:sz w:val="24"/>
        </w:rPr>
        <w:t>mantuvieron en refrigeración hasta realizar su análisis. (Fig.</w:t>
      </w:r>
      <w:r>
        <w:rPr>
          <w:spacing w:val="-13"/>
          <w:sz w:val="24"/>
        </w:rPr>
        <w:t> </w:t>
      </w:r>
      <w:r>
        <w:rPr>
          <w:sz w:val="24"/>
        </w:rPr>
        <w:t>1)</w:t>
      </w:r>
    </w:p>
    <w:p>
      <w:pPr>
        <w:pStyle w:val="BodyText"/>
        <w:rPr>
          <w:sz w:val="20"/>
        </w:rPr>
      </w:pPr>
    </w:p>
    <w:p>
      <w:pPr>
        <w:pStyle w:val="BodyText"/>
        <w:rPr>
          <w:sz w:val="13"/>
        </w:rPr>
      </w:pPr>
      <w:r>
        <w:rPr/>
        <w:drawing>
          <wp:anchor distT="0" distB="0" distL="0" distR="0" allowOverlap="1" layoutInCell="1" locked="0" behindDoc="0" simplePos="0" relativeHeight="1312">
            <wp:simplePos x="0" y="0"/>
            <wp:positionH relativeFrom="page">
              <wp:posOffset>2723388</wp:posOffset>
            </wp:positionH>
            <wp:positionV relativeFrom="paragraph">
              <wp:posOffset>119696</wp:posOffset>
            </wp:positionV>
            <wp:extent cx="2804522" cy="1575815"/>
            <wp:effectExtent l="0" t="0" r="0" b="0"/>
            <wp:wrapTopAndBottom/>
            <wp:docPr id="15" name="image10.jpeg" descr=""/>
            <wp:cNvGraphicFramePr>
              <a:graphicFrameLocks noChangeAspect="1"/>
            </wp:cNvGraphicFramePr>
            <a:graphic>
              <a:graphicData uri="http://schemas.openxmlformats.org/drawingml/2006/picture">
                <pic:pic>
                  <pic:nvPicPr>
                    <pic:cNvPr id="16" name="image10.jpeg"/>
                    <pic:cNvPicPr/>
                  </pic:nvPicPr>
                  <pic:blipFill>
                    <a:blip r:embed="rId15" cstate="print"/>
                    <a:stretch>
                      <a:fillRect/>
                    </a:stretch>
                  </pic:blipFill>
                  <pic:spPr>
                    <a:xfrm>
                      <a:off x="0" y="0"/>
                      <a:ext cx="2804522" cy="1575815"/>
                    </a:xfrm>
                    <a:prstGeom prst="rect">
                      <a:avLst/>
                    </a:prstGeom>
                  </pic:spPr>
                </pic:pic>
              </a:graphicData>
            </a:graphic>
          </wp:anchor>
        </w:drawing>
      </w:r>
    </w:p>
    <w:p>
      <w:pPr>
        <w:pStyle w:val="BodyText"/>
        <w:spacing w:before="91"/>
        <w:ind w:left="3445" w:right="42"/>
      </w:pPr>
      <w:r>
        <w:rPr/>
        <w:t>Fig. 1 Muestras con ácido nítrico</w:t>
      </w:r>
    </w:p>
    <w:p>
      <w:pPr>
        <w:pStyle w:val="BodyText"/>
      </w:pPr>
    </w:p>
    <w:p>
      <w:pPr>
        <w:pStyle w:val="BodyText"/>
      </w:pPr>
    </w:p>
    <w:p>
      <w:pPr>
        <w:pStyle w:val="ListParagraph"/>
        <w:numPr>
          <w:ilvl w:val="0"/>
          <w:numId w:val="16"/>
        </w:numPr>
        <w:tabs>
          <w:tab w:pos="479" w:val="left" w:leader="none"/>
        </w:tabs>
        <w:spacing w:line="360" w:lineRule="auto" w:before="0" w:after="0"/>
        <w:ind w:left="478" w:right="119" w:hanging="360"/>
        <w:jc w:val="both"/>
        <w:rPr>
          <w:sz w:val="24"/>
        </w:rPr>
      </w:pPr>
      <w:r>
        <w:rPr>
          <w:sz w:val="24"/>
        </w:rPr>
        <w:t>En</w:t>
      </w:r>
      <w:r>
        <w:rPr>
          <w:spacing w:val="-6"/>
          <w:sz w:val="24"/>
        </w:rPr>
        <w:t> </w:t>
      </w:r>
      <w:r>
        <w:rPr>
          <w:sz w:val="24"/>
        </w:rPr>
        <w:t>la</w:t>
      </w:r>
      <w:r>
        <w:rPr>
          <w:spacing w:val="-9"/>
          <w:sz w:val="24"/>
        </w:rPr>
        <w:t> </w:t>
      </w:r>
      <w:r>
        <w:rPr>
          <w:sz w:val="24"/>
        </w:rPr>
        <w:t>preparación</w:t>
      </w:r>
      <w:r>
        <w:rPr>
          <w:spacing w:val="-8"/>
          <w:sz w:val="24"/>
        </w:rPr>
        <w:t> </w:t>
      </w:r>
      <w:r>
        <w:rPr>
          <w:sz w:val="24"/>
        </w:rPr>
        <w:t>de</w:t>
      </w:r>
      <w:r>
        <w:rPr>
          <w:spacing w:val="-6"/>
          <w:sz w:val="24"/>
        </w:rPr>
        <w:t> </w:t>
      </w:r>
      <w:r>
        <w:rPr>
          <w:sz w:val="24"/>
        </w:rPr>
        <w:t>las</w:t>
      </w:r>
      <w:r>
        <w:rPr>
          <w:spacing w:val="-7"/>
          <w:sz w:val="24"/>
        </w:rPr>
        <w:t> </w:t>
      </w:r>
      <w:r>
        <w:rPr>
          <w:sz w:val="24"/>
        </w:rPr>
        <w:t>muestras</w:t>
      </w:r>
      <w:r>
        <w:rPr>
          <w:spacing w:val="-7"/>
          <w:sz w:val="24"/>
        </w:rPr>
        <w:t> </w:t>
      </w:r>
      <w:r>
        <w:rPr>
          <w:sz w:val="24"/>
        </w:rPr>
        <w:t>se</w:t>
      </w:r>
      <w:r>
        <w:rPr>
          <w:spacing w:val="-6"/>
          <w:sz w:val="24"/>
        </w:rPr>
        <w:t> </w:t>
      </w:r>
      <w:r>
        <w:rPr>
          <w:sz w:val="24"/>
        </w:rPr>
        <w:t>utilizó</w:t>
      </w:r>
      <w:r>
        <w:rPr>
          <w:spacing w:val="-6"/>
          <w:sz w:val="24"/>
        </w:rPr>
        <w:t> </w:t>
      </w:r>
      <w:r>
        <w:rPr>
          <w:sz w:val="24"/>
        </w:rPr>
        <w:t>como</w:t>
      </w:r>
      <w:r>
        <w:rPr>
          <w:spacing w:val="-8"/>
          <w:sz w:val="24"/>
        </w:rPr>
        <w:t> </w:t>
      </w:r>
      <w:r>
        <w:rPr>
          <w:sz w:val="24"/>
        </w:rPr>
        <w:t>modificador</w:t>
      </w:r>
      <w:r>
        <w:rPr>
          <w:spacing w:val="-7"/>
          <w:sz w:val="24"/>
        </w:rPr>
        <w:t> </w:t>
      </w:r>
      <w:r>
        <w:rPr>
          <w:sz w:val="24"/>
        </w:rPr>
        <w:t>de</w:t>
      </w:r>
      <w:r>
        <w:rPr>
          <w:spacing w:val="-8"/>
          <w:sz w:val="24"/>
        </w:rPr>
        <w:t> </w:t>
      </w:r>
      <w:r>
        <w:rPr>
          <w:sz w:val="24"/>
        </w:rPr>
        <w:t>matriz</w:t>
      </w:r>
      <w:r>
        <w:rPr>
          <w:spacing w:val="-9"/>
          <w:sz w:val="24"/>
        </w:rPr>
        <w:t> </w:t>
      </w:r>
      <w:r>
        <w:rPr>
          <w:sz w:val="24"/>
        </w:rPr>
        <w:t>para</w:t>
      </w:r>
      <w:r>
        <w:rPr>
          <w:spacing w:val="-7"/>
          <w:sz w:val="24"/>
        </w:rPr>
        <w:t> </w:t>
      </w:r>
      <w:r>
        <w:rPr>
          <w:sz w:val="24"/>
        </w:rPr>
        <w:t>el</w:t>
      </w:r>
      <w:r>
        <w:rPr>
          <w:spacing w:val="-7"/>
          <w:sz w:val="24"/>
        </w:rPr>
        <w:t> </w:t>
      </w:r>
      <w:r>
        <w:rPr>
          <w:sz w:val="24"/>
        </w:rPr>
        <w:t>metal cromo:</w:t>
      </w:r>
      <w:r>
        <w:rPr>
          <w:spacing w:val="-6"/>
          <w:sz w:val="24"/>
        </w:rPr>
        <w:t> </w:t>
      </w:r>
      <w:r>
        <w:rPr>
          <w:sz w:val="24"/>
        </w:rPr>
        <w:t>nitrato</w:t>
      </w:r>
      <w:r>
        <w:rPr>
          <w:spacing w:val="-6"/>
          <w:sz w:val="24"/>
        </w:rPr>
        <w:t> </w:t>
      </w:r>
      <w:r>
        <w:rPr>
          <w:sz w:val="24"/>
        </w:rPr>
        <w:t>de</w:t>
      </w:r>
      <w:r>
        <w:rPr>
          <w:spacing w:val="-6"/>
          <w:sz w:val="24"/>
        </w:rPr>
        <w:t> </w:t>
      </w:r>
      <w:r>
        <w:rPr>
          <w:sz w:val="24"/>
        </w:rPr>
        <w:t>magnesio</w:t>
      </w:r>
      <w:r>
        <w:rPr>
          <w:spacing w:val="-6"/>
          <w:sz w:val="24"/>
        </w:rPr>
        <w:t> </w:t>
      </w:r>
      <w:r>
        <w:rPr>
          <w:sz w:val="24"/>
        </w:rPr>
        <w:t>al</w:t>
      </w:r>
      <w:r>
        <w:rPr>
          <w:spacing w:val="-7"/>
          <w:sz w:val="24"/>
        </w:rPr>
        <w:t> </w:t>
      </w:r>
      <w:r>
        <w:rPr>
          <w:sz w:val="24"/>
        </w:rPr>
        <w:t>1%,</w:t>
      </w:r>
      <w:r>
        <w:rPr>
          <w:spacing w:val="-6"/>
          <w:sz w:val="24"/>
        </w:rPr>
        <w:t> </w:t>
      </w:r>
      <w:r>
        <w:rPr>
          <w:sz w:val="24"/>
        </w:rPr>
        <w:t>para</w:t>
      </w:r>
      <w:r>
        <w:rPr>
          <w:spacing w:val="-7"/>
          <w:sz w:val="24"/>
        </w:rPr>
        <w:t> </w:t>
      </w:r>
      <w:r>
        <w:rPr>
          <w:sz w:val="24"/>
        </w:rPr>
        <w:t>níquel</w:t>
      </w:r>
      <w:r>
        <w:rPr>
          <w:spacing w:val="-7"/>
          <w:sz w:val="24"/>
        </w:rPr>
        <w:t> </w:t>
      </w:r>
      <w:r>
        <w:rPr>
          <w:sz w:val="24"/>
        </w:rPr>
        <w:t>fosfato</w:t>
      </w:r>
      <w:r>
        <w:rPr>
          <w:spacing w:val="-6"/>
          <w:sz w:val="24"/>
        </w:rPr>
        <w:t> </w:t>
      </w:r>
      <w:r>
        <w:rPr>
          <w:sz w:val="24"/>
        </w:rPr>
        <w:t>de</w:t>
      </w:r>
      <w:r>
        <w:rPr>
          <w:spacing w:val="-6"/>
          <w:sz w:val="24"/>
        </w:rPr>
        <w:t> </w:t>
      </w:r>
      <w:r>
        <w:rPr>
          <w:sz w:val="24"/>
        </w:rPr>
        <w:t>amonio</w:t>
      </w:r>
      <w:r>
        <w:rPr>
          <w:spacing w:val="-6"/>
          <w:sz w:val="24"/>
        </w:rPr>
        <w:t> </w:t>
      </w:r>
      <w:r>
        <w:rPr>
          <w:sz w:val="24"/>
        </w:rPr>
        <w:t>al</w:t>
      </w:r>
      <w:r>
        <w:rPr>
          <w:spacing w:val="-10"/>
          <w:sz w:val="24"/>
        </w:rPr>
        <w:t> </w:t>
      </w:r>
      <w:r>
        <w:rPr>
          <w:sz w:val="24"/>
        </w:rPr>
        <w:t>40%</w:t>
      </w:r>
      <w:r>
        <w:rPr>
          <w:spacing w:val="-7"/>
          <w:sz w:val="24"/>
        </w:rPr>
        <w:t> </w:t>
      </w:r>
      <w:r>
        <w:rPr>
          <w:sz w:val="24"/>
        </w:rPr>
        <w:t>y</w:t>
      </w:r>
      <w:r>
        <w:rPr>
          <w:spacing w:val="-9"/>
          <w:sz w:val="24"/>
        </w:rPr>
        <w:t> </w:t>
      </w:r>
      <w:r>
        <w:rPr>
          <w:sz w:val="24"/>
        </w:rPr>
        <w:t>para</w:t>
      </w:r>
      <w:r>
        <w:rPr>
          <w:spacing w:val="-7"/>
          <w:sz w:val="24"/>
        </w:rPr>
        <w:t> </w:t>
      </w:r>
      <w:r>
        <w:rPr>
          <w:sz w:val="24"/>
        </w:rPr>
        <w:t>hierro</w:t>
      </w:r>
    </w:p>
    <w:p>
      <w:pPr>
        <w:spacing w:after="0" w:line="360" w:lineRule="auto"/>
        <w:jc w:val="both"/>
        <w:rPr>
          <w:sz w:val="24"/>
        </w:rPr>
        <w:sectPr>
          <w:pgSz w:w="12240" w:h="15840"/>
          <w:pgMar w:header="0" w:footer="887" w:top="1360" w:bottom="1140" w:left="1300" w:right="1300"/>
        </w:sectPr>
      </w:pPr>
    </w:p>
    <w:p>
      <w:pPr>
        <w:pStyle w:val="BodyText"/>
        <w:spacing w:line="360" w:lineRule="auto" w:before="56" w:after="14"/>
        <w:ind w:left="478" w:right="42"/>
      </w:pPr>
      <w:r>
        <w:rPr/>
        <w:t>nitrato de amonio al 10%, con la finalidad de eliminar las posibles interferencias de la muestra. (Fig. 2)</w:t>
      </w:r>
    </w:p>
    <w:p>
      <w:pPr>
        <w:tabs>
          <w:tab w:pos="4011" w:val="left" w:leader="none"/>
          <w:tab w:pos="5945" w:val="left" w:leader="none"/>
        </w:tabs>
        <w:spacing w:line="240" w:lineRule="auto"/>
        <w:ind w:left="2031" w:right="42" w:firstLine="0"/>
        <w:rPr>
          <w:sz w:val="20"/>
        </w:rPr>
      </w:pPr>
      <w:r>
        <w:rPr>
          <w:sz w:val="20"/>
        </w:rPr>
        <w:pict>
          <v:group style="width:69.4pt;height:161.3pt;mso-position-horizontal-relative:char;mso-position-vertical-relative:line" coordorigin="0,0" coordsize="1388,3226">
            <v:shape style="position:absolute;left:0;top:0;width:1387;height:3226" type="#_x0000_t75" stroked="false">
              <v:imagedata r:id="rId16" o:title=""/>
            </v:shape>
            <v:shape style="position:absolute;left:5;top:2808;width:720;height:336" type="#_x0000_t75" stroked="false">
              <v:imagedata r:id="rId17" o:title=""/>
            </v:shape>
            <v:shape style="position:absolute;left:149;top:2852;width:162;height:221" type="#_x0000_t202" filled="false" stroked="false">
              <v:textbox inset="0,0,0,0">
                <w:txbxContent>
                  <w:p>
                    <w:pPr>
                      <w:spacing w:line="221" w:lineRule="exact" w:before="0"/>
                      <w:ind w:left="0" w:right="-19" w:firstLine="0"/>
                      <w:jc w:val="left"/>
                      <w:rPr>
                        <w:rFonts w:ascii="Calibri"/>
                        <w:sz w:val="22"/>
                      </w:rPr>
                    </w:pPr>
                    <w:r>
                      <w:rPr>
                        <w:rFonts w:ascii="Calibri"/>
                        <w:sz w:val="22"/>
                      </w:rPr>
                      <w:t>a.</w:t>
                    </w:r>
                  </w:p>
                </w:txbxContent>
              </v:textbox>
              <w10:wrap type="none"/>
            </v:shape>
          </v:group>
        </w:pict>
      </w:r>
      <w:r>
        <w:rPr>
          <w:sz w:val="20"/>
        </w:rPr>
      </w:r>
      <w:r>
        <w:rPr>
          <w:sz w:val="20"/>
        </w:rPr>
        <w:tab/>
      </w:r>
      <w:r>
        <w:rPr>
          <w:position w:val="1"/>
          <w:sz w:val="20"/>
        </w:rPr>
        <w:pict>
          <v:group style="width:69.75pt;height:160.950pt;mso-position-horizontal-relative:char;mso-position-vertical-relative:line" coordorigin="0,0" coordsize="1395,3219">
            <v:shape style="position:absolute;left:0;top:0;width:1394;height:3218" type="#_x0000_t75" stroked="false">
              <v:imagedata r:id="rId18" o:title=""/>
            </v:shape>
            <v:shape style="position:absolute;left:5;top:2808;width:720;height:336" type="#_x0000_t75" stroked="false">
              <v:imagedata r:id="rId17" o:title=""/>
            </v:shape>
            <v:shape style="position:absolute;left:150;top:2852;width:171;height:221" type="#_x0000_t202" filled="false" stroked="false">
              <v:textbox inset="0,0,0,0">
                <w:txbxContent>
                  <w:p>
                    <w:pPr>
                      <w:spacing w:line="221" w:lineRule="exact" w:before="0"/>
                      <w:ind w:left="0" w:right="-19" w:firstLine="0"/>
                      <w:jc w:val="left"/>
                      <w:rPr>
                        <w:rFonts w:ascii="Calibri"/>
                        <w:sz w:val="22"/>
                      </w:rPr>
                    </w:pPr>
                    <w:r>
                      <w:rPr>
                        <w:rFonts w:ascii="Calibri"/>
                        <w:spacing w:val="-1"/>
                        <w:sz w:val="22"/>
                      </w:rPr>
                      <w:t>b.</w:t>
                    </w:r>
                  </w:p>
                </w:txbxContent>
              </v:textbox>
              <w10:wrap type="none"/>
            </v:shape>
          </v:group>
        </w:pict>
      </w:r>
      <w:r>
        <w:rPr>
          <w:position w:val="1"/>
          <w:sz w:val="20"/>
        </w:rPr>
      </w:r>
      <w:r>
        <w:rPr>
          <w:position w:val="1"/>
          <w:sz w:val="20"/>
        </w:rPr>
        <w:tab/>
      </w:r>
      <w:r>
        <w:rPr>
          <w:position w:val="1"/>
          <w:sz w:val="20"/>
        </w:rPr>
        <w:pict>
          <v:group style="width:74.55pt;height:160.950pt;mso-position-horizontal-relative:char;mso-position-vertical-relative:line" coordorigin="0,0" coordsize="1491,3219">
            <v:shape style="position:absolute;left:0;top:0;width:1490;height:3218" type="#_x0000_t75" stroked="false">
              <v:imagedata r:id="rId19" o:title=""/>
            </v:shape>
            <v:shape style="position:absolute;left:7;top:2794;width:720;height:336" type="#_x0000_t75" stroked="false">
              <v:imagedata r:id="rId17" o:title=""/>
            </v:shape>
            <v:shape style="position:absolute;left:153;top:2838;width:150;height:221" type="#_x0000_t202" filled="false" stroked="false">
              <v:textbox inset="0,0,0,0">
                <w:txbxContent>
                  <w:p>
                    <w:pPr>
                      <w:spacing w:line="221" w:lineRule="exact" w:before="0"/>
                      <w:ind w:left="0" w:right="-19" w:firstLine="0"/>
                      <w:jc w:val="left"/>
                      <w:rPr>
                        <w:rFonts w:ascii="Calibri"/>
                        <w:sz w:val="22"/>
                      </w:rPr>
                    </w:pPr>
                    <w:r>
                      <w:rPr>
                        <w:rFonts w:ascii="Calibri"/>
                        <w:sz w:val="22"/>
                      </w:rPr>
                      <w:t>c.</w:t>
                    </w:r>
                  </w:p>
                </w:txbxContent>
              </v:textbox>
              <w10:wrap type="none"/>
            </v:shape>
          </v:group>
        </w:pict>
      </w:r>
      <w:r>
        <w:rPr>
          <w:position w:val="1"/>
          <w:sz w:val="20"/>
        </w:rPr>
      </w:r>
    </w:p>
    <w:p>
      <w:pPr>
        <w:pStyle w:val="BodyText"/>
        <w:spacing w:line="360" w:lineRule="auto" w:before="68"/>
        <w:ind w:left="2805" w:right="519" w:hanging="1549"/>
      </w:pPr>
      <w:r>
        <w:rPr/>
        <w:t>Fig. 2 Modificadores de matriz: a. nitrato de magnesio al 1%, b. fosfato de amonio al 40% y c. nitrato de amonio al 10%</w:t>
      </w:r>
    </w:p>
    <w:p>
      <w:pPr>
        <w:pStyle w:val="BodyText"/>
      </w:pPr>
    </w:p>
    <w:p>
      <w:pPr>
        <w:pStyle w:val="ListParagraph"/>
        <w:numPr>
          <w:ilvl w:val="0"/>
          <w:numId w:val="16"/>
        </w:numPr>
        <w:tabs>
          <w:tab w:pos="479" w:val="left" w:leader="none"/>
        </w:tabs>
        <w:spacing w:line="360" w:lineRule="auto" w:before="142" w:after="19"/>
        <w:ind w:left="478" w:right="113" w:hanging="360"/>
        <w:jc w:val="both"/>
        <w:rPr>
          <w:sz w:val="24"/>
        </w:rPr>
      </w:pPr>
      <w:r>
        <w:rPr>
          <w:sz w:val="24"/>
        </w:rPr>
        <w:t>Para preparar las disoluciones se partió de 100mg/L de agua deionizada, tomando 10ml de la disolución patrón del metal en cuestión: níquel, cromo o hierro, quedando de 100mg/L; de esta solución se tomó 5 ml y se aforó a 100ml quedando de 5mg/L, de igual manera partiendo de esta solución se midió 2ml, se aforó a 100 ml con agua deionizada quedando de 0.1 mg/l, se procede a tomar </w:t>
      </w:r>
      <w:r>
        <w:rPr>
          <w:spacing w:val="3"/>
          <w:sz w:val="24"/>
        </w:rPr>
        <w:t>20 </w:t>
      </w:r>
      <w:r>
        <w:rPr>
          <w:sz w:val="24"/>
        </w:rPr>
        <w:t>ml y se aforaron a 100ml para cada elemento: cromo, níquel y hierro. (Fig.</w:t>
      </w:r>
      <w:r>
        <w:rPr>
          <w:spacing w:val="-16"/>
          <w:sz w:val="24"/>
        </w:rPr>
        <w:t> </w:t>
      </w:r>
      <w:r>
        <w:rPr>
          <w:sz w:val="24"/>
        </w:rPr>
        <w:t>3)</w:t>
      </w:r>
    </w:p>
    <w:p>
      <w:pPr>
        <w:pStyle w:val="BodyText"/>
        <w:ind w:left="2391"/>
        <w:rPr>
          <w:sz w:val="20"/>
        </w:rPr>
      </w:pPr>
      <w:r>
        <w:rPr>
          <w:sz w:val="20"/>
        </w:rPr>
        <w:drawing>
          <wp:inline distT="0" distB="0" distL="0" distR="0">
            <wp:extent cx="3050855" cy="1877568"/>
            <wp:effectExtent l="0" t="0" r="0" b="0"/>
            <wp:docPr id="17" name="image15.jpeg" descr=""/>
            <wp:cNvGraphicFramePr>
              <a:graphicFrameLocks noChangeAspect="1"/>
            </wp:cNvGraphicFramePr>
            <a:graphic>
              <a:graphicData uri="http://schemas.openxmlformats.org/drawingml/2006/picture">
                <pic:pic>
                  <pic:nvPicPr>
                    <pic:cNvPr id="18" name="image15.jpeg"/>
                    <pic:cNvPicPr/>
                  </pic:nvPicPr>
                  <pic:blipFill>
                    <a:blip r:embed="rId20" cstate="print"/>
                    <a:stretch>
                      <a:fillRect/>
                    </a:stretch>
                  </pic:blipFill>
                  <pic:spPr>
                    <a:xfrm>
                      <a:off x="0" y="0"/>
                      <a:ext cx="3050855" cy="1877568"/>
                    </a:xfrm>
                    <a:prstGeom prst="rect">
                      <a:avLst/>
                    </a:prstGeom>
                  </pic:spPr>
                </pic:pic>
              </a:graphicData>
            </a:graphic>
          </wp:inline>
        </w:drawing>
      </w:r>
      <w:r>
        <w:rPr>
          <w:sz w:val="20"/>
        </w:rPr>
      </w:r>
    </w:p>
    <w:p>
      <w:pPr>
        <w:pStyle w:val="BodyText"/>
        <w:spacing w:before="96"/>
        <w:ind w:left="2665" w:right="42"/>
      </w:pPr>
      <w:r>
        <w:rPr/>
        <w:t>Fig. 3 Disoluciones con agua deionizada</w:t>
      </w:r>
    </w:p>
    <w:p>
      <w:pPr>
        <w:pStyle w:val="BodyText"/>
        <w:spacing w:before="4"/>
        <w:rPr>
          <w:sz w:val="29"/>
        </w:rPr>
      </w:pPr>
    </w:p>
    <w:p>
      <w:pPr>
        <w:pStyle w:val="ListParagraph"/>
        <w:numPr>
          <w:ilvl w:val="0"/>
          <w:numId w:val="16"/>
        </w:numPr>
        <w:tabs>
          <w:tab w:pos="479" w:val="left" w:leader="none"/>
        </w:tabs>
        <w:spacing w:line="360" w:lineRule="auto" w:before="1" w:after="0"/>
        <w:ind w:left="478" w:right="121" w:hanging="360"/>
        <w:jc w:val="both"/>
        <w:rPr>
          <w:sz w:val="24"/>
        </w:rPr>
      </w:pPr>
      <w:r>
        <w:rPr>
          <w:sz w:val="24"/>
        </w:rPr>
        <w:t>Una vez preparadas las muestras se realizó la curva de calibración del equipo espectrómetro</w:t>
      </w:r>
      <w:r>
        <w:rPr>
          <w:spacing w:val="-6"/>
          <w:sz w:val="24"/>
        </w:rPr>
        <w:t> </w:t>
      </w:r>
      <w:r>
        <w:rPr>
          <w:sz w:val="24"/>
        </w:rPr>
        <w:t>de</w:t>
      </w:r>
      <w:r>
        <w:rPr>
          <w:spacing w:val="-8"/>
          <w:sz w:val="24"/>
        </w:rPr>
        <w:t> </w:t>
      </w:r>
      <w:r>
        <w:rPr>
          <w:sz w:val="24"/>
        </w:rPr>
        <w:t>masas</w:t>
      </w:r>
      <w:r>
        <w:rPr>
          <w:spacing w:val="-7"/>
          <w:sz w:val="24"/>
        </w:rPr>
        <w:t> </w:t>
      </w:r>
      <w:r>
        <w:rPr>
          <w:sz w:val="24"/>
        </w:rPr>
        <w:t>por</w:t>
      </w:r>
      <w:r>
        <w:rPr>
          <w:spacing w:val="-7"/>
          <w:sz w:val="24"/>
        </w:rPr>
        <w:t> </w:t>
      </w:r>
      <w:r>
        <w:rPr>
          <w:sz w:val="24"/>
        </w:rPr>
        <w:t>horno</w:t>
      </w:r>
      <w:r>
        <w:rPr>
          <w:spacing w:val="-6"/>
          <w:sz w:val="24"/>
        </w:rPr>
        <w:t> </w:t>
      </w:r>
      <w:r>
        <w:rPr>
          <w:sz w:val="24"/>
        </w:rPr>
        <w:t>de</w:t>
      </w:r>
      <w:r>
        <w:rPr>
          <w:spacing w:val="-6"/>
          <w:sz w:val="24"/>
        </w:rPr>
        <w:t> </w:t>
      </w:r>
      <w:r>
        <w:rPr>
          <w:sz w:val="24"/>
        </w:rPr>
        <w:t>grafito</w:t>
      </w:r>
      <w:r>
        <w:rPr>
          <w:spacing w:val="-8"/>
          <w:sz w:val="24"/>
        </w:rPr>
        <w:t> </w:t>
      </w:r>
      <w:r>
        <w:rPr>
          <w:sz w:val="24"/>
        </w:rPr>
        <w:t>PERKIN</w:t>
      </w:r>
      <w:r>
        <w:rPr>
          <w:spacing w:val="-7"/>
          <w:sz w:val="24"/>
        </w:rPr>
        <w:t> </w:t>
      </w:r>
      <w:r>
        <w:rPr>
          <w:sz w:val="24"/>
        </w:rPr>
        <w:t>ELMER</w:t>
      </w:r>
      <w:r>
        <w:rPr>
          <w:spacing w:val="-7"/>
          <w:sz w:val="24"/>
        </w:rPr>
        <w:t> </w:t>
      </w:r>
      <w:r>
        <w:rPr>
          <w:sz w:val="24"/>
        </w:rPr>
        <w:t>Spectr</w:t>
      </w:r>
      <w:r>
        <w:rPr>
          <w:spacing w:val="-7"/>
          <w:sz w:val="24"/>
        </w:rPr>
        <w:t> </w:t>
      </w:r>
      <w:r>
        <w:rPr>
          <w:sz w:val="24"/>
        </w:rPr>
        <w:t>AA</w:t>
      </w:r>
      <w:r>
        <w:rPr>
          <w:spacing w:val="-6"/>
          <w:sz w:val="24"/>
        </w:rPr>
        <w:t> </w:t>
      </w:r>
      <w:r>
        <w:rPr>
          <w:sz w:val="24"/>
        </w:rPr>
        <w:t>200</w:t>
      </w:r>
      <w:r>
        <w:rPr>
          <w:spacing w:val="-6"/>
          <w:sz w:val="24"/>
        </w:rPr>
        <w:t> </w:t>
      </w:r>
      <w:r>
        <w:rPr>
          <w:sz w:val="24"/>
        </w:rPr>
        <w:t>con</w:t>
      </w:r>
      <w:r>
        <w:rPr>
          <w:spacing w:val="-6"/>
          <w:sz w:val="24"/>
        </w:rPr>
        <w:t> </w:t>
      </w:r>
      <w:r>
        <w:rPr>
          <w:sz w:val="24"/>
        </w:rPr>
        <w:t>los metales a determinar. (Fig.</w:t>
      </w:r>
      <w:r>
        <w:rPr>
          <w:spacing w:val="-10"/>
          <w:sz w:val="24"/>
        </w:rPr>
        <w:t> </w:t>
      </w:r>
      <w:r>
        <w:rPr>
          <w:sz w:val="24"/>
        </w:rPr>
        <w:t>4)</w:t>
      </w:r>
    </w:p>
    <w:p>
      <w:pPr>
        <w:spacing w:after="0" w:line="360" w:lineRule="auto"/>
        <w:jc w:val="both"/>
        <w:rPr>
          <w:sz w:val="24"/>
        </w:rPr>
        <w:sectPr>
          <w:pgSz w:w="12240" w:h="15840"/>
          <w:pgMar w:header="0" w:footer="887" w:top="1360" w:bottom="1140" w:left="1300" w:right="1300"/>
        </w:sectPr>
      </w:pPr>
    </w:p>
    <w:p>
      <w:pPr>
        <w:pStyle w:val="BodyText"/>
        <w:ind w:left="2825"/>
        <w:rPr>
          <w:sz w:val="20"/>
        </w:rPr>
      </w:pPr>
      <w:r>
        <w:rPr>
          <w:sz w:val="20"/>
        </w:rPr>
        <w:drawing>
          <wp:inline distT="0" distB="0" distL="0" distR="0">
            <wp:extent cx="2874100" cy="1999106"/>
            <wp:effectExtent l="0" t="0" r="0" b="0"/>
            <wp:docPr id="19" name="image16.jpeg" descr=""/>
            <wp:cNvGraphicFramePr>
              <a:graphicFrameLocks noChangeAspect="1"/>
            </wp:cNvGraphicFramePr>
            <a:graphic>
              <a:graphicData uri="http://schemas.openxmlformats.org/drawingml/2006/picture">
                <pic:pic>
                  <pic:nvPicPr>
                    <pic:cNvPr id="20" name="image16.jpeg"/>
                    <pic:cNvPicPr/>
                  </pic:nvPicPr>
                  <pic:blipFill>
                    <a:blip r:embed="rId21" cstate="print"/>
                    <a:stretch>
                      <a:fillRect/>
                    </a:stretch>
                  </pic:blipFill>
                  <pic:spPr>
                    <a:xfrm>
                      <a:off x="0" y="0"/>
                      <a:ext cx="2874100" cy="1999106"/>
                    </a:xfrm>
                    <a:prstGeom prst="rect">
                      <a:avLst/>
                    </a:prstGeom>
                  </pic:spPr>
                </pic:pic>
              </a:graphicData>
            </a:graphic>
          </wp:inline>
        </w:drawing>
      </w:r>
      <w:r>
        <w:rPr>
          <w:sz w:val="20"/>
        </w:rPr>
      </w:r>
    </w:p>
    <w:p>
      <w:pPr>
        <w:pStyle w:val="BodyText"/>
        <w:rPr>
          <w:sz w:val="20"/>
        </w:rPr>
      </w:pPr>
    </w:p>
    <w:p>
      <w:pPr>
        <w:pStyle w:val="BodyText"/>
        <w:spacing w:before="6"/>
        <w:rPr>
          <w:sz w:val="18"/>
        </w:rPr>
      </w:pPr>
    </w:p>
    <w:p>
      <w:pPr>
        <w:pStyle w:val="BodyText"/>
        <w:spacing w:before="69"/>
        <w:ind w:left="2245" w:right="42"/>
      </w:pPr>
      <w:r>
        <w:rPr/>
        <w:t>Fig. 4  Determinación y programación del equipo</w:t>
      </w:r>
    </w:p>
    <w:p>
      <w:pPr>
        <w:pStyle w:val="BodyText"/>
        <w:spacing w:before="4"/>
        <w:rPr>
          <w:sz w:val="29"/>
        </w:rPr>
      </w:pPr>
    </w:p>
    <w:p>
      <w:pPr>
        <w:pStyle w:val="ListParagraph"/>
        <w:numPr>
          <w:ilvl w:val="0"/>
          <w:numId w:val="16"/>
        </w:numPr>
        <w:tabs>
          <w:tab w:pos="479" w:val="left" w:leader="none"/>
        </w:tabs>
        <w:spacing w:line="360" w:lineRule="auto" w:before="1" w:after="0"/>
        <w:ind w:left="478" w:right="120" w:hanging="360"/>
        <w:jc w:val="both"/>
        <w:rPr>
          <w:sz w:val="24"/>
        </w:rPr>
      </w:pPr>
      <w:r>
        <w:rPr>
          <w:sz w:val="24"/>
        </w:rPr>
        <w:t>Realizó las diluciones para las concentraciones, observándose en la pantalla, correspondientes a 2, 5, 10,15 y 20 mg/L en el caso de níquel y</w:t>
      </w:r>
      <w:r>
        <w:rPr>
          <w:spacing w:val="-23"/>
          <w:sz w:val="24"/>
        </w:rPr>
        <w:t> </w:t>
      </w:r>
      <w:r>
        <w:rPr>
          <w:sz w:val="24"/>
        </w:rPr>
        <w:t>cromo.</w:t>
      </w:r>
    </w:p>
    <w:p>
      <w:pPr>
        <w:pStyle w:val="BodyText"/>
        <w:spacing w:line="360" w:lineRule="auto" w:before="5"/>
        <w:ind w:left="838" w:right="42"/>
      </w:pPr>
      <w:r>
        <w:rPr/>
        <w:t>Para el metal hierro, la curva de calibración del equipo, preparó la solución de 5, 10,15, 20 y 25 mg/L. (Fig. 5)</w:t>
      </w:r>
    </w:p>
    <w:p>
      <w:pPr>
        <w:pStyle w:val="BodyText"/>
        <w:rPr>
          <w:sz w:val="10"/>
        </w:rPr>
      </w:pPr>
      <w:r>
        <w:rPr/>
        <w:drawing>
          <wp:anchor distT="0" distB="0" distL="0" distR="0" allowOverlap="1" layoutInCell="1" locked="0" behindDoc="0" simplePos="0" relativeHeight="1480">
            <wp:simplePos x="0" y="0"/>
            <wp:positionH relativeFrom="page">
              <wp:posOffset>2752344</wp:posOffset>
            </wp:positionH>
            <wp:positionV relativeFrom="paragraph">
              <wp:posOffset>98347</wp:posOffset>
            </wp:positionV>
            <wp:extent cx="2661359" cy="1814702"/>
            <wp:effectExtent l="0" t="0" r="0" b="0"/>
            <wp:wrapTopAndBottom/>
            <wp:docPr id="21" name="image17.jpeg" descr=""/>
            <wp:cNvGraphicFramePr>
              <a:graphicFrameLocks noChangeAspect="1"/>
            </wp:cNvGraphicFramePr>
            <a:graphic>
              <a:graphicData uri="http://schemas.openxmlformats.org/drawingml/2006/picture">
                <pic:pic>
                  <pic:nvPicPr>
                    <pic:cNvPr id="22" name="image17.jpeg"/>
                    <pic:cNvPicPr/>
                  </pic:nvPicPr>
                  <pic:blipFill>
                    <a:blip r:embed="rId22" cstate="print"/>
                    <a:stretch>
                      <a:fillRect/>
                    </a:stretch>
                  </pic:blipFill>
                  <pic:spPr>
                    <a:xfrm>
                      <a:off x="0" y="0"/>
                      <a:ext cx="2661359" cy="1814702"/>
                    </a:xfrm>
                    <a:prstGeom prst="rect">
                      <a:avLst/>
                    </a:prstGeom>
                  </pic:spPr>
                </pic:pic>
              </a:graphicData>
            </a:graphic>
          </wp:anchor>
        </w:drawing>
      </w:r>
    </w:p>
    <w:p>
      <w:pPr>
        <w:pStyle w:val="BodyText"/>
        <w:spacing w:before="9"/>
        <w:rPr>
          <w:sz w:val="23"/>
        </w:rPr>
      </w:pPr>
    </w:p>
    <w:p>
      <w:pPr>
        <w:pStyle w:val="BodyText"/>
        <w:ind w:left="2905" w:right="42"/>
      </w:pPr>
      <w:r>
        <w:rPr/>
        <w:t>Fig. 5 Curva de calibración para los metles</w:t>
      </w:r>
    </w:p>
    <w:p>
      <w:pPr>
        <w:pStyle w:val="BodyText"/>
      </w:pPr>
    </w:p>
    <w:p>
      <w:pPr>
        <w:pStyle w:val="BodyText"/>
      </w:pPr>
    </w:p>
    <w:p>
      <w:pPr>
        <w:pStyle w:val="ListParagraph"/>
        <w:numPr>
          <w:ilvl w:val="0"/>
          <w:numId w:val="16"/>
        </w:numPr>
        <w:tabs>
          <w:tab w:pos="479" w:val="left" w:leader="none"/>
        </w:tabs>
        <w:spacing w:line="360" w:lineRule="auto" w:before="0" w:after="0"/>
        <w:ind w:left="478" w:right="113" w:hanging="360"/>
        <w:jc w:val="both"/>
        <w:rPr>
          <w:sz w:val="24"/>
        </w:rPr>
      </w:pPr>
      <w:r>
        <w:rPr>
          <w:sz w:val="24"/>
        </w:rPr>
        <w:t>Una vez que se programó y calibró el equipo, se colocó en cada vial el blanco, la muestra de referencia y la muestra para su análisis. El blanco de reactivo con 8ml de agua y 2ml de ácido se colocó en la posición uno, la disolución o referencia con 0.20mg/l</w:t>
      </w:r>
      <w:r>
        <w:rPr>
          <w:spacing w:val="-7"/>
          <w:sz w:val="24"/>
        </w:rPr>
        <w:t> </w:t>
      </w:r>
      <w:r>
        <w:rPr>
          <w:sz w:val="24"/>
        </w:rPr>
        <w:t>para</w:t>
      </w:r>
      <w:r>
        <w:rPr>
          <w:spacing w:val="-8"/>
          <w:sz w:val="24"/>
        </w:rPr>
        <w:t> </w:t>
      </w:r>
      <w:r>
        <w:rPr>
          <w:sz w:val="24"/>
        </w:rPr>
        <w:t>níquel</w:t>
      </w:r>
      <w:r>
        <w:rPr>
          <w:spacing w:val="-7"/>
          <w:sz w:val="24"/>
        </w:rPr>
        <w:t> </w:t>
      </w:r>
      <w:r>
        <w:rPr>
          <w:sz w:val="24"/>
        </w:rPr>
        <w:t>y</w:t>
      </w:r>
      <w:r>
        <w:rPr>
          <w:spacing w:val="-8"/>
          <w:sz w:val="24"/>
        </w:rPr>
        <w:t> </w:t>
      </w:r>
      <w:r>
        <w:rPr>
          <w:sz w:val="24"/>
        </w:rPr>
        <w:t>cromo,</w:t>
      </w:r>
      <w:r>
        <w:rPr>
          <w:spacing w:val="-8"/>
          <w:sz w:val="24"/>
        </w:rPr>
        <w:t> </w:t>
      </w:r>
      <w:r>
        <w:rPr>
          <w:sz w:val="24"/>
        </w:rPr>
        <w:t>y</w:t>
      </w:r>
      <w:r>
        <w:rPr>
          <w:spacing w:val="-8"/>
          <w:sz w:val="24"/>
        </w:rPr>
        <w:t> </w:t>
      </w:r>
      <w:r>
        <w:rPr>
          <w:sz w:val="24"/>
        </w:rPr>
        <w:t>la</w:t>
      </w:r>
      <w:r>
        <w:rPr>
          <w:spacing w:val="-6"/>
          <w:sz w:val="24"/>
        </w:rPr>
        <w:t> </w:t>
      </w:r>
      <w:r>
        <w:rPr>
          <w:sz w:val="24"/>
        </w:rPr>
        <w:t>de</w:t>
      </w:r>
      <w:r>
        <w:rPr>
          <w:spacing w:val="-6"/>
          <w:sz w:val="24"/>
        </w:rPr>
        <w:t> </w:t>
      </w:r>
      <w:r>
        <w:rPr>
          <w:sz w:val="24"/>
        </w:rPr>
        <w:t>hierro</w:t>
      </w:r>
      <w:r>
        <w:rPr>
          <w:spacing w:val="-6"/>
          <w:sz w:val="24"/>
        </w:rPr>
        <w:t> </w:t>
      </w:r>
      <w:r>
        <w:rPr>
          <w:sz w:val="24"/>
        </w:rPr>
        <w:t>con</w:t>
      </w:r>
      <w:r>
        <w:rPr>
          <w:spacing w:val="-6"/>
          <w:sz w:val="24"/>
        </w:rPr>
        <w:t> </w:t>
      </w:r>
      <w:r>
        <w:rPr>
          <w:sz w:val="24"/>
        </w:rPr>
        <w:t>0.25mg/l</w:t>
      </w:r>
      <w:r>
        <w:rPr>
          <w:spacing w:val="-7"/>
          <w:sz w:val="24"/>
        </w:rPr>
        <w:t> </w:t>
      </w:r>
      <w:r>
        <w:rPr>
          <w:sz w:val="24"/>
        </w:rPr>
        <w:t>en</w:t>
      </w:r>
      <w:r>
        <w:rPr>
          <w:spacing w:val="-8"/>
          <w:sz w:val="24"/>
        </w:rPr>
        <w:t> </w:t>
      </w:r>
      <w:r>
        <w:rPr>
          <w:sz w:val="24"/>
        </w:rPr>
        <w:t>la</w:t>
      </w:r>
      <w:r>
        <w:rPr>
          <w:spacing w:val="-6"/>
          <w:sz w:val="24"/>
        </w:rPr>
        <w:t> </w:t>
      </w:r>
      <w:r>
        <w:rPr>
          <w:sz w:val="24"/>
        </w:rPr>
        <w:t>posición</w:t>
      </w:r>
      <w:r>
        <w:rPr>
          <w:spacing w:val="-5"/>
          <w:sz w:val="24"/>
        </w:rPr>
        <w:t> </w:t>
      </w:r>
      <w:r>
        <w:rPr>
          <w:sz w:val="24"/>
        </w:rPr>
        <w:t>número</w:t>
      </w:r>
      <w:r>
        <w:rPr>
          <w:spacing w:val="-6"/>
          <w:sz w:val="24"/>
        </w:rPr>
        <w:t> </w:t>
      </w:r>
      <w:r>
        <w:rPr>
          <w:sz w:val="24"/>
        </w:rPr>
        <w:t>2</w:t>
      </w:r>
      <w:r>
        <w:rPr>
          <w:spacing w:val="-6"/>
          <w:sz w:val="24"/>
        </w:rPr>
        <w:t> </w:t>
      </w:r>
      <w:r>
        <w:rPr>
          <w:sz w:val="24"/>
        </w:rPr>
        <w:t>y</w:t>
      </w:r>
      <w:r>
        <w:rPr>
          <w:spacing w:val="-8"/>
          <w:sz w:val="24"/>
        </w:rPr>
        <w:t> </w:t>
      </w:r>
      <w:r>
        <w:rPr>
          <w:sz w:val="24"/>
        </w:rPr>
        <w:t>el modificador de matriz se colocó en la posición 41 del carrusel. (Fig.</w:t>
      </w:r>
      <w:r>
        <w:rPr>
          <w:spacing w:val="-20"/>
          <w:sz w:val="24"/>
        </w:rPr>
        <w:t> </w:t>
      </w:r>
      <w:r>
        <w:rPr>
          <w:sz w:val="24"/>
        </w:rPr>
        <w:t>6)</w:t>
      </w:r>
    </w:p>
    <w:p>
      <w:pPr>
        <w:spacing w:after="0" w:line="360" w:lineRule="auto"/>
        <w:jc w:val="both"/>
        <w:rPr>
          <w:sz w:val="24"/>
        </w:rPr>
        <w:sectPr>
          <w:pgSz w:w="12240" w:h="15840"/>
          <w:pgMar w:header="0" w:footer="887" w:top="1440" w:bottom="1140" w:left="1300" w:right="1300"/>
        </w:sectPr>
      </w:pPr>
    </w:p>
    <w:p>
      <w:pPr>
        <w:pStyle w:val="BodyText"/>
        <w:spacing w:before="9"/>
        <w:rPr>
          <w:sz w:val="19"/>
        </w:rPr>
      </w:pPr>
    </w:p>
    <w:p>
      <w:pPr>
        <w:tabs>
          <w:tab w:pos="4990" w:val="left" w:leader="none"/>
        </w:tabs>
        <w:spacing w:line="240" w:lineRule="auto"/>
        <w:ind w:left="120" w:right="0" w:firstLine="0"/>
        <w:rPr>
          <w:sz w:val="20"/>
        </w:rPr>
      </w:pPr>
      <w:r>
        <w:rPr>
          <w:position w:val="1"/>
          <w:sz w:val="20"/>
        </w:rPr>
        <w:pict>
          <v:group style="width:230.55pt;height:129.4pt;mso-position-horizontal-relative:char;mso-position-vertical-relative:line" coordorigin="0,0" coordsize="4611,2588">
            <v:shape style="position:absolute;left:0;top:0;width:4610;height:2587" type="#_x0000_t75" stroked="false">
              <v:imagedata r:id="rId23" o:title=""/>
            </v:shape>
            <v:shape style="position:absolute;left:152;top:2201;width:162;height:221" type="#_x0000_t202" filled="false" stroked="false">
              <v:textbox inset="0,0,0,0">
                <w:txbxContent>
                  <w:p>
                    <w:pPr>
                      <w:spacing w:line="221" w:lineRule="exact" w:before="0"/>
                      <w:ind w:left="0" w:right="-19" w:firstLine="0"/>
                      <w:jc w:val="left"/>
                      <w:rPr>
                        <w:rFonts w:ascii="Calibri"/>
                        <w:sz w:val="22"/>
                      </w:rPr>
                    </w:pPr>
                    <w:r>
                      <w:rPr>
                        <w:rFonts w:ascii="Calibri"/>
                        <w:color w:val="FFFFFF"/>
                        <w:sz w:val="22"/>
                      </w:rPr>
                      <w:t>a.</w:t>
                    </w:r>
                  </w:p>
                </w:txbxContent>
              </v:textbox>
              <w10:wrap type="none"/>
            </v:shape>
          </v:group>
        </w:pict>
      </w:r>
      <w:r>
        <w:rPr>
          <w:position w:val="1"/>
          <w:sz w:val="20"/>
        </w:rPr>
      </w:r>
      <w:r>
        <w:rPr>
          <w:position w:val="1"/>
          <w:sz w:val="20"/>
        </w:rPr>
        <w:tab/>
      </w:r>
      <w:r>
        <w:rPr>
          <w:sz w:val="20"/>
        </w:rPr>
        <w:pict>
          <v:group style="width:230.2pt;height:129.25pt;mso-position-horizontal-relative:char;mso-position-vertical-relative:line" coordorigin="0,0" coordsize="4604,2585">
            <v:shape style="position:absolute;left:0;top:0;width:4603;height:2585" type="#_x0000_t75" stroked="false">
              <v:imagedata r:id="rId24" o:title=""/>
            </v:shape>
            <v:shape style="position:absolute;left:147;top:2228;width:171;height:221" type="#_x0000_t202" filled="false" stroked="false">
              <v:textbox inset="0,0,0,0">
                <w:txbxContent>
                  <w:p>
                    <w:pPr>
                      <w:spacing w:line="221" w:lineRule="exact" w:before="0"/>
                      <w:ind w:left="0" w:right="-19" w:firstLine="0"/>
                      <w:jc w:val="left"/>
                      <w:rPr>
                        <w:rFonts w:ascii="Calibri"/>
                        <w:sz w:val="22"/>
                      </w:rPr>
                    </w:pPr>
                    <w:r>
                      <w:rPr>
                        <w:rFonts w:ascii="Calibri"/>
                        <w:color w:val="FFFFFF"/>
                        <w:spacing w:val="-1"/>
                        <w:sz w:val="22"/>
                      </w:rPr>
                      <w:t>b.</w:t>
                    </w:r>
                  </w:p>
                </w:txbxContent>
              </v:textbox>
              <w10:wrap type="none"/>
            </v:shape>
          </v:group>
        </w:pict>
      </w:r>
      <w:r>
        <w:rPr>
          <w:sz w:val="20"/>
        </w:rPr>
      </w:r>
    </w:p>
    <w:p>
      <w:pPr>
        <w:pStyle w:val="BodyText"/>
        <w:rPr>
          <w:sz w:val="20"/>
        </w:rPr>
      </w:pPr>
    </w:p>
    <w:p>
      <w:pPr>
        <w:pStyle w:val="BodyText"/>
        <w:spacing w:before="6"/>
        <w:rPr>
          <w:sz w:val="25"/>
        </w:rPr>
      </w:pPr>
    </w:p>
    <w:p>
      <w:pPr>
        <w:pStyle w:val="BodyText"/>
        <w:spacing w:before="69"/>
        <w:ind w:left="349" w:right="413"/>
        <w:jc w:val="center"/>
      </w:pPr>
      <w:r>
        <w:rPr/>
        <w:t>Fig. 6 Carrusel: a. Programación de muestra en el carrusel, b. Viales en su posición</w:t>
      </w:r>
    </w:p>
    <w:p>
      <w:pPr>
        <w:pStyle w:val="BodyText"/>
        <w:spacing w:before="5"/>
        <w:rPr>
          <w:sz w:val="29"/>
        </w:rPr>
      </w:pPr>
    </w:p>
    <w:p>
      <w:pPr>
        <w:pStyle w:val="ListParagraph"/>
        <w:numPr>
          <w:ilvl w:val="0"/>
          <w:numId w:val="16"/>
        </w:numPr>
        <w:tabs>
          <w:tab w:pos="479" w:val="left" w:leader="none"/>
        </w:tabs>
        <w:spacing w:line="360" w:lineRule="auto" w:before="0" w:after="0"/>
        <w:ind w:left="478" w:right="174" w:hanging="360"/>
        <w:jc w:val="both"/>
        <w:rPr>
          <w:sz w:val="24"/>
        </w:rPr>
      </w:pPr>
      <w:r>
        <w:rPr>
          <w:sz w:val="24"/>
        </w:rPr>
        <w:t>Se procedió a alinear de forma horizontal y vertical el horno, el quipo tomó 20µl de blanco, referencia y muestra e inicia el procedimiento, comenzó a leer y analizar las muestras. (Fig.</w:t>
      </w:r>
      <w:r>
        <w:rPr>
          <w:spacing w:val="-5"/>
          <w:sz w:val="24"/>
        </w:rPr>
        <w:t> </w:t>
      </w:r>
      <w:r>
        <w:rPr>
          <w:sz w:val="24"/>
        </w:rPr>
        <w:t>7)</w:t>
      </w:r>
    </w:p>
    <w:p>
      <w:pPr>
        <w:pStyle w:val="BodyText"/>
        <w:spacing w:before="6"/>
        <w:rPr>
          <w:sz w:val="26"/>
        </w:rPr>
      </w:pPr>
      <w:r>
        <w:rPr/>
        <w:pict>
          <v:group style="position:absolute;margin-left:71.279999pt;margin-top:17.223909pt;width:229.7pt;height:129.25pt;mso-position-horizontal-relative:page;mso-position-vertical-relative:paragraph;z-index:1624;mso-wrap-distance-left:0;mso-wrap-distance-right:0" coordorigin="1426,344" coordsize="4594,2585">
            <v:shape style="position:absolute;left:1426;top:344;width:4594;height:2585" type="#_x0000_t75" stroked="false">
              <v:imagedata r:id="rId25" o:title=""/>
            </v:shape>
            <v:shape style="position:absolute;left:1433;top:2524;width:720;height:334" type="#_x0000_t75" stroked="false">
              <v:imagedata r:id="rId17" o:title=""/>
            </v:shape>
            <v:shape style="position:absolute;left:1577;top:2568;width:162;height:221" type="#_x0000_t202" filled="false" stroked="false">
              <v:textbox inset="0,0,0,0">
                <w:txbxContent>
                  <w:p>
                    <w:pPr>
                      <w:spacing w:line="221" w:lineRule="exact" w:before="0"/>
                      <w:ind w:left="0" w:right="-19" w:firstLine="0"/>
                      <w:jc w:val="left"/>
                      <w:rPr>
                        <w:rFonts w:ascii="Calibri"/>
                        <w:sz w:val="22"/>
                      </w:rPr>
                    </w:pPr>
                    <w:r>
                      <w:rPr>
                        <w:rFonts w:ascii="Calibri"/>
                        <w:color w:val="FFFFFF"/>
                        <w:sz w:val="22"/>
                      </w:rPr>
                      <w:t>a.</w:t>
                    </w:r>
                  </w:p>
                </w:txbxContent>
              </v:textbox>
              <w10:wrap type="none"/>
            </v:shape>
            <w10:wrap type="topAndBottom"/>
          </v:group>
        </w:pict>
      </w:r>
      <w:r>
        <w:rPr/>
        <w:pict>
          <v:group style="position:absolute;margin-left:314.279999pt;margin-top:17.943909pt;width:229.7pt;height:129.25pt;mso-position-horizontal-relative:page;mso-position-vertical-relative:paragraph;z-index:1672;mso-wrap-distance-left:0;mso-wrap-distance-right:0" coordorigin="6286,359" coordsize="4594,2585">
            <v:shape style="position:absolute;left:6286;top:359;width:4594;height:2585" type="#_x0000_t75" stroked="false">
              <v:imagedata r:id="rId26" o:title=""/>
            </v:shape>
            <v:shape style="position:absolute;left:6307;top:2507;width:720;height:336" type="#_x0000_t75" stroked="false">
              <v:imagedata r:id="rId17" o:title=""/>
            </v:shape>
            <v:shape style="position:absolute;left:6452;top:2551;width:171;height:221" type="#_x0000_t202" filled="false" stroked="false">
              <v:textbox inset="0,0,0,0">
                <w:txbxContent>
                  <w:p>
                    <w:pPr>
                      <w:spacing w:line="221" w:lineRule="exact" w:before="0"/>
                      <w:ind w:left="0" w:right="-19" w:firstLine="0"/>
                      <w:jc w:val="left"/>
                      <w:rPr>
                        <w:rFonts w:ascii="Calibri"/>
                        <w:sz w:val="22"/>
                      </w:rPr>
                    </w:pPr>
                    <w:r>
                      <w:rPr>
                        <w:rFonts w:ascii="Calibri"/>
                        <w:color w:val="FFFFFF"/>
                        <w:spacing w:val="-1"/>
                        <w:sz w:val="22"/>
                      </w:rPr>
                      <w:t>b.</w:t>
                    </w:r>
                  </w:p>
                </w:txbxContent>
              </v:textbox>
              <w10:wrap type="none"/>
            </v:shape>
            <w10:wrap type="topAndBottom"/>
          </v:group>
        </w:pict>
      </w:r>
    </w:p>
    <w:p>
      <w:pPr>
        <w:pStyle w:val="BodyText"/>
      </w:pPr>
    </w:p>
    <w:p>
      <w:pPr>
        <w:pStyle w:val="BodyText"/>
        <w:spacing w:before="2"/>
        <w:rPr>
          <w:sz w:val="26"/>
        </w:rPr>
      </w:pPr>
    </w:p>
    <w:p>
      <w:pPr>
        <w:pStyle w:val="BodyText"/>
        <w:spacing w:line="360" w:lineRule="auto"/>
        <w:ind w:left="348" w:right="413"/>
        <w:jc w:val="center"/>
      </w:pPr>
      <w:r>
        <w:rPr/>
        <w:t>Fig. 7 Equipo funcionando: a. Toma de muestra en microlitros, b. Horno de grafito generando calor</w:t>
      </w:r>
    </w:p>
    <w:p>
      <w:pPr>
        <w:pStyle w:val="ListParagraph"/>
        <w:numPr>
          <w:ilvl w:val="0"/>
          <w:numId w:val="16"/>
        </w:numPr>
        <w:tabs>
          <w:tab w:pos="479" w:val="left" w:leader="none"/>
        </w:tabs>
        <w:spacing w:line="360" w:lineRule="auto" w:before="204" w:after="0"/>
        <w:ind w:left="478" w:right="173" w:hanging="360"/>
        <w:jc w:val="both"/>
        <w:rPr>
          <w:sz w:val="24"/>
        </w:rPr>
      </w:pPr>
      <w:r>
        <w:rPr>
          <w:sz w:val="24"/>
        </w:rPr>
        <w:t>El equipo transformó los átomos absorbancia, lo cuantificó y demostró una concentración</w:t>
      </w:r>
      <w:r>
        <w:rPr>
          <w:spacing w:val="-9"/>
          <w:sz w:val="24"/>
        </w:rPr>
        <w:t> </w:t>
      </w:r>
      <w:r>
        <w:rPr>
          <w:sz w:val="24"/>
        </w:rPr>
        <w:t>específica</w:t>
      </w:r>
      <w:r>
        <w:rPr>
          <w:spacing w:val="-7"/>
          <w:sz w:val="24"/>
        </w:rPr>
        <w:t> </w:t>
      </w:r>
      <w:r>
        <w:rPr>
          <w:sz w:val="24"/>
        </w:rPr>
        <w:t>para</w:t>
      </w:r>
      <w:r>
        <w:rPr>
          <w:spacing w:val="-8"/>
          <w:sz w:val="24"/>
        </w:rPr>
        <w:t> </w:t>
      </w:r>
      <w:r>
        <w:rPr>
          <w:sz w:val="24"/>
        </w:rPr>
        <w:t>cada</w:t>
      </w:r>
      <w:r>
        <w:rPr>
          <w:spacing w:val="-7"/>
          <w:sz w:val="24"/>
        </w:rPr>
        <w:t> </w:t>
      </w:r>
      <w:r>
        <w:rPr>
          <w:sz w:val="24"/>
        </w:rPr>
        <w:t>una</w:t>
      </w:r>
      <w:r>
        <w:rPr>
          <w:spacing w:val="-7"/>
          <w:sz w:val="24"/>
        </w:rPr>
        <w:t> </w:t>
      </w:r>
      <w:r>
        <w:rPr>
          <w:sz w:val="24"/>
        </w:rPr>
        <w:t>de</w:t>
      </w:r>
      <w:r>
        <w:rPr>
          <w:spacing w:val="-7"/>
          <w:sz w:val="24"/>
        </w:rPr>
        <w:t> </w:t>
      </w:r>
      <w:r>
        <w:rPr>
          <w:sz w:val="24"/>
        </w:rPr>
        <w:t>las</w:t>
      </w:r>
      <w:r>
        <w:rPr>
          <w:spacing w:val="-8"/>
          <w:sz w:val="24"/>
        </w:rPr>
        <w:t> </w:t>
      </w:r>
      <w:r>
        <w:rPr>
          <w:sz w:val="24"/>
        </w:rPr>
        <w:t>muestras.</w:t>
      </w:r>
      <w:r>
        <w:rPr>
          <w:spacing w:val="-2"/>
          <w:sz w:val="24"/>
        </w:rPr>
        <w:t> </w:t>
      </w:r>
      <w:r>
        <w:rPr>
          <w:sz w:val="24"/>
        </w:rPr>
        <w:t>Absorbe</w:t>
      </w:r>
      <w:r>
        <w:rPr>
          <w:spacing w:val="-7"/>
          <w:sz w:val="24"/>
        </w:rPr>
        <w:t> </w:t>
      </w:r>
      <w:r>
        <w:rPr>
          <w:sz w:val="24"/>
        </w:rPr>
        <w:t>la</w:t>
      </w:r>
      <w:r>
        <w:rPr>
          <w:spacing w:val="-10"/>
          <w:sz w:val="24"/>
        </w:rPr>
        <w:t> </w:t>
      </w:r>
      <w:r>
        <w:rPr>
          <w:sz w:val="24"/>
        </w:rPr>
        <w:t>luz</w:t>
      </w:r>
      <w:r>
        <w:rPr>
          <w:spacing w:val="-10"/>
          <w:sz w:val="24"/>
        </w:rPr>
        <w:t> </w:t>
      </w:r>
      <w:r>
        <w:rPr>
          <w:sz w:val="24"/>
        </w:rPr>
        <w:t>del</w:t>
      </w:r>
      <w:r>
        <w:rPr>
          <w:spacing w:val="-8"/>
          <w:sz w:val="24"/>
        </w:rPr>
        <w:t> </w:t>
      </w:r>
      <w:r>
        <w:rPr>
          <w:sz w:val="24"/>
        </w:rPr>
        <w:t>elemento siendo</w:t>
      </w:r>
      <w:r>
        <w:rPr>
          <w:spacing w:val="-11"/>
          <w:sz w:val="24"/>
        </w:rPr>
        <w:t> </w:t>
      </w:r>
      <w:r>
        <w:rPr>
          <w:sz w:val="24"/>
        </w:rPr>
        <w:t>proporcional</w:t>
      </w:r>
      <w:r>
        <w:rPr>
          <w:spacing w:val="-12"/>
          <w:sz w:val="24"/>
        </w:rPr>
        <w:t> </w:t>
      </w:r>
      <w:r>
        <w:rPr>
          <w:sz w:val="24"/>
        </w:rPr>
        <w:t>a</w:t>
      </w:r>
      <w:r>
        <w:rPr>
          <w:spacing w:val="-11"/>
          <w:sz w:val="24"/>
        </w:rPr>
        <w:t> </w:t>
      </w:r>
      <w:r>
        <w:rPr>
          <w:sz w:val="24"/>
        </w:rPr>
        <w:t>la</w:t>
      </w:r>
      <w:r>
        <w:rPr>
          <w:spacing w:val="-11"/>
          <w:sz w:val="24"/>
        </w:rPr>
        <w:t> </w:t>
      </w:r>
      <w:r>
        <w:rPr>
          <w:sz w:val="24"/>
        </w:rPr>
        <w:t>concentración</w:t>
      </w:r>
      <w:r>
        <w:rPr>
          <w:spacing w:val="-11"/>
          <w:sz w:val="24"/>
        </w:rPr>
        <w:t> </w:t>
      </w:r>
      <w:r>
        <w:rPr>
          <w:sz w:val="24"/>
        </w:rPr>
        <w:t>de</w:t>
      </w:r>
      <w:r>
        <w:rPr>
          <w:spacing w:val="-11"/>
          <w:sz w:val="24"/>
        </w:rPr>
        <w:t> </w:t>
      </w:r>
      <w:r>
        <w:rPr>
          <w:sz w:val="24"/>
        </w:rPr>
        <w:t>átomos</w:t>
      </w:r>
      <w:r>
        <w:rPr>
          <w:spacing w:val="-12"/>
          <w:sz w:val="24"/>
        </w:rPr>
        <w:t> </w:t>
      </w:r>
      <w:r>
        <w:rPr>
          <w:sz w:val="24"/>
        </w:rPr>
        <w:t>absorbidos;</w:t>
      </w:r>
      <w:r>
        <w:rPr>
          <w:spacing w:val="-11"/>
          <w:sz w:val="24"/>
        </w:rPr>
        <w:t> </w:t>
      </w:r>
      <w:r>
        <w:rPr>
          <w:sz w:val="24"/>
        </w:rPr>
        <w:t>esta</w:t>
      </w:r>
      <w:r>
        <w:rPr>
          <w:spacing w:val="-11"/>
          <w:sz w:val="24"/>
        </w:rPr>
        <w:t> </w:t>
      </w:r>
      <w:r>
        <w:rPr>
          <w:sz w:val="24"/>
        </w:rPr>
        <w:t>es</w:t>
      </w:r>
      <w:r>
        <w:rPr>
          <w:spacing w:val="-12"/>
          <w:sz w:val="24"/>
        </w:rPr>
        <w:t> </w:t>
      </w:r>
      <w:r>
        <w:rPr>
          <w:sz w:val="24"/>
        </w:rPr>
        <w:t>específica</w:t>
      </w:r>
      <w:r>
        <w:rPr>
          <w:spacing w:val="-11"/>
          <w:sz w:val="24"/>
        </w:rPr>
        <w:t> </w:t>
      </w:r>
      <w:r>
        <w:rPr>
          <w:sz w:val="24"/>
        </w:rPr>
        <w:t>para cada elemento, se colocaron las lámparas individuales de níquel, cromo y hierro al inicio de cada procedimiento.  (Fig.</w:t>
      </w:r>
      <w:r>
        <w:rPr>
          <w:spacing w:val="-8"/>
          <w:sz w:val="24"/>
        </w:rPr>
        <w:t> </w:t>
      </w:r>
      <w:r>
        <w:rPr>
          <w:sz w:val="24"/>
        </w:rPr>
        <w:t>8)</w:t>
      </w:r>
    </w:p>
    <w:p>
      <w:pPr>
        <w:spacing w:after="0" w:line="360" w:lineRule="auto"/>
        <w:jc w:val="both"/>
        <w:rPr>
          <w:sz w:val="24"/>
        </w:rPr>
        <w:sectPr>
          <w:pgSz w:w="12240" w:h="15840"/>
          <w:pgMar w:header="0" w:footer="887" w:top="1500" w:bottom="1140" w:left="1300" w:right="1240"/>
        </w:sectPr>
      </w:pPr>
    </w:p>
    <w:p>
      <w:pPr>
        <w:pStyle w:val="BodyText"/>
        <w:ind w:left="3468"/>
        <w:rPr>
          <w:sz w:val="20"/>
        </w:rPr>
      </w:pPr>
      <w:r>
        <w:rPr>
          <w:sz w:val="20"/>
        </w:rPr>
        <w:drawing>
          <wp:inline distT="0" distB="0" distL="0" distR="0">
            <wp:extent cx="1699825" cy="2436971"/>
            <wp:effectExtent l="0" t="0" r="0" b="0"/>
            <wp:docPr id="23" name="image22.jpeg" descr=""/>
            <wp:cNvGraphicFramePr>
              <a:graphicFrameLocks noChangeAspect="1"/>
            </wp:cNvGraphicFramePr>
            <a:graphic>
              <a:graphicData uri="http://schemas.openxmlformats.org/drawingml/2006/picture">
                <pic:pic>
                  <pic:nvPicPr>
                    <pic:cNvPr id="24" name="image22.jpeg"/>
                    <pic:cNvPicPr/>
                  </pic:nvPicPr>
                  <pic:blipFill>
                    <a:blip r:embed="rId27" cstate="print"/>
                    <a:stretch>
                      <a:fillRect/>
                    </a:stretch>
                  </pic:blipFill>
                  <pic:spPr>
                    <a:xfrm>
                      <a:off x="0" y="0"/>
                      <a:ext cx="1699825" cy="2436971"/>
                    </a:xfrm>
                    <a:prstGeom prst="rect">
                      <a:avLst/>
                    </a:prstGeom>
                  </pic:spPr>
                </pic:pic>
              </a:graphicData>
            </a:graphic>
          </wp:inline>
        </w:drawing>
      </w:r>
      <w:r>
        <w:rPr>
          <w:sz w:val="20"/>
        </w:rPr>
      </w:r>
    </w:p>
    <w:p>
      <w:pPr>
        <w:pStyle w:val="BodyText"/>
        <w:spacing w:before="9"/>
        <w:rPr>
          <w:sz w:val="25"/>
        </w:rPr>
      </w:pPr>
    </w:p>
    <w:p>
      <w:pPr>
        <w:pStyle w:val="BodyText"/>
        <w:spacing w:before="70"/>
        <w:ind w:left="1676" w:right="1676"/>
        <w:jc w:val="center"/>
      </w:pPr>
      <w:r>
        <w:rPr/>
        <w:t>Fig. 8 Lámpara del metal en posición</w:t>
      </w:r>
    </w:p>
    <w:p>
      <w:pPr>
        <w:pStyle w:val="BodyText"/>
        <w:spacing w:before="4"/>
        <w:rPr>
          <w:sz w:val="29"/>
        </w:rPr>
      </w:pPr>
    </w:p>
    <w:p>
      <w:pPr>
        <w:pStyle w:val="ListParagraph"/>
        <w:numPr>
          <w:ilvl w:val="0"/>
          <w:numId w:val="16"/>
        </w:numPr>
        <w:tabs>
          <w:tab w:pos="479" w:val="left" w:leader="none"/>
        </w:tabs>
        <w:spacing w:line="360" w:lineRule="auto" w:before="1" w:after="0"/>
        <w:ind w:left="478" w:right="115" w:hanging="360"/>
        <w:jc w:val="both"/>
        <w:rPr>
          <w:sz w:val="24"/>
        </w:rPr>
      </w:pPr>
      <w:r>
        <w:rPr>
          <w:sz w:val="24"/>
        </w:rPr>
        <w:t>Finalmente se obtienen los resultados de las concentraciones para hierro, níquel y cromo de cada muestra, mediante el paquete analítico 200 versión 8.0,Copyright 2013, Perkin Elmer, Inc. (Fig.</w:t>
      </w:r>
      <w:r>
        <w:rPr>
          <w:spacing w:val="-12"/>
          <w:sz w:val="24"/>
        </w:rPr>
        <w:t> </w:t>
      </w:r>
      <w:r>
        <w:rPr>
          <w:sz w:val="24"/>
        </w:rPr>
        <w:t>9)</w:t>
      </w:r>
    </w:p>
    <w:p>
      <w:pPr>
        <w:pStyle w:val="BodyText"/>
        <w:rPr>
          <w:sz w:val="20"/>
        </w:rPr>
      </w:pPr>
    </w:p>
    <w:p>
      <w:pPr>
        <w:pStyle w:val="BodyText"/>
        <w:rPr>
          <w:sz w:val="13"/>
        </w:rPr>
      </w:pPr>
      <w:r>
        <w:rPr/>
        <w:drawing>
          <wp:anchor distT="0" distB="0" distL="0" distR="0" allowOverlap="1" layoutInCell="1" locked="0" behindDoc="0" simplePos="0" relativeHeight="1696">
            <wp:simplePos x="0" y="0"/>
            <wp:positionH relativeFrom="page">
              <wp:posOffset>2714244</wp:posOffset>
            </wp:positionH>
            <wp:positionV relativeFrom="paragraph">
              <wp:posOffset>119950</wp:posOffset>
            </wp:positionV>
            <wp:extent cx="2337921" cy="1970055"/>
            <wp:effectExtent l="0" t="0" r="0" b="0"/>
            <wp:wrapTopAndBottom/>
            <wp:docPr id="25" name="image23.jpeg" descr=""/>
            <wp:cNvGraphicFramePr>
              <a:graphicFrameLocks noChangeAspect="1"/>
            </wp:cNvGraphicFramePr>
            <a:graphic>
              <a:graphicData uri="http://schemas.openxmlformats.org/drawingml/2006/picture">
                <pic:pic>
                  <pic:nvPicPr>
                    <pic:cNvPr id="26" name="image23.jpeg"/>
                    <pic:cNvPicPr/>
                  </pic:nvPicPr>
                  <pic:blipFill>
                    <a:blip r:embed="rId28" cstate="print"/>
                    <a:stretch>
                      <a:fillRect/>
                    </a:stretch>
                  </pic:blipFill>
                  <pic:spPr>
                    <a:xfrm>
                      <a:off x="0" y="0"/>
                      <a:ext cx="2337921" cy="1970055"/>
                    </a:xfrm>
                    <a:prstGeom prst="rect">
                      <a:avLst/>
                    </a:prstGeom>
                  </pic:spPr>
                </pic:pic>
              </a:graphicData>
            </a:graphic>
          </wp:anchor>
        </w:drawing>
      </w:r>
    </w:p>
    <w:p>
      <w:pPr>
        <w:pStyle w:val="BodyText"/>
        <w:spacing w:before="4"/>
        <w:rPr>
          <w:sz w:val="28"/>
        </w:rPr>
      </w:pPr>
    </w:p>
    <w:p>
      <w:pPr>
        <w:pStyle w:val="BodyText"/>
        <w:ind w:right="4"/>
        <w:jc w:val="center"/>
      </w:pPr>
      <w:r>
        <w:rPr/>
        <w:t>Fig. 9 Software del espectrómetro de absorción atómica con horno de grafito</w:t>
      </w:r>
    </w:p>
    <w:p>
      <w:pPr>
        <w:pStyle w:val="BodyText"/>
        <w:spacing w:before="5"/>
        <w:rPr>
          <w:sz w:val="29"/>
        </w:rPr>
      </w:pPr>
    </w:p>
    <w:p>
      <w:pPr>
        <w:pStyle w:val="Heading1"/>
        <w:spacing w:before="0"/>
        <w:jc w:val="both"/>
      </w:pPr>
      <w:r>
        <w:rPr/>
        <w:t>Análisis estadístico</w:t>
      </w:r>
    </w:p>
    <w:p>
      <w:pPr>
        <w:pStyle w:val="BodyText"/>
        <w:spacing w:before="2"/>
        <w:rPr>
          <w:b/>
          <w:sz w:val="29"/>
        </w:rPr>
      </w:pPr>
    </w:p>
    <w:p>
      <w:pPr>
        <w:pStyle w:val="BodyText"/>
        <w:spacing w:line="360" w:lineRule="auto"/>
        <w:ind w:left="118" w:right="114"/>
        <w:jc w:val="both"/>
      </w:pPr>
      <w:r>
        <w:rPr/>
        <w:t>Se obtendrán medidas de tendencia central y de dispersión de los datos obtenidos; para posteriormente hacer pruebas de comparación de medias aplicando la prueba de Wilcoxon para las muestras y buscar diferencia entre ellas; todo lo anterior mediante el uso del paquete estadístico SPSS v. 20.</w:t>
      </w:r>
    </w:p>
    <w:p>
      <w:pPr>
        <w:spacing w:after="0" w:line="360" w:lineRule="auto"/>
        <w:jc w:val="both"/>
        <w:sectPr>
          <w:pgSz w:w="12240" w:h="15840"/>
          <w:pgMar w:header="0" w:footer="887" w:top="1420" w:bottom="1140" w:left="1300" w:right="1300"/>
        </w:sectPr>
      </w:pPr>
    </w:p>
    <w:p>
      <w:pPr>
        <w:pStyle w:val="Heading1"/>
        <w:numPr>
          <w:ilvl w:val="1"/>
          <w:numId w:val="16"/>
        </w:numPr>
        <w:tabs>
          <w:tab w:pos="4080" w:val="left" w:leader="none"/>
        </w:tabs>
        <w:spacing w:line="240" w:lineRule="auto" w:before="56" w:after="0"/>
        <w:ind w:left="4079" w:right="0" w:hanging="360"/>
        <w:jc w:val="left"/>
      </w:pPr>
      <w:r>
        <w:rPr/>
        <w:drawing>
          <wp:anchor distT="0" distB="0" distL="0" distR="0" allowOverlap="1" layoutInCell="1" locked="0" behindDoc="0" simplePos="0" relativeHeight="1912">
            <wp:simplePos x="0" y="0"/>
            <wp:positionH relativeFrom="page">
              <wp:posOffset>2795016</wp:posOffset>
            </wp:positionH>
            <wp:positionV relativeFrom="page">
              <wp:posOffset>8711183</wp:posOffset>
            </wp:positionV>
            <wp:extent cx="70104" cy="70103"/>
            <wp:effectExtent l="0" t="0" r="0" b="0"/>
            <wp:wrapNone/>
            <wp:docPr id="27" name="image24.png" descr=""/>
            <wp:cNvGraphicFramePr>
              <a:graphicFrameLocks noChangeAspect="1"/>
            </wp:cNvGraphicFramePr>
            <a:graphic>
              <a:graphicData uri="http://schemas.openxmlformats.org/drawingml/2006/picture">
                <pic:pic>
                  <pic:nvPicPr>
                    <pic:cNvPr id="28" name="image24.png"/>
                    <pic:cNvPicPr/>
                  </pic:nvPicPr>
                  <pic:blipFill>
                    <a:blip r:embed="rId29" cstate="print"/>
                    <a:stretch>
                      <a:fillRect/>
                    </a:stretch>
                  </pic:blipFill>
                  <pic:spPr>
                    <a:xfrm>
                      <a:off x="0" y="0"/>
                      <a:ext cx="70104" cy="70103"/>
                    </a:xfrm>
                    <a:prstGeom prst="rect">
                      <a:avLst/>
                    </a:prstGeom>
                  </pic:spPr>
                </pic:pic>
              </a:graphicData>
            </a:graphic>
          </wp:anchor>
        </w:drawing>
      </w:r>
      <w:r>
        <w:rPr/>
        <w:drawing>
          <wp:anchor distT="0" distB="0" distL="0" distR="0" allowOverlap="1" layoutInCell="1" locked="0" behindDoc="1" simplePos="0" relativeHeight="268381151">
            <wp:simplePos x="0" y="0"/>
            <wp:positionH relativeFrom="page">
              <wp:posOffset>3293364</wp:posOffset>
            </wp:positionH>
            <wp:positionV relativeFrom="page">
              <wp:posOffset>8711183</wp:posOffset>
            </wp:positionV>
            <wp:extent cx="70103" cy="70103"/>
            <wp:effectExtent l="0" t="0" r="0" b="0"/>
            <wp:wrapNone/>
            <wp:docPr id="29" name="image25.png" descr=""/>
            <wp:cNvGraphicFramePr>
              <a:graphicFrameLocks noChangeAspect="1"/>
            </wp:cNvGraphicFramePr>
            <a:graphic>
              <a:graphicData uri="http://schemas.openxmlformats.org/drawingml/2006/picture">
                <pic:pic>
                  <pic:nvPicPr>
                    <pic:cNvPr id="30" name="image25.png"/>
                    <pic:cNvPicPr/>
                  </pic:nvPicPr>
                  <pic:blipFill>
                    <a:blip r:embed="rId30" cstate="print"/>
                    <a:stretch>
                      <a:fillRect/>
                    </a:stretch>
                  </pic:blipFill>
                  <pic:spPr>
                    <a:xfrm>
                      <a:off x="0" y="0"/>
                      <a:ext cx="70103" cy="70103"/>
                    </a:xfrm>
                    <a:prstGeom prst="rect">
                      <a:avLst/>
                    </a:prstGeom>
                  </pic:spPr>
                </pic:pic>
              </a:graphicData>
            </a:graphic>
          </wp:anchor>
        </w:drawing>
      </w:r>
      <w:r>
        <w:rPr/>
        <w:drawing>
          <wp:anchor distT="0" distB="0" distL="0" distR="0" allowOverlap="1" layoutInCell="1" locked="0" behindDoc="1" simplePos="0" relativeHeight="268381175">
            <wp:simplePos x="0" y="0"/>
            <wp:positionH relativeFrom="page">
              <wp:posOffset>3790188</wp:posOffset>
            </wp:positionH>
            <wp:positionV relativeFrom="page">
              <wp:posOffset>8711183</wp:posOffset>
            </wp:positionV>
            <wp:extent cx="71627" cy="70103"/>
            <wp:effectExtent l="0" t="0" r="0" b="0"/>
            <wp:wrapNone/>
            <wp:docPr id="31" name="image26.png" descr=""/>
            <wp:cNvGraphicFramePr>
              <a:graphicFrameLocks noChangeAspect="1"/>
            </wp:cNvGraphicFramePr>
            <a:graphic>
              <a:graphicData uri="http://schemas.openxmlformats.org/drawingml/2006/picture">
                <pic:pic>
                  <pic:nvPicPr>
                    <pic:cNvPr id="32" name="image26.png"/>
                    <pic:cNvPicPr/>
                  </pic:nvPicPr>
                  <pic:blipFill>
                    <a:blip r:embed="rId31" cstate="print"/>
                    <a:stretch>
                      <a:fillRect/>
                    </a:stretch>
                  </pic:blipFill>
                  <pic:spPr>
                    <a:xfrm>
                      <a:off x="0" y="0"/>
                      <a:ext cx="71627" cy="70103"/>
                    </a:xfrm>
                    <a:prstGeom prst="rect">
                      <a:avLst/>
                    </a:prstGeom>
                  </pic:spPr>
                </pic:pic>
              </a:graphicData>
            </a:graphic>
          </wp:anchor>
        </w:drawing>
      </w:r>
      <w:r>
        <w:rPr/>
        <w:drawing>
          <wp:anchor distT="0" distB="0" distL="0" distR="0" allowOverlap="1" layoutInCell="1" locked="0" behindDoc="1" simplePos="0" relativeHeight="268381199">
            <wp:simplePos x="0" y="0"/>
            <wp:positionH relativeFrom="page">
              <wp:posOffset>4288535</wp:posOffset>
            </wp:positionH>
            <wp:positionV relativeFrom="page">
              <wp:posOffset>8711183</wp:posOffset>
            </wp:positionV>
            <wp:extent cx="70103" cy="70103"/>
            <wp:effectExtent l="0" t="0" r="0" b="0"/>
            <wp:wrapNone/>
            <wp:docPr id="33" name="image27.png" descr=""/>
            <wp:cNvGraphicFramePr>
              <a:graphicFrameLocks noChangeAspect="1"/>
            </wp:cNvGraphicFramePr>
            <a:graphic>
              <a:graphicData uri="http://schemas.openxmlformats.org/drawingml/2006/picture">
                <pic:pic>
                  <pic:nvPicPr>
                    <pic:cNvPr id="34" name="image27.png"/>
                    <pic:cNvPicPr/>
                  </pic:nvPicPr>
                  <pic:blipFill>
                    <a:blip r:embed="rId32" cstate="print"/>
                    <a:stretch>
                      <a:fillRect/>
                    </a:stretch>
                  </pic:blipFill>
                  <pic:spPr>
                    <a:xfrm>
                      <a:off x="0" y="0"/>
                      <a:ext cx="70103" cy="70103"/>
                    </a:xfrm>
                    <a:prstGeom prst="rect">
                      <a:avLst/>
                    </a:prstGeom>
                  </pic:spPr>
                </pic:pic>
              </a:graphicData>
            </a:graphic>
          </wp:anchor>
        </w:drawing>
      </w:r>
      <w:r>
        <w:rPr/>
        <w:t>RESULTADOS Y</w:t>
      </w:r>
      <w:r>
        <w:rPr>
          <w:spacing w:val="-10"/>
        </w:rPr>
        <w:t> </w:t>
      </w:r>
      <w:r>
        <w:rPr/>
        <w:t>TABLAS</w:t>
      </w:r>
    </w:p>
    <w:p>
      <w:pPr>
        <w:pStyle w:val="BodyText"/>
        <w:rPr>
          <w:b/>
        </w:rPr>
      </w:pPr>
    </w:p>
    <w:p>
      <w:pPr>
        <w:pStyle w:val="BodyText"/>
        <w:rPr>
          <w:b/>
        </w:rPr>
      </w:pPr>
    </w:p>
    <w:p>
      <w:pPr>
        <w:spacing w:before="0"/>
        <w:ind w:left="118" w:right="42" w:firstLine="0"/>
        <w:jc w:val="left"/>
        <w:rPr>
          <w:b/>
          <w:sz w:val="24"/>
        </w:rPr>
      </w:pPr>
      <w:r>
        <w:rPr>
          <w:b/>
          <w:sz w:val="24"/>
        </w:rPr>
        <w:t>Análisis parcial de resultados obtenidos de las encuestas realizadas:</w:t>
      </w:r>
    </w:p>
    <w:p>
      <w:pPr>
        <w:pStyle w:val="BodyText"/>
        <w:spacing w:before="4"/>
        <w:rPr>
          <w:b/>
          <w:sz w:val="29"/>
        </w:rPr>
      </w:pPr>
    </w:p>
    <w:p>
      <w:pPr>
        <w:pStyle w:val="BodyText"/>
        <w:spacing w:line="360" w:lineRule="auto" w:before="1"/>
        <w:ind w:left="118" w:right="42"/>
      </w:pPr>
      <w:r>
        <w:rPr/>
        <w:t>Se</w:t>
      </w:r>
      <w:r>
        <w:rPr>
          <w:spacing w:val="-12"/>
        </w:rPr>
        <w:t> </w:t>
      </w:r>
      <w:r>
        <w:rPr/>
        <w:t>estudiaron</w:t>
      </w:r>
      <w:r>
        <w:rPr>
          <w:spacing w:val="-12"/>
        </w:rPr>
        <w:t> </w:t>
      </w:r>
      <w:r>
        <w:rPr/>
        <w:t>30</w:t>
      </w:r>
      <w:r>
        <w:rPr>
          <w:spacing w:val="-12"/>
        </w:rPr>
        <w:t> </w:t>
      </w:r>
      <w:r>
        <w:rPr/>
        <w:t>pacientes</w:t>
      </w:r>
      <w:r>
        <w:rPr>
          <w:spacing w:val="-13"/>
        </w:rPr>
        <w:t> </w:t>
      </w:r>
      <w:r>
        <w:rPr/>
        <w:t>de</w:t>
      </w:r>
      <w:r>
        <w:rPr>
          <w:spacing w:val="-11"/>
        </w:rPr>
        <w:t> </w:t>
      </w:r>
      <w:r>
        <w:rPr/>
        <w:t>la</w:t>
      </w:r>
      <w:r>
        <w:rPr>
          <w:spacing w:val="-10"/>
        </w:rPr>
        <w:t> </w:t>
      </w:r>
      <w:r>
        <w:rPr/>
        <w:t>Clínica</w:t>
      </w:r>
      <w:r>
        <w:rPr>
          <w:spacing w:val="-12"/>
        </w:rPr>
        <w:t> </w:t>
      </w:r>
      <w:r>
        <w:rPr/>
        <w:t>de</w:t>
      </w:r>
      <w:r>
        <w:rPr>
          <w:spacing w:val="-12"/>
        </w:rPr>
        <w:t> </w:t>
      </w:r>
      <w:r>
        <w:rPr/>
        <w:t>Odontopediatría</w:t>
      </w:r>
      <w:r>
        <w:rPr>
          <w:spacing w:val="-9"/>
        </w:rPr>
        <w:t> </w:t>
      </w:r>
      <w:r>
        <w:rPr/>
        <w:t>de</w:t>
      </w:r>
      <w:r>
        <w:rPr>
          <w:spacing w:val="-9"/>
        </w:rPr>
        <w:t> </w:t>
      </w:r>
      <w:r>
        <w:rPr/>
        <w:t>la</w:t>
      </w:r>
      <w:r>
        <w:rPr>
          <w:spacing w:val="-9"/>
        </w:rPr>
        <w:t> </w:t>
      </w:r>
      <w:r>
        <w:rPr/>
        <w:t>Universidad</w:t>
      </w:r>
      <w:r>
        <w:rPr>
          <w:spacing w:val="-9"/>
        </w:rPr>
        <w:t> </w:t>
      </w:r>
      <w:r>
        <w:rPr/>
        <w:t>Autónoma del Estado de México de los cuales el 50% fueron hombres y 50% mujeres (Gráfica</w:t>
      </w:r>
      <w:r>
        <w:rPr>
          <w:spacing w:val="-21"/>
        </w:rPr>
        <w:t> </w:t>
      </w:r>
      <w:r>
        <w:rPr/>
        <w:t>1).</w:t>
      </w:r>
    </w:p>
    <w:p>
      <w:pPr>
        <w:pStyle w:val="BodyText"/>
      </w:pPr>
    </w:p>
    <w:p>
      <w:pPr>
        <w:pStyle w:val="BodyText"/>
        <w:spacing w:before="142"/>
        <w:ind w:left="2264" w:right="42"/>
      </w:pPr>
      <w:r>
        <w:rPr/>
        <w:t>Gráfica 1. Distribución de la muestra por género</w:t>
      </w:r>
    </w:p>
    <w:p>
      <w:pPr>
        <w:pStyle w:val="BodyText"/>
        <w:spacing w:before="10"/>
        <w:rPr>
          <w:sz w:val="20"/>
        </w:rPr>
      </w:pPr>
      <w:r>
        <w:rPr/>
        <w:pict>
          <v:group style="position:absolute;margin-left:217.080002pt;margin-top:13.997022pt;width:149.550pt;height:149.550pt;mso-position-horizontal-relative:page;mso-position-vertical-relative:paragraph;z-index:1768;mso-wrap-distance-left:0;mso-wrap-distance-right:0" coordorigin="4342,280" coordsize="2991,2991">
            <v:shape style="position:absolute;left:5770;top:280;width:1562;height:2990" type="#_x0000_t75" stroked="false">
              <v:imagedata r:id="rId33" o:title=""/>
            </v:shape>
            <v:shape style="position:absolute;left:4342;top:280;width:1562;height:2990" type="#_x0000_t75" stroked="false">
              <v:imagedata r:id="rId34" o:title=""/>
            </v:shape>
            <v:shape style="position:absolute;left:5836;top:311;width:1428;height:2856" type="#_x0000_t75" stroked="false">
              <v:imagedata r:id="rId35" o:title=""/>
            </v:shape>
            <v:shape style="position:absolute;left:4408;top:311;width:1428;height:2856" type="#_x0000_t75" stroked="false">
              <v:imagedata r:id="rId36" o:title=""/>
            </v:shape>
            <v:shape style="position:absolute;left:4967;top:1666;width:312;height:180" type="#_x0000_t202" filled="false" stroked="false">
              <v:textbox inset="0,0,0,0">
                <w:txbxContent>
                  <w:p>
                    <w:pPr>
                      <w:spacing w:line="180" w:lineRule="exact" w:before="0"/>
                      <w:ind w:left="0" w:right="-20" w:firstLine="0"/>
                      <w:jc w:val="left"/>
                      <w:rPr>
                        <w:rFonts w:ascii="Calibri"/>
                        <w:sz w:val="18"/>
                      </w:rPr>
                    </w:pPr>
                    <w:r>
                      <w:rPr>
                        <w:rFonts w:ascii="Calibri"/>
                        <w:color w:val="1F487C"/>
                        <w:sz w:val="18"/>
                      </w:rPr>
                      <w:t>50%</w:t>
                    </w:r>
                  </w:p>
                </w:txbxContent>
              </v:textbox>
              <w10:wrap type="none"/>
            </v:shape>
            <v:shape style="position:absolute;left:6395;top:1666;width:312;height:180" type="#_x0000_t202" filled="false" stroked="false">
              <v:textbox inset="0,0,0,0">
                <w:txbxContent>
                  <w:p>
                    <w:pPr>
                      <w:spacing w:line="180" w:lineRule="exact" w:before="0"/>
                      <w:ind w:left="0" w:right="-20" w:firstLine="0"/>
                      <w:jc w:val="left"/>
                      <w:rPr>
                        <w:rFonts w:ascii="Calibri"/>
                        <w:sz w:val="18"/>
                      </w:rPr>
                    </w:pPr>
                    <w:r>
                      <w:rPr>
                        <w:rFonts w:ascii="Calibri"/>
                        <w:color w:val="1F487C"/>
                        <w:sz w:val="18"/>
                      </w:rPr>
                      <w:t>50%</w:t>
                    </w:r>
                  </w:p>
                </w:txbxContent>
              </v:textbox>
              <w10:wrap type="none"/>
            </v:shape>
            <w10:wrap type="topAndBottom"/>
          </v:group>
        </w:pict>
      </w:r>
    </w:p>
    <w:p>
      <w:pPr>
        <w:pStyle w:val="BodyText"/>
        <w:spacing w:before="4"/>
        <w:rPr>
          <w:sz w:val="6"/>
        </w:rPr>
      </w:pPr>
    </w:p>
    <w:p>
      <w:pPr>
        <w:tabs>
          <w:tab w:pos="1144" w:val="left" w:leader="none"/>
        </w:tabs>
        <w:spacing w:before="64"/>
        <w:ind w:left="0" w:right="391" w:firstLine="0"/>
        <w:jc w:val="center"/>
        <w:rPr>
          <w:rFonts w:ascii="Calibri"/>
          <w:sz w:val="18"/>
        </w:rPr>
      </w:pPr>
      <w:r>
        <w:rPr/>
        <w:drawing>
          <wp:anchor distT="0" distB="0" distL="0" distR="0" allowOverlap="1" layoutInCell="1" locked="0" behindDoc="0" simplePos="0" relativeHeight="2008">
            <wp:simplePos x="0" y="0"/>
            <wp:positionH relativeFrom="page">
              <wp:posOffset>3069335</wp:posOffset>
            </wp:positionH>
            <wp:positionV relativeFrom="paragraph">
              <wp:posOffset>84573</wp:posOffset>
            </wp:positionV>
            <wp:extent cx="62483" cy="64008"/>
            <wp:effectExtent l="0" t="0" r="0" b="0"/>
            <wp:wrapNone/>
            <wp:docPr id="35" name="image32.png" descr=""/>
            <wp:cNvGraphicFramePr>
              <a:graphicFrameLocks noChangeAspect="1"/>
            </wp:cNvGraphicFramePr>
            <a:graphic>
              <a:graphicData uri="http://schemas.openxmlformats.org/drawingml/2006/picture">
                <pic:pic>
                  <pic:nvPicPr>
                    <pic:cNvPr id="36" name="image32.png"/>
                    <pic:cNvPicPr/>
                  </pic:nvPicPr>
                  <pic:blipFill>
                    <a:blip r:embed="rId37" cstate="print"/>
                    <a:stretch>
                      <a:fillRect/>
                    </a:stretch>
                  </pic:blipFill>
                  <pic:spPr>
                    <a:xfrm>
                      <a:off x="0" y="0"/>
                      <a:ext cx="62483" cy="64008"/>
                    </a:xfrm>
                    <a:prstGeom prst="rect">
                      <a:avLst/>
                    </a:prstGeom>
                  </pic:spPr>
                </pic:pic>
              </a:graphicData>
            </a:graphic>
          </wp:anchor>
        </w:drawing>
      </w:r>
      <w:r>
        <w:rPr/>
        <w:drawing>
          <wp:anchor distT="0" distB="0" distL="0" distR="0" allowOverlap="1" layoutInCell="1" locked="0" behindDoc="1" simplePos="0" relativeHeight="268381247">
            <wp:simplePos x="0" y="0"/>
            <wp:positionH relativeFrom="page">
              <wp:posOffset>3794759</wp:posOffset>
            </wp:positionH>
            <wp:positionV relativeFrom="paragraph">
              <wp:posOffset>84573</wp:posOffset>
            </wp:positionV>
            <wp:extent cx="64008" cy="64008"/>
            <wp:effectExtent l="0" t="0" r="0" b="0"/>
            <wp:wrapNone/>
            <wp:docPr id="37" name="image33.png" descr=""/>
            <wp:cNvGraphicFramePr>
              <a:graphicFrameLocks noChangeAspect="1"/>
            </wp:cNvGraphicFramePr>
            <a:graphic>
              <a:graphicData uri="http://schemas.openxmlformats.org/drawingml/2006/picture">
                <pic:pic>
                  <pic:nvPicPr>
                    <pic:cNvPr id="38" name="image33.png"/>
                    <pic:cNvPicPr/>
                  </pic:nvPicPr>
                  <pic:blipFill>
                    <a:blip r:embed="rId38" cstate="print"/>
                    <a:stretch>
                      <a:fillRect/>
                    </a:stretch>
                  </pic:blipFill>
                  <pic:spPr>
                    <a:xfrm>
                      <a:off x="0" y="0"/>
                      <a:ext cx="64008" cy="64008"/>
                    </a:xfrm>
                    <a:prstGeom prst="rect">
                      <a:avLst/>
                    </a:prstGeom>
                  </pic:spPr>
                </pic:pic>
              </a:graphicData>
            </a:graphic>
          </wp:anchor>
        </w:drawing>
      </w:r>
      <w:r>
        <w:rPr>
          <w:rFonts w:ascii="Calibri"/>
          <w:color w:val="1F487C"/>
          <w:sz w:val="18"/>
        </w:rPr>
        <w:t>Femenino</w:t>
        <w:tab/>
        <w:t>Masculino</w:t>
      </w:r>
    </w:p>
    <w:p>
      <w:pPr>
        <w:pStyle w:val="BodyText"/>
        <w:spacing w:before="7"/>
        <w:rPr>
          <w:rFonts w:ascii="Calibri"/>
          <w:sz w:val="21"/>
        </w:rPr>
      </w:pPr>
    </w:p>
    <w:p>
      <w:pPr>
        <w:pStyle w:val="BodyText"/>
        <w:spacing w:line="360" w:lineRule="auto" w:before="70"/>
        <w:ind w:left="118" w:right="42"/>
      </w:pPr>
      <w:r>
        <w:rPr/>
        <w:t>La frecuencia de edades de 2 años fue 17%, 3 años de 47%, 4 años corresponde a un 23%, y 5 años de 13% (Gráfica 2).</w:t>
      </w:r>
    </w:p>
    <w:p>
      <w:pPr>
        <w:pStyle w:val="BodyText"/>
      </w:pPr>
    </w:p>
    <w:p>
      <w:pPr>
        <w:pStyle w:val="BodyText"/>
        <w:spacing w:before="142"/>
        <w:ind w:left="1650" w:right="42"/>
      </w:pPr>
      <w:r>
        <w:rPr/>
        <w:t>Gráfica 2. Distribución por edades de los sujetos de estudio</w:t>
      </w:r>
    </w:p>
    <w:p>
      <w:pPr>
        <w:pStyle w:val="BodyText"/>
        <w:rPr>
          <w:sz w:val="20"/>
        </w:rPr>
      </w:pPr>
    </w:p>
    <w:p>
      <w:pPr>
        <w:pStyle w:val="BodyText"/>
        <w:rPr>
          <w:sz w:val="20"/>
        </w:rPr>
      </w:pPr>
    </w:p>
    <w:p>
      <w:pPr>
        <w:pStyle w:val="BodyText"/>
        <w:spacing w:before="1"/>
        <w:rPr>
          <w:sz w:val="10"/>
        </w:rPr>
      </w:pPr>
      <w:r>
        <w:rPr/>
        <w:pict>
          <v:group style="position:absolute;margin-left:217.679993pt;margin-top:7.748988pt;width:150.5pt;height:150.6pt;mso-position-horizontal-relative:page;mso-position-vertical-relative:paragraph;z-index:1888;mso-wrap-distance-left:0;mso-wrap-distance-right:0" coordorigin="4354,155" coordsize="3010,3012">
            <v:shape style="position:absolute;left:5765;top:155;width:1409;height:1598" type="#_x0000_t75" stroked="false">
              <v:imagedata r:id="rId39" o:title=""/>
            </v:shape>
            <v:shape style="position:absolute;left:4716;top:861;width:2647;height:2306" type="#_x0000_t75" stroked="false">
              <v:imagedata r:id="rId40" o:title=""/>
            </v:shape>
            <v:shape style="position:absolute;left:4354;top:623;width:1598;height:2076" type="#_x0000_t75" stroked="false">
              <v:imagedata r:id="rId41" o:title=""/>
            </v:shape>
            <v:shape style="position:absolute;left:4716;top:155;width:1236;height:1598" type="#_x0000_t75" stroked="false">
              <v:imagedata r:id="rId42" o:title=""/>
            </v:shape>
            <v:shape style="position:absolute;left:5851;top:213;width:1234;height:1423" type="#_x0000_t75" stroked="false">
              <v:imagedata r:id="rId43" o:title=""/>
            </v:shape>
            <v:shape style="position:absolute;left:4802;top:918;width:2472;height:2131" type="#_x0000_t75" stroked="false">
              <v:imagedata r:id="rId44" o:title=""/>
            </v:shape>
            <v:shape style="position:absolute;left:4440;top:681;width:1423;height:1901" type="#_x0000_t75" stroked="false">
              <v:imagedata r:id="rId45" o:title=""/>
            </v:shape>
            <v:shape style="position:absolute;left:4802;top:213;width:1061;height:1423" type="#_x0000_t75" stroked="false">
              <v:imagedata r:id="rId46" o:title=""/>
            </v:shape>
            <v:shape style="position:absolute;left:5177;top:456;width:479;height:401" type="#_x0000_t202" filled="false" stroked="false">
              <v:textbox inset="0,0,0,0">
                <w:txbxContent>
                  <w:p>
                    <w:pPr>
                      <w:spacing w:line="183" w:lineRule="exact" w:before="0"/>
                      <w:ind w:left="0" w:right="-20" w:firstLine="0"/>
                      <w:jc w:val="left"/>
                      <w:rPr>
                        <w:rFonts w:ascii="Calibri" w:hAnsi="Calibri"/>
                        <w:sz w:val="18"/>
                      </w:rPr>
                    </w:pPr>
                    <w:r>
                      <w:rPr>
                        <w:rFonts w:ascii="Calibri" w:hAnsi="Calibri"/>
                        <w:color w:val="404040"/>
                        <w:sz w:val="18"/>
                      </w:rPr>
                      <w:t>5 años</w:t>
                    </w:r>
                  </w:p>
                  <w:p>
                    <w:pPr>
                      <w:spacing w:line="216" w:lineRule="exact" w:before="1"/>
                      <w:ind w:left="84" w:right="-20" w:firstLine="0"/>
                      <w:jc w:val="left"/>
                      <w:rPr>
                        <w:rFonts w:ascii="Calibri"/>
                        <w:sz w:val="18"/>
                      </w:rPr>
                    </w:pPr>
                    <w:r>
                      <w:rPr>
                        <w:rFonts w:ascii="Calibri"/>
                        <w:color w:val="404040"/>
                        <w:sz w:val="18"/>
                      </w:rPr>
                      <w:t>13%</w:t>
                    </w:r>
                  </w:p>
                </w:txbxContent>
              </v:textbox>
              <w10:wrap type="none"/>
            </v:shape>
            <v:shape style="position:absolute;left:6154;top:521;width:479;height:401" type="#_x0000_t202" filled="false" stroked="false">
              <v:textbox inset="0,0,0,0">
                <w:txbxContent>
                  <w:p>
                    <w:pPr>
                      <w:spacing w:line="183" w:lineRule="exact" w:before="0"/>
                      <w:ind w:left="0" w:right="-20" w:firstLine="0"/>
                      <w:jc w:val="left"/>
                      <w:rPr>
                        <w:rFonts w:ascii="Calibri" w:hAnsi="Calibri"/>
                        <w:sz w:val="18"/>
                      </w:rPr>
                    </w:pPr>
                    <w:r>
                      <w:rPr>
                        <w:rFonts w:ascii="Calibri" w:hAnsi="Calibri"/>
                        <w:color w:val="404040"/>
                        <w:sz w:val="18"/>
                      </w:rPr>
                      <w:t>2 años</w:t>
                    </w:r>
                  </w:p>
                  <w:p>
                    <w:pPr>
                      <w:spacing w:line="216" w:lineRule="exact" w:before="1"/>
                      <w:ind w:left="83" w:right="-20" w:firstLine="0"/>
                      <w:jc w:val="left"/>
                      <w:rPr>
                        <w:rFonts w:ascii="Calibri"/>
                        <w:sz w:val="18"/>
                      </w:rPr>
                    </w:pPr>
                    <w:r>
                      <w:rPr>
                        <w:rFonts w:ascii="Calibri"/>
                        <w:color w:val="404040"/>
                        <w:sz w:val="18"/>
                      </w:rPr>
                      <w:t>17%</w:t>
                    </w:r>
                  </w:p>
                </w:txbxContent>
              </v:textbox>
              <w10:wrap type="none"/>
            </v:shape>
            <v:shape style="position:absolute;left:4559;top:1448;width:479;height:401" type="#_x0000_t202" filled="false" stroked="false">
              <v:textbox inset="0,0,0,0">
                <w:txbxContent>
                  <w:p>
                    <w:pPr>
                      <w:spacing w:line="183" w:lineRule="exact" w:before="0"/>
                      <w:ind w:left="0" w:right="-20" w:firstLine="0"/>
                      <w:jc w:val="left"/>
                      <w:rPr>
                        <w:rFonts w:ascii="Calibri" w:hAnsi="Calibri"/>
                        <w:sz w:val="18"/>
                      </w:rPr>
                    </w:pPr>
                    <w:r>
                      <w:rPr>
                        <w:rFonts w:ascii="Calibri" w:hAnsi="Calibri"/>
                        <w:color w:val="404040"/>
                        <w:sz w:val="18"/>
                      </w:rPr>
                      <w:t>4 años</w:t>
                    </w:r>
                  </w:p>
                  <w:p>
                    <w:pPr>
                      <w:spacing w:line="216" w:lineRule="exact" w:before="1"/>
                      <w:ind w:left="83" w:right="-20" w:firstLine="0"/>
                      <w:jc w:val="left"/>
                      <w:rPr>
                        <w:rFonts w:ascii="Calibri"/>
                        <w:sz w:val="18"/>
                      </w:rPr>
                    </w:pPr>
                    <w:r>
                      <w:rPr>
                        <w:rFonts w:ascii="Calibri"/>
                        <w:color w:val="404040"/>
                        <w:sz w:val="18"/>
                      </w:rPr>
                      <w:t>23%</w:t>
                    </w:r>
                  </w:p>
                </w:txbxContent>
              </v:textbox>
              <w10:wrap type="none"/>
            </v:shape>
            <v:shape style="position:absolute;left:6236;top:2298;width:479;height:401" type="#_x0000_t202" filled="false" stroked="false">
              <v:textbox inset="0,0,0,0">
                <w:txbxContent>
                  <w:p>
                    <w:pPr>
                      <w:spacing w:line="183" w:lineRule="exact" w:before="0"/>
                      <w:ind w:left="0" w:right="-20" w:firstLine="0"/>
                      <w:jc w:val="left"/>
                      <w:rPr>
                        <w:rFonts w:ascii="Calibri" w:hAnsi="Calibri"/>
                        <w:sz w:val="18"/>
                      </w:rPr>
                    </w:pPr>
                    <w:r>
                      <w:rPr>
                        <w:rFonts w:ascii="Calibri" w:hAnsi="Calibri"/>
                        <w:color w:val="404040"/>
                        <w:sz w:val="18"/>
                      </w:rPr>
                      <w:t>3 años</w:t>
                    </w:r>
                  </w:p>
                  <w:p>
                    <w:pPr>
                      <w:spacing w:line="216" w:lineRule="exact" w:before="1"/>
                      <w:ind w:left="83" w:right="-20" w:firstLine="0"/>
                      <w:jc w:val="left"/>
                      <w:rPr>
                        <w:rFonts w:ascii="Calibri"/>
                        <w:sz w:val="18"/>
                      </w:rPr>
                    </w:pPr>
                    <w:r>
                      <w:rPr>
                        <w:rFonts w:ascii="Calibri"/>
                        <w:color w:val="404040"/>
                        <w:sz w:val="18"/>
                      </w:rPr>
                      <w:t>47%</w:t>
                    </w:r>
                  </w:p>
                </w:txbxContent>
              </v:textbox>
              <w10:wrap type="none"/>
            </v:shape>
            <w10:wrap type="topAndBottom"/>
          </v:group>
        </w:pict>
      </w:r>
    </w:p>
    <w:p>
      <w:pPr>
        <w:tabs>
          <w:tab w:pos="783" w:val="left" w:leader="none"/>
          <w:tab w:pos="1567" w:val="left" w:leader="none"/>
          <w:tab w:pos="2351" w:val="left" w:leader="none"/>
        </w:tabs>
        <w:spacing w:before="116"/>
        <w:ind w:left="0" w:right="307" w:firstLine="0"/>
        <w:jc w:val="center"/>
        <w:rPr>
          <w:rFonts w:ascii="Calibri" w:hAnsi="Calibri"/>
          <w:sz w:val="18"/>
        </w:rPr>
      </w:pPr>
      <w:r>
        <w:rPr>
          <w:rFonts w:ascii="Calibri" w:hAnsi="Calibri"/>
          <w:color w:val="585858"/>
          <w:sz w:val="18"/>
        </w:rPr>
        <w:t>2</w:t>
      </w:r>
      <w:r>
        <w:rPr>
          <w:rFonts w:ascii="Calibri" w:hAnsi="Calibri"/>
          <w:color w:val="585858"/>
          <w:spacing w:val="-1"/>
          <w:sz w:val="18"/>
        </w:rPr>
        <w:t> </w:t>
      </w:r>
      <w:r>
        <w:rPr>
          <w:rFonts w:ascii="Calibri" w:hAnsi="Calibri"/>
          <w:color w:val="585858"/>
          <w:sz w:val="18"/>
        </w:rPr>
        <w:t>años</w:t>
        <w:tab/>
        <w:t>3</w:t>
      </w:r>
      <w:r>
        <w:rPr>
          <w:rFonts w:ascii="Calibri" w:hAnsi="Calibri"/>
          <w:color w:val="585858"/>
          <w:spacing w:val="-1"/>
          <w:sz w:val="18"/>
        </w:rPr>
        <w:t> </w:t>
      </w:r>
      <w:r>
        <w:rPr>
          <w:rFonts w:ascii="Calibri" w:hAnsi="Calibri"/>
          <w:color w:val="585858"/>
          <w:sz w:val="18"/>
        </w:rPr>
        <w:t>años</w:t>
        <w:tab/>
        <w:t>4</w:t>
      </w:r>
      <w:r>
        <w:rPr>
          <w:rFonts w:ascii="Calibri" w:hAnsi="Calibri"/>
          <w:color w:val="585858"/>
          <w:spacing w:val="-1"/>
          <w:sz w:val="18"/>
        </w:rPr>
        <w:t> </w:t>
      </w:r>
      <w:r>
        <w:rPr>
          <w:rFonts w:ascii="Calibri" w:hAnsi="Calibri"/>
          <w:color w:val="585858"/>
          <w:sz w:val="18"/>
        </w:rPr>
        <w:t>años</w:t>
        <w:tab/>
        <w:t>5</w:t>
      </w:r>
      <w:r>
        <w:rPr>
          <w:rFonts w:ascii="Calibri" w:hAnsi="Calibri"/>
          <w:color w:val="585858"/>
          <w:spacing w:val="-1"/>
          <w:sz w:val="18"/>
        </w:rPr>
        <w:t> </w:t>
      </w:r>
      <w:r>
        <w:rPr>
          <w:rFonts w:ascii="Calibri" w:hAnsi="Calibri"/>
          <w:color w:val="585858"/>
          <w:sz w:val="18"/>
        </w:rPr>
        <w:t>años</w:t>
      </w:r>
    </w:p>
    <w:p>
      <w:pPr>
        <w:spacing w:after="0"/>
        <w:jc w:val="center"/>
        <w:rPr>
          <w:rFonts w:ascii="Calibri" w:hAnsi="Calibri"/>
          <w:sz w:val="18"/>
        </w:rPr>
        <w:sectPr>
          <w:pgSz w:w="12240" w:h="15840"/>
          <w:pgMar w:header="0" w:footer="887" w:top="1360" w:bottom="1140" w:left="1300" w:right="1300"/>
        </w:sectPr>
      </w:pPr>
    </w:p>
    <w:p>
      <w:pPr>
        <w:pStyle w:val="BodyText"/>
        <w:spacing w:before="9"/>
        <w:rPr>
          <w:rFonts w:ascii="Calibri"/>
          <w:sz w:val="29"/>
        </w:rPr>
      </w:pPr>
      <w:r>
        <w:rPr/>
        <w:drawing>
          <wp:anchor distT="0" distB="0" distL="0" distR="0" allowOverlap="1" layoutInCell="1" locked="0" behindDoc="0" simplePos="0" relativeHeight="2272">
            <wp:simplePos x="0" y="0"/>
            <wp:positionH relativeFrom="page">
              <wp:posOffset>3247644</wp:posOffset>
            </wp:positionH>
            <wp:positionV relativeFrom="page">
              <wp:posOffset>8505443</wp:posOffset>
            </wp:positionV>
            <wp:extent cx="70104" cy="70103"/>
            <wp:effectExtent l="0" t="0" r="0" b="0"/>
            <wp:wrapNone/>
            <wp:docPr id="39" name="image42.png" descr=""/>
            <wp:cNvGraphicFramePr>
              <a:graphicFrameLocks noChangeAspect="1"/>
            </wp:cNvGraphicFramePr>
            <a:graphic>
              <a:graphicData uri="http://schemas.openxmlformats.org/drawingml/2006/picture">
                <pic:pic>
                  <pic:nvPicPr>
                    <pic:cNvPr id="40" name="image42.png"/>
                    <pic:cNvPicPr/>
                  </pic:nvPicPr>
                  <pic:blipFill>
                    <a:blip r:embed="rId47" cstate="print"/>
                    <a:stretch>
                      <a:fillRect/>
                    </a:stretch>
                  </pic:blipFill>
                  <pic:spPr>
                    <a:xfrm>
                      <a:off x="0" y="0"/>
                      <a:ext cx="70104" cy="70103"/>
                    </a:xfrm>
                    <a:prstGeom prst="rect">
                      <a:avLst/>
                    </a:prstGeom>
                  </pic:spPr>
                </pic:pic>
              </a:graphicData>
            </a:graphic>
          </wp:anchor>
        </w:drawing>
      </w:r>
      <w:r>
        <w:rPr/>
        <w:drawing>
          <wp:anchor distT="0" distB="0" distL="0" distR="0" allowOverlap="1" layoutInCell="1" locked="0" behindDoc="1" simplePos="0" relativeHeight="268381511">
            <wp:simplePos x="0" y="0"/>
            <wp:positionH relativeFrom="page">
              <wp:posOffset>3489959</wp:posOffset>
            </wp:positionH>
            <wp:positionV relativeFrom="page">
              <wp:posOffset>8505443</wp:posOffset>
            </wp:positionV>
            <wp:extent cx="71627" cy="70103"/>
            <wp:effectExtent l="0" t="0" r="0" b="0"/>
            <wp:wrapNone/>
            <wp:docPr id="41" name="image43.png" descr=""/>
            <wp:cNvGraphicFramePr>
              <a:graphicFrameLocks noChangeAspect="1"/>
            </wp:cNvGraphicFramePr>
            <a:graphic>
              <a:graphicData uri="http://schemas.openxmlformats.org/drawingml/2006/picture">
                <pic:pic>
                  <pic:nvPicPr>
                    <pic:cNvPr id="42" name="image43.png"/>
                    <pic:cNvPicPr/>
                  </pic:nvPicPr>
                  <pic:blipFill>
                    <a:blip r:embed="rId48" cstate="print"/>
                    <a:stretch>
                      <a:fillRect/>
                    </a:stretch>
                  </pic:blipFill>
                  <pic:spPr>
                    <a:xfrm>
                      <a:off x="0" y="0"/>
                      <a:ext cx="71627" cy="70103"/>
                    </a:xfrm>
                    <a:prstGeom prst="rect">
                      <a:avLst/>
                    </a:prstGeom>
                  </pic:spPr>
                </pic:pic>
              </a:graphicData>
            </a:graphic>
          </wp:anchor>
        </w:drawing>
      </w:r>
      <w:r>
        <w:rPr/>
        <w:drawing>
          <wp:anchor distT="0" distB="0" distL="0" distR="0" allowOverlap="1" layoutInCell="1" locked="0" behindDoc="1" simplePos="0" relativeHeight="268381535">
            <wp:simplePos x="0" y="0"/>
            <wp:positionH relativeFrom="page">
              <wp:posOffset>3738371</wp:posOffset>
            </wp:positionH>
            <wp:positionV relativeFrom="page">
              <wp:posOffset>8505443</wp:posOffset>
            </wp:positionV>
            <wp:extent cx="70103" cy="70103"/>
            <wp:effectExtent l="0" t="0" r="0" b="0"/>
            <wp:wrapNone/>
            <wp:docPr id="43" name="image44.png" descr=""/>
            <wp:cNvGraphicFramePr>
              <a:graphicFrameLocks noChangeAspect="1"/>
            </wp:cNvGraphicFramePr>
            <a:graphic>
              <a:graphicData uri="http://schemas.openxmlformats.org/drawingml/2006/picture">
                <pic:pic>
                  <pic:nvPicPr>
                    <pic:cNvPr id="44" name="image44.png"/>
                    <pic:cNvPicPr/>
                  </pic:nvPicPr>
                  <pic:blipFill>
                    <a:blip r:embed="rId49" cstate="print"/>
                    <a:stretch>
                      <a:fillRect/>
                    </a:stretch>
                  </pic:blipFill>
                  <pic:spPr>
                    <a:xfrm>
                      <a:off x="0" y="0"/>
                      <a:ext cx="70103" cy="70103"/>
                    </a:xfrm>
                    <a:prstGeom prst="rect">
                      <a:avLst/>
                    </a:prstGeom>
                  </pic:spPr>
                </pic:pic>
              </a:graphicData>
            </a:graphic>
          </wp:anchor>
        </w:drawing>
      </w:r>
      <w:r>
        <w:rPr/>
        <w:drawing>
          <wp:anchor distT="0" distB="0" distL="0" distR="0" allowOverlap="1" layoutInCell="1" locked="0" behindDoc="1" simplePos="0" relativeHeight="268381559">
            <wp:simplePos x="0" y="0"/>
            <wp:positionH relativeFrom="page">
              <wp:posOffset>3974591</wp:posOffset>
            </wp:positionH>
            <wp:positionV relativeFrom="page">
              <wp:posOffset>8505443</wp:posOffset>
            </wp:positionV>
            <wp:extent cx="70103" cy="70103"/>
            <wp:effectExtent l="0" t="0" r="0" b="0"/>
            <wp:wrapNone/>
            <wp:docPr id="45" name="image45.png" descr=""/>
            <wp:cNvGraphicFramePr>
              <a:graphicFrameLocks noChangeAspect="1"/>
            </wp:cNvGraphicFramePr>
            <a:graphic>
              <a:graphicData uri="http://schemas.openxmlformats.org/drawingml/2006/picture">
                <pic:pic>
                  <pic:nvPicPr>
                    <pic:cNvPr id="46" name="image45.png"/>
                    <pic:cNvPicPr/>
                  </pic:nvPicPr>
                  <pic:blipFill>
                    <a:blip r:embed="rId50" cstate="print"/>
                    <a:stretch>
                      <a:fillRect/>
                    </a:stretch>
                  </pic:blipFill>
                  <pic:spPr>
                    <a:xfrm>
                      <a:off x="0" y="0"/>
                      <a:ext cx="70103" cy="70103"/>
                    </a:xfrm>
                    <a:prstGeom prst="rect">
                      <a:avLst/>
                    </a:prstGeom>
                  </pic:spPr>
                </pic:pic>
              </a:graphicData>
            </a:graphic>
          </wp:anchor>
        </w:drawing>
      </w:r>
    </w:p>
    <w:p>
      <w:pPr>
        <w:pStyle w:val="BodyText"/>
        <w:spacing w:line="360" w:lineRule="auto" w:before="70"/>
        <w:ind w:left="118" w:right="42"/>
      </w:pPr>
      <w:r>
        <w:rPr/>
        <w:t>De los cuales un 80% de los encuestados afirma que no reside cerca de algún tipo de zona industrial o microempresas que puedan influir en los resultados (Gráfica 3).</w:t>
      </w:r>
    </w:p>
    <w:p>
      <w:pPr>
        <w:pStyle w:val="BodyText"/>
      </w:pPr>
    </w:p>
    <w:p>
      <w:pPr>
        <w:pStyle w:val="BodyText"/>
        <w:spacing w:before="142"/>
        <w:ind w:left="2125" w:right="42"/>
      </w:pPr>
      <w:r>
        <w:rPr/>
        <w:t>Gráfica 3. Distribución de residencia de los sujetos</w:t>
      </w:r>
    </w:p>
    <w:p>
      <w:pPr>
        <w:pStyle w:val="BodyText"/>
        <w:rPr>
          <w:sz w:val="20"/>
        </w:rPr>
      </w:pPr>
    </w:p>
    <w:p>
      <w:pPr>
        <w:pStyle w:val="BodyText"/>
        <w:spacing w:before="2"/>
        <w:rPr>
          <w:sz w:val="12"/>
        </w:rPr>
      </w:pPr>
      <w:r>
        <w:rPr/>
        <w:pict>
          <v:group style="position:absolute;margin-left:220.440002pt;margin-top:8.978010pt;width:145.35pt;height:145.450pt;mso-position-horizontal-relative:page;mso-position-vertical-relative:paragraph;z-index:2104;mso-wrap-distance-left:0;mso-wrap-distance-right:0" coordorigin="4409,180" coordsize="2907,2909">
            <v:shape style="position:absolute;left:5767;top:180;width:1481;height:1548" type="#_x0000_t75" stroked="false">
              <v:imagedata r:id="rId51" o:title=""/>
            </v:shape>
            <v:shape style="position:absolute;left:4409;top:180;width:2906;height:2909" type="#_x0000_t75" stroked="false">
              <v:imagedata r:id="rId52" o:title=""/>
            </v:shape>
            <v:shape style="position:absolute;left:5856;top:237;width:1306;height:1373" type="#_x0000_t75" stroked="false">
              <v:imagedata r:id="rId53" o:title=""/>
            </v:shape>
            <v:shape style="position:absolute;left:4495;top:237;width:2734;height:2734" type="#_x0000_t75" stroked="false">
              <v:imagedata r:id="rId54" o:title=""/>
            </v:shape>
            <v:shape style="position:absolute;left:6375;top:611;width:312;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20%</w:t>
                    </w:r>
                  </w:p>
                </w:txbxContent>
              </v:textbox>
              <w10:wrap type="none"/>
            </v:shape>
            <v:shape style="position:absolute;left:5038;top:2450;width:312;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80%</w:t>
                    </w:r>
                  </w:p>
                </w:txbxContent>
              </v:textbox>
              <w10:wrap type="none"/>
            </v:shape>
            <w10:wrap type="topAndBottom"/>
          </v:group>
        </w:pict>
      </w:r>
    </w:p>
    <w:p>
      <w:pPr>
        <w:spacing w:line="369" w:lineRule="auto" w:before="116"/>
        <w:ind w:left="3528" w:right="3830" w:firstLine="0"/>
        <w:jc w:val="center"/>
        <w:rPr>
          <w:rFonts w:ascii="Calibri"/>
          <w:sz w:val="18"/>
        </w:rPr>
      </w:pPr>
      <w:r>
        <w:rPr>
          <w:rFonts w:ascii="Calibri"/>
          <w:color w:val="585858"/>
          <w:sz w:val="18"/>
        </w:rPr>
        <w:t>FABRICAS CERCANAS AFIRMAN FABRICAS CERCANAS NEGADO</w:t>
      </w:r>
    </w:p>
    <w:p>
      <w:pPr>
        <w:pStyle w:val="BodyText"/>
        <w:spacing w:before="11"/>
        <w:rPr>
          <w:rFonts w:ascii="Calibri"/>
          <w:sz w:val="12"/>
        </w:rPr>
      </w:pPr>
    </w:p>
    <w:p>
      <w:pPr>
        <w:pStyle w:val="BodyText"/>
        <w:spacing w:line="360" w:lineRule="auto" w:before="69"/>
        <w:ind w:left="118" w:right="113"/>
        <w:jc w:val="both"/>
      </w:pPr>
      <w:r>
        <w:rPr/>
        <w:drawing>
          <wp:anchor distT="0" distB="0" distL="0" distR="0" allowOverlap="1" layoutInCell="1" locked="0" behindDoc="0" simplePos="0" relativeHeight="2224">
            <wp:simplePos x="0" y="0"/>
            <wp:positionH relativeFrom="page">
              <wp:posOffset>2971800</wp:posOffset>
            </wp:positionH>
            <wp:positionV relativeFrom="paragraph">
              <wp:posOffset>-489002</wp:posOffset>
            </wp:positionV>
            <wp:extent cx="71627" cy="70103"/>
            <wp:effectExtent l="0" t="0" r="0" b="0"/>
            <wp:wrapNone/>
            <wp:docPr id="47" name="image50.png" descr=""/>
            <wp:cNvGraphicFramePr>
              <a:graphicFrameLocks noChangeAspect="1"/>
            </wp:cNvGraphicFramePr>
            <a:graphic>
              <a:graphicData uri="http://schemas.openxmlformats.org/drawingml/2006/picture">
                <pic:pic>
                  <pic:nvPicPr>
                    <pic:cNvPr id="48" name="image50.png"/>
                    <pic:cNvPicPr/>
                  </pic:nvPicPr>
                  <pic:blipFill>
                    <a:blip r:embed="rId55" cstate="print"/>
                    <a:stretch>
                      <a:fillRect/>
                    </a:stretch>
                  </pic:blipFill>
                  <pic:spPr>
                    <a:xfrm>
                      <a:off x="0" y="0"/>
                      <a:ext cx="71627" cy="70103"/>
                    </a:xfrm>
                    <a:prstGeom prst="rect">
                      <a:avLst/>
                    </a:prstGeom>
                  </pic:spPr>
                </pic:pic>
              </a:graphicData>
            </a:graphic>
          </wp:anchor>
        </w:drawing>
      </w:r>
      <w:r>
        <w:rPr/>
        <w:drawing>
          <wp:anchor distT="0" distB="0" distL="0" distR="0" allowOverlap="1" layoutInCell="1" locked="0" behindDoc="0" simplePos="0" relativeHeight="2248">
            <wp:simplePos x="0" y="0"/>
            <wp:positionH relativeFrom="page">
              <wp:posOffset>2971800</wp:posOffset>
            </wp:positionH>
            <wp:positionV relativeFrom="paragraph">
              <wp:posOffset>-274118</wp:posOffset>
            </wp:positionV>
            <wp:extent cx="71627" cy="70103"/>
            <wp:effectExtent l="0" t="0" r="0" b="0"/>
            <wp:wrapNone/>
            <wp:docPr id="49" name="image51.png" descr=""/>
            <wp:cNvGraphicFramePr>
              <a:graphicFrameLocks noChangeAspect="1"/>
            </wp:cNvGraphicFramePr>
            <a:graphic>
              <a:graphicData uri="http://schemas.openxmlformats.org/drawingml/2006/picture">
                <pic:pic>
                  <pic:nvPicPr>
                    <pic:cNvPr id="50" name="image51.png"/>
                    <pic:cNvPicPr/>
                  </pic:nvPicPr>
                  <pic:blipFill>
                    <a:blip r:embed="rId56" cstate="print"/>
                    <a:stretch>
                      <a:fillRect/>
                    </a:stretch>
                  </pic:blipFill>
                  <pic:spPr>
                    <a:xfrm>
                      <a:off x="0" y="0"/>
                      <a:ext cx="71627" cy="70103"/>
                    </a:xfrm>
                    <a:prstGeom prst="rect">
                      <a:avLst/>
                    </a:prstGeom>
                  </pic:spPr>
                </pic:pic>
              </a:graphicData>
            </a:graphic>
          </wp:anchor>
        </w:drawing>
      </w:r>
      <w:r>
        <w:rPr/>
        <w:t>De</w:t>
      </w:r>
      <w:r>
        <w:rPr>
          <w:spacing w:val="-13"/>
        </w:rPr>
        <w:t> </w:t>
      </w:r>
      <w:r>
        <w:rPr/>
        <w:t>acuerdo</w:t>
      </w:r>
      <w:r>
        <w:rPr>
          <w:spacing w:val="-12"/>
        </w:rPr>
        <w:t> </w:t>
      </w:r>
      <w:r>
        <w:rPr/>
        <w:t>a</w:t>
      </w:r>
      <w:r>
        <w:rPr>
          <w:spacing w:val="-13"/>
        </w:rPr>
        <w:t> </w:t>
      </w:r>
      <w:r>
        <w:rPr/>
        <w:t>la</w:t>
      </w:r>
      <w:r>
        <w:rPr>
          <w:spacing w:val="-13"/>
        </w:rPr>
        <w:t> </w:t>
      </w:r>
      <w:r>
        <w:rPr/>
        <w:t>categoría</w:t>
      </w:r>
      <w:r>
        <w:rPr>
          <w:spacing w:val="-12"/>
        </w:rPr>
        <w:t> </w:t>
      </w:r>
      <w:r>
        <w:rPr/>
        <w:t>de</w:t>
      </w:r>
      <w:r>
        <w:rPr>
          <w:spacing w:val="-13"/>
        </w:rPr>
        <w:t> </w:t>
      </w:r>
      <w:r>
        <w:rPr/>
        <w:t>hábitos</w:t>
      </w:r>
      <w:r>
        <w:rPr>
          <w:spacing w:val="-14"/>
        </w:rPr>
        <w:t> </w:t>
      </w:r>
      <w:r>
        <w:rPr/>
        <w:t>de</w:t>
      </w:r>
      <w:r>
        <w:rPr>
          <w:spacing w:val="-13"/>
        </w:rPr>
        <w:t> </w:t>
      </w:r>
      <w:r>
        <w:rPr/>
        <w:t>higiene,</w:t>
      </w:r>
      <w:r>
        <w:rPr>
          <w:spacing w:val="-13"/>
        </w:rPr>
        <w:t> </w:t>
      </w:r>
      <w:r>
        <w:rPr/>
        <w:t>donde</w:t>
      </w:r>
      <w:r>
        <w:rPr>
          <w:spacing w:val="-12"/>
        </w:rPr>
        <w:t> </w:t>
      </w:r>
      <w:r>
        <w:rPr/>
        <w:t>el</w:t>
      </w:r>
      <w:r>
        <w:rPr>
          <w:spacing w:val="-14"/>
        </w:rPr>
        <w:t> </w:t>
      </w:r>
      <w:r>
        <w:rPr/>
        <w:t>43%</w:t>
      </w:r>
      <w:r>
        <w:rPr>
          <w:spacing w:val="-14"/>
        </w:rPr>
        <w:t> </w:t>
      </w:r>
      <w:r>
        <w:rPr/>
        <w:t>de</w:t>
      </w:r>
      <w:r>
        <w:rPr>
          <w:spacing w:val="-13"/>
        </w:rPr>
        <w:t> </w:t>
      </w:r>
      <w:r>
        <w:rPr/>
        <w:t>los</w:t>
      </w:r>
      <w:r>
        <w:rPr>
          <w:spacing w:val="-16"/>
        </w:rPr>
        <w:t> </w:t>
      </w:r>
      <w:r>
        <w:rPr/>
        <w:t>pacientes</w:t>
      </w:r>
      <w:r>
        <w:rPr>
          <w:spacing w:val="-14"/>
        </w:rPr>
        <w:t> </w:t>
      </w:r>
      <w:r>
        <w:rPr/>
        <w:t>se</w:t>
      </w:r>
      <w:r>
        <w:rPr>
          <w:spacing w:val="-13"/>
        </w:rPr>
        <w:t> </w:t>
      </w:r>
      <w:r>
        <w:rPr/>
        <w:t>cepilla los dientes dos veces al día, el 30% lo realiza tres o más veces al día y el 27% lo realiza una vez al día (Gráfica</w:t>
      </w:r>
      <w:r>
        <w:rPr>
          <w:spacing w:val="-7"/>
        </w:rPr>
        <w:t> </w:t>
      </w:r>
      <w:r>
        <w:rPr/>
        <w:t>4).</w:t>
      </w:r>
    </w:p>
    <w:p>
      <w:pPr>
        <w:pStyle w:val="BodyText"/>
      </w:pPr>
    </w:p>
    <w:p>
      <w:pPr>
        <w:pStyle w:val="BodyText"/>
        <w:spacing w:before="142"/>
        <w:ind w:left="963" w:right="42"/>
      </w:pPr>
      <w:r>
        <w:rPr/>
        <w:t>Grafica 4. Distribución de la muestra en relación a los hábitos de higiene</w:t>
      </w:r>
    </w:p>
    <w:p>
      <w:pPr>
        <w:pStyle w:val="BodyText"/>
        <w:rPr>
          <w:sz w:val="20"/>
        </w:rPr>
      </w:pPr>
    </w:p>
    <w:p>
      <w:pPr>
        <w:pStyle w:val="BodyText"/>
        <w:spacing w:before="7"/>
        <w:rPr>
          <w:sz w:val="15"/>
        </w:rPr>
      </w:pPr>
      <w:r>
        <w:rPr/>
        <w:pict>
          <v:group style="position:absolute;margin-left:215.160004pt;margin-top:10.968018pt;width:149.4pt;height:149.3pt;mso-position-horizontal-relative:page;mso-position-vertical-relative:paragraph;z-index:2200;mso-wrap-distance-left:0;mso-wrap-distance-right:0" coordorigin="4303,219" coordsize="2988,2986">
            <v:shape style="position:absolute;left:5705;top:219;width:1586;height:1733" type="#_x0000_t75" stroked="false">
              <v:imagedata r:id="rId57" o:title=""/>
            </v:shape>
            <v:shape style="position:absolute;left:4373;top:1619;width:2909;height:1586" type="#_x0000_t75" stroked="false">
              <v:imagedata r:id="rId58" o:title=""/>
            </v:shape>
            <v:shape style="position:absolute;left:4303;top:219;width:1589;height:2018" type="#_x0000_t75" stroked="false">
              <v:imagedata r:id="rId59" o:title=""/>
            </v:shape>
            <v:shape style="position:absolute;left:5791;top:277;width:1411;height:1558" type="#_x0000_t75" stroked="false">
              <v:imagedata r:id="rId60" o:title=""/>
            </v:shape>
            <v:shape style="position:absolute;left:4462;top:1676;width:2734;height:1411" type="#_x0000_t75" stroked="false">
              <v:imagedata r:id="rId61" o:title=""/>
            </v:shape>
            <v:shape style="position:absolute;left:4392;top:277;width:1411;height:1843" type="#_x0000_t75" stroked="false">
              <v:imagedata r:id="rId62" o:title=""/>
            </v:shape>
            <v:shape style="position:absolute;left:4743;top:957;width:312;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30%</w:t>
                    </w:r>
                  </w:p>
                </w:txbxContent>
              </v:textbox>
              <w10:wrap type="none"/>
            </v:shape>
            <v:shape style="position:absolute;left:6487;top:847;width:312;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27%</w:t>
                    </w:r>
                  </w:p>
                </w:txbxContent>
              </v:textbox>
              <w10:wrap type="none"/>
            </v:shape>
            <v:shape style="position:absolute;left:5767;top:2809;width:312;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43%</w:t>
                    </w:r>
                  </w:p>
                </w:txbxContent>
              </v:textbox>
              <w10:wrap type="none"/>
            </v:shape>
            <w10:wrap type="topAndBottom"/>
          </v:group>
        </w:pict>
      </w:r>
    </w:p>
    <w:p>
      <w:pPr>
        <w:pStyle w:val="ListParagraph"/>
        <w:numPr>
          <w:ilvl w:val="0"/>
          <w:numId w:val="17"/>
        </w:numPr>
        <w:tabs>
          <w:tab w:pos="4344" w:val="left" w:leader="none"/>
          <w:tab w:pos="4345" w:val="left" w:leader="none"/>
          <w:tab w:pos="4735" w:val="left" w:leader="none"/>
          <w:tab w:pos="5107" w:val="left" w:leader="none"/>
        </w:tabs>
        <w:spacing w:line="240" w:lineRule="auto" w:before="117" w:after="0"/>
        <w:ind w:left="4344" w:right="0" w:hanging="382"/>
        <w:jc w:val="left"/>
        <w:rPr>
          <w:rFonts w:ascii="Calibri"/>
          <w:sz w:val="18"/>
        </w:rPr>
      </w:pPr>
      <w:r>
        <w:rPr>
          <w:rFonts w:ascii="Calibri"/>
          <w:color w:val="585858"/>
          <w:sz w:val="18"/>
        </w:rPr>
        <w:t>b.</w:t>
        <w:tab/>
        <w:t>c.</w:t>
        <w:tab/>
        <w:t>d.</w:t>
      </w:r>
    </w:p>
    <w:p>
      <w:pPr>
        <w:spacing w:after="0" w:line="240" w:lineRule="auto"/>
        <w:jc w:val="left"/>
        <w:rPr>
          <w:rFonts w:ascii="Calibri"/>
          <w:sz w:val="18"/>
        </w:rPr>
        <w:sectPr>
          <w:pgSz w:w="12240" w:h="15840"/>
          <w:pgMar w:header="0" w:footer="887" w:top="1500" w:bottom="1140" w:left="1300" w:right="1300"/>
        </w:sectPr>
      </w:pPr>
    </w:p>
    <w:p>
      <w:pPr>
        <w:pStyle w:val="BodyText"/>
        <w:spacing w:line="360" w:lineRule="auto" w:before="56"/>
        <w:ind w:left="118" w:right="112"/>
        <w:jc w:val="both"/>
      </w:pPr>
      <w:r>
        <w:rPr/>
        <w:t>En</w:t>
      </w:r>
      <w:r>
        <w:rPr>
          <w:spacing w:val="-14"/>
        </w:rPr>
        <w:t> </w:t>
      </w:r>
      <w:r>
        <w:rPr/>
        <w:t>la</w:t>
      </w:r>
      <w:r>
        <w:rPr>
          <w:spacing w:val="-16"/>
        </w:rPr>
        <w:t> </w:t>
      </w:r>
      <w:r>
        <w:rPr/>
        <w:t>interrogante</w:t>
      </w:r>
      <w:r>
        <w:rPr>
          <w:spacing w:val="-15"/>
        </w:rPr>
        <w:t> </w:t>
      </w:r>
      <w:r>
        <w:rPr/>
        <w:t>2,</w:t>
      </w:r>
      <w:r>
        <w:rPr>
          <w:spacing w:val="-14"/>
        </w:rPr>
        <w:t> </w:t>
      </w:r>
      <w:r>
        <w:rPr/>
        <w:t>se</w:t>
      </w:r>
      <w:r>
        <w:rPr>
          <w:spacing w:val="-15"/>
        </w:rPr>
        <w:t> </w:t>
      </w:r>
      <w:r>
        <w:rPr/>
        <w:t>enfoca</w:t>
      </w:r>
      <w:r>
        <w:rPr>
          <w:spacing w:val="-15"/>
        </w:rPr>
        <w:t> </w:t>
      </w:r>
      <w:r>
        <w:rPr/>
        <w:t>principalmente</w:t>
      </w:r>
      <w:r>
        <w:rPr>
          <w:spacing w:val="-17"/>
        </w:rPr>
        <w:t> </w:t>
      </w:r>
      <w:r>
        <w:rPr/>
        <w:t>a</w:t>
      </w:r>
      <w:r>
        <w:rPr>
          <w:spacing w:val="-14"/>
        </w:rPr>
        <w:t> </w:t>
      </w:r>
      <w:r>
        <w:rPr/>
        <w:t>la</w:t>
      </w:r>
      <w:r>
        <w:rPr>
          <w:spacing w:val="-16"/>
        </w:rPr>
        <w:t> </w:t>
      </w:r>
      <w:r>
        <w:rPr/>
        <w:t>persona</w:t>
      </w:r>
      <w:r>
        <w:rPr>
          <w:spacing w:val="-14"/>
        </w:rPr>
        <w:t> </w:t>
      </w:r>
      <w:r>
        <w:rPr/>
        <w:t>que</w:t>
      </w:r>
      <w:r>
        <w:rPr>
          <w:spacing w:val="-14"/>
        </w:rPr>
        <w:t> </w:t>
      </w:r>
      <w:r>
        <w:rPr/>
        <w:t>ejecuta</w:t>
      </w:r>
      <w:r>
        <w:rPr>
          <w:spacing w:val="-14"/>
        </w:rPr>
        <w:t> </w:t>
      </w:r>
      <w:r>
        <w:rPr/>
        <w:t>el</w:t>
      </w:r>
      <w:r>
        <w:rPr>
          <w:spacing w:val="-15"/>
        </w:rPr>
        <w:t> </w:t>
      </w:r>
      <w:r>
        <w:rPr/>
        <w:t>cepillado</w:t>
      </w:r>
      <w:r>
        <w:rPr>
          <w:spacing w:val="-16"/>
        </w:rPr>
        <w:t> </w:t>
      </w:r>
      <w:r>
        <w:rPr/>
        <w:t>dental del</w:t>
      </w:r>
      <w:r>
        <w:rPr>
          <w:spacing w:val="-12"/>
        </w:rPr>
        <w:t> </w:t>
      </w:r>
      <w:r>
        <w:rPr/>
        <w:t>paciente,</w:t>
      </w:r>
      <w:r>
        <w:rPr>
          <w:spacing w:val="-13"/>
        </w:rPr>
        <w:t> </w:t>
      </w:r>
      <w:r>
        <w:rPr/>
        <w:t>el</w:t>
      </w:r>
      <w:r>
        <w:rPr>
          <w:spacing w:val="-11"/>
        </w:rPr>
        <w:t> </w:t>
      </w:r>
      <w:r>
        <w:rPr/>
        <w:t>67%</w:t>
      </w:r>
      <w:r>
        <w:rPr>
          <w:spacing w:val="-11"/>
        </w:rPr>
        <w:t> </w:t>
      </w:r>
      <w:r>
        <w:rPr/>
        <w:t>lo</w:t>
      </w:r>
      <w:r>
        <w:rPr>
          <w:spacing w:val="-13"/>
        </w:rPr>
        <w:t> </w:t>
      </w:r>
      <w:r>
        <w:rPr/>
        <w:t>realiza</w:t>
      </w:r>
      <w:r>
        <w:rPr>
          <w:spacing w:val="-11"/>
        </w:rPr>
        <w:t> </w:t>
      </w:r>
      <w:r>
        <w:rPr/>
        <w:t>el</w:t>
      </w:r>
      <w:r>
        <w:rPr>
          <w:spacing w:val="-12"/>
        </w:rPr>
        <w:t> </w:t>
      </w:r>
      <w:r>
        <w:rPr/>
        <w:t>cuidador</w:t>
      </w:r>
      <w:r>
        <w:rPr>
          <w:spacing w:val="-12"/>
        </w:rPr>
        <w:t> </w:t>
      </w:r>
      <w:r>
        <w:rPr/>
        <w:t>principal</w:t>
      </w:r>
      <w:r>
        <w:rPr>
          <w:spacing w:val="-11"/>
        </w:rPr>
        <w:t> </w:t>
      </w:r>
      <w:r>
        <w:rPr/>
        <w:t>(la</w:t>
      </w:r>
      <w:r>
        <w:rPr>
          <w:spacing w:val="-13"/>
        </w:rPr>
        <w:t> </w:t>
      </w:r>
      <w:r>
        <w:rPr/>
        <w:t>madre),</w:t>
      </w:r>
      <w:r>
        <w:rPr>
          <w:spacing w:val="-13"/>
        </w:rPr>
        <w:t> </w:t>
      </w:r>
      <w:r>
        <w:rPr/>
        <w:t>el</w:t>
      </w:r>
      <w:r>
        <w:rPr>
          <w:spacing w:val="-12"/>
        </w:rPr>
        <w:t> </w:t>
      </w:r>
      <w:r>
        <w:rPr/>
        <w:t>16%</w:t>
      </w:r>
      <w:r>
        <w:rPr>
          <w:spacing w:val="-11"/>
        </w:rPr>
        <w:t> </w:t>
      </w:r>
      <w:r>
        <w:rPr/>
        <w:t>y</w:t>
      </w:r>
      <w:r>
        <w:rPr>
          <w:spacing w:val="-14"/>
        </w:rPr>
        <w:t> </w:t>
      </w:r>
      <w:r>
        <w:rPr/>
        <w:t>17%</w:t>
      </w:r>
      <w:r>
        <w:rPr>
          <w:spacing w:val="-10"/>
        </w:rPr>
        <w:t> </w:t>
      </w:r>
      <w:r>
        <w:rPr/>
        <w:t>corresponde al niño y el padre (Gráfica</w:t>
      </w:r>
      <w:r>
        <w:rPr>
          <w:spacing w:val="-7"/>
        </w:rPr>
        <w:t> </w:t>
      </w:r>
      <w:r>
        <w:rPr/>
        <w:t>5).</w:t>
      </w:r>
    </w:p>
    <w:p>
      <w:pPr>
        <w:pStyle w:val="BodyText"/>
      </w:pPr>
    </w:p>
    <w:p>
      <w:pPr>
        <w:pStyle w:val="BodyText"/>
        <w:spacing w:before="142"/>
        <w:ind w:left="1578" w:right="42"/>
      </w:pPr>
      <w:r>
        <w:rPr/>
        <w:t>Gráfica 5. Distribución según el operador del cepillado dental</w:t>
      </w:r>
    </w:p>
    <w:p>
      <w:pPr>
        <w:pStyle w:val="BodyText"/>
        <w:rPr>
          <w:sz w:val="20"/>
        </w:rPr>
      </w:pPr>
    </w:p>
    <w:p>
      <w:pPr>
        <w:pStyle w:val="BodyText"/>
        <w:rPr>
          <w:sz w:val="20"/>
        </w:rPr>
      </w:pPr>
    </w:p>
    <w:p>
      <w:pPr>
        <w:pStyle w:val="BodyText"/>
        <w:rPr>
          <w:sz w:val="12"/>
        </w:rPr>
      </w:pPr>
      <w:r>
        <w:rPr/>
        <w:pict>
          <v:group style="position:absolute;margin-left:217.320007pt;margin-top:8.878960pt;width:150.75pt;height:150.75pt;mso-position-horizontal-relative:page;mso-position-vertical-relative:paragraph;z-index:2464;mso-wrap-distance-left:0;mso-wrap-distance-right:0" coordorigin="4346,178" coordsize="3015,3015">
            <v:shape style="position:absolute;left:5760;top:178;width:1411;height:1601" type="#_x0000_t75" stroked="false">
              <v:imagedata r:id="rId63" o:title=""/>
            </v:shape>
            <v:shape style="position:absolute;left:4346;top:886;width:3014;height:2306" type="#_x0000_t75" stroked="false">
              <v:imagedata r:id="rId64" o:title=""/>
            </v:shape>
            <v:shape style="position:absolute;left:4536;top:178;width:1411;height:1601" type="#_x0000_t75" stroked="false">
              <v:imagedata r:id="rId65" o:title=""/>
            </v:shape>
            <v:shape style="position:absolute;left:5846;top:235;width:1236;height:1426" type="#_x0000_t75" stroked="false">
              <v:imagedata r:id="rId66" o:title=""/>
            </v:shape>
            <v:shape style="position:absolute;left:4435;top:943;width:2837;height:2131" type="#_x0000_t75" stroked="false">
              <v:imagedata r:id="rId67" o:title=""/>
            </v:shape>
            <v:shape style="position:absolute;left:4622;top:235;width:1236;height:1426" type="#_x0000_t75" stroked="false">
              <v:imagedata r:id="rId68" o:title=""/>
            </v:shape>
            <v:shape style="position:absolute;left:5743;top:360;width:2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0%</w:t>
                    </w:r>
                  </w:p>
                </w:txbxContent>
              </v:textbox>
              <w10:wrap type="none"/>
            </v:shape>
            <v:shape style="position:absolute;left:5097;top:543;width:312;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17%</w:t>
                    </w:r>
                  </w:p>
                </w:txbxContent>
              </v:textbox>
              <w10:wrap type="none"/>
            </v:shape>
            <v:shape style="position:absolute;left:6297;top:543;width:312;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16%</w:t>
                    </w:r>
                  </w:p>
                </w:txbxContent>
              </v:textbox>
              <w10:wrap type="none"/>
            </v:shape>
            <v:shape style="position:absolute;left:5697;top:2803;width:312;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67%</w:t>
                    </w:r>
                  </w:p>
                </w:txbxContent>
              </v:textbox>
              <w10:wrap type="none"/>
            </v:shape>
            <w10:wrap type="topAndBottom"/>
          </v:group>
        </w:pict>
      </w:r>
    </w:p>
    <w:p>
      <w:pPr>
        <w:tabs>
          <w:tab w:pos="4400" w:val="left" w:leader="none"/>
          <w:tab w:pos="4791" w:val="left" w:leader="none"/>
          <w:tab w:pos="5163" w:val="left" w:leader="none"/>
        </w:tabs>
        <w:spacing w:before="116"/>
        <w:ind w:left="4018" w:right="42" w:firstLine="0"/>
        <w:jc w:val="left"/>
        <w:rPr>
          <w:rFonts w:ascii="Calibri"/>
          <w:sz w:val="18"/>
        </w:rPr>
      </w:pPr>
      <w:r>
        <w:rPr>
          <w:rFonts w:ascii="Calibri"/>
          <w:color w:val="585858"/>
          <w:sz w:val="18"/>
        </w:rPr>
        <w:t>a.</w:t>
        <w:tab/>
        <w:t>b.</w:t>
        <w:tab/>
        <w:t>c.</w:t>
        <w:tab/>
        <w:t>d.</w:t>
      </w:r>
    </w:p>
    <w:p>
      <w:pPr>
        <w:pStyle w:val="BodyText"/>
        <w:rPr>
          <w:rFonts w:ascii="Calibri"/>
          <w:sz w:val="20"/>
        </w:rPr>
      </w:pPr>
    </w:p>
    <w:p>
      <w:pPr>
        <w:pStyle w:val="BodyText"/>
        <w:spacing w:line="360" w:lineRule="auto" w:before="215"/>
        <w:ind w:left="118" w:right="112"/>
        <w:jc w:val="both"/>
      </w:pPr>
      <w:r>
        <w:rPr/>
        <w:drawing>
          <wp:anchor distT="0" distB="0" distL="0" distR="0" allowOverlap="1" layoutInCell="1" locked="0" behindDoc="0" simplePos="0" relativeHeight="2560">
            <wp:simplePos x="0" y="0"/>
            <wp:positionH relativeFrom="page">
              <wp:posOffset>3282696</wp:posOffset>
            </wp:positionH>
            <wp:positionV relativeFrom="paragraph">
              <wp:posOffset>-254560</wp:posOffset>
            </wp:positionV>
            <wp:extent cx="71627" cy="71627"/>
            <wp:effectExtent l="0" t="0" r="0" b="0"/>
            <wp:wrapNone/>
            <wp:docPr id="51" name="image64.png" descr=""/>
            <wp:cNvGraphicFramePr>
              <a:graphicFrameLocks noChangeAspect="1"/>
            </wp:cNvGraphicFramePr>
            <a:graphic>
              <a:graphicData uri="http://schemas.openxmlformats.org/drawingml/2006/picture">
                <pic:pic>
                  <pic:nvPicPr>
                    <pic:cNvPr id="52" name="image64.png"/>
                    <pic:cNvPicPr/>
                  </pic:nvPicPr>
                  <pic:blipFill>
                    <a:blip r:embed="rId69" cstate="print"/>
                    <a:stretch>
                      <a:fillRect/>
                    </a:stretch>
                  </pic:blipFill>
                  <pic:spPr>
                    <a:xfrm>
                      <a:off x="0" y="0"/>
                      <a:ext cx="71627" cy="71627"/>
                    </a:xfrm>
                    <a:prstGeom prst="rect">
                      <a:avLst/>
                    </a:prstGeom>
                  </pic:spPr>
                </pic:pic>
              </a:graphicData>
            </a:graphic>
          </wp:anchor>
        </w:drawing>
      </w:r>
      <w:r>
        <w:rPr/>
        <w:drawing>
          <wp:anchor distT="0" distB="0" distL="0" distR="0" allowOverlap="1" layoutInCell="1" locked="0" behindDoc="1" simplePos="0" relativeHeight="268381799">
            <wp:simplePos x="0" y="0"/>
            <wp:positionH relativeFrom="page">
              <wp:posOffset>3526535</wp:posOffset>
            </wp:positionH>
            <wp:positionV relativeFrom="paragraph">
              <wp:posOffset>-254560</wp:posOffset>
            </wp:positionV>
            <wp:extent cx="70103" cy="71627"/>
            <wp:effectExtent l="0" t="0" r="0" b="0"/>
            <wp:wrapNone/>
            <wp:docPr id="53" name="image65.png" descr=""/>
            <wp:cNvGraphicFramePr>
              <a:graphicFrameLocks noChangeAspect="1"/>
            </wp:cNvGraphicFramePr>
            <a:graphic>
              <a:graphicData uri="http://schemas.openxmlformats.org/drawingml/2006/picture">
                <pic:pic>
                  <pic:nvPicPr>
                    <pic:cNvPr id="54" name="image65.png"/>
                    <pic:cNvPicPr/>
                  </pic:nvPicPr>
                  <pic:blipFill>
                    <a:blip r:embed="rId70" cstate="print"/>
                    <a:stretch>
                      <a:fillRect/>
                    </a:stretch>
                  </pic:blipFill>
                  <pic:spPr>
                    <a:xfrm>
                      <a:off x="0" y="0"/>
                      <a:ext cx="70103" cy="71627"/>
                    </a:xfrm>
                    <a:prstGeom prst="rect">
                      <a:avLst/>
                    </a:prstGeom>
                  </pic:spPr>
                </pic:pic>
              </a:graphicData>
            </a:graphic>
          </wp:anchor>
        </w:drawing>
      </w:r>
      <w:r>
        <w:rPr/>
        <w:drawing>
          <wp:anchor distT="0" distB="0" distL="0" distR="0" allowOverlap="1" layoutInCell="1" locked="0" behindDoc="1" simplePos="0" relativeHeight="268381823">
            <wp:simplePos x="0" y="0"/>
            <wp:positionH relativeFrom="page">
              <wp:posOffset>3773423</wp:posOffset>
            </wp:positionH>
            <wp:positionV relativeFrom="paragraph">
              <wp:posOffset>-254560</wp:posOffset>
            </wp:positionV>
            <wp:extent cx="71627" cy="71627"/>
            <wp:effectExtent l="0" t="0" r="0" b="0"/>
            <wp:wrapNone/>
            <wp:docPr id="55" name="image66.png" descr=""/>
            <wp:cNvGraphicFramePr>
              <a:graphicFrameLocks noChangeAspect="1"/>
            </wp:cNvGraphicFramePr>
            <a:graphic>
              <a:graphicData uri="http://schemas.openxmlformats.org/drawingml/2006/picture">
                <pic:pic>
                  <pic:nvPicPr>
                    <pic:cNvPr id="56" name="image66.png"/>
                    <pic:cNvPicPr/>
                  </pic:nvPicPr>
                  <pic:blipFill>
                    <a:blip r:embed="rId71" cstate="print"/>
                    <a:stretch>
                      <a:fillRect/>
                    </a:stretch>
                  </pic:blipFill>
                  <pic:spPr>
                    <a:xfrm>
                      <a:off x="0" y="0"/>
                      <a:ext cx="71627" cy="71627"/>
                    </a:xfrm>
                    <a:prstGeom prst="rect">
                      <a:avLst/>
                    </a:prstGeom>
                  </pic:spPr>
                </pic:pic>
              </a:graphicData>
            </a:graphic>
          </wp:anchor>
        </w:drawing>
      </w:r>
      <w:r>
        <w:rPr/>
        <w:drawing>
          <wp:anchor distT="0" distB="0" distL="0" distR="0" allowOverlap="1" layoutInCell="1" locked="0" behindDoc="1" simplePos="0" relativeHeight="268381847">
            <wp:simplePos x="0" y="0"/>
            <wp:positionH relativeFrom="page">
              <wp:posOffset>4011167</wp:posOffset>
            </wp:positionH>
            <wp:positionV relativeFrom="paragraph">
              <wp:posOffset>-254560</wp:posOffset>
            </wp:positionV>
            <wp:extent cx="70103" cy="71627"/>
            <wp:effectExtent l="0" t="0" r="0" b="0"/>
            <wp:wrapNone/>
            <wp:docPr id="57" name="image67.png" descr=""/>
            <wp:cNvGraphicFramePr>
              <a:graphicFrameLocks noChangeAspect="1"/>
            </wp:cNvGraphicFramePr>
            <a:graphic>
              <a:graphicData uri="http://schemas.openxmlformats.org/drawingml/2006/picture">
                <pic:pic>
                  <pic:nvPicPr>
                    <pic:cNvPr id="58" name="image67.png"/>
                    <pic:cNvPicPr/>
                  </pic:nvPicPr>
                  <pic:blipFill>
                    <a:blip r:embed="rId72" cstate="print"/>
                    <a:stretch>
                      <a:fillRect/>
                    </a:stretch>
                  </pic:blipFill>
                  <pic:spPr>
                    <a:xfrm>
                      <a:off x="0" y="0"/>
                      <a:ext cx="70103" cy="71627"/>
                    </a:xfrm>
                    <a:prstGeom prst="rect">
                      <a:avLst/>
                    </a:prstGeom>
                  </pic:spPr>
                </pic:pic>
              </a:graphicData>
            </a:graphic>
          </wp:anchor>
        </w:drawing>
      </w:r>
      <w:r>
        <w:rPr/>
        <w:t>Los datos registrados en la pregunta 3, determina con qué aditamentos se realiza la técnica de cepillado, se obtuvo que un 100% de la población encuestada utiliza cepillo y pasta dental (Gráfica 6).</w:t>
      </w:r>
    </w:p>
    <w:p>
      <w:pPr>
        <w:pStyle w:val="BodyText"/>
      </w:pPr>
    </w:p>
    <w:p>
      <w:pPr>
        <w:pStyle w:val="BodyText"/>
        <w:spacing w:before="142"/>
        <w:ind w:left="1762" w:right="42"/>
      </w:pPr>
      <w:r>
        <w:rPr/>
        <w:pict>
          <v:group style="position:absolute;margin-left:209.520004pt;margin-top:23.565853pt;width:176.55pt;height:182.8pt;mso-position-horizontal-relative:page;mso-position-vertical-relative:paragraph;z-index:2536;mso-wrap-distance-left:0;mso-wrap-distance-right:0" coordorigin="4190,471" coordsize="3531,3656">
            <v:shape style="position:absolute;left:4190;top:471;width:3530;height:3602" type="#_x0000_t75" stroked="false">
              <v:imagedata r:id="rId73" o:title=""/>
            </v:shape>
            <v:shape style="position:absolute;left:5453;top:471;width:1082;height:2165" type="#_x0000_t75" stroked="false">
              <v:imagedata r:id="rId74" o:title=""/>
            </v:shape>
            <v:shape style="position:absolute;left:4518;top:693;width:2878;height:2878" coordorigin="4518,693" coordsize="2878,2878" path="m5955,693l5880,694,5805,700,5732,710,5659,723,5588,740,5518,761,5450,784,5383,811,5318,842,5254,875,5193,912,5133,951,5076,993,5021,1039,4968,1086,4917,1136,4869,1189,4824,1244,4781,1302,4741,1361,4704,1423,4670,1486,4639,1552,4612,1619,4587,1688,4567,1759,4549,1831,4536,1905,4526,1980,4520,2056,4518,2132,4520,2208,4526,2283,4535,2356,4549,2429,4565,2500,4586,2570,4610,2638,4637,2705,4667,2770,4701,2833,4737,2895,4776,2954,4819,3012,4864,3067,4911,3120,4962,3171,5014,3219,5069,3264,5127,3307,5186,3347,5248,3384,5312,3418,5377,3449,5444,3476,5514,3500,5584,3521,5656,3538,5730,3552,5805,3562,5881,3568,5958,3570,6033,3568,6108,3562,6181,3552,6254,3539,6325,3522,6395,3502,6463,3478,6530,3451,6595,3421,6659,3387,6720,3351,6780,3311,6837,3269,6892,3224,6945,3176,6996,3126,7044,3073,7089,3018,7132,2961,7172,2901,7209,2840,7243,2776,7274,2710,7301,2643,7326,2574,7346,2503,7364,2431,7377,2358,7387,2283,7393,2207,7395,2131,5956,2131,6032,695,5955,693xe" filled="true" fillcolor="#4f81bc" stroked="false">
              <v:path arrowok="t"/>
              <v:fill type="solid"/>
            </v:shape>
            <v:rect style="position:absolute;left:5162;top:3791;width:1589;height:336" filled="true" fillcolor="#ffffff" stroked="false">
              <v:fill opacity="51143f" type="solid"/>
            </v:rect>
            <v:line style="position:absolute" from="5329,3908" to="5329,4009" stroked="true" strokeweight="4.92pt" strokecolor="#4f81bc"/>
            <v:line style="position:absolute" from="5711,3908" to="5711,4009" stroked="true" strokeweight="4.92pt" strokecolor="#c0504d"/>
            <v:line style="position:absolute" from="6102,3908" to="6102,4009" stroked="true" strokeweight="4.92pt" strokecolor="#9bba58"/>
            <v:line style="position:absolute" from="6474,3908" to="6474,4009" stroked="true" strokeweight="4.92pt" strokecolor="#8063a1"/>
            <v:shape style="position:absolute;left:5741;top:683;width:252;height:1510" type="#_x0000_t75" stroked="false">
              <v:imagedata r:id="rId75" o:title=""/>
            </v:shape>
            <v:shape style="position:absolute;left:5798;top:680;width:175;height:1507" type="#_x0000_t75" stroked="false">
              <v:imagedata r:id="rId76" o:title=""/>
            </v:shape>
            <v:line style="position:absolute" from="5886,715" to="5886,2067" stroked="true" strokeweight="2.04pt" strokecolor="#c0504d"/>
            <v:shape style="position:absolute;left:5801;top:675;width:221;height:1522" type="#_x0000_t75" stroked="false">
              <v:imagedata r:id="rId77" o:title=""/>
            </v:shape>
            <v:line style="position:absolute" from="5934,713" to="5888,2079" stroked="true" strokeweight="2.04pt" strokecolor="#9bba58"/>
            <v:shape style="position:absolute;left:5910;top:814;width:223;height:180" type="#_x0000_t202" filled="false" stroked="false">
              <v:textbox inset="0,0,0,0">
                <w:txbxContent>
                  <w:p>
                    <w:pPr>
                      <w:spacing w:line="180" w:lineRule="exact" w:before="0"/>
                      <w:ind w:left="0" w:right="-20" w:firstLine="0"/>
                      <w:jc w:val="left"/>
                      <w:rPr>
                        <w:rFonts w:ascii="Calibri"/>
                        <w:b/>
                        <w:sz w:val="18"/>
                      </w:rPr>
                    </w:pPr>
                    <w:r>
                      <w:rPr>
                        <w:rFonts w:ascii="Calibri"/>
                        <w:b/>
                        <w:color w:val="FFFFFF"/>
                        <w:sz w:val="18"/>
                      </w:rPr>
                      <w:t>0%</w:t>
                    </w:r>
                  </w:p>
                </w:txbxContent>
              </v:textbox>
              <w10:wrap type="none"/>
            </v:shape>
            <v:shape style="position:absolute;left:5421;top:3302;width:1284;height:754" type="#_x0000_t202" filled="false" stroked="false">
              <v:textbox inset="0,0,0,0">
                <w:txbxContent>
                  <w:p>
                    <w:pPr>
                      <w:spacing w:line="183" w:lineRule="exact" w:before="0"/>
                      <w:ind w:left="266" w:right="0" w:firstLine="0"/>
                      <w:jc w:val="left"/>
                      <w:rPr>
                        <w:rFonts w:ascii="Calibri"/>
                        <w:b/>
                        <w:sz w:val="18"/>
                      </w:rPr>
                    </w:pPr>
                    <w:r>
                      <w:rPr>
                        <w:rFonts w:ascii="Calibri"/>
                        <w:b/>
                        <w:color w:val="FFFFFF"/>
                        <w:sz w:val="18"/>
                      </w:rPr>
                      <w:t>100%</w:t>
                    </w:r>
                  </w:p>
                  <w:p>
                    <w:pPr>
                      <w:spacing w:line="240" w:lineRule="auto" w:before="0"/>
                      <w:rPr>
                        <w:sz w:val="18"/>
                      </w:rPr>
                    </w:pPr>
                  </w:p>
                  <w:p>
                    <w:pPr>
                      <w:tabs>
                        <w:tab w:pos="382" w:val="left" w:leader="none"/>
                        <w:tab w:pos="773" w:val="left" w:leader="none"/>
                        <w:tab w:pos="1145" w:val="left" w:leader="none"/>
                      </w:tabs>
                      <w:spacing w:line="216" w:lineRule="exact" w:before="147"/>
                      <w:ind w:left="0" w:right="0" w:firstLine="0"/>
                      <w:jc w:val="left"/>
                      <w:rPr>
                        <w:rFonts w:ascii="Calibri"/>
                        <w:sz w:val="18"/>
                      </w:rPr>
                    </w:pPr>
                    <w:r>
                      <w:rPr>
                        <w:rFonts w:ascii="Calibri"/>
                        <w:color w:val="585858"/>
                        <w:sz w:val="18"/>
                      </w:rPr>
                      <w:t>a.</w:t>
                      <w:tab/>
                      <w:t>b.</w:t>
                      <w:tab/>
                      <w:t>c.</w:t>
                      <w:tab/>
                    </w:r>
                    <w:r>
                      <w:rPr>
                        <w:rFonts w:ascii="Calibri"/>
                        <w:color w:val="585858"/>
                        <w:spacing w:val="-1"/>
                        <w:sz w:val="18"/>
                      </w:rPr>
                      <w:t>d.</w:t>
                    </w:r>
                  </w:p>
                </w:txbxContent>
              </v:textbox>
              <w10:wrap type="none"/>
            </v:shape>
            <w10:wrap type="topAndBottom"/>
          </v:group>
        </w:pict>
      </w:r>
      <w:r>
        <w:rPr/>
        <w:t>Gráfica 6. Distribución de la muestra según el aditamento</w:t>
      </w:r>
    </w:p>
    <w:p>
      <w:pPr>
        <w:spacing w:after="0"/>
        <w:sectPr>
          <w:pgSz w:w="12240" w:h="15840"/>
          <w:pgMar w:header="0" w:footer="887" w:top="1360" w:bottom="1140" w:left="1300" w:right="1300"/>
        </w:sectPr>
      </w:pPr>
    </w:p>
    <w:p>
      <w:pPr>
        <w:pStyle w:val="BodyText"/>
        <w:spacing w:line="360" w:lineRule="auto" w:before="56"/>
        <w:ind w:left="118" w:right="116"/>
        <w:jc w:val="both"/>
      </w:pPr>
      <w:r>
        <w:rPr/>
        <w:t>Finalmente, la pregunta 4 en relación a los auxiliares dentales de higiene bucal, arrojó como resultados que el 93% no emplean ningún auxiliar como enjuague, hilo dental y cepillo interproximal (Gráfica 7).</w:t>
      </w:r>
    </w:p>
    <w:p>
      <w:pPr>
        <w:pStyle w:val="BodyText"/>
      </w:pPr>
    </w:p>
    <w:p>
      <w:pPr>
        <w:pStyle w:val="BodyText"/>
        <w:spacing w:before="142"/>
        <w:ind w:left="1645" w:right="42"/>
      </w:pPr>
      <w:r>
        <w:rPr/>
        <w:t>Gráfica 7. Distribución según los auxiliares de higiene bucal</w:t>
      </w:r>
    </w:p>
    <w:p>
      <w:pPr>
        <w:pStyle w:val="BodyText"/>
        <w:spacing w:before="8"/>
      </w:pPr>
      <w:r>
        <w:rPr/>
        <w:pict>
          <v:group style="position:absolute;margin-left:205.800003pt;margin-top:16.157007pt;width:150.5pt;height:150.4pt;mso-position-horizontal-relative:page;mso-position-vertical-relative:paragraph;z-index:2728;mso-wrap-distance-left:0;mso-wrap-distance-right:0" coordorigin="4116,323" coordsize="3010,3008">
            <v:shape style="position:absolute;left:5527;top:323;width:482;height:1598" type="#_x0000_t75" stroked="false">
              <v:imagedata r:id="rId78" o:title=""/>
            </v:shape>
            <v:shape style="position:absolute;left:5527;top:354;width:761;height:1567" type="#_x0000_t75" stroked="false">
              <v:imagedata r:id="rId79" o:title=""/>
            </v:shape>
            <v:shape style="position:absolute;left:5527;top:446;width:761;height:1476" type="#_x0000_t75" stroked="false">
              <v:imagedata r:id="rId80" o:title=""/>
            </v:shape>
            <v:shape style="position:absolute;left:4116;top:323;width:3010;height:3007" type="#_x0000_t75" stroked="false">
              <v:imagedata r:id="rId81" o:title=""/>
            </v:shape>
            <v:shape style="position:absolute;left:5616;top:381;width:305;height:1423" type="#_x0000_t75" stroked="false">
              <v:imagedata r:id="rId82" o:title=""/>
            </v:shape>
            <v:shape style="position:absolute;left:5616;top:412;width:586;height:1392" type="#_x0000_t75" stroked="false">
              <v:imagedata r:id="rId83" o:title=""/>
            </v:shape>
            <v:shape style="position:absolute;left:5616;top:503;width:586;height:1301" type="#_x0000_t75" stroked="false">
              <v:imagedata r:id="rId84" o:title=""/>
            </v:shape>
            <v:shape style="position:absolute;left:4205;top:381;width:2834;height:2832" type="#_x0000_t75" stroked="false">
              <v:imagedata r:id="rId85" o:title=""/>
            </v:shape>
            <v:shape style="position:absolute;left:5640;top:512;width:468;height:239" type="#_x0000_t202" filled="false" stroked="false">
              <v:textbox inset="0,0,0,0">
                <w:txbxContent>
                  <w:p>
                    <w:pPr>
                      <w:spacing w:line="239" w:lineRule="exact" w:before="0"/>
                      <w:ind w:left="0" w:right="-16" w:firstLine="0"/>
                      <w:jc w:val="left"/>
                      <w:rPr>
                        <w:rFonts w:ascii="Calibri"/>
                        <w:sz w:val="18"/>
                      </w:rPr>
                    </w:pPr>
                    <w:r>
                      <w:rPr>
                        <w:rFonts w:ascii="Calibri"/>
                        <w:color w:val="404040"/>
                        <w:sz w:val="18"/>
                      </w:rPr>
                      <w:t>4%</w:t>
                    </w:r>
                    <w:r>
                      <w:rPr>
                        <w:rFonts w:ascii="Calibri"/>
                        <w:color w:val="404040"/>
                        <w:spacing w:val="-17"/>
                        <w:sz w:val="18"/>
                      </w:rPr>
                      <w:t> </w:t>
                    </w:r>
                    <w:r>
                      <w:rPr>
                        <w:rFonts w:ascii="Calibri"/>
                        <w:color w:val="404040"/>
                        <w:position w:val="-5"/>
                        <w:sz w:val="18"/>
                      </w:rPr>
                      <w:t>3%</w:t>
                    </w:r>
                  </w:p>
                </w:txbxContent>
              </v:textbox>
              <w10:wrap type="none"/>
            </v:shape>
            <v:shape style="position:absolute;left:6348;top:467;width:220;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0%</w:t>
                    </w:r>
                  </w:p>
                </w:txbxContent>
              </v:textbox>
              <w10:wrap type="none"/>
            </v:shape>
            <v:shape style="position:absolute;left:5214;top:2912;width:312;height:180" type="#_x0000_t202" filled="false" stroked="false">
              <v:textbox inset="0,0,0,0">
                <w:txbxContent>
                  <w:p>
                    <w:pPr>
                      <w:spacing w:line="180" w:lineRule="exact" w:before="0"/>
                      <w:ind w:left="0" w:right="-20" w:firstLine="0"/>
                      <w:jc w:val="left"/>
                      <w:rPr>
                        <w:rFonts w:ascii="Calibri"/>
                        <w:sz w:val="18"/>
                      </w:rPr>
                    </w:pPr>
                    <w:r>
                      <w:rPr>
                        <w:rFonts w:ascii="Calibri"/>
                        <w:color w:val="404040"/>
                        <w:sz w:val="18"/>
                      </w:rPr>
                      <w:t>93%</w:t>
                    </w:r>
                  </w:p>
                </w:txbxContent>
              </v:textbox>
              <w10:wrap type="none"/>
            </v:shape>
            <w10:wrap type="topAndBottom"/>
          </v:group>
        </w:pict>
      </w:r>
    </w:p>
    <w:p>
      <w:pPr>
        <w:tabs>
          <w:tab w:pos="4168" w:val="left" w:leader="none"/>
          <w:tab w:pos="4559" w:val="left" w:leader="none"/>
          <w:tab w:pos="4931" w:val="left" w:leader="none"/>
        </w:tabs>
        <w:spacing w:before="117"/>
        <w:ind w:left="3786" w:right="42" w:firstLine="0"/>
        <w:jc w:val="left"/>
        <w:rPr>
          <w:rFonts w:ascii="Calibri"/>
          <w:sz w:val="18"/>
        </w:rPr>
      </w:pPr>
      <w:r>
        <w:rPr>
          <w:rFonts w:ascii="Calibri"/>
          <w:color w:val="585858"/>
          <w:sz w:val="18"/>
        </w:rPr>
        <w:t>a.</w:t>
        <w:tab/>
        <w:t>b.</w:t>
        <w:tab/>
        <w:t>c.</w:t>
        <w:tab/>
        <w:t>d.</w:t>
      </w:r>
    </w:p>
    <w:p>
      <w:pPr>
        <w:pStyle w:val="BodyText"/>
        <w:rPr>
          <w:rFonts w:ascii="Calibri"/>
          <w:sz w:val="20"/>
        </w:rPr>
      </w:pPr>
    </w:p>
    <w:p>
      <w:pPr>
        <w:pStyle w:val="BodyText"/>
        <w:rPr>
          <w:rFonts w:ascii="Calibri"/>
          <w:sz w:val="20"/>
        </w:rPr>
      </w:pPr>
    </w:p>
    <w:p>
      <w:pPr>
        <w:pStyle w:val="BodyText"/>
        <w:spacing w:before="11"/>
        <w:rPr>
          <w:rFonts w:ascii="Calibri"/>
          <w:sz w:val="14"/>
        </w:rPr>
      </w:pPr>
    </w:p>
    <w:p>
      <w:pPr>
        <w:pStyle w:val="BodyText"/>
        <w:spacing w:line="360" w:lineRule="auto" w:before="69"/>
        <w:ind w:left="118" w:right="114"/>
        <w:jc w:val="both"/>
      </w:pPr>
      <w:r>
        <w:rPr/>
        <w:drawing>
          <wp:anchor distT="0" distB="0" distL="0" distR="0" allowOverlap="1" layoutInCell="1" locked="0" behindDoc="0" simplePos="0" relativeHeight="2752">
            <wp:simplePos x="0" y="0"/>
            <wp:positionH relativeFrom="page">
              <wp:posOffset>3136392</wp:posOffset>
            </wp:positionH>
            <wp:positionV relativeFrom="paragraph">
              <wp:posOffset>-524054</wp:posOffset>
            </wp:positionV>
            <wp:extent cx="70104" cy="70103"/>
            <wp:effectExtent l="0" t="0" r="0" b="0"/>
            <wp:wrapNone/>
            <wp:docPr id="59" name="image42.png" descr=""/>
            <wp:cNvGraphicFramePr>
              <a:graphicFrameLocks noChangeAspect="1"/>
            </wp:cNvGraphicFramePr>
            <a:graphic>
              <a:graphicData uri="http://schemas.openxmlformats.org/drawingml/2006/picture">
                <pic:pic>
                  <pic:nvPicPr>
                    <pic:cNvPr id="60" name="image42.png"/>
                    <pic:cNvPicPr/>
                  </pic:nvPicPr>
                  <pic:blipFill>
                    <a:blip r:embed="rId47" cstate="print"/>
                    <a:stretch>
                      <a:fillRect/>
                    </a:stretch>
                  </pic:blipFill>
                  <pic:spPr>
                    <a:xfrm>
                      <a:off x="0" y="0"/>
                      <a:ext cx="70104" cy="70103"/>
                    </a:xfrm>
                    <a:prstGeom prst="rect">
                      <a:avLst/>
                    </a:prstGeom>
                  </pic:spPr>
                </pic:pic>
              </a:graphicData>
            </a:graphic>
          </wp:anchor>
        </w:drawing>
      </w:r>
      <w:r>
        <w:rPr/>
        <w:drawing>
          <wp:anchor distT="0" distB="0" distL="0" distR="0" allowOverlap="1" layoutInCell="1" locked="0" behindDoc="1" simplePos="0" relativeHeight="268381991">
            <wp:simplePos x="0" y="0"/>
            <wp:positionH relativeFrom="page">
              <wp:posOffset>3378708</wp:posOffset>
            </wp:positionH>
            <wp:positionV relativeFrom="paragraph">
              <wp:posOffset>-524054</wp:posOffset>
            </wp:positionV>
            <wp:extent cx="70103" cy="70103"/>
            <wp:effectExtent l="0" t="0" r="0" b="0"/>
            <wp:wrapNone/>
            <wp:docPr id="61" name="image81.png" descr=""/>
            <wp:cNvGraphicFramePr>
              <a:graphicFrameLocks noChangeAspect="1"/>
            </wp:cNvGraphicFramePr>
            <a:graphic>
              <a:graphicData uri="http://schemas.openxmlformats.org/drawingml/2006/picture">
                <pic:pic>
                  <pic:nvPicPr>
                    <pic:cNvPr id="62" name="image81.png"/>
                    <pic:cNvPicPr/>
                  </pic:nvPicPr>
                  <pic:blipFill>
                    <a:blip r:embed="rId86" cstate="print"/>
                    <a:stretch>
                      <a:fillRect/>
                    </a:stretch>
                  </pic:blipFill>
                  <pic:spPr>
                    <a:xfrm>
                      <a:off x="0" y="0"/>
                      <a:ext cx="70103" cy="70103"/>
                    </a:xfrm>
                    <a:prstGeom prst="rect">
                      <a:avLst/>
                    </a:prstGeom>
                  </pic:spPr>
                </pic:pic>
              </a:graphicData>
            </a:graphic>
          </wp:anchor>
        </w:drawing>
      </w:r>
      <w:r>
        <w:rPr/>
        <w:drawing>
          <wp:anchor distT="0" distB="0" distL="0" distR="0" allowOverlap="1" layoutInCell="1" locked="0" behindDoc="1" simplePos="0" relativeHeight="268382015">
            <wp:simplePos x="0" y="0"/>
            <wp:positionH relativeFrom="page">
              <wp:posOffset>3627120</wp:posOffset>
            </wp:positionH>
            <wp:positionV relativeFrom="paragraph">
              <wp:posOffset>-524054</wp:posOffset>
            </wp:positionV>
            <wp:extent cx="70103" cy="70103"/>
            <wp:effectExtent l="0" t="0" r="0" b="0"/>
            <wp:wrapNone/>
            <wp:docPr id="63" name="image44.png" descr=""/>
            <wp:cNvGraphicFramePr>
              <a:graphicFrameLocks noChangeAspect="1"/>
            </wp:cNvGraphicFramePr>
            <a:graphic>
              <a:graphicData uri="http://schemas.openxmlformats.org/drawingml/2006/picture">
                <pic:pic>
                  <pic:nvPicPr>
                    <pic:cNvPr id="64" name="image44.png"/>
                    <pic:cNvPicPr/>
                  </pic:nvPicPr>
                  <pic:blipFill>
                    <a:blip r:embed="rId49" cstate="print"/>
                    <a:stretch>
                      <a:fillRect/>
                    </a:stretch>
                  </pic:blipFill>
                  <pic:spPr>
                    <a:xfrm>
                      <a:off x="0" y="0"/>
                      <a:ext cx="70103" cy="70103"/>
                    </a:xfrm>
                    <a:prstGeom prst="rect">
                      <a:avLst/>
                    </a:prstGeom>
                  </pic:spPr>
                </pic:pic>
              </a:graphicData>
            </a:graphic>
          </wp:anchor>
        </w:drawing>
      </w:r>
      <w:r>
        <w:rPr/>
        <w:drawing>
          <wp:anchor distT="0" distB="0" distL="0" distR="0" allowOverlap="1" layoutInCell="1" locked="0" behindDoc="1" simplePos="0" relativeHeight="268382039">
            <wp:simplePos x="0" y="0"/>
            <wp:positionH relativeFrom="page">
              <wp:posOffset>3863340</wp:posOffset>
            </wp:positionH>
            <wp:positionV relativeFrom="paragraph">
              <wp:posOffset>-524054</wp:posOffset>
            </wp:positionV>
            <wp:extent cx="70103" cy="70103"/>
            <wp:effectExtent l="0" t="0" r="0" b="0"/>
            <wp:wrapNone/>
            <wp:docPr id="65" name="image45.png" descr=""/>
            <wp:cNvGraphicFramePr>
              <a:graphicFrameLocks noChangeAspect="1"/>
            </wp:cNvGraphicFramePr>
            <a:graphic>
              <a:graphicData uri="http://schemas.openxmlformats.org/drawingml/2006/picture">
                <pic:pic>
                  <pic:nvPicPr>
                    <pic:cNvPr id="66" name="image45.png"/>
                    <pic:cNvPicPr/>
                  </pic:nvPicPr>
                  <pic:blipFill>
                    <a:blip r:embed="rId50" cstate="print"/>
                    <a:stretch>
                      <a:fillRect/>
                    </a:stretch>
                  </pic:blipFill>
                  <pic:spPr>
                    <a:xfrm>
                      <a:off x="0" y="0"/>
                      <a:ext cx="70103" cy="70103"/>
                    </a:xfrm>
                    <a:prstGeom prst="rect">
                      <a:avLst/>
                    </a:prstGeom>
                  </pic:spPr>
                </pic:pic>
              </a:graphicData>
            </a:graphic>
          </wp:anchor>
        </w:drawing>
      </w:r>
      <w:r>
        <w:rPr/>
        <w:t>Se llevó a cabo el análisis de 5 pacientes con un total de 10 muestras (al inicio del tratamiento y un mes después).</w:t>
      </w:r>
    </w:p>
    <w:p>
      <w:pPr>
        <w:pStyle w:val="BodyText"/>
        <w:spacing w:line="360" w:lineRule="auto" w:before="204"/>
        <w:ind w:left="118" w:right="112"/>
        <w:jc w:val="both"/>
      </w:pPr>
      <w:r>
        <w:rPr/>
        <w:t>De acuerdo a la edad de los pacientes observamos que la media es de 4.40 </w:t>
      </w:r>
      <w:r>
        <w:rPr>
          <w:rFonts w:ascii="Cambria Math" w:hAnsi="Cambria Math"/>
        </w:rPr>
        <w:t>±</w:t>
      </w:r>
      <w:r>
        <w:rPr/>
        <w:t>.894, en todos los pacientes encontramos una dentición temporal completa por lo que la media fue de 20.00 </w:t>
      </w:r>
      <w:r>
        <w:rPr>
          <w:rFonts w:ascii="Cambria Math" w:hAnsi="Cambria Math"/>
        </w:rPr>
        <w:t>±</w:t>
      </w:r>
      <w:r>
        <w:rPr/>
        <w:t>.000, el pH salival antes de la colocación de las coronas níquel cromo</w:t>
      </w:r>
    </w:p>
    <w:p>
      <w:pPr>
        <w:pStyle w:val="BodyText"/>
        <w:spacing w:line="362" w:lineRule="auto" w:before="3"/>
        <w:ind w:left="118" w:right="115"/>
        <w:jc w:val="both"/>
      </w:pPr>
      <w:r>
        <w:rPr/>
        <w:t>7.080 </w:t>
      </w:r>
      <w:r>
        <w:rPr>
          <w:rFonts w:ascii="Cambria Math" w:hAnsi="Cambria Math"/>
        </w:rPr>
        <w:t>±</w:t>
      </w:r>
      <w:r>
        <w:rPr/>
        <w:t>.5404 y un mes posterior al tratamento fue 7.160 </w:t>
      </w:r>
      <w:r>
        <w:rPr>
          <w:rFonts w:ascii="Cambria Math" w:hAnsi="Cambria Math"/>
        </w:rPr>
        <w:t>±</w:t>
      </w:r>
      <w:r>
        <w:rPr/>
        <w:t>.3578, el índice de placa dentobacteriana al inicio del tratamento la media 29.800 </w:t>
      </w:r>
      <w:r>
        <w:rPr>
          <w:rFonts w:ascii="Cambria Math" w:hAnsi="Cambria Math"/>
        </w:rPr>
        <w:t>±</w:t>
      </w:r>
      <w:r>
        <w:rPr/>
        <w:t>7.3621 y posterior a la colocación de coronas 22.400 </w:t>
      </w:r>
      <w:r>
        <w:rPr>
          <w:rFonts w:ascii="Cambria Math" w:hAnsi="Cambria Math"/>
        </w:rPr>
        <w:t>±</w:t>
      </w:r>
      <w:r>
        <w:rPr/>
        <w:t>3.5071.</w:t>
      </w:r>
    </w:p>
    <w:p>
      <w:pPr>
        <w:pStyle w:val="BodyText"/>
        <w:spacing w:line="360" w:lineRule="auto" w:before="200"/>
        <w:ind w:left="118" w:right="112"/>
        <w:jc w:val="both"/>
      </w:pPr>
      <w:r>
        <w:rPr/>
        <w:t>La media en la concentración de metales medida en mg/ml se comportó de la siguiente manera: níquel antes de la colocación de coronas una media de 15.66 </w:t>
      </w:r>
      <w:r>
        <w:rPr>
          <w:rFonts w:ascii="Cambria Math" w:hAnsi="Cambria Math"/>
        </w:rPr>
        <w:t>±</w:t>
      </w:r>
      <w:r>
        <w:rPr/>
        <w:t>13.534, un mes posterior a la colocación de coronas una media de 98.35 </w:t>
      </w:r>
      <w:r>
        <w:rPr>
          <w:rFonts w:ascii="Cambria Math" w:hAnsi="Cambria Math"/>
        </w:rPr>
        <w:t>±</w:t>
      </w:r>
      <w:r>
        <w:rPr/>
        <w:t>162.423. El hierro antes del tratamiento</w:t>
      </w:r>
      <w:r>
        <w:rPr>
          <w:spacing w:val="-14"/>
        </w:rPr>
        <w:t> </w:t>
      </w:r>
      <w:r>
        <w:rPr/>
        <w:t>5763.40</w:t>
      </w:r>
      <w:r>
        <w:rPr>
          <w:spacing w:val="-17"/>
        </w:rPr>
        <w:t> </w:t>
      </w:r>
      <w:r>
        <w:rPr>
          <w:rFonts w:ascii="Cambria Math" w:hAnsi="Cambria Math"/>
        </w:rPr>
        <w:t>± </w:t>
      </w:r>
      <w:r>
        <w:rPr/>
        <w:t>2521.11,</w:t>
      </w:r>
      <w:r>
        <w:rPr>
          <w:spacing w:val="-17"/>
        </w:rPr>
        <w:t> </w:t>
      </w:r>
      <w:r>
        <w:rPr/>
        <w:t>después</w:t>
      </w:r>
      <w:r>
        <w:rPr>
          <w:spacing w:val="-17"/>
        </w:rPr>
        <w:t> </w:t>
      </w:r>
      <w:r>
        <w:rPr/>
        <w:t>del</w:t>
      </w:r>
      <w:r>
        <w:rPr>
          <w:spacing w:val="-18"/>
        </w:rPr>
        <w:t> </w:t>
      </w:r>
      <w:r>
        <w:rPr/>
        <w:t>tratamento</w:t>
      </w:r>
      <w:r>
        <w:rPr>
          <w:spacing w:val="-16"/>
        </w:rPr>
        <w:t> </w:t>
      </w:r>
      <w:r>
        <w:rPr/>
        <w:t>6978.70</w:t>
      </w:r>
      <w:r>
        <w:rPr>
          <w:spacing w:val="-12"/>
        </w:rPr>
        <w:t> </w:t>
      </w:r>
      <w:r>
        <w:rPr>
          <w:rFonts w:ascii="Cambria Math" w:hAnsi="Cambria Math"/>
        </w:rPr>
        <w:t>±</w:t>
      </w:r>
      <w:r>
        <w:rPr/>
        <w:t>499.75964,</w:t>
      </w:r>
      <w:r>
        <w:rPr>
          <w:spacing w:val="-17"/>
        </w:rPr>
        <w:t> </w:t>
      </w:r>
      <w:r>
        <w:rPr/>
        <w:t>finalmente el cromo antes de la colocación de coronas la media fue de 6.4600 </w:t>
      </w:r>
      <w:r>
        <w:rPr>
          <w:rFonts w:ascii="Cambria Math" w:hAnsi="Cambria Math"/>
        </w:rPr>
        <w:t>±</w:t>
      </w:r>
      <w:r>
        <w:rPr/>
        <w:t>4.6364 y un mes posterior 6.0600 </w:t>
      </w:r>
      <w:r>
        <w:rPr>
          <w:rFonts w:ascii="Cambria Math" w:hAnsi="Cambria Math"/>
        </w:rPr>
        <w:t>±</w:t>
      </w:r>
      <w:r>
        <w:rPr/>
        <w:t>13.5505 (Tabla</w:t>
      </w:r>
      <w:r>
        <w:rPr>
          <w:spacing w:val="-13"/>
        </w:rPr>
        <w:t> </w:t>
      </w:r>
      <w:r>
        <w:rPr/>
        <w:t>1).</w:t>
      </w:r>
    </w:p>
    <w:p>
      <w:pPr>
        <w:spacing w:after="0" w:line="360" w:lineRule="auto"/>
        <w:jc w:val="both"/>
        <w:sectPr>
          <w:pgSz w:w="12240" w:h="15840"/>
          <w:pgMar w:header="0" w:footer="887" w:top="1360" w:bottom="1140" w:left="1300" w:right="1300"/>
        </w:sectPr>
      </w:pPr>
    </w:p>
    <w:p>
      <w:pPr>
        <w:pStyle w:val="BodyText"/>
        <w:spacing w:line="360" w:lineRule="auto" w:before="56"/>
        <w:ind w:right="598"/>
        <w:jc w:val="center"/>
      </w:pPr>
      <w:r>
        <w:rPr/>
        <w:t>Tabla 1. Descriptivas de la edad, pH salival y metales cuantificados de los pacientes estudiados.</w:t>
      </w:r>
    </w:p>
    <w:p>
      <w:pPr>
        <w:pStyle w:val="BodyText"/>
        <w:rPr>
          <w:sz w:val="20"/>
        </w:rPr>
      </w:pPr>
    </w:p>
    <w:p>
      <w:pPr>
        <w:pStyle w:val="BodyText"/>
        <w:spacing w:before="5"/>
        <w:rPr>
          <w:sz w:val="20"/>
        </w:rPr>
      </w:pPr>
    </w:p>
    <w:tbl>
      <w:tblPr>
        <w:tblW w:w="0" w:type="auto"/>
        <w:jc w:val="left"/>
        <w:tblInd w:w="118" w:type="dxa"/>
        <w:tblBorders>
          <w:top w:val="single" w:sz="4" w:space="0" w:color="C2D59B"/>
          <w:left w:val="single" w:sz="4" w:space="0" w:color="C2D59B"/>
          <w:bottom w:val="single" w:sz="4" w:space="0" w:color="C2D59B"/>
          <w:right w:val="single" w:sz="4" w:space="0" w:color="C2D59B"/>
          <w:insideH w:val="single" w:sz="4" w:space="0" w:color="C2D59B"/>
          <w:insideV w:val="single" w:sz="4" w:space="0" w:color="C2D59B"/>
        </w:tblBorders>
        <w:tblLayout w:type="fixed"/>
        <w:tblCellMar>
          <w:top w:w="0" w:type="dxa"/>
          <w:left w:w="0" w:type="dxa"/>
          <w:bottom w:w="0" w:type="dxa"/>
          <w:right w:w="0" w:type="dxa"/>
        </w:tblCellMar>
        <w:tblLook w:val="01E0"/>
      </w:tblPr>
      <w:tblGrid>
        <w:gridCol w:w="998"/>
        <w:gridCol w:w="938"/>
        <w:gridCol w:w="1013"/>
        <w:gridCol w:w="1133"/>
        <w:gridCol w:w="1380"/>
        <w:gridCol w:w="1013"/>
        <w:gridCol w:w="1010"/>
        <w:gridCol w:w="1258"/>
        <w:gridCol w:w="1255"/>
      </w:tblGrid>
      <w:tr>
        <w:trPr>
          <w:trHeight w:val="581" w:hRule="exact"/>
        </w:trPr>
        <w:tc>
          <w:tcPr>
            <w:tcW w:w="998" w:type="dxa"/>
            <w:vMerge w:val="restart"/>
            <w:tcBorders>
              <w:right w:val="single" w:sz="41" w:space="0" w:color="C2D59B"/>
            </w:tcBorders>
          </w:tcPr>
          <w:p>
            <w:pPr/>
          </w:p>
        </w:tc>
        <w:tc>
          <w:tcPr>
            <w:tcW w:w="4465" w:type="dxa"/>
            <w:gridSpan w:val="4"/>
            <w:tcBorders>
              <w:top w:val="nil"/>
              <w:left w:val="nil"/>
              <w:bottom w:val="nil"/>
              <w:right w:val="single" w:sz="41" w:space="0" w:color="76923B"/>
            </w:tcBorders>
            <w:shd w:val="clear" w:color="auto" w:fill="C2D59B"/>
          </w:tcPr>
          <w:p>
            <w:pPr>
              <w:pStyle w:val="TableParagraph"/>
              <w:spacing w:line="251" w:lineRule="exact"/>
              <w:ind w:left="1094"/>
              <w:rPr>
                <w:sz w:val="22"/>
              </w:rPr>
            </w:pPr>
            <w:r>
              <w:rPr>
                <w:sz w:val="22"/>
              </w:rPr>
              <w:t>Al inicio del tratamiento</w:t>
            </w:r>
          </w:p>
        </w:tc>
        <w:tc>
          <w:tcPr>
            <w:tcW w:w="4537" w:type="dxa"/>
            <w:gridSpan w:val="4"/>
            <w:tcBorders>
              <w:left w:val="single" w:sz="45" w:space="0" w:color="C2D59B"/>
            </w:tcBorders>
            <w:shd w:val="clear" w:color="auto" w:fill="76923B"/>
          </w:tcPr>
          <w:p>
            <w:pPr>
              <w:pStyle w:val="TableParagraph"/>
              <w:spacing w:line="246" w:lineRule="exact"/>
              <w:ind w:left="627"/>
              <w:rPr>
                <w:sz w:val="22"/>
              </w:rPr>
            </w:pPr>
            <w:r>
              <w:rPr>
                <w:sz w:val="22"/>
              </w:rPr>
              <w:t>Un mes después del tratamiento</w:t>
            </w:r>
          </w:p>
        </w:tc>
      </w:tr>
      <w:tr>
        <w:trPr>
          <w:trHeight w:val="595" w:hRule="exact"/>
        </w:trPr>
        <w:tc>
          <w:tcPr>
            <w:tcW w:w="998" w:type="dxa"/>
            <w:vMerge/>
            <w:tcBorders>
              <w:right w:val="single" w:sz="41" w:space="0" w:color="C2D59B"/>
            </w:tcBorders>
          </w:tcPr>
          <w:p>
            <w:pPr/>
          </w:p>
        </w:tc>
        <w:tc>
          <w:tcPr>
            <w:tcW w:w="938" w:type="dxa"/>
          </w:tcPr>
          <w:p>
            <w:pPr>
              <w:pStyle w:val="TableParagraph"/>
              <w:spacing w:before="5"/>
              <w:rPr>
                <w:sz w:val="22"/>
              </w:rPr>
            </w:pPr>
            <w:r>
              <w:rPr>
                <w:sz w:val="22"/>
              </w:rPr>
              <w:t>Mínimo</w:t>
            </w:r>
          </w:p>
        </w:tc>
        <w:tc>
          <w:tcPr>
            <w:tcW w:w="1013" w:type="dxa"/>
          </w:tcPr>
          <w:p>
            <w:pPr>
              <w:pStyle w:val="TableParagraph"/>
              <w:spacing w:before="5"/>
              <w:rPr>
                <w:sz w:val="22"/>
              </w:rPr>
            </w:pPr>
            <w:r>
              <w:rPr>
                <w:sz w:val="22"/>
              </w:rPr>
              <w:t>Máximo</w:t>
            </w:r>
          </w:p>
        </w:tc>
        <w:tc>
          <w:tcPr>
            <w:tcW w:w="1133" w:type="dxa"/>
          </w:tcPr>
          <w:p>
            <w:pPr>
              <w:pStyle w:val="TableParagraph"/>
              <w:spacing w:before="5"/>
              <w:rPr>
                <w:sz w:val="22"/>
              </w:rPr>
            </w:pPr>
            <w:r>
              <w:rPr>
                <w:sz w:val="22"/>
              </w:rPr>
              <w:t>Media</w:t>
            </w:r>
          </w:p>
        </w:tc>
        <w:tc>
          <w:tcPr>
            <w:tcW w:w="1380" w:type="dxa"/>
          </w:tcPr>
          <w:p>
            <w:pPr>
              <w:pStyle w:val="TableParagraph"/>
              <w:spacing w:before="5"/>
              <w:rPr>
                <w:sz w:val="22"/>
              </w:rPr>
            </w:pPr>
            <w:r>
              <w:rPr>
                <w:sz w:val="22"/>
              </w:rPr>
              <w:t>D.S</w:t>
            </w:r>
          </w:p>
        </w:tc>
        <w:tc>
          <w:tcPr>
            <w:tcW w:w="1013" w:type="dxa"/>
          </w:tcPr>
          <w:p>
            <w:pPr>
              <w:pStyle w:val="TableParagraph"/>
              <w:spacing w:before="5"/>
              <w:rPr>
                <w:sz w:val="22"/>
              </w:rPr>
            </w:pPr>
            <w:r>
              <w:rPr>
                <w:sz w:val="22"/>
              </w:rPr>
              <w:t>Mínimo</w:t>
            </w:r>
          </w:p>
        </w:tc>
        <w:tc>
          <w:tcPr>
            <w:tcW w:w="1010" w:type="dxa"/>
          </w:tcPr>
          <w:p>
            <w:pPr>
              <w:pStyle w:val="TableParagraph"/>
              <w:spacing w:before="5"/>
              <w:ind w:left="100"/>
              <w:rPr>
                <w:sz w:val="22"/>
              </w:rPr>
            </w:pPr>
            <w:r>
              <w:rPr>
                <w:sz w:val="22"/>
              </w:rPr>
              <w:t>Máximo</w:t>
            </w:r>
          </w:p>
        </w:tc>
        <w:tc>
          <w:tcPr>
            <w:tcW w:w="1258" w:type="dxa"/>
          </w:tcPr>
          <w:p>
            <w:pPr>
              <w:pStyle w:val="TableParagraph"/>
              <w:spacing w:before="5"/>
              <w:rPr>
                <w:sz w:val="22"/>
              </w:rPr>
            </w:pPr>
            <w:r>
              <w:rPr>
                <w:sz w:val="22"/>
              </w:rPr>
              <w:t>Media</w:t>
            </w:r>
          </w:p>
        </w:tc>
        <w:tc>
          <w:tcPr>
            <w:tcW w:w="1255" w:type="dxa"/>
          </w:tcPr>
          <w:p>
            <w:pPr>
              <w:pStyle w:val="TableParagraph"/>
              <w:spacing w:before="5"/>
              <w:ind w:left="100"/>
              <w:rPr>
                <w:sz w:val="22"/>
              </w:rPr>
            </w:pPr>
            <w:r>
              <w:rPr>
                <w:sz w:val="22"/>
              </w:rPr>
              <w:t>D.S</w:t>
            </w:r>
          </w:p>
        </w:tc>
      </w:tr>
      <w:tr>
        <w:trPr>
          <w:trHeight w:val="593" w:hRule="exact"/>
        </w:trPr>
        <w:tc>
          <w:tcPr>
            <w:tcW w:w="998" w:type="dxa"/>
          </w:tcPr>
          <w:p>
            <w:pPr>
              <w:pStyle w:val="TableParagraph"/>
              <w:spacing w:line="251" w:lineRule="exact"/>
              <w:ind w:right="154"/>
              <w:rPr>
                <w:sz w:val="22"/>
              </w:rPr>
            </w:pPr>
            <w:r>
              <w:rPr>
                <w:sz w:val="22"/>
              </w:rPr>
              <w:t>Edad</w:t>
            </w:r>
          </w:p>
        </w:tc>
        <w:tc>
          <w:tcPr>
            <w:tcW w:w="938" w:type="dxa"/>
          </w:tcPr>
          <w:p>
            <w:pPr>
              <w:pStyle w:val="TableParagraph"/>
              <w:spacing w:line="251" w:lineRule="exact"/>
              <w:rPr>
                <w:sz w:val="22"/>
              </w:rPr>
            </w:pPr>
            <w:r>
              <w:rPr>
                <w:w w:val="100"/>
                <w:sz w:val="22"/>
              </w:rPr>
              <w:t>3</w:t>
            </w:r>
          </w:p>
        </w:tc>
        <w:tc>
          <w:tcPr>
            <w:tcW w:w="1013" w:type="dxa"/>
          </w:tcPr>
          <w:p>
            <w:pPr>
              <w:pStyle w:val="TableParagraph"/>
              <w:spacing w:line="251" w:lineRule="exact"/>
              <w:rPr>
                <w:sz w:val="22"/>
              </w:rPr>
            </w:pPr>
            <w:r>
              <w:rPr>
                <w:w w:val="100"/>
                <w:sz w:val="22"/>
              </w:rPr>
              <w:t>5</w:t>
            </w:r>
          </w:p>
        </w:tc>
        <w:tc>
          <w:tcPr>
            <w:tcW w:w="1133" w:type="dxa"/>
          </w:tcPr>
          <w:p>
            <w:pPr>
              <w:pStyle w:val="TableParagraph"/>
              <w:spacing w:line="251" w:lineRule="exact"/>
              <w:rPr>
                <w:sz w:val="22"/>
              </w:rPr>
            </w:pPr>
            <w:r>
              <w:rPr>
                <w:sz w:val="22"/>
              </w:rPr>
              <w:t>4.40</w:t>
            </w:r>
          </w:p>
        </w:tc>
        <w:tc>
          <w:tcPr>
            <w:tcW w:w="1380" w:type="dxa"/>
          </w:tcPr>
          <w:p>
            <w:pPr>
              <w:pStyle w:val="TableParagraph"/>
              <w:spacing w:line="251" w:lineRule="exact"/>
              <w:rPr>
                <w:sz w:val="22"/>
              </w:rPr>
            </w:pPr>
            <w:r>
              <w:rPr>
                <w:sz w:val="22"/>
              </w:rPr>
              <w:t>.894</w:t>
            </w:r>
          </w:p>
        </w:tc>
        <w:tc>
          <w:tcPr>
            <w:tcW w:w="1013" w:type="dxa"/>
          </w:tcPr>
          <w:p>
            <w:pPr>
              <w:pStyle w:val="TableParagraph"/>
              <w:spacing w:line="251" w:lineRule="exact"/>
              <w:rPr>
                <w:sz w:val="22"/>
              </w:rPr>
            </w:pPr>
            <w:r>
              <w:rPr>
                <w:w w:val="100"/>
                <w:sz w:val="22"/>
              </w:rPr>
              <w:t>3</w:t>
            </w:r>
          </w:p>
        </w:tc>
        <w:tc>
          <w:tcPr>
            <w:tcW w:w="1010" w:type="dxa"/>
          </w:tcPr>
          <w:p>
            <w:pPr>
              <w:pStyle w:val="TableParagraph"/>
              <w:spacing w:line="251" w:lineRule="exact"/>
              <w:ind w:left="100"/>
              <w:rPr>
                <w:sz w:val="22"/>
              </w:rPr>
            </w:pPr>
            <w:r>
              <w:rPr>
                <w:w w:val="100"/>
                <w:sz w:val="22"/>
              </w:rPr>
              <w:t>5</w:t>
            </w:r>
          </w:p>
        </w:tc>
        <w:tc>
          <w:tcPr>
            <w:tcW w:w="1258" w:type="dxa"/>
          </w:tcPr>
          <w:p>
            <w:pPr>
              <w:pStyle w:val="TableParagraph"/>
              <w:spacing w:line="251" w:lineRule="exact"/>
              <w:rPr>
                <w:sz w:val="22"/>
              </w:rPr>
            </w:pPr>
            <w:r>
              <w:rPr>
                <w:sz w:val="22"/>
              </w:rPr>
              <w:t>4.40</w:t>
            </w:r>
          </w:p>
        </w:tc>
        <w:tc>
          <w:tcPr>
            <w:tcW w:w="1255" w:type="dxa"/>
          </w:tcPr>
          <w:p>
            <w:pPr>
              <w:pStyle w:val="TableParagraph"/>
              <w:spacing w:line="251" w:lineRule="exact"/>
              <w:ind w:left="100"/>
              <w:rPr>
                <w:sz w:val="22"/>
              </w:rPr>
            </w:pPr>
            <w:r>
              <w:rPr>
                <w:sz w:val="22"/>
              </w:rPr>
              <w:t>.894</w:t>
            </w:r>
          </w:p>
        </w:tc>
      </w:tr>
      <w:tr>
        <w:trPr>
          <w:trHeight w:val="1246" w:hRule="exact"/>
        </w:trPr>
        <w:tc>
          <w:tcPr>
            <w:tcW w:w="998" w:type="dxa"/>
          </w:tcPr>
          <w:p>
            <w:pPr>
              <w:pStyle w:val="TableParagraph"/>
              <w:spacing w:line="362" w:lineRule="auto"/>
              <w:ind w:right="154"/>
              <w:rPr>
                <w:sz w:val="20"/>
              </w:rPr>
            </w:pPr>
            <w:r>
              <w:rPr>
                <w:sz w:val="20"/>
              </w:rPr>
              <w:t>Número de dientes</w:t>
            </w:r>
          </w:p>
        </w:tc>
        <w:tc>
          <w:tcPr>
            <w:tcW w:w="938" w:type="dxa"/>
          </w:tcPr>
          <w:p>
            <w:pPr>
              <w:pStyle w:val="TableParagraph"/>
              <w:spacing w:line="251" w:lineRule="exact"/>
              <w:rPr>
                <w:sz w:val="22"/>
              </w:rPr>
            </w:pPr>
            <w:r>
              <w:rPr>
                <w:sz w:val="22"/>
              </w:rPr>
              <w:t>20</w:t>
            </w:r>
          </w:p>
        </w:tc>
        <w:tc>
          <w:tcPr>
            <w:tcW w:w="1013" w:type="dxa"/>
          </w:tcPr>
          <w:p>
            <w:pPr>
              <w:pStyle w:val="TableParagraph"/>
              <w:spacing w:line="251" w:lineRule="exact"/>
              <w:rPr>
                <w:sz w:val="22"/>
              </w:rPr>
            </w:pPr>
            <w:r>
              <w:rPr>
                <w:sz w:val="22"/>
              </w:rPr>
              <w:t>20</w:t>
            </w:r>
          </w:p>
        </w:tc>
        <w:tc>
          <w:tcPr>
            <w:tcW w:w="1133" w:type="dxa"/>
          </w:tcPr>
          <w:p>
            <w:pPr>
              <w:pStyle w:val="TableParagraph"/>
              <w:spacing w:line="251" w:lineRule="exact"/>
              <w:rPr>
                <w:sz w:val="22"/>
              </w:rPr>
            </w:pPr>
            <w:r>
              <w:rPr>
                <w:sz w:val="22"/>
              </w:rPr>
              <w:t>20.00</w:t>
            </w:r>
          </w:p>
        </w:tc>
        <w:tc>
          <w:tcPr>
            <w:tcW w:w="1380" w:type="dxa"/>
          </w:tcPr>
          <w:p>
            <w:pPr>
              <w:pStyle w:val="TableParagraph"/>
              <w:spacing w:line="251" w:lineRule="exact"/>
              <w:rPr>
                <w:sz w:val="22"/>
              </w:rPr>
            </w:pPr>
            <w:r>
              <w:rPr>
                <w:sz w:val="22"/>
              </w:rPr>
              <w:t>.000</w:t>
            </w:r>
          </w:p>
        </w:tc>
        <w:tc>
          <w:tcPr>
            <w:tcW w:w="1013" w:type="dxa"/>
          </w:tcPr>
          <w:p>
            <w:pPr>
              <w:pStyle w:val="TableParagraph"/>
              <w:spacing w:line="251" w:lineRule="exact"/>
              <w:rPr>
                <w:sz w:val="22"/>
              </w:rPr>
            </w:pPr>
            <w:r>
              <w:rPr>
                <w:sz w:val="22"/>
              </w:rPr>
              <w:t>20</w:t>
            </w:r>
          </w:p>
        </w:tc>
        <w:tc>
          <w:tcPr>
            <w:tcW w:w="1010" w:type="dxa"/>
          </w:tcPr>
          <w:p>
            <w:pPr>
              <w:pStyle w:val="TableParagraph"/>
              <w:spacing w:line="251" w:lineRule="exact"/>
              <w:ind w:left="100"/>
              <w:rPr>
                <w:sz w:val="22"/>
              </w:rPr>
            </w:pPr>
            <w:r>
              <w:rPr>
                <w:sz w:val="22"/>
              </w:rPr>
              <w:t>20</w:t>
            </w:r>
          </w:p>
        </w:tc>
        <w:tc>
          <w:tcPr>
            <w:tcW w:w="1258" w:type="dxa"/>
          </w:tcPr>
          <w:p>
            <w:pPr>
              <w:pStyle w:val="TableParagraph"/>
              <w:spacing w:line="251" w:lineRule="exact"/>
              <w:rPr>
                <w:sz w:val="22"/>
              </w:rPr>
            </w:pPr>
            <w:r>
              <w:rPr>
                <w:sz w:val="22"/>
              </w:rPr>
              <w:t>20.00</w:t>
            </w:r>
          </w:p>
        </w:tc>
        <w:tc>
          <w:tcPr>
            <w:tcW w:w="1255" w:type="dxa"/>
          </w:tcPr>
          <w:p>
            <w:pPr>
              <w:pStyle w:val="TableParagraph"/>
              <w:spacing w:line="251" w:lineRule="exact"/>
              <w:ind w:left="100"/>
              <w:rPr>
                <w:sz w:val="22"/>
              </w:rPr>
            </w:pPr>
            <w:r>
              <w:rPr>
                <w:sz w:val="22"/>
              </w:rPr>
              <w:t>.000</w:t>
            </w:r>
          </w:p>
        </w:tc>
      </w:tr>
      <w:tr>
        <w:trPr>
          <w:trHeight w:val="588" w:hRule="exact"/>
        </w:trPr>
        <w:tc>
          <w:tcPr>
            <w:tcW w:w="998" w:type="dxa"/>
          </w:tcPr>
          <w:p>
            <w:pPr>
              <w:pStyle w:val="TableParagraph"/>
              <w:spacing w:line="251" w:lineRule="exact"/>
              <w:ind w:right="154"/>
              <w:rPr>
                <w:sz w:val="22"/>
              </w:rPr>
            </w:pPr>
            <w:r>
              <w:rPr>
                <w:sz w:val="22"/>
              </w:rPr>
              <w:t>Cr</w:t>
            </w:r>
          </w:p>
        </w:tc>
        <w:tc>
          <w:tcPr>
            <w:tcW w:w="938" w:type="dxa"/>
          </w:tcPr>
          <w:p>
            <w:pPr>
              <w:pStyle w:val="TableParagraph"/>
              <w:spacing w:line="251" w:lineRule="exact"/>
              <w:rPr>
                <w:sz w:val="22"/>
              </w:rPr>
            </w:pPr>
            <w:r>
              <w:rPr>
                <w:sz w:val="22"/>
              </w:rPr>
              <w:t>.00</w:t>
            </w:r>
          </w:p>
        </w:tc>
        <w:tc>
          <w:tcPr>
            <w:tcW w:w="1013" w:type="dxa"/>
          </w:tcPr>
          <w:p>
            <w:pPr>
              <w:pStyle w:val="TableParagraph"/>
              <w:spacing w:line="251" w:lineRule="exact"/>
              <w:rPr>
                <w:sz w:val="22"/>
              </w:rPr>
            </w:pPr>
            <w:r>
              <w:rPr>
                <w:sz w:val="22"/>
              </w:rPr>
              <w:t>12.35</w:t>
            </w:r>
          </w:p>
        </w:tc>
        <w:tc>
          <w:tcPr>
            <w:tcW w:w="1133" w:type="dxa"/>
          </w:tcPr>
          <w:p>
            <w:pPr>
              <w:pStyle w:val="TableParagraph"/>
              <w:spacing w:line="251" w:lineRule="exact"/>
              <w:rPr>
                <w:sz w:val="22"/>
              </w:rPr>
            </w:pPr>
            <w:r>
              <w:rPr>
                <w:sz w:val="22"/>
              </w:rPr>
              <w:t>6.4600</w:t>
            </w:r>
          </w:p>
        </w:tc>
        <w:tc>
          <w:tcPr>
            <w:tcW w:w="1380" w:type="dxa"/>
          </w:tcPr>
          <w:p>
            <w:pPr>
              <w:pStyle w:val="TableParagraph"/>
              <w:spacing w:line="251" w:lineRule="exact"/>
              <w:rPr>
                <w:sz w:val="22"/>
              </w:rPr>
            </w:pPr>
            <w:r>
              <w:rPr>
                <w:sz w:val="22"/>
              </w:rPr>
              <w:t>4.63646</w:t>
            </w:r>
          </w:p>
        </w:tc>
        <w:tc>
          <w:tcPr>
            <w:tcW w:w="1013" w:type="dxa"/>
          </w:tcPr>
          <w:p>
            <w:pPr>
              <w:pStyle w:val="TableParagraph"/>
              <w:spacing w:line="251" w:lineRule="exact"/>
              <w:rPr>
                <w:sz w:val="22"/>
              </w:rPr>
            </w:pPr>
            <w:r>
              <w:rPr>
                <w:sz w:val="22"/>
              </w:rPr>
              <w:t>.00</w:t>
            </w:r>
          </w:p>
        </w:tc>
        <w:tc>
          <w:tcPr>
            <w:tcW w:w="1010" w:type="dxa"/>
          </w:tcPr>
          <w:p>
            <w:pPr>
              <w:pStyle w:val="TableParagraph"/>
              <w:spacing w:line="251" w:lineRule="exact"/>
              <w:ind w:left="100"/>
              <w:rPr>
                <w:sz w:val="22"/>
              </w:rPr>
            </w:pPr>
            <w:r>
              <w:rPr>
                <w:sz w:val="22"/>
              </w:rPr>
              <w:t>30.30</w:t>
            </w:r>
          </w:p>
        </w:tc>
        <w:tc>
          <w:tcPr>
            <w:tcW w:w="1258" w:type="dxa"/>
          </w:tcPr>
          <w:p>
            <w:pPr>
              <w:pStyle w:val="TableParagraph"/>
              <w:spacing w:line="251" w:lineRule="exact"/>
              <w:rPr>
                <w:sz w:val="22"/>
              </w:rPr>
            </w:pPr>
            <w:r>
              <w:rPr>
                <w:sz w:val="22"/>
              </w:rPr>
              <w:t>6.0600</w:t>
            </w:r>
          </w:p>
        </w:tc>
        <w:tc>
          <w:tcPr>
            <w:tcW w:w="1255" w:type="dxa"/>
          </w:tcPr>
          <w:p>
            <w:pPr>
              <w:pStyle w:val="TableParagraph"/>
              <w:spacing w:line="251" w:lineRule="exact"/>
              <w:ind w:left="100"/>
              <w:rPr>
                <w:sz w:val="22"/>
              </w:rPr>
            </w:pPr>
            <w:r>
              <w:rPr>
                <w:sz w:val="22"/>
              </w:rPr>
              <w:t>13.55057</w:t>
            </w:r>
          </w:p>
        </w:tc>
      </w:tr>
      <w:tr>
        <w:trPr>
          <w:trHeight w:val="590" w:hRule="exact"/>
        </w:trPr>
        <w:tc>
          <w:tcPr>
            <w:tcW w:w="998" w:type="dxa"/>
          </w:tcPr>
          <w:p>
            <w:pPr>
              <w:pStyle w:val="TableParagraph"/>
              <w:spacing w:line="251" w:lineRule="exact"/>
              <w:ind w:right="154"/>
              <w:rPr>
                <w:sz w:val="22"/>
              </w:rPr>
            </w:pPr>
            <w:r>
              <w:rPr>
                <w:sz w:val="22"/>
              </w:rPr>
              <w:t>Ni</w:t>
            </w:r>
          </w:p>
        </w:tc>
        <w:tc>
          <w:tcPr>
            <w:tcW w:w="938" w:type="dxa"/>
          </w:tcPr>
          <w:p>
            <w:pPr>
              <w:pStyle w:val="TableParagraph"/>
              <w:spacing w:line="251" w:lineRule="exact"/>
              <w:rPr>
                <w:sz w:val="22"/>
              </w:rPr>
            </w:pPr>
            <w:r>
              <w:rPr>
                <w:sz w:val="22"/>
              </w:rPr>
              <w:t>1.65</w:t>
            </w:r>
          </w:p>
        </w:tc>
        <w:tc>
          <w:tcPr>
            <w:tcW w:w="1013" w:type="dxa"/>
          </w:tcPr>
          <w:p>
            <w:pPr>
              <w:pStyle w:val="TableParagraph"/>
              <w:spacing w:line="251" w:lineRule="exact"/>
              <w:rPr>
                <w:sz w:val="22"/>
              </w:rPr>
            </w:pPr>
            <w:r>
              <w:rPr>
                <w:sz w:val="22"/>
              </w:rPr>
              <w:t>36.40</w:t>
            </w:r>
          </w:p>
        </w:tc>
        <w:tc>
          <w:tcPr>
            <w:tcW w:w="1133" w:type="dxa"/>
          </w:tcPr>
          <w:p>
            <w:pPr>
              <w:pStyle w:val="TableParagraph"/>
              <w:spacing w:line="251" w:lineRule="exact"/>
              <w:rPr>
                <w:sz w:val="22"/>
              </w:rPr>
            </w:pPr>
            <w:r>
              <w:rPr>
                <w:sz w:val="22"/>
              </w:rPr>
              <w:t>15.6600</w:t>
            </w:r>
          </w:p>
        </w:tc>
        <w:tc>
          <w:tcPr>
            <w:tcW w:w="1380" w:type="dxa"/>
          </w:tcPr>
          <w:p>
            <w:pPr>
              <w:pStyle w:val="TableParagraph"/>
              <w:spacing w:line="251" w:lineRule="exact"/>
              <w:rPr>
                <w:sz w:val="22"/>
              </w:rPr>
            </w:pPr>
            <w:r>
              <w:rPr>
                <w:sz w:val="22"/>
              </w:rPr>
              <w:t>13.53456</w:t>
            </w:r>
          </w:p>
        </w:tc>
        <w:tc>
          <w:tcPr>
            <w:tcW w:w="1013" w:type="dxa"/>
          </w:tcPr>
          <w:p>
            <w:pPr>
              <w:pStyle w:val="TableParagraph"/>
              <w:spacing w:line="251" w:lineRule="exact"/>
              <w:rPr>
                <w:sz w:val="22"/>
              </w:rPr>
            </w:pPr>
            <w:r>
              <w:rPr>
                <w:sz w:val="22"/>
              </w:rPr>
              <w:t>.00</w:t>
            </w:r>
          </w:p>
        </w:tc>
        <w:tc>
          <w:tcPr>
            <w:tcW w:w="1010" w:type="dxa"/>
          </w:tcPr>
          <w:p>
            <w:pPr>
              <w:pStyle w:val="TableParagraph"/>
              <w:spacing w:line="251" w:lineRule="exact"/>
              <w:ind w:left="100"/>
              <w:rPr>
                <w:sz w:val="22"/>
              </w:rPr>
            </w:pPr>
            <w:r>
              <w:rPr>
                <w:sz w:val="22"/>
              </w:rPr>
              <w:t>378.00</w:t>
            </w:r>
          </w:p>
        </w:tc>
        <w:tc>
          <w:tcPr>
            <w:tcW w:w="1258" w:type="dxa"/>
          </w:tcPr>
          <w:p>
            <w:pPr>
              <w:pStyle w:val="TableParagraph"/>
              <w:spacing w:line="251" w:lineRule="exact"/>
              <w:rPr>
                <w:sz w:val="22"/>
              </w:rPr>
            </w:pPr>
            <w:r>
              <w:rPr>
                <w:sz w:val="22"/>
              </w:rPr>
              <w:t>98.3500</w:t>
            </w:r>
          </w:p>
        </w:tc>
        <w:tc>
          <w:tcPr>
            <w:tcW w:w="1255" w:type="dxa"/>
          </w:tcPr>
          <w:p>
            <w:pPr>
              <w:pStyle w:val="TableParagraph"/>
              <w:spacing w:line="251" w:lineRule="exact"/>
              <w:ind w:left="100"/>
              <w:rPr>
                <w:sz w:val="22"/>
              </w:rPr>
            </w:pPr>
            <w:r>
              <w:rPr>
                <w:sz w:val="22"/>
              </w:rPr>
              <w:t>162.42398</w:t>
            </w:r>
          </w:p>
        </w:tc>
      </w:tr>
      <w:tr>
        <w:trPr>
          <w:trHeight w:val="588" w:hRule="exact"/>
        </w:trPr>
        <w:tc>
          <w:tcPr>
            <w:tcW w:w="998" w:type="dxa"/>
          </w:tcPr>
          <w:p>
            <w:pPr>
              <w:pStyle w:val="TableParagraph"/>
              <w:spacing w:line="251" w:lineRule="exact"/>
              <w:ind w:right="154"/>
              <w:rPr>
                <w:sz w:val="22"/>
              </w:rPr>
            </w:pPr>
            <w:r>
              <w:rPr>
                <w:sz w:val="22"/>
              </w:rPr>
              <w:t>Fe</w:t>
            </w:r>
          </w:p>
        </w:tc>
        <w:tc>
          <w:tcPr>
            <w:tcW w:w="938" w:type="dxa"/>
          </w:tcPr>
          <w:p>
            <w:pPr>
              <w:pStyle w:val="TableParagraph"/>
              <w:spacing w:line="251" w:lineRule="exact"/>
              <w:rPr>
                <w:sz w:val="22"/>
              </w:rPr>
            </w:pPr>
            <w:r>
              <w:rPr>
                <w:sz w:val="22"/>
              </w:rPr>
              <w:t>2268.0</w:t>
            </w:r>
          </w:p>
        </w:tc>
        <w:tc>
          <w:tcPr>
            <w:tcW w:w="1013" w:type="dxa"/>
          </w:tcPr>
          <w:p>
            <w:pPr>
              <w:pStyle w:val="TableParagraph"/>
              <w:spacing w:line="251" w:lineRule="exact"/>
              <w:rPr>
                <w:sz w:val="22"/>
              </w:rPr>
            </w:pPr>
            <w:r>
              <w:rPr>
                <w:sz w:val="22"/>
              </w:rPr>
              <w:t>8825.00</w:t>
            </w:r>
          </w:p>
        </w:tc>
        <w:tc>
          <w:tcPr>
            <w:tcW w:w="1133" w:type="dxa"/>
          </w:tcPr>
          <w:p>
            <w:pPr>
              <w:pStyle w:val="TableParagraph"/>
              <w:spacing w:line="251" w:lineRule="exact"/>
              <w:rPr>
                <w:sz w:val="22"/>
              </w:rPr>
            </w:pPr>
            <w:r>
              <w:rPr>
                <w:sz w:val="22"/>
              </w:rPr>
              <w:t>5763.400</w:t>
            </w:r>
          </w:p>
        </w:tc>
        <w:tc>
          <w:tcPr>
            <w:tcW w:w="1380" w:type="dxa"/>
          </w:tcPr>
          <w:p>
            <w:pPr>
              <w:pStyle w:val="TableParagraph"/>
              <w:spacing w:line="251" w:lineRule="exact"/>
              <w:rPr>
                <w:sz w:val="22"/>
              </w:rPr>
            </w:pPr>
            <w:r>
              <w:rPr>
                <w:sz w:val="22"/>
              </w:rPr>
              <w:t>2521.11973</w:t>
            </w:r>
          </w:p>
        </w:tc>
        <w:tc>
          <w:tcPr>
            <w:tcW w:w="1013" w:type="dxa"/>
          </w:tcPr>
          <w:p>
            <w:pPr>
              <w:pStyle w:val="TableParagraph"/>
              <w:spacing w:line="251" w:lineRule="exact"/>
              <w:rPr>
                <w:sz w:val="22"/>
              </w:rPr>
            </w:pPr>
            <w:r>
              <w:rPr>
                <w:sz w:val="22"/>
              </w:rPr>
              <w:t>6565.00</w:t>
            </w:r>
          </w:p>
        </w:tc>
        <w:tc>
          <w:tcPr>
            <w:tcW w:w="1010" w:type="dxa"/>
          </w:tcPr>
          <w:p>
            <w:pPr>
              <w:pStyle w:val="TableParagraph"/>
              <w:spacing w:line="251" w:lineRule="exact"/>
              <w:ind w:left="100"/>
              <w:rPr>
                <w:sz w:val="22"/>
              </w:rPr>
            </w:pPr>
            <w:r>
              <w:rPr>
                <w:sz w:val="22"/>
              </w:rPr>
              <w:t>7788.50</w:t>
            </w:r>
          </w:p>
        </w:tc>
        <w:tc>
          <w:tcPr>
            <w:tcW w:w="1258" w:type="dxa"/>
          </w:tcPr>
          <w:p>
            <w:pPr>
              <w:pStyle w:val="TableParagraph"/>
              <w:spacing w:line="251" w:lineRule="exact"/>
              <w:rPr>
                <w:sz w:val="22"/>
              </w:rPr>
            </w:pPr>
            <w:r>
              <w:rPr>
                <w:sz w:val="22"/>
              </w:rPr>
              <w:t>6978.7000</w:t>
            </w:r>
          </w:p>
        </w:tc>
        <w:tc>
          <w:tcPr>
            <w:tcW w:w="1255" w:type="dxa"/>
          </w:tcPr>
          <w:p>
            <w:pPr>
              <w:pStyle w:val="TableParagraph"/>
              <w:spacing w:line="251" w:lineRule="exact"/>
              <w:ind w:left="100"/>
              <w:rPr>
                <w:sz w:val="22"/>
              </w:rPr>
            </w:pPr>
            <w:r>
              <w:rPr>
                <w:sz w:val="22"/>
              </w:rPr>
              <w:t>499.75964</w:t>
            </w:r>
          </w:p>
        </w:tc>
      </w:tr>
      <w:tr>
        <w:trPr>
          <w:trHeight w:val="970" w:hRule="exact"/>
        </w:trPr>
        <w:tc>
          <w:tcPr>
            <w:tcW w:w="998" w:type="dxa"/>
          </w:tcPr>
          <w:p>
            <w:pPr>
              <w:pStyle w:val="TableParagraph"/>
              <w:spacing w:line="360" w:lineRule="auto"/>
              <w:ind w:right="254"/>
              <w:rPr>
                <w:sz w:val="22"/>
              </w:rPr>
            </w:pPr>
            <w:r>
              <w:rPr>
                <w:sz w:val="22"/>
              </w:rPr>
              <w:t>pH salival</w:t>
            </w:r>
          </w:p>
        </w:tc>
        <w:tc>
          <w:tcPr>
            <w:tcW w:w="938" w:type="dxa"/>
          </w:tcPr>
          <w:p>
            <w:pPr>
              <w:pStyle w:val="TableParagraph"/>
              <w:rPr>
                <w:sz w:val="22"/>
              </w:rPr>
            </w:pPr>
            <w:r>
              <w:rPr>
                <w:sz w:val="22"/>
              </w:rPr>
              <w:t>6.6</w:t>
            </w:r>
          </w:p>
        </w:tc>
        <w:tc>
          <w:tcPr>
            <w:tcW w:w="1013" w:type="dxa"/>
          </w:tcPr>
          <w:p>
            <w:pPr>
              <w:pStyle w:val="TableParagraph"/>
              <w:rPr>
                <w:sz w:val="22"/>
              </w:rPr>
            </w:pPr>
            <w:r>
              <w:rPr>
                <w:sz w:val="22"/>
              </w:rPr>
              <w:t>8.0</w:t>
            </w:r>
          </w:p>
        </w:tc>
        <w:tc>
          <w:tcPr>
            <w:tcW w:w="1133" w:type="dxa"/>
          </w:tcPr>
          <w:p>
            <w:pPr>
              <w:pStyle w:val="TableParagraph"/>
              <w:rPr>
                <w:sz w:val="22"/>
              </w:rPr>
            </w:pPr>
            <w:r>
              <w:rPr>
                <w:sz w:val="22"/>
              </w:rPr>
              <w:t>7.080</w:t>
            </w:r>
          </w:p>
        </w:tc>
        <w:tc>
          <w:tcPr>
            <w:tcW w:w="1380" w:type="dxa"/>
          </w:tcPr>
          <w:p>
            <w:pPr>
              <w:pStyle w:val="TableParagraph"/>
              <w:rPr>
                <w:sz w:val="22"/>
              </w:rPr>
            </w:pPr>
            <w:r>
              <w:rPr>
                <w:sz w:val="22"/>
              </w:rPr>
              <w:t>.5404</w:t>
            </w:r>
          </w:p>
        </w:tc>
        <w:tc>
          <w:tcPr>
            <w:tcW w:w="1013" w:type="dxa"/>
          </w:tcPr>
          <w:p>
            <w:pPr>
              <w:pStyle w:val="TableParagraph"/>
              <w:rPr>
                <w:sz w:val="22"/>
              </w:rPr>
            </w:pPr>
            <w:r>
              <w:rPr>
                <w:sz w:val="22"/>
              </w:rPr>
              <w:t>7.0</w:t>
            </w:r>
          </w:p>
        </w:tc>
        <w:tc>
          <w:tcPr>
            <w:tcW w:w="1010" w:type="dxa"/>
          </w:tcPr>
          <w:p>
            <w:pPr>
              <w:pStyle w:val="TableParagraph"/>
              <w:ind w:left="100"/>
              <w:rPr>
                <w:sz w:val="22"/>
              </w:rPr>
            </w:pPr>
            <w:r>
              <w:rPr>
                <w:sz w:val="22"/>
              </w:rPr>
              <w:t>7.8</w:t>
            </w:r>
          </w:p>
        </w:tc>
        <w:tc>
          <w:tcPr>
            <w:tcW w:w="1258" w:type="dxa"/>
          </w:tcPr>
          <w:p>
            <w:pPr>
              <w:pStyle w:val="TableParagraph"/>
              <w:rPr>
                <w:sz w:val="22"/>
              </w:rPr>
            </w:pPr>
            <w:r>
              <w:rPr>
                <w:sz w:val="22"/>
              </w:rPr>
              <w:t>7.160</w:t>
            </w:r>
          </w:p>
        </w:tc>
        <w:tc>
          <w:tcPr>
            <w:tcW w:w="1255" w:type="dxa"/>
          </w:tcPr>
          <w:p>
            <w:pPr>
              <w:pStyle w:val="TableParagraph"/>
              <w:ind w:left="100"/>
              <w:rPr>
                <w:sz w:val="22"/>
              </w:rPr>
            </w:pPr>
            <w:r>
              <w:rPr>
                <w:sz w:val="22"/>
              </w:rPr>
              <w:t>.3578</w:t>
            </w:r>
          </w:p>
        </w:tc>
      </w:tr>
      <w:tr>
        <w:trPr>
          <w:trHeight w:val="591" w:hRule="exact"/>
        </w:trPr>
        <w:tc>
          <w:tcPr>
            <w:tcW w:w="998" w:type="dxa"/>
          </w:tcPr>
          <w:p>
            <w:pPr>
              <w:pStyle w:val="TableParagraph"/>
              <w:spacing w:line="251" w:lineRule="exact"/>
              <w:ind w:right="154"/>
              <w:rPr>
                <w:sz w:val="22"/>
              </w:rPr>
            </w:pPr>
            <w:r>
              <w:rPr>
                <w:sz w:val="22"/>
              </w:rPr>
              <w:t>pdb</w:t>
            </w:r>
          </w:p>
        </w:tc>
        <w:tc>
          <w:tcPr>
            <w:tcW w:w="938" w:type="dxa"/>
          </w:tcPr>
          <w:p>
            <w:pPr>
              <w:pStyle w:val="TableParagraph"/>
              <w:spacing w:line="251" w:lineRule="exact"/>
              <w:rPr>
                <w:sz w:val="22"/>
              </w:rPr>
            </w:pPr>
            <w:r>
              <w:rPr>
                <w:sz w:val="22"/>
              </w:rPr>
              <w:t>18.0</w:t>
            </w:r>
          </w:p>
        </w:tc>
        <w:tc>
          <w:tcPr>
            <w:tcW w:w="1013" w:type="dxa"/>
          </w:tcPr>
          <w:p>
            <w:pPr>
              <w:pStyle w:val="TableParagraph"/>
              <w:spacing w:line="251" w:lineRule="exact"/>
              <w:rPr>
                <w:sz w:val="22"/>
              </w:rPr>
            </w:pPr>
            <w:r>
              <w:rPr>
                <w:sz w:val="22"/>
              </w:rPr>
              <w:t>37.0</w:t>
            </w:r>
          </w:p>
        </w:tc>
        <w:tc>
          <w:tcPr>
            <w:tcW w:w="1133" w:type="dxa"/>
          </w:tcPr>
          <w:p>
            <w:pPr>
              <w:pStyle w:val="TableParagraph"/>
              <w:spacing w:line="251" w:lineRule="exact"/>
              <w:rPr>
                <w:sz w:val="22"/>
              </w:rPr>
            </w:pPr>
            <w:r>
              <w:rPr>
                <w:sz w:val="22"/>
              </w:rPr>
              <w:t>29.800</w:t>
            </w:r>
          </w:p>
        </w:tc>
        <w:tc>
          <w:tcPr>
            <w:tcW w:w="1380" w:type="dxa"/>
          </w:tcPr>
          <w:p>
            <w:pPr>
              <w:pStyle w:val="TableParagraph"/>
              <w:spacing w:line="251" w:lineRule="exact"/>
              <w:rPr>
                <w:sz w:val="22"/>
              </w:rPr>
            </w:pPr>
            <w:r>
              <w:rPr>
                <w:sz w:val="22"/>
              </w:rPr>
              <w:t>7.3621</w:t>
            </w:r>
          </w:p>
        </w:tc>
        <w:tc>
          <w:tcPr>
            <w:tcW w:w="1013" w:type="dxa"/>
          </w:tcPr>
          <w:p>
            <w:pPr>
              <w:pStyle w:val="TableParagraph"/>
              <w:spacing w:line="251" w:lineRule="exact"/>
              <w:rPr>
                <w:sz w:val="22"/>
              </w:rPr>
            </w:pPr>
            <w:r>
              <w:rPr>
                <w:sz w:val="22"/>
              </w:rPr>
              <w:t>19.0</w:t>
            </w:r>
          </w:p>
        </w:tc>
        <w:tc>
          <w:tcPr>
            <w:tcW w:w="1010" w:type="dxa"/>
          </w:tcPr>
          <w:p>
            <w:pPr>
              <w:pStyle w:val="TableParagraph"/>
              <w:spacing w:line="251" w:lineRule="exact"/>
              <w:ind w:left="100"/>
              <w:rPr>
                <w:sz w:val="22"/>
              </w:rPr>
            </w:pPr>
            <w:r>
              <w:rPr>
                <w:sz w:val="22"/>
              </w:rPr>
              <w:t>28.0</w:t>
            </w:r>
          </w:p>
        </w:tc>
        <w:tc>
          <w:tcPr>
            <w:tcW w:w="1258" w:type="dxa"/>
          </w:tcPr>
          <w:p>
            <w:pPr>
              <w:pStyle w:val="TableParagraph"/>
              <w:spacing w:line="251" w:lineRule="exact"/>
              <w:rPr>
                <w:sz w:val="22"/>
              </w:rPr>
            </w:pPr>
            <w:r>
              <w:rPr>
                <w:sz w:val="22"/>
              </w:rPr>
              <w:t>22.400</w:t>
            </w:r>
          </w:p>
        </w:tc>
        <w:tc>
          <w:tcPr>
            <w:tcW w:w="1255" w:type="dxa"/>
          </w:tcPr>
          <w:p>
            <w:pPr>
              <w:pStyle w:val="TableParagraph"/>
              <w:spacing w:line="251" w:lineRule="exact"/>
              <w:ind w:left="100"/>
              <w:rPr>
                <w:sz w:val="22"/>
              </w:rPr>
            </w:pPr>
            <w:r>
              <w:rPr>
                <w:sz w:val="22"/>
              </w:rPr>
              <w:t>3.5071</w:t>
            </w:r>
          </w:p>
        </w:tc>
      </w:tr>
    </w:tbl>
    <w:p>
      <w:pPr>
        <w:tabs>
          <w:tab w:pos="4111" w:val="left" w:leader="none"/>
        </w:tabs>
        <w:spacing w:before="0"/>
        <w:ind w:left="0" w:right="594" w:firstLine="0"/>
        <w:jc w:val="center"/>
        <w:rPr>
          <w:sz w:val="20"/>
        </w:rPr>
      </w:pPr>
      <w:r>
        <w:rPr>
          <w:sz w:val="20"/>
        </w:rPr>
        <w:t>D.S.:</w:t>
      </w:r>
      <w:r>
        <w:rPr>
          <w:spacing w:val="-2"/>
          <w:sz w:val="20"/>
        </w:rPr>
        <w:t> </w:t>
      </w:r>
      <w:r>
        <w:rPr>
          <w:sz w:val="20"/>
        </w:rPr>
        <w:t>desviación</w:t>
      </w:r>
      <w:r>
        <w:rPr>
          <w:spacing w:val="-2"/>
          <w:sz w:val="20"/>
        </w:rPr>
        <w:t> </w:t>
      </w:r>
      <w:r>
        <w:rPr>
          <w:sz w:val="20"/>
        </w:rPr>
        <w:t>estándar.</w:t>
        <w:tab/>
        <w:t>Concentración de metales en</w:t>
      </w:r>
      <w:r>
        <w:rPr>
          <w:spacing w:val="-5"/>
          <w:sz w:val="20"/>
        </w:rPr>
        <w:t> </w:t>
      </w:r>
      <w:r>
        <w:rPr>
          <w:sz w:val="20"/>
        </w:rPr>
        <w:t>µg/ml</w:t>
      </w:r>
    </w:p>
    <w:p>
      <w:pPr>
        <w:spacing w:after="0"/>
        <w:jc w:val="center"/>
        <w:rPr>
          <w:sz w:val="20"/>
        </w:rPr>
        <w:sectPr>
          <w:pgSz w:w="12240" w:h="15840"/>
          <w:pgMar w:header="0" w:footer="887" w:top="1360" w:bottom="1140" w:left="1300" w:right="700"/>
        </w:sectPr>
      </w:pPr>
    </w:p>
    <w:p>
      <w:pPr>
        <w:pStyle w:val="BodyText"/>
        <w:spacing w:line="360" w:lineRule="auto" w:before="56"/>
        <w:ind w:left="118" w:right="42"/>
      </w:pPr>
      <w:r>
        <w:rPr/>
        <w:t>De acuerdo al género de los pacientes encuestados en el análisis antes descrito, se observó que el 40% son mujeres y el 60% son hombres (Grafica 8).</w:t>
      </w:r>
    </w:p>
    <w:p>
      <w:pPr>
        <w:pStyle w:val="BodyText"/>
        <w:spacing w:before="5"/>
        <w:ind w:left="1675" w:right="1676"/>
        <w:jc w:val="center"/>
      </w:pPr>
      <w:r>
        <w:rPr/>
        <w:pict>
          <v:line style="position:absolute;mso-position-horizontal-relative:page;mso-position-vertical-relative:paragraph;z-index:2992" from="418.200012pt,26.005859pt" to="418.200012pt,104.605859pt" stroked="true" strokeweight=".72pt" strokecolor="#d3e2f4">
            <w10:wrap type="none"/>
          </v:line>
        </w:pict>
      </w:r>
      <w:r>
        <w:rPr/>
        <w:t>Gráfica 8. Distribución de la muestra por género</w:t>
      </w:r>
    </w:p>
    <w:p>
      <w:pPr>
        <w:pStyle w:val="BodyText"/>
        <w:spacing w:before="8"/>
        <w:rPr>
          <w:sz w:val="16"/>
        </w:rPr>
      </w:pPr>
      <w:r>
        <w:rPr/>
        <w:pict>
          <v:group style="position:absolute;margin-left:191.264999pt;margin-top:11.582031pt;width:173.7pt;height:79.350pt;mso-position-horizontal-relative:page;mso-position-vertical-relative:paragraph;z-index:2848;mso-wrap-distance-left:0;mso-wrap-distance-right:0" coordorigin="3825,232" coordsize="3474,1587">
            <v:line style="position:absolute" from="3833,239" to="3833,1811" stroked="true" strokeweight=".72pt" strokecolor="#d3e2f4"/>
            <v:line style="position:absolute" from="4966,239" to="4966,1811" stroked="true" strokeweight=".72pt" strokecolor="#d3e2f4"/>
            <v:line style="position:absolute" from="6098,239" to="6098,1811" stroked="true" strokeweight=".72pt" strokecolor="#d3e2f4"/>
            <v:shape style="position:absolute;left:3830;top:995;width:2335;height:658" type="#_x0000_t75" stroked="false">
              <v:imagedata r:id="rId87" o:title=""/>
            </v:shape>
            <v:line style="position:absolute" from="7231,239" to="7231,1811" stroked="true" strokeweight=".72pt" strokecolor="#d3e2f4"/>
            <v:shape style="position:absolute;left:3830;top:470;width:3468;height:660" type="#_x0000_t75" stroked="false">
              <v:imagedata r:id="rId88" o:title=""/>
            </v:shape>
            <v:shape style="position:absolute;left:3833;top:1026;width:2266;height:523" type="#_x0000_t75" stroked="false">
              <v:imagedata r:id="rId89" o:title=""/>
            </v:shape>
            <v:shape style="position:absolute;left:3833;top:501;width:3398;height:526" type="#_x0000_t75" stroked="false">
              <v:imagedata r:id="rId90" o:title=""/>
            </v:shape>
            <w10:wrap type="topAndBottom"/>
          </v:group>
        </w:pict>
      </w:r>
    </w:p>
    <w:p>
      <w:pPr>
        <w:pStyle w:val="BodyText"/>
        <w:spacing w:before="7"/>
        <w:rPr>
          <w:sz w:val="6"/>
        </w:rPr>
      </w:pPr>
    </w:p>
    <w:tbl>
      <w:tblPr>
        <w:tblW w:w="0" w:type="auto"/>
        <w:jc w:val="left"/>
        <w:tblInd w:w="2525" w:type="dxa"/>
        <w:tblBorders>
          <w:top w:val="single" w:sz="6" w:space="0" w:color="D3E2F4"/>
          <w:left w:val="single" w:sz="6" w:space="0" w:color="D3E2F4"/>
          <w:bottom w:val="single" w:sz="6" w:space="0" w:color="D3E2F4"/>
          <w:right w:val="single" w:sz="6" w:space="0" w:color="D3E2F4"/>
          <w:insideH w:val="single" w:sz="6" w:space="0" w:color="D3E2F4"/>
          <w:insideV w:val="single" w:sz="6" w:space="0" w:color="D3E2F4"/>
        </w:tblBorders>
        <w:tblLayout w:type="fixed"/>
        <w:tblCellMar>
          <w:top w:w="0" w:type="dxa"/>
          <w:left w:w="0" w:type="dxa"/>
          <w:bottom w:w="0" w:type="dxa"/>
          <w:right w:w="0" w:type="dxa"/>
        </w:tblCellMar>
        <w:tblLook w:val="01E0"/>
      </w:tblPr>
      <w:tblGrid>
        <w:gridCol w:w="1070"/>
        <w:gridCol w:w="3461"/>
      </w:tblGrid>
      <w:tr>
        <w:trPr>
          <w:trHeight w:val="286" w:hRule="exact"/>
        </w:trPr>
        <w:tc>
          <w:tcPr>
            <w:tcW w:w="1070" w:type="dxa"/>
          </w:tcPr>
          <w:p>
            <w:pPr>
              <w:pStyle w:val="TableParagraph"/>
              <w:spacing w:before="11"/>
              <w:ind w:left="0" w:right="103"/>
              <w:jc w:val="right"/>
              <w:rPr>
                <w:rFonts w:ascii="Calibri"/>
                <w:sz w:val="18"/>
              </w:rPr>
            </w:pPr>
            <w:r>
              <w:rPr>
                <w:rFonts w:ascii="Calibri"/>
                <w:color w:val="1F487C"/>
                <w:sz w:val="18"/>
              </w:rPr>
              <w:t>Masculino</w:t>
            </w:r>
          </w:p>
        </w:tc>
        <w:tc>
          <w:tcPr>
            <w:tcW w:w="3461" w:type="dxa"/>
          </w:tcPr>
          <w:p>
            <w:pPr>
              <w:pStyle w:val="TableParagraph"/>
              <w:spacing w:before="16"/>
              <w:ind w:left="1548" w:right="1547"/>
              <w:jc w:val="center"/>
              <w:rPr>
                <w:rFonts w:ascii="Calibri"/>
                <w:sz w:val="18"/>
              </w:rPr>
            </w:pPr>
            <w:r>
              <w:rPr>
                <w:rFonts w:ascii="Calibri"/>
                <w:color w:val="1F487C"/>
                <w:sz w:val="18"/>
              </w:rPr>
              <w:t>60%</w:t>
            </w:r>
          </w:p>
        </w:tc>
      </w:tr>
      <w:tr>
        <w:trPr>
          <w:trHeight w:val="288" w:hRule="exact"/>
        </w:trPr>
        <w:tc>
          <w:tcPr>
            <w:tcW w:w="1070" w:type="dxa"/>
          </w:tcPr>
          <w:p>
            <w:pPr>
              <w:pStyle w:val="TableParagraph"/>
              <w:spacing w:before="12"/>
              <w:ind w:left="0" w:right="125"/>
              <w:jc w:val="right"/>
              <w:rPr>
                <w:rFonts w:ascii="Calibri"/>
                <w:sz w:val="18"/>
              </w:rPr>
            </w:pPr>
            <w:r>
              <w:rPr>
                <w:rFonts w:ascii="Calibri"/>
                <w:color w:val="1F487C"/>
                <w:sz w:val="18"/>
              </w:rPr>
              <w:t>Femenino</w:t>
            </w:r>
          </w:p>
        </w:tc>
        <w:tc>
          <w:tcPr>
            <w:tcW w:w="3461" w:type="dxa"/>
          </w:tcPr>
          <w:p>
            <w:pPr>
              <w:pStyle w:val="TableParagraph"/>
              <w:spacing w:before="17"/>
              <w:ind w:left="1548" w:right="1547"/>
              <w:jc w:val="center"/>
              <w:rPr>
                <w:rFonts w:ascii="Calibri"/>
                <w:sz w:val="18"/>
              </w:rPr>
            </w:pPr>
            <w:r>
              <w:rPr>
                <w:rFonts w:ascii="Calibri"/>
                <w:color w:val="1F487C"/>
                <w:sz w:val="18"/>
              </w:rPr>
              <w:t>40%</w:t>
            </w:r>
          </w:p>
        </w:tc>
      </w:tr>
    </w:tbl>
    <w:p>
      <w:pPr>
        <w:pStyle w:val="BodyText"/>
      </w:pPr>
    </w:p>
    <w:p>
      <w:pPr>
        <w:pStyle w:val="BodyText"/>
        <w:spacing w:before="7"/>
        <w:rPr>
          <w:sz w:val="21"/>
        </w:rPr>
      </w:pPr>
    </w:p>
    <w:p>
      <w:pPr>
        <w:pStyle w:val="BodyText"/>
        <w:spacing w:line="360" w:lineRule="auto"/>
        <w:ind w:left="118" w:right="42"/>
      </w:pPr>
      <w:r>
        <w:rPr/>
        <w:drawing>
          <wp:anchor distT="0" distB="0" distL="0" distR="0" allowOverlap="1" layoutInCell="1" locked="0" behindDoc="1" simplePos="0" relativeHeight="268382231">
            <wp:simplePos x="0" y="0"/>
            <wp:positionH relativeFrom="page">
              <wp:posOffset>2474976</wp:posOffset>
            </wp:positionH>
            <wp:positionV relativeFrom="paragraph">
              <wp:posOffset>-645593</wp:posOffset>
            </wp:positionV>
            <wp:extent cx="62483" cy="62483"/>
            <wp:effectExtent l="0" t="0" r="0" b="0"/>
            <wp:wrapNone/>
            <wp:docPr id="67" name="image86.png" descr=""/>
            <wp:cNvGraphicFramePr>
              <a:graphicFrameLocks noChangeAspect="1"/>
            </wp:cNvGraphicFramePr>
            <a:graphic>
              <a:graphicData uri="http://schemas.openxmlformats.org/drawingml/2006/picture">
                <pic:pic>
                  <pic:nvPicPr>
                    <pic:cNvPr id="68" name="image86.png"/>
                    <pic:cNvPicPr/>
                  </pic:nvPicPr>
                  <pic:blipFill>
                    <a:blip r:embed="rId91" cstate="print"/>
                    <a:stretch>
                      <a:fillRect/>
                    </a:stretch>
                  </pic:blipFill>
                  <pic:spPr>
                    <a:xfrm>
                      <a:off x="0" y="0"/>
                      <a:ext cx="62483" cy="62483"/>
                    </a:xfrm>
                    <a:prstGeom prst="rect">
                      <a:avLst/>
                    </a:prstGeom>
                  </pic:spPr>
                </pic:pic>
              </a:graphicData>
            </a:graphic>
          </wp:anchor>
        </w:drawing>
      </w:r>
      <w:r>
        <w:rPr/>
        <w:drawing>
          <wp:anchor distT="0" distB="0" distL="0" distR="0" allowOverlap="1" layoutInCell="1" locked="0" behindDoc="1" simplePos="0" relativeHeight="268382255">
            <wp:simplePos x="0" y="0"/>
            <wp:positionH relativeFrom="page">
              <wp:posOffset>2474976</wp:posOffset>
            </wp:positionH>
            <wp:positionV relativeFrom="paragraph">
              <wp:posOffset>-462713</wp:posOffset>
            </wp:positionV>
            <wp:extent cx="62483" cy="62483"/>
            <wp:effectExtent l="0" t="0" r="0" b="0"/>
            <wp:wrapNone/>
            <wp:docPr id="69" name="image87.png" descr=""/>
            <wp:cNvGraphicFramePr>
              <a:graphicFrameLocks noChangeAspect="1"/>
            </wp:cNvGraphicFramePr>
            <a:graphic>
              <a:graphicData uri="http://schemas.openxmlformats.org/drawingml/2006/picture">
                <pic:pic>
                  <pic:nvPicPr>
                    <pic:cNvPr id="70" name="image87.png"/>
                    <pic:cNvPicPr/>
                  </pic:nvPicPr>
                  <pic:blipFill>
                    <a:blip r:embed="rId92" cstate="print"/>
                    <a:stretch>
                      <a:fillRect/>
                    </a:stretch>
                  </pic:blipFill>
                  <pic:spPr>
                    <a:xfrm>
                      <a:off x="0" y="0"/>
                      <a:ext cx="62483" cy="62483"/>
                    </a:xfrm>
                    <a:prstGeom prst="rect">
                      <a:avLst/>
                    </a:prstGeom>
                  </pic:spPr>
                </pic:pic>
              </a:graphicData>
            </a:graphic>
          </wp:anchor>
        </w:drawing>
      </w:r>
      <w:r>
        <w:rPr/>
        <w:t>De los cuales un 80% de los encuestados afirma que no reside cerca de algún tipo de zona industrial o microempresas que puedan influir en los resultados (Gráfica 9).</w:t>
      </w:r>
    </w:p>
    <w:p>
      <w:pPr>
        <w:pStyle w:val="BodyText"/>
        <w:spacing w:before="5"/>
        <w:ind w:left="1676" w:right="1676"/>
        <w:jc w:val="center"/>
      </w:pPr>
      <w:r>
        <w:rPr/>
        <w:t>Gráfica 9. Distribución de residencia de los sujetos</w:t>
      </w:r>
    </w:p>
    <w:p>
      <w:pPr>
        <w:pStyle w:val="BodyText"/>
        <w:rPr>
          <w:sz w:val="20"/>
        </w:rPr>
      </w:pPr>
    </w:p>
    <w:p>
      <w:pPr>
        <w:pStyle w:val="BodyText"/>
        <w:spacing w:before="9"/>
        <w:rPr>
          <w:sz w:val="23"/>
        </w:rPr>
      </w:pPr>
    </w:p>
    <w:p>
      <w:pPr>
        <w:spacing w:before="64"/>
        <w:ind w:left="2247" w:right="42" w:firstLine="0"/>
        <w:jc w:val="left"/>
        <w:rPr>
          <w:rFonts w:ascii="Calibri" w:hAnsi="Calibri"/>
          <w:sz w:val="18"/>
        </w:rPr>
      </w:pPr>
      <w:r>
        <w:rPr/>
        <w:pict>
          <v:group style="position:absolute;margin-left:293.385010pt;margin-top:-7.615674pt;width:110.9pt;height:66.55pt;mso-position-horizontal-relative:page;mso-position-vertical-relative:paragraph;z-index:2944" coordorigin="5868,-152" coordsize="2218,1331">
            <v:line style="position:absolute" from="6410,-145" to="6410,1170" stroked="true" strokeweight=".72pt" strokecolor="#d3e2f4"/>
            <v:shape style="position:absolute;left:5873;top:647;width:605;height:463" type="#_x0000_t75" stroked="false">
              <v:imagedata r:id="rId93" o:title=""/>
            </v:shape>
            <v:shape style="position:absolute;left:6946;top:-145;width:1073;height:1316" coordorigin="6946,-145" coordsize="1073,1316" path="m6946,-145l6946,1170m7481,-145l7481,1170m8018,-145l8018,1170e" filled="false" stroked="true" strokeweight=".72pt" strokecolor="#d3e2f4">
              <v:path arrowok="t"/>
            </v:shape>
            <v:shape style="position:absolute;left:5873;top:-13;width:2213;height:463" type="#_x0000_t75" stroked="false">
              <v:imagedata r:id="rId94" o:title=""/>
            </v:shape>
            <v:rect style="position:absolute;left:5875;top:678;width:535;height:329" filled="true" fillcolor="#943735" stroked="false">
              <v:fill type="solid"/>
            </v:rect>
            <v:shape style="position:absolute;left:5875;top:18;width:2143;height:329" type="#_x0000_t75" stroked="false">
              <v:imagedata r:id="rId95" o:title=""/>
            </v:shape>
            <v:line style="position:absolute" from="5875,1170" to="5875,-145" stroked="true" strokeweight=".72pt" strokecolor="#d3e2f4"/>
            <w10:wrap type="none"/>
          </v:group>
        </w:pict>
      </w:r>
      <w:r>
        <w:rPr/>
        <w:pict>
          <v:line style="position:absolute;mso-position-horizontal-relative:page;mso-position-vertical-relative:paragraph;z-index:2968" from="427.679993pt,-7.240674pt" to="427.679993pt,58.519326pt" stroked="true" strokeweight=".72pt" strokecolor="#d3e2f4">
            <w10:wrap type="none"/>
          </v:line>
        </w:pict>
      </w:r>
      <w:r>
        <w:rPr>
          <w:rFonts w:ascii="Calibri" w:hAnsi="Calibri"/>
          <w:color w:val="1F487C"/>
          <w:sz w:val="18"/>
        </w:rPr>
        <w:t>FÁBRICAS CERCANAS NIEGAN</w:t>
      </w:r>
    </w:p>
    <w:p>
      <w:pPr>
        <w:pStyle w:val="BodyText"/>
        <w:rPr>
          <w:rFonts w:ascii="Calibri"/>
          <w:sz w:val="20"/>
        </w:rPr>
      </w:pPr>
    </w:p>
    <w:p>
      <w:pPr>
        <w:pStyle w:val="BodyText"/>
        <w:spacing w:before="11"/>
        <w:rPr>
          <w:rFonts w:ascii="Calibri"/>
          <w:sz w:val="15"/>
        </w:rPr>
      </w:pPr>
    </w:p>
    <w:p>
      <w:pPr>
        <w:spacing w:before="0"/>
        <w:ind w:left="2085" w:right="42" w:firstLine="0"/>
        <w:jc w:val="left"/>
        <w:rPr>
          <w:rFonts w:ascii="Calibri" w:hAnsi="Calibri"/>
          <w:sz w:val="18"/>
        </w:rPr>
      </w:pPr>
      <w:r>
        <w:rPr>
          <w:rFonts w:ascii="Calibri" w:hAnsi="Calibri"/>
          <w:color w:val="1F487C"/>
          <w:sz w:val="18"/>
        </w:rPr>
        <w:t>FÁBRICAS CERCANAS AFIRMAN</w:t>
      </w:r>
    </w:p>
    <w:p>
      <w:pPr>
        <w:pStyle w:val="BodyText"/>
        <w:spacing w:before="11"/>
        <w:rPr>
          <w:rFonts w:ascii="Calibri"/>
          <w:sz w:val="22"/>
        </w:rPr>
      </w:pPr>
    </w:p>
    <w:p>
      <w:pPr>
        <w:tabs>
          <w:tab w:pos="4955" w:val="left" w:leader="none"/>
          <w:tab w:pos="5491" w:val="left" w:leader="none"/>
          <w:tab w:pos="6027" w:val="left" w:leader="none"/>
          <w:tab w:pos="6563" w:val="left" w:leader="none"/>
        </w:tabs>
        <w:spacing w:before="63"/>
        <w:ind w:left="4465" w:right="42" w:firstLine="0"/>
        <w:jc w:val="left"/>
        <w:rPr>
          <w:rFonts w:ascii="Calibri"/>
          <w:sz w:val="18"/>
        </w:rPr>
      </w:pPr>
      <w:r>
        <w:rPr>
          <w:rFonts w:ascii="Calibri"/>
          <w:color w:val="1F487C"/>
          <w:sz w:val="18"/>
        </w:rPr>
        <w:t>0%</w:t>
        <w:tab/>
        <w:t>20%</w:t>
        <w:tab/>
        <w:t>40%</w:t>
        <w:tab/>
        <w:t>60%</w:t>
        <w:tab/>
        <w:t>80%   </w:t>
      </w:r>
      <w:r>
        <w:rPr>
          <w:rFonts w:ascii="Calibri"/>
          <w:color w:val="1F487C"/>
          <w:spacing w:val="10"/>
          <w:sz w:val="18"/>
        </w:rPr>
        <w:t> </w:t>
      </w:r>
      <w:r>
        <w:rPr>
          <w:rFonts w:ascii="Calibri"/>
          <w:color w:val="1F487C"/>
          <w:sz w:val="18"/>
        </w:rPr>
        <w:t>100%</w:t>
      </w:r>
    </w:p>
    <w:p>
      <w:pPr>
        <w:pStyle w:val="BodyText"/>
        <w:spacing w:before="10"/>
        <w:rPr>
          <w:rFonts w:ascii="Calibri"/>
          <w:sz w:val="16"/>
        </w:rPr>
      </w:pPr>
    </w:p>
    <w:p>
      <w:pPr>
        <w:pStyle w:val="BodyText"/>
        <w:spacing w:line="360" w:lineRule="auto" w:before="69"/>
        <w:ind w:left="118" w:right="112"/>
        <w:jc w:val="both"/>
      </w:pPr>
      <w:r>
        <w:rPr/>
        <w:t>De</w:t>
      </w:r>
      <w:r>
        <w:rPr>
          <w:spacing w:val="-13"/>
        </w:rPr>
        <w:t> </w:t>
      </w:r>
      <w:r>
        <w:rPr/>
        <w:t>acuerdo</w:t>
      </w:r>
      <w:r>
        <w:rPr>
          <w:spacing w:val="-12"/>
        </w:rPr>
        <w:t> </w:t>
      </w:r>
      <w:r>
        <w:rPr/>
        <w:t>a</w:t>
      </w:r>
      <w:r>
        <w:rPr>
          <w:spacing w:val="-13"/>
        </w:rPr>
        <w:t> </w:t>
      </w:r>
      <w:r>
        <w:rPr/>
        <w:t>la</w:t>
      </w:r>
      <w:r>
        <w:rPr>
          <w:spacing w:val="-13"/>
        </w:rPr>
        <w:t> </w:t>
      </w:r>
      <w:r>
        <w:rPr/>
        <w:t>categoría</w:t>
      </w:r>
      <w:r>
        <w:rPr>
          <w:spacing w:val="-13"/>
        </w:rPr>
        <w:t> </w:t>
      </w:r>
      <w:r>
        <w:rPr/>
        <w:t>de</w:t>
      </w:r>
      <w:r>
        <w:rPr>
          <w:spacing w:val="-13"/>
        </w:rPr>
        <w:t> </w:t>
      </w:r>
      <w:r>
        <w:rPr/>
        <w:t>hábitos</w:t>
      </w:r>
      <w:r>
        <w:rPr>
          <w:spacing w:val="-14"/>
        </w:rPr>
        <w:t> </w:t>
      </w:r>
      <w:r>
        <w:rPr/>
        <w:t>de</w:t>
      </w:r>
      <w:r>
        <w:rPr>
          <w:spacing w:val="-13"/>
        </w:rPr>
        <w:t> </w:t>
      </w:r>
      <w:r>
        <w:rPr/>
        <w:t>higiene,</w:t>
      </w:r>
      <w:r>
        <w:rPr>
          <w:spacing w:val="-13"/>
        </w:rPr>
        <w:t> </w:t>
      </w:r>
      <w:r>
        <w:rPr/>
        <w:t>donde</w:t>
      </w:r>
      <w:r>
        <w:rPr>
          <w:spacing w:val="-13"/>
        </w:rPr>
        <w:t> </w:t>
      </w:r>
      <w:r>
        <w:rPr/>
        <w:t>el</w:t>
      </w:r>
      <w:r>
        <w:rPr>
          <w:spacing w:val="-14"/>
        </w:rPr>
        <w:t> </w:t>
      </w:r>
      <w:r>
        <w:rPr/>
        <w:t>40%</w:t>
      </w:r>
      <w:r>
        <w:rPr>
          <w:spacing w:val="-14"/>
        </w:rPr>
        <w:t> </w:t>
      </w:r>
      <w:r>
        <w:rPr/>
        <w:t>de</w:t>
      </w:r>
      <w:r>
        <w:rPr>
          <w:spacing w:val="-13"/>
        </w:rPr>
        <w:t> </w:t>
      </w:r>
      <w:r>
        <w:rPr/>
        <w:t>los</w:t>
      </w:r>
      <w:r>
        <w:rPr>
          <w:spacing w:val="-16"/>
        </w:rPr>
        <w:t> </w:t>
      </w:r>
      <w:r>
        <w:rPr/>
        <w:t>pacientes</w:t>
      </w:r>
      <w:r>
        <w:rPr>
          <w:spacing w:val="-14"/>
        </w:rPr>
        <w:t> </w:t>
      </w:r>
      <w:r>
        <w:rPr/>
        <w:t>se</w:t>
      </w:r>
      <w:r>
        <w:rPr>
          <w:spacing w:val="-13"/>
        </w:rPr>
        <w:t> </w:t>
      </w:r>
      <w:r>
        <w:rPr/>
        <w:t>cepilla los</w:t>
      </w:r>
      <w:r>
        <w:rPr>
          <w:spacing w:val="-4"/>
        </w:rPr>
        <w:t> </w:t>
      </w:r>
      <w:r>
        <w:rPr/>
        <w:t>dientes</w:t>
      </w:r>
      <w:r>
        <w:rPr>
          <w:spacing w:val="-4"/>
        </w:rPr>
        <w:t> </w:t>
      </w:r>
      <w:r>
        <w:rPr/>
        <w:t>una</w:t>
      </w:r>
      <w:r>
        <w:rPr>
          <w:spacing w:val="-4"/>
        </w:rPr>
        <w:t> </w:t>
      </w:r>
      <w:r>
        <w:rPr/>
        <w:t>vez</w:t>
      </w:r>
      <w:r>
        <w:rPr>
          <w:spacing w:val="-6"/>
        </w:rPr>
        <w:t> </w:t>
      </w:r>
      <w:r>
        <w:rPr/>
        <w:t>al</w:t>
      </w:r>
      <w:r>
        <w:rPr>
          <w:spacing w:val="-5"/>
        </w:rPr>
        <w:t> </w:t>
      </w:r>
      <w:r>
        <w:rPr/>
        <w:t>día,</w:t>
      </w:r>
      <w:r>
        <w:rPr>
          <w:spacing w:val="-4"/>
        </w:rPr>
        <w:t> </w:t>
      </w:r>
      <w:r>
        <w:rPr/>
        <w:t>otro</w:t>
      </w:r>
      <w:r>
        <w:rPr>
          <w:spacing w:val="-4"/>
        </w:rPr>
        <w:t> </w:t>
      </w:r>
      <w:r>
        <w:rPr/>
        <w:t>40%</w:t>
      </w:r>
      <w:r>
        <w:rPr>
          <w:spacing w:val="-4"/>
        </w:rPr>
        <w:t> </w:t>
      </w:r>
      <w:r>
        <w:rPr/>
        <w:t>lo</w:t>
      </w:r>
      <w:r>
        <w:rPr>
          <w:spacing w:val="-4"/>
        </w:rPr>
        <w:t> </w:t>
      </w:r>
      <w:r>
        <w:rPr/>
        <w:t>realiza</w:t>
      </w:r>
      <w:r>
        <w:rPr>
          <w:spacing w:val="-4"/>
        </w:rPr>
        <w:t> </w:t>
      </w:r>
      <w:r>
        <w:rPr/>
        <w:t>dos</w:t>
      </w:r>
      <w:r>
        <w:rPr>
          <w:spacing w:val="-4"/>
        </w:rPr>
        <w:t> </w:t>
      </w:r>
      <w:r>
        <w:rPr/>
        <w:t>veces</w:t>
      </w:r>
      <w:r>
        <w:rPr>
          <w:spacing w:val="-4"/>
        </w:rPr>
        <w:t> </w:t>
      </w:r>
      <w:r>
        <w:rPr/>
        <w:t>al</w:t>
      </w:r>
      <w:r>
        <w:rPr>
          <w:spacing w:val="-5"/>
        </w:rPr>
        <w:t> </w:t>
      </w:r>
      <w:r>
        <w:rPr/>
        <w:t>día</w:t>
      </w:r>
      <w:r>
        <w:rPr>
          <w:spacing w:val="-4"/>
        </w:rPr>
        <w:t> </w:t>
      </w:r>
      <w:r>
        <w:rPr/>
        <w:t>y</w:t>
      </w:r>
      <w:r>
        <w:rPr>
          <w:spacing w:val="-6"/>
        </w:rPr>
        <w:t> </w:t>
      </w:r>
      <w:r>
        <w:rPr/>
        <w:t>el</w:t>
      </w:r>
      <w:r>
        <w:rPr>
          <w:spacing w:val="-5"/>
        </w:rPr>
        <w:t> </w:t>
      </w:r>
      <w:r>
        <w:rPr/>
        <w:t>20%</w:t>
      </w:r>
      <w:r>
        <w:rPr>
          <w:spacing w:val="-4"/>
        </w:rPr>
        <w:t> </w:t>
      </w:r>
      <w:r>
        <w:rPr/>
        <w:t>lo</w:t>
      </w:r>
      <w:r>
        <w:rPr>
          <w:spacing w:val="-4"/>
        </w:rPr>
        <w:t> </w:t>
      </w:r>
      <w:r>
        <w:rPr/>
        <w:t>realiza</w:t>
      </w:r>
      <w:r>
        <w:rPr>
          <w:spacing w:val="-4"/>
        </w:rPr>
        <w:t> </w:t>
      </w:r>
      <w:r>
        <w:rPr/>
        <w:t>de</w:t>
      </w:r>
      <w:r>
        <w:rPr>
          <w:spacing w:val="-4"/>
        </w:rPr>
        <w:t> </w:t>
      </w:r>
      <w:r>
        <w:rPr/>
        <w:t>tres o más veces al día (Gráfica</w:t>
      </w:r>
      <w:r>
        <w:rPr>
          <w:spacing w:val="-6"/>
        </w:rPr>
        <w:t> </w:t>
      </w:r>
      <w:r>
        <w:rPr/>
        <w:t>10).</w:t>
      </w:r>
    </w:p>
    <w:p>
      <w:pPr>
        <w:pStyle w:val="BodyText"/>
        <w:spacing w:before="2"/>
        <w:ind w:left="2665" w:right="42"/>
      </w:pPr>
      <w:r>
        <w:rPr/>
        <w:pict>
          <v:line style="position:absolute;mso-position-horizontal-relative:page;mso-position-vertical-relative:paragraph;z-index:3064" from="430.079987pt,22.92585pt" to="430.079987pt,99.60585pt" stroked="true" strokeweight=".72pt" strokecolor="#d3e2f4">
            <w10:wrap type="none"/>
          </v:line>
        </w:pict>
      </w:r>
      <w:r>
        <w:rPr/>
        <w:t>Gráfica 10. Distribución de higiene bucal</w:t>
      </w:r>
    </w:p>
    <w:p>
      <w:pPr>
        <w:pStyle w:val="BodyText"/>
        <w:spacing w:before="7"/>
        <w:rPr>
          <w:sz w:val="11"/>
        </w:rPr>
      </w:pPr>
      <w:r>
        <w:rPr/>
        <w:pict>
          <v:group style="position:absolute;margin-left:203.264999pt;margin-top:8.652021pt;width:184.95pt;height:77.45pt;mso-position-horizontal-relative:page;mso-position-vertical-relative:paragraph;z-index:2872;mso-wrap-distance-left:0;mso-wrap-distance-right:0" coordorigin="4065,173" coordsize="3699,1549">
            <v:line style="position:absolute" from="4073,181" to="4073,1714" stroked="true" strokeweight=".72pt" strokecolor="#d3e2f4"/>
            <v:line style="position:absolute" from="4980,181" to="4980,1714" stroked="true" strokeweight=".72pt" strokecolor="#d3e2f4"/>
            <v:line style="position:absolute" from="5885,181" to="5885,1714" stroked="true" strokeweight=".72pt" strokecolor="#d3e2f4"/>
            <v:line style="position:absolute" from="6790,181" to="6790,1714" stroked="true" strokeweight=".72pt" strokecolor="#d3e2f4"/>
            <v:line style="position:absolute" from="7697,181" to="7697,1714" stroked="true" strokeweight=".72pt" strokecolor="#d3e2f4"/>
            <v:shape style="position:absolute;left:4073;top:1109;width:3691;height:516" type="#_x0000_t75" stroked="false">
              <v:imagedata r:id="rId96" o:title=""/>
            </v:shape>
            <v:shape style="position:absolute;left:4073;top:725;width:3691;height:518" type="#_x0000_t75" stroked="false">
              <v:imagedata r:id="rId97" o:title=""/>
            </v:shape>
            <v:shape style="position:absolute;left:4073;top:341;width:1879;height:518" type="#_x0000_t75" stroked="false">
              <v:imagedata r:id="rId98" o:title=""/>
            </v:shape>
            <v:shape style="position:absolute;left:4073;top:1141;width:3624;height:382" type="#_x0000_t75" stroked="false">
              <v:imagedata r:id="rId99" o:title=""/>
            </v:shape>
            <v:shape style="position:absolute;left:4073;top:757;width:3624;height:384" type="#_x0000_t75" stroked="false">
              <v:imagedata r:id="rId100" o:title=""/>
            </v:shape>
            <v:shape style="position:absolute;left:4073;top:373;width:1812;height:384" type="#_x0000_t75" stroked="false">
              <v:imagedata r:id="rId101" o:title=""/>
            </v:shape>
            <w10:wrap type="topAndBottom"/>
          </v:group>
        </w:pict>
      </w:r>
    </w:p>
    <w:p>
      <w:pPr>
        <w:spacing w:before="74"/>
        <w:ind w:left="1706" w:right="0" w:firstLine="0"/>
        <w:jc w:val="center"/>
        <w:rPr>
          <w:rFonts w:ascii="Calibri"/>
          <w:sz w:val="18"/>
        </w:rPr>
      </w:pPr>
      <w:r>
        <w:rPr>
          <w:rFonts w:ascii="Calibri"/>
          <w:color w:val="1F487C"/>
          <w:sz w:val="18"/>
        </w:rPr>
        <w:t>1</w:t>
      </w:r>
    </w:p>
    <w:p>
      <w:pPr>
        <w:tabs>
          <w:tab w:pos="5517" w:val="left" w:leader="none"/>
        </w:tabs>
        <w:spacing w:before="24"/>
        <w:ind w:left="2979" w:right="42" w:firstLine="0"/>
        <w:jc w:val="left"/>
        <w:rPr>
          <w:rFonts w:ascii="Calibri" w:hAnsi="Calibri"/>
          <w:sz w:val="18"/>
        </w:rPr>
      </w:pPr>
      <w:r>
        <w:rPr/>
        <w:pict>
          <v:line style="position:absolute;mso-position-horizontal-relative:page;mso-position-vertical-relative:paragraph;z-index:2896;mso-wrap-distance-left:0;mso-wrap-distance-right:0" from="203.639999pt,14.779328pt" to="430.079999pt,14.779328pt" stroked="true" strokeweight=".72pt" strokecolor="#d3e2f4">
            <w10:wrap type="topAndBottom"/>
          </v:line>
        </w:pict>
      </w:r>
      <w:r>
        <w:rPr/>
        <w:drawing>
          <wp:anchor distT="0" distB="0" distL="0" distR="0" allowOverlap="1" layoutInCell="1" locked="0" behindDoc="0" simplePos="0" relativeHeight="3088">
            <wp:simplePos x="0" y="0"/>
            <wp:positionH relativeFrom="page">
              <wp:posOffset>2627376</wp:posOffset>
            </wp:positionH>
            <wp:positionV relativeFrom="paragraph">
              <wp:posOffset>62729</wp:posOffset>
            </wp:positionV>
            <wp:extent cx="62483" cy="62483"/>
            <wp:effectExtent l="0" t="0" r="0" b="0"/>
            <wp:wrapNone/>
            <wp:docPr id="71" name="image97.png" descr=""/>
            <wp:cNvGraphicFramePr>
              <a:graphicFrameLocks noChangeAspect="1"/>
            </wp:cNvGraphicFramePr>
            <a:graphic>
              <a:graphicData uri="http://schemas.openxmlformats.org/drawingml/2006/picture">
                <pic:pic>
                  <pic:nvPicPr>
                    <pic:cNvPr id="72" name="image97.png"/>
                    <pic:cNvPicPr/>
                  </pic:nvPicPr>
                  <pic:blipFill>
                    <a:blip r:embed="rId102" cstate="print"/>
                    <a:stretch>
                      <a:fillRect/>
                    </a:stretch>
                  </pic:blipFill>
                  <pic:spPr>
                    <a:xfrm>
                      <a:off x="0" y="0"/>
                      <a:ext cx="62483" cy="62483"/>
                    </a:xfrm>
                    <a:prstGeom prst="rect">
                      <a:avLst/>
                    </a:prstGeom>
                  </pic:spPr>
                </pic:pic>
              </a:graphicData>
            </a:graphic>
          </wp:anchor>
        </w:drawing>
      </w:r>
      <w:r>
        <w:rPr/>
        <w:drawing>
          <wp:anchor distT="0" distB="0" distL="0" distR="0" allowOverlap="1" layoutInCell="1" locked="0" behindDoc="0" simplePos="0" relativeHeight="3112">
            <wp:simplePos x="0" y="0"/>
            <wp:positionH relativeFrom="page">
              <wp:posOffset>2627376</wp:posOffset>
            </wp:positionH>
            <wp:positionV relativeFrom="paragraph">
              <wp:posOffset>245609</wp:posOffset>
            </wp:positionV>
            <wp:extent cx="62483" cy="62483"/>
            <wp:effectExtent l="0" t="0" r="0" b="0"/>
            <wp:wrapNone/>
            <wp:docPr id="73" name="image86.png" descr=""/>
            <wp:cNvGraphicFramePr>
              <a:graphicFrameLocks noChangeAspect="1"/>
            </wp:cNvGraphicFramePr>
            <a:graphic>
              <a:graphicData uri="http://schemas.openxmlformats.org/drawingml/2006/picture">
                <pic:pic>
                  <pic:nvPicPr>
                    <pic:cNvPr id="74" name="image86.png"/>
                    <pic:cNvPicPr/>
                  </pic:nvPicPr>
                  <pic:blipFill>
                    <a:blip r:embed="rId91" cstate="print"/>
                    <a:stretch>
                      <a:fillRect/>
                    </a:stretch>
                  </pic:blipFill>
                  <pic:spPr>
                    <a:xfrm>
                      <a:off x="0" y="0"/>
                      <a:ext cx="62483" cy="62483"/>
                    </a:xfrm>
                    <a:prstGeom prst="rect">
                      <a:avLst/>
                    </a:prstGeom>
                  </pic:spPr>
                </pic:pic>
              </a:graphicData>
            </a:graphic>
          </wp:anchor>
        </w:drawing>
      </w:r>
      <w:r>
        <w:rPr>
          <w:rFonts w:ascii="Calibri" w:hAnsi="Calibri"/>
          <w:color w:val="1F487C"/>
          <w:position w:val="1"/>
          <w:sz w:val="18"/>
        </w:rPr>
        <w:t>3 veces</w:t>
      </w:r>
      <w:r>
        <w:rPr>
          <w:rFonts w:ascii="Calibri" w:hAnsi="Calibri"/>
          <w:color w:val="1F487C"/>
          <w:spacing w:val="-2"/>
          <w:position w:val="1"/>
          <w:sz w:val="18"/>
        </w:rPr>
        <w:t> </w:t>
      </w:r>
      <w:r>
        <w:rPr>
          <w:rFonts w:ascii="Calibri" w:hAnsi="Calibri"/>
          <w:color w:val="1F487C"/>
          <w:position w:val="1"/>
          <w:sz w:val="18"/>
        </w:rPr>
        <w:t>al</w:t>
      </w:r>
      <w:r>
        <w:rPr>
          <w:rFonts w:ascii="Calibri" w:hAnsi="Calibri"/>
          <w:color w:val="1F487C"/>
          <w:spacing w:val="-1"/>
          <w:position w:val="1"/>
          <w:sz w:val="18"/>
        </w:rPr>
        <w:t> </w:t>
      </w:r>
      <w:r>
        <w:rPr>
          <w:rFonts w:ascii="Calibri" w:hAnsi="Calibri"/>
          <w:color w:val="1F487C"/>
          <w:position w:val="1"/>
          <w:sz w:val="18"/>
        </w:rPr>
        <w:t>día</w:t>
        <w:tab/>
      </w:r>
      <w:r>
        <w:rPr>
          <w:rFonts w:ascii="Calibri" w:hAnsi="Calibri"/>
          <w:color w:val="1F487C"/>
          <w:sz w:val="18"/>
        </w:rPr>
        <w:t>20%</w:t>
      </w:r>
    </w:p>
    <w:p>
      <w:pPr>
        <w:tabs>
          <w:tab w:pos="5517" w:val="left" w:leader="none"/>
        </w:tabs>
        <w:spacing w:before="0" w:after="35"/>
        <w:ind w:left="2979" w:right="42" w:firstLine="0"/>
        <w:jc w:val="left"/>
        <w:rPr>
          <w:rFonts w:ascii="Calibri" w:hAnsi="Calibri"/>
          <w:sz w:val="18"/>
        </w:rPr>
      </w:pPr>
      <w:r>
        <w:rPr>
          <w:rFonts w:ascii="Calibri" w:hAnsi="Calibri"/>
          <w:color w:val="1F487C"/>
          <w:sz w:val="18"/>
        </w:rPr>
        <w:t>2 veces</w:t>
      </w:r>
      <w:r>
        <w:rPr>
          <w:rFonts w:ascii="Calibri" w:hAnsi="Calibri"/>
          <w:color w:val="1F487C"/>
          <w:spacing w:val="-2"/>
          <w:sz w:val="18"/>
        </w:rPr>
        <w:t> </w:t>
      </w:r>
      <w:r>
        <w:rPr>
          <w:rFonts w:ascii="Calibri" w:hAnsi="Calibri"/>
          <w:color w:val="1F487C"/>
          <w:sz w:val="18"/>
        </w:rPr>
        <w:t>al</w:t>
      </w:r>
      <w:r>
        <w:rPr>
          <w:rFonts w:ascii="Calibri" w:hAnsi="Calibri"/>
          <w:color w:val="1F487C"/>
          <w:spacing w:val="-1"/>
          <w:sz w:val="18"/>
        </w:rPr>
        <w:t> </w:t>
      </w:r>
      <w:r>
        <w:rPr>
          <w:rFonts w:ascii="Calibri" w:hAnsi="Calibri"/>
          <w:color w:val="1F487C"/>
          <w:sz w:val="18"/>
        </w:rPr>
        <w:t>día</w:t>
        <w:tab/>
        <w:t>40%</w:t>
      </w:r>
    </w:p>
    <w:p>
      <w:pPr>
        <w:pStyle w:val="BodyText"/>
        <w:spacing w:line="20" w:lineRule="exact"/>
        <w:ind w:left="2765"/>
        <w:rPr>
          <w:rFonts w:ascii="Calibri"/>
          <w:sz w:val="2"/>
        </w:rPr>
      </w:pPr>
      <w:r>
        <w:rPr>
          <w:rFonts w:ascii="Calibri"/>
          <w:sz w:val="2"/>
        </w:rPr>
        <w:pict>
          <v:group style="width:227.2pt;height:.75pt;mso-position-horizontal-relative:char;mso-position-vertical-relative:line" coordorigin="0,0" coordsize="4544,15">
            <v:line style="position:absolute" from="8,7" to="4536,7" stroked="true" strokeweight=".72pt" strokecolor="#d3e2f4"/>
          </v:group>
        </w:pict>
      </w:r>
      <w:r>
        <w:rPr>
          <w:rFonts w:ascii="Calibri"/>
          <w:sz w:val="2"/>
        </w:rPr>
      </w:r>
    </w:p>
    <w:p>
      <w:pPr>
        <w:tabs>
          <w:tab w:pos="5517" w:val="left" w:leader="none"/>
        </w:tabs>
        <w:spacing w:before="12"/>
        <w:ind w:left="2979" w:right="42" w:firstLine="0"/>
        <w:jc w:val="left"/>
        <w:rPr>
          <w:rFonts w:ascii="Calibri"/>
          <w:sz w:val="18"/>
        </w:rPr>
      </w:pPr>
      <w:r>
        <w:rPr/>
        <w:drawing>
          <wp:anchor distT="0" distB="0" distL="0" distR="0" allowOverlap="1" layoutInCell="1" locked="0" behindDoc="0" simplePos="0" relativeHeight="3136">
            <wp:simplePos x="0" y="0"/>
            <wp:positionH relativeFrom="page">
              <wp:posOffset>2627376</wp:posOffset>
            </wp:positionH>
            <wp:positionV relativeFrom="paragraph">
              <wp:posOffset>48505</wp:posOffset>
            </wp:positionV>
            <wp:extent cx="62483" cy="62483"/>
            <wp:effectExtent l="0" t="0" r="0" b="0"/>
            <wp:wrapNone/>
            <wp:docPr id="75" name="image87.png" descr=""/>
            <wp:cNvGraphicFramePr>
              <a:graphicFrameLocks noChangeAspect="1"/>
            </wp:cNvGraphicFramePr>
            <a:graphic>
              <a:graphicData uri="http://schemas.openxmlformats.org/drawingml/2006/picture">
                <pic:pic>
                  <pic:nvPicPr>
                    <pic:cNvPr id="76" name="image87.png"/>
                    <pic:cNvPicPr/>
                  </pic:nvPicPr>
                  <pic:blipFill>
                    <a:blip r:embed="rId92" cstate="print"/>
                    <a:stretch>
                      <a:fillRect/>
                    </a:stretch>
                  </pic:blipFill>
                  <pic:spPr>
                    <a:xfrm>
                      <a:off x="0" y="0"/>
                      <a:ext cx="62483" cy="62483"/>
                    </a:xfrm>
                    <a:prstGeom prst="rect">
                      <a:avLst/>
                    </a:prstGeom>
                  </pic:spPr>
                </pic:pic>
              </a:graphicData>
            </a:graphic>
          </wp:anchor>
        </w:drawing>
      </w:r>
      <w:r>
        <w:rPr>
          <w:rFonts w:ascii="Calibri"/>
          <w:color w:val="1F487C"/>
          <w:sz w:val="18"/>
        </w:rPr>
        <w:t>1 vez</w:t>
      </w:r>
      <w:r>
        <w:rPr>
          <w:rFonts w:ascii="Calibri"/>
          <w:color w:val="1F487C"/>
          <w:spacing w:val="-2"/>
          <w:sz w:val="18"/>
        </w:rPr>
        <w:t> </w:t>
      </w:r>
      <w:r>
        <w:rPr>
          <w:rFonts w:ascii="Calibri"/>
          <w:color w:val="1F487C"/>
          <w:sz w:val="18"/>
        </w:rPr>
        <w:t>al</w:t>
      </w:r>
      <w:r>
        <w:rPr>
          <w:rFonts w:ascii="Calibri"/>
          <w:color w:val="1F487C"/>
          <w:spacing w:val="-1"/>
          <w:sz w:val="18"/>
        </w:rPr>
        <w:t> </w:t>
      </w:r>
      <w:r>
        <w:rPr>
          <w:rFonts w:ascii="Calibri"/>
          <w:color w:val="1F487C"/>
          <w:sz w:val="18"/>
        </w:rPr>
        <w:t>dia</w:t>
        <w:tab/>
        <w:t>40%</w:t>
      </w:r>
    </w:p>
    <w:p>
      <w:pPr>
        <w:spacing w:after="0"/>
        <w:jc w:val="left"/>
        <w:rPr>
          <w:rFonts w:ascii="Calibri"/>
          <w:sz w:val="18"/>
        </w:rPr>
        <w:sectPr>
          <w:pgSz w:w="12240" w:h="15840"/>
          <w:pgMar w:header="0" w:footer="887" w:top="1360" w:bottom="1140" w:left="1300" w:right="1300"/>
        </w:sectPr>
      </w:pPr>
    </w:p>
    <w:p>
      <w:pPr>
        <w:pStyle w:val="BodyText"/>
        <w:spacing w:line="360" w:lineRule="auto" w:before="56"/>
        <w:ind w:left="118" w:right="42"/>
      </w:pPr>
      <w:r>
        <w:rPr/>
        <w:t>Mientras que el individuo que ejecuta el cepillado dental del paciente, el 60% lo realiza el cuidador principal (la madre), el 40% corresponde al niño (Gráfica 11).</w:t>
      </w:r>
    </w:p>
    <w:p>
      <w:pPr>
        <w:pStyle w:val="BodyText"/>
        <w:spacing w:before="5"/>
        <w:ind w:left="1038" w:right="42"/>
      </w:pPr>
      <w:r>
        <w:rPr/>
        <w:t>Gráfica 11. Distribución según el individuo que lleva a cabo el cepillado</w:t>
      </w:r>
    </w:p>
    <w:p>
      <w:pPr>
        <w:pStyle w:val="BodyText"/>
        <w:rPr>
          <w:sz w:val="20"/>
        </w:rPr>
      </w:pPr>
    </w:p>
    <w:p>
      <w:pPr>
        <w:pStyle w:val="BodyText"/>
        <w:rPr>
          <w:sz w:val="20"/>
        </w:rPr>
      </w:pPr>
    </w:p>
    <w:p>
      <w:pPr>
        <w:pStyle w:val="BodyText"/>
        <w:rPr>
          <w:sz w:val="20"/>
        </w:rPr>
      </w:pPr>
    </w:p>
    <w:p>
      <w:pPr>
        <w:pStyle w:val="BodyText"/>
        <w:spacing w:before="10"/>
        <w:rPr>
          <w:sz w:val="18"/>
        </w:rPr>
      </w:pPr>
    </w:p>
    <w:p>
      <w:pPr>
        <w:tabs>
          <w:tab w:pos="6173" w:val="left" w:leader="none"/>
        </w:tabs>
        <w:spacing w:before="1"/>
        <w:ind w:left="2544" w:right="42" w:firstLine="0"/>
        <w:jc w:val="left"/>
        <w:rPr>
          <w:rFonts w:ascii="Calibri"/>
          <w:sz w:val="18"/>
        </w:rPr>
      </w:pPr>
      <w:r>
        <w:rPr/>
        <w:pict>
          <v:group style="position:absolute;margin-left:224.505005pt;margin-top:-17.795664pt;width:146.9pt;height:94.6pt;mso-position-horizontal-relative:page;mso-position-vertical-relative:paragraph;z-index:-53056" coordorigin="4490,-356" coordsize="2938,1892">
            <v:shape style="position:absolute;left:5450;top:-348;width:953;height:1877" coordorigin="5450,-348" coordsize="953,1877" path="m5450,-348l5450,1528m6403,-348l6403,1528e" filled="false" stroked="true" strokeweight=".72pt" strokecolor="#d3e2f4">
              <v:path arrowok="t"/>
            </v:shape>
            <v:shape style="position:absolute;left:4498;top:794;width:1973;height:602" type="#_x0000_t75" stroked="false">
              <v:imagedata r:id="rId103" o:title=""/>
            </v:shape>
            <v:line style="position:absolute" from="7354,-348" to="7354,1528" stroked="true" strokeweight=".72pt" strokecolor="#d3e2f4"/>
            <v:shape style="position:absolute;left:4498;top:-152;width:2930;height:617" type="#_x0000_t75" stroked="false">
              <v:imagedata r:id="rId104" o:title=""/>
            </v:shape>
            <v:shape style="position:absolute;left:4498;top:825;width:1906;height:468" type="#_x0000_t75" stroked="false">
              <v:imagedata r:id="rId105" o:title=""/>
            </v:shape>
            <v:shape style="position:absolute;left:4498;top:-113;width:2856;height:468" type="#_x0000_t75" stroked="false">
              <v:imagedata r:id="rId106" o:title=""/>
            </v:shape>
            <v:rect style="position:absolute;left:4498;top:-113;width:2856;height:468" filled="false" stroked="true" strokeweight=".72pt" strokecolor="#97b853"/>
            <v:line style="position:absolute" from="4498,1528" to="4498,-348" stroked="true" strokeweight=".72pt" strokecolor="#d3e2f4"/>
            <v:shape style="position:absolute;left:6522;top:985;width:312;height:180" type="#_x0000_t202" filled="false" stroked="false">
              <v:textbox inset="0,0,0,0">
                <w:txbxContent>
                  <w:p>
                    <w:pPr>
                      <w:spacing w:line="180" w:lineRule="exact" w:before="0"/>
                      <w:ind w:left="0" w:right="-20" w:firstLine="0"/>
                      <w:jc w:val="left"/>
                      <w:rPr>
                        <w:rFonts w:ascii="Calibri"/>
                        <w:sz w:val="18"/>
                      </w:rPr>
                    </w:pPr>
                    <w:r>
                      <w:rPr>
                        <w:rFonts w:ascii="Calibri"/>
                        <w:color w:val="1F487C"/>
                        <w:sz w:val="18"/>
                      </w:rPr>
                      <w:t>40%</w:t>
                    </w:r>
                  </w:p>
                </w:txbxContent>
              </v:textbox>
              <w10:wrap type="none"/>
            </v:shape>
            <w10:wrap type="none"/>
          </v:group>
        </w:pict>
      </w:r>
      <w:r>
        <w:rPr/>
        <w:pict>
          <v:line style="position:absolute;mso-position-horizontal-relative:page;mso-position-vertical-relative:paragraph;z-index:3208" from="415.320007pt,-17.420664pt" to="415.320007pt,76.419336pt" stroked="true" strokeweight=".72pt" strokecolor="#d3e2f4">
            <w10:wrap type="none"/>
          </v:line>
        </w:pict>
      </w:r>
      <w:r>
        <w:rPr>
          <w:rFonts w:ascii="Calibri"/>
          <w:color w:val="1F487C"/>
          <w:position w:val="1"/>
          <w:sz w:val="18"/>
        </w:rPr>
        <w:t>Madre</w:t>
        <w:tab/>
      </w:r>
      <w:r>
        <w:rPr>
          <w:rFonts w:ascii="Calibri"/>
          <w:color w:val="1F487C"/>
          <w:sz w:val="18"/>
        </w:rPr>
        <w:t>60%</w:t>
      </w:r>
    </w:p>
    <w:p>
      <w:pPr>
        <w:pStyle w:val="BodyText"/>
        <w:rPr>
          <w:rFonts w:ascii="Calibri"/>
          <w:sz w:val="20"/>
        </w:rPr>
      </w:pPr>
    </w:p>
    <w:p>
      <w:pPr>
        <w:pStyle w:val="BodyText"/>
        <w:rPr>
          <w:rFonts w:ascii="Calibri"/>
          <w:sz w:val="20"/>
        </w:rPr>
      </w:pPr>
    </w:p>
    <w:p>
      <w:pPr>
        <w:pStyle w:val="BodyText"/>
        <w:rPr>
          <w:rFonts w:ascii="Calibri"/>
          <w:sz w:val="18"/>
        </w:rPr>
      </w:pPr>
    </w:p>
    <w:p>
      <w:pPr>
        <w:spacing w:before="0"/>
        <w:ind w:left="2644" w:right="42" w:firstLine="0"/>
        <w:jc w:val="left"/>
        <w:rPr>
          <w:rFonts w:ascii="Calibri" w:hAnsi="Calibri"/>
          <w:sz w:val="18"/>
        </w:rPr>
      </w:pPr>
      <w:r>
        <w:rPr>
          <w:rFonts w:ascii="Calibri" w:hAnsi="Calibri"/>
          <w:color w:val="1F487C"/>
          <w:sz w:val="18"/>
        </w:rPr>
        <w:t>Niño</w:t>
      </w:r>
    </w:p>
    <w:p>
      <w:pPr>
        <w:pStyle w:val="BodyText"/>
        <w:rPr>
          <w:rFonts w:ascii="Calibri"/>
          <w:sz w:val="20"/>
        </w:rPr>
      </w:pPr>
    </w:p>
    <w:p>
      <w:pPr>
        <w:pStyle w:val="BodyText"/>
        <w:rPr>
          <w:rFonts w:ascii="Calibri"/>
          <w:sz w:val="20"/>
        </w:rPr>
      </w:pPr>
    </w:p>
    <w:p>
      <w:pPr>
        <w:pStyle w:val="BodyText"/>
        <w:spacing w:before="11"/>
        <w:rPr>
          <w:rFonts w:ascii="Calibri"/>
          <w:sz w:val="29"/>
        </w:rPr>
      </w:pPr>
    </w:p>
    <w:p>
      <w:pPr>
        <w:pStyle w:val="BodyText"/>
        <w:spacing w:line="360" w:lineRule="auto" w:before="69"/>
        <w:ind w:left="118" w:right="95"/>
      </w:pPr>
      <w:r>
        <w:rPr/>
        <w:t>En</w:t>
      </w:r>
      <w:r>
        <w:rPr>
          <w:spacing w:val="-9"/>
        </w:rPr>
        <w:t> </w:t>
      </w:r>
      <w:r>
        <w:rPr/>
        <w:t>los</w:t>
      </w:r>
      <w:r>
        <w:rPr>
          <w:spacing w:val="-10"/>
        </w:rPr>
        <w:t> </w:t>
      </w:r>
      <w:r>
        <w:rPr/>
        <w:t>datos</w:t>
      </w:r>
      <w:r>
        <w:rPr>
          <w:spacing w:val="-10"/>
        </w:rPr>
        <w:t> </w:t>
      </w:r>
      <w:r>
        <w:rPr/>
        <w:t>registrados</w:t>
      </w:r>
      <w:r>
        <w:rPr>
          <w:spacing w:val="-10"/>
        </w:rPr>
        <w:t> </w:t>
      </w:r>
      <w:r>
        <w:rPr/>
        <w:t>se</w:t>
      </w:r>
      <w:r>
        <w:rPr>
          <w:spacing w:val="-9"/>
        </w:rPr>
        <w:t> </w:t>
      </w:r>
      <w:r>
        <w:rPr/>
        <w:t>obtuvo</w:t>
      </w:r>
      <w:r>
        <w:rPr>
          <w:spacing w:val="-9"/>
        </w:rPr>
        <w:t> </w:t>
      </w:r>
      <w:r>
        <w:rPr/>
        <w:t>que</w:t>
      </w:r>
      <w:r>
        <w:rPr>
          <w:spacing w:val="-9"/>
        </w:rPr>
        <w:t> </w:t>
      </w:r>
      <w:r>
        <w:rPr/>
        <w:t>el</w:t>
      </w:r>
      <w:r>
        <w:rPr>
          <w:spacing w:val="-11"/>
        </w:rPr>
        <w:t> </w:t>
      </w:r>
      <w:r>
        <w:rPr/>
        <w:t>100%</w:t>
      </w:r>
      <w:r>
        <w:rPr>
          <w:spacing w:val="-10"/>
        </w:rPr>
        <w:t> </w:t>
      </w:r>
      <w:r>
        <w:rPr/>
        <w:t>de</w:t>
      </w:r>
      <w:r>
        <w:rPr>
          <w:spacing w:val="-9"/>
        </w:rPr>
        <w:t> </w:t>
      </w:r>
      <w:r>
        <w:rPr/>
        <w:t>la</w:t>
      </w:r>
      <w:r>
        <w:rPr>
          <w:spacing w:val="-12"/>
        </w:rPr>
        <w:t> </w:t>
      </w:r>
      <w:r>
        <w:rPr/>
        <w:t>población</w:t>
      </w:r>
      <w:r>
        <w:rPr>
          <w:spacing w:val="-9"/>
        </w:rPr>
        <w:t> </w:t>
      </w:r>
      <w:r>
        <w:rPr/>
        <w:t>encuestada</w:t>
      </w:r>
      <w:r>
        <w:rPr>
          <w:spacing w:val="-9"/>
        </w:rPr>
        <w:t> </w:t>
      </w:r>
      <w:r>
        <w:rPr/>
        <w:t>utiliza</w:t>
      </w:r>
      <w:r>
        <w:rPr>
          <w:spacing w:val="-9"/>
        </w:rPr>
        <w:t> </w:t>
      </w:r>
      <w:r>
        <w:rPr/>
        <w:t>cepillo y pasta dental y no emplea ningún auxiliar en su higiene bucodental (Gráfica</w:t>
      </w:r>
      <w:r>
        <w:rPr>
          <w:spacing w:val="-21"/>
        </w:rPr>
        <w:t> </w:t>
      </w:r>
      <w:r>
        <w:rPr/>
        <w:t>12).</w:t>
      </w:r>
    </w:p>
    <w:p>
      <w:pPr>
        <w:pStyle w:val="BodyText"/>
        <w:spacing w:before="204"/>
        <w:ind w:left="1105" w:right="42"/>
      </w:pPr>
      <w:r>
        <w:rPr/>
        <w:t>Gráfica 12. Distribución de la muestra según el instrumento empleado</w:t>
      </w:r>
    </w:p>
    <w:p>
      <w:pPr>
        <w:pStyle w:val="BodyText"/>
        <w:rPr>
          <w:sz w:val="20"/>
        </w:rPr>
      </w:pPr>
    </w:p>
    <w:p>
      <w:pPr>
        <w:pStyle w:val="BodyText"/>
        <w:rPr>
          <w:sz w:val="20"/>
        </w:rPr>
      </w:pPr>
    </w:p>
    <w:p>
      <w:pPr>
        <w:pStyle w:val="BodyText"/>
        <w:rPr>
          <w:sz w:val="20"/>
        </w:rPr>
      </w:pPr>
    </w:p>
    <w:p>
      <w:pPr>
        <w:pStyle w:val="BodyText"/>
        <w:spacing w:before="10"/>
        <w:rPr>
          <w:sz w:val="25"/>
        </w:rPr>
      </w:pPr>
    </w:p>
    <w:p>
      <w:pPr>
        <w:tabs>
          <w:tab w:pos="6000" w:val="left" w:leader="none"/>
        </w:tabs>
        <w:spacing w:before="63"/>
        <w:ind w:left="2329" w:right="42" w:firstLine="0"/>
        <w:jc w:val="left"/>
        <w:rPr>
          <w:rFonts w:ascii="Calibri"/>
          <w:sz w:val="18"/>
        </w:rPr>
      </w:pPr>
      <w:r>
        <w:rPr/>
        <w:pict>
          <v:group style="position:absolute;margin-left:244.425003pt;margin-top:-30.895674pt;width:117.9pt;height:80.1pt;mso-position-horizontal-relative:page;mso-position-vertical-relative:paragraph;z-index:-53008" coordorigin="4889,-618" coordsize="2358,1602">
            <v:shape style="position:absolute;left:6038;top:-610;width:1140;height:1587" coordorigin="6038,-610" coordsize="1140,1587" path="m6038,-610l6038,976m7178,-610l7178,976e" filled="false" stroked="true" strokeweight=".72pt" strokecolor="#d3e2f4">
              <v:path arrowok="t"/>
            </v:shape>
            <v:shape style="position:absolute;left:4894;top:-246;width:2352;height:929" type="#_x0000_t75" stroked="false">
              <v:imagedata r:id="rId107" o:title=""/>
            </v:shape>
            <v:shape style="position:absolute;left:4896;top:-214;width:2282;height:794" type="#_x0000_t75" stroked="false">
              <v:imagedata r:id="rId108" o:title=""/>
            </v:shape>
            <v:line style="position:absolute" from="4896,976" to="4896,-610" stroked="true" strokeweight=".72pt" strokecolor="#d3e2f4"/>
            <w10:wrap type="none"/>
          </v:group>
        </w:pict>
      </w:r>
      <w:r>
        <w:rPr/>
        <w:pict>
          <v:line style="position:absolute;mso-position-horizontal-relative:page;mso-position-vertical-relative:paragraph;z-index:3256" from="416.040009pt,-30.520674pt" to="416.040009pt,48.799326pt" stroked="true" strokeweight=".72pt" strokecolor="#d3e2f4">
            <w10:wrap type="none"/>
          </v:line>
        </w:pict>
      </w:r>
      <w:r>
        <w:rPr>
          <w:rFonts w:ascii="Calibri"/>
          <w:color w:val="1F487C"/>
          <w:position w:val="1"/>
          <w:sz w:val="18"/>
        </w:rPr>
        <w:t>Cepillo</w:t>
      </w:r>
      <w:r>
        <w:rPr>
          <w:rFonts w:ascii="Calibri"/>
          <w:color w:val="1F487C"/>
          <w:spacing w:val="-1"/>
          <w:position w:val="1"/>
          <w:sz w:val="18"/>
        </w:rPr>
        <w:t> </w:t>
      </w:r>
      <w:r>
        <w:rPr>
          <w:rFonts w:ascii="Calibri"/>
          <w:color w:val="1F487C"/>
          <w:position w:val="1"/>
          <w:sz w:val="18"/>
        </w:rPr>
        <w:t>y</w:t>
      </w:r>
      <w:r>
        <w:rPr>
          <w:rFonts w:ascii="Calibri"/>
          <w:color w:val="1F487C"/>
          <w:spacing w:val="-1"/>
          <w:position w:val="1"/>
          <w:sz w:val="18"/>
        </w:rPr>
        <w:t> </w:t>
      </w:r>
      <w:r>
        <w:rPr>
          <w:rFonts w:ascii="Calibri"/>
          <w:color w:val="1F487C"/>
          <w:position w:val="1"/>
          <w:sz w:val="18"/>
        </w:rPr>
        <w:t>pasta</w:t>
        <w:tab/>
      </w:r>
      <w:r>
        <w:rPr>
          <w:rFonts w:ascii="Calibri"/>
          <w:color w:val="1F487C"/>
          <w:sz w:val="18"/>
        </w:rPr>
        <w:t>100%</w:t>
      </w:r>
    </w:p>
    <w:p>
      <w:pPr>
        <w:spacing w:after="0"/>
        <w:jc w:val="left"/>
        <w:rPr>
          <w:rFonts w:ascii="Calibri"/>
          <w:sz w:val="18"/>
        </w:rPr>
        <w:sectPr>
          <w:pgSz w:w="12240" w:h="15840"/>
          <w:pgMar w:header="0" w:footer="887" w:top="1360" w:bottom="1140" w:left="1300" w:right="1300"/>
        </w:sectPr>
      </w:pPr>
    </w:p>
    <w:p>
      <w:pPr>
        <w:pStyle w:val="Heading1"/>
        <w:numPr>
          <w:ilvl w:val="1"/>
          <w:numId w:val="16"/>
        </w:numPr>
        <w:tabs>
          <w:tab w:pos="4874" w:val="left" w:leader="none"/>
        </w:tabs>
        <w:spacing w:line="240" w:lineRule="auto" w:before="56" w:after="0"/>
        <w:ind w:left="4873" w:right="0" w:hanging="360"/>
        <w:jc w:val="left"/>
      </w:pPr>
      <w:r>
        <w:rPr/>
        <w:t>DISCUSIÓN</w:t>
      </w:r>
    </w:p>
    <w:p>
      <w:pPr>
        <w:pStyle w:val="BodyText"/>
        <w:rPr>
          <w:b/>
        </w:rPr>
      </w:pPr>
    </w:p>
    <w:p>
      <w:pPr>
        <w:pStyle w:val="BodyText"/>
        <w:rPr>
          <w:b/>
        </w:rPr>
      </w:pPr>
    </w:p>
    <w:p>
      <w:pPr>
        <w:pStyle w:val="BodyText"/>
        <w:spacing w:line="360" w:lineRule="auto" w:before="199"/>
        <w:ind w:left="118" w:right="112"/>
        <w:jc w:val="both"/>
      </w:pPr>
      <w:r>
        <w:rPr/>
        <w:t>La liberación de metales en la cavidad bucal del paciente pediátrico es un tema controversial, ya que las evidencias reportadas son limitadas, las herramientas empleadas en cada estudio son diversas y variables las condiciones del medio bucal;</w:t>
      </w:r>
      <w:r>
        <w:rPr>
          <w:spacing w:val="-42"/>
        </w:rPr>
        <w:t> </w:t>
      </w:r>
      <w:r>
        <w:rPr/>
        <w:t>no por ello restamos importancia al objetivo principal que es detectar componentes de los materiales dentales, siendo las coronas de níquel cromo la restauración de elección, altamente utilizada en la rehabilitación en odontopediatría; tal liberación de iones metálicos es de interés por ser fuente potencial de alérgenos en reacciones de hipersensibilidad local y citotoxicidad celular. El níquel es el metal con mayor potencial alergénico y carcinogénico, siendo la dermatitis por contacto la manifestación intraoral y extraoral más evidente en la población</w:t>
      </w:r>
      <w:r>
        <w:rPr>
          <w:spacing w:val="-17"/>
        </w:rPr>
        <w:t> </w:t>
      </w:r>
      <w:r>
        <w:rPr/>
        <w:t>infantil.</w:t>
      </w:r>
    </w:p>
    <w:p>
      <w:pPr>
        <w:pStyle w:val="BodyText"/>
        <w:spacing w:line="360" w:lineRule="auto" w:before="202"/>
        <w:ind w:left="118" w:right="112"/>
        <w:jc w:val="both"/>
      </w:pPr>
      <w:r>
        <w:rPr/>
        <w:t>Actualmente, el mecanismo de la migración del ion metálico dentro de órgano dental o tejidos periodontales no está claramente demostrado, pero se conoce que la proporción de la difusión en esmalte y dentina es inversamente relacionada al grado de mineralización del diente; esto implica que los dientes temporales son mayormente susceptibles a la penetración y difusión de estos iones (níquel, cromo y hierro) hacia el paquete vasculonervioso.</w:t>
      </w:r>
    </w:p>
    <w:p>
      <w:pPr>
        <w:pStyle w:val="BodyText"/>
        <w:spacing w:line="360" w:lineRule="auto" w:before="204"/>
        <w:ind w:left="118" w:right="113"/>
        <w:jc w:val="both"/>
      </w:pPr>
      <w:r>
        <w:rPr/>
        <w:t>En</w:t>
      </w:r>
      <w:r>
        <w:rPr>
          <w:spacing w:val="-16"/>
        </w:rPr>
        <w:t> </w:t>
      </w:r>
      <w:r>
        <w:rPr/>
        <w:t>el</w:t>
      </w:r>
      <w:r>
        <w:rPr>
          <w:spacing w:val="-14"/>
        </w:rPr>
        <w:t> </w:t>
      </w:r>
      <w:r>
        <w:rPr/>
        <w:t>presente</w:t>
      </w:r>
      <w:r>
        <w:rPr>
          <w:spacing w:val="-13"/>
        </w:rPr>
        <w:t> </w:t>
      </w:r>
      <w:r>
        <w:rPr/>
        <w:t>estudio</w:t>
      </w:r>
      <w:r>
        <w:rPr>
          <w:spacing w:val="-13"/>
        </w:rPr>
        <w:t> </w:t>
      </w:r>
      <w:r>
        <w:rPr/>
        <w:t>se</w:t>
      </w:r>
      <w:r>
        <w:rPr>
          <w:spacing w:val="-13"/>
        </w:rPr>
        <w:t> </w:t>
      </w:r>
      <w:r>
        <w:rPr/>
        <w:t>encontró</w:t>
      </w:r>
      <w:r>
        <w:rPr>
          <w:spacing w:val="-13"/>
        </w:rPr>
        <w:t> </w:t>
      </w:r>
      <w:r>
        <w:rPr/>
        <w:t>la</w:t>
      </w:r>
      <w:r>
        <w:rPr>
          <w:spacing w:val="-14"/>
        </w:rPr>
        <w:t> </w:t>
      </w:r>
      <w:r>
        <w:rPr/>
        <w:t>liberación</w:t>
      </w:r>
      <w:r>
        <w:rPr>
          <w:spacing w:val="-13"/>
        </w:rPr>
        <w:t> </w:t>
      </w:r>
      <w:r>
        <w:rPr/>
        <w:t>de</w:t>
      </w:r>
      <w:r>
        <w:rPr>
          <w:spacing w:val="-13"/>
        </w:rPr>
        <w:t> </w:t>
      </w:r>
      <w:r>
        <w:rPr/>
        <w:t>níquel,</w:t>
      </w:r>
      <w:r>
        <w:rPr>
          <w:spacing w:val="-14"/>
        </w:rPr>
        <w:t> </w:t>
      </w:r>
      <w:r>
        <w:rPr/>
        <w:t>cromo</w:t>
      </w:r>
      <w:r>
        <w:rPr>
          <w:spacing w:val="-15"/>
        </w:rPr>
        <w:t> </w:t>
      </w:r>
      <w:r>
        <w:rPr/>
        <w:t>y</w:t>
      </w:r>
      <w:r>
        <w:rPr>
          <w:spacing w:val="-16"/>
        </w:rPr>
        <w:t> </w:t>
      </w:r>
      <w:r>
        <w:rPr/>
        <w:t>hierro;</w:t>
      </w:r>
      <w:r>
        <w:rPr>
          <w:spacing w:val="-13"/>
        </w:rPr>
        <w:t> </w:t>
      </w:r>
      <w:r>
        <w:rPr/>
        <w:t>siendo</w:t>
      </w:r>
      <w:r>
        <w:rPr>
          <w:spacing w:val="-15"/>
        </w:rPr>
        <w:t> </w:t>
      </w:r>
      <w:r>
        <w:rPr/>
        <w:t>el</w:t>
      </w:r>
      <w:r>
        <w:rPr>
          <w:spacing w:val="-17"/>
        </w:rPr>
        <w:t> </w:t>
      </w:r>
      <w:r>
        <w:rPr/>
        <w:t>níquel el ion con un importante incremento en la saliva un mes después de la colocación de coronas; consideramos que los resultados son similares a los que reportaron Bhaskar, Zinelis y Keinan con la diferencia de los cambios morfológicos en las coronas, materia orgánica incluida, así como la absorción en las porciones radiculares de los dientes restaurados.</w:t>
      </w:r>
    </w:p>
    <w:p>
      <w:pPr>
        <w:pStyle w:val="BodyText"/>
        <w:spacing w:line="360" w:lineRule="auto" w:before="205"/>
        <w:ind w:left="118" w:right="112"/>
        <w:jc w:val="both"/>
      </w:pPr>
      <w:r>
        <w:rPr/>
        <w:t>Aun así, bajo las condiciones de la cavidad bucal y el tiempo de exposición a la restauración, los datos descritos se muestran por debajo del valor crítico para inducir algún tipo de efecto adverso.</w:t>
      </w:r>
    </w:p>
    <w:p>
      <w:pPr>
        <w:pStyle w:val="BodyText"/>
        <w:spacing w:line="360" w:lineRule="auto" w:before="204"/>
        <w:ind w:left="118" w:right="112"/>
        <w:jc w:val="both"/>
      </w:pPr>
      <w:r>
        <w:rPr/>
        <w:t>La</w:t>
      </w:r>
      <w:r>
        <w:rPr>
          <w:spacing w:val="-12"/>
        </w:rPr>
        <w:t> </w:t>
      </w:r>
      <w:r>
        <w:rPr/>
        <w:t>reactividad</w:t>
      </w:r>
      <w:r>
        <w:rPr>
          <w:spacing w:val="-12"/>
        </w:rPr>
        <w:t> </w:t>
      </w:r>
      <w:r>
        <w:rPr/>
        <w:t>biológica</w:t>
      </w:r>
      <w:r>
        <w:rPr>
          <w:spacing w:val="-12"/>
        </w:rPr>
        <w:t> </w:t>
      </w:r>
      <w:r>
        <w:rPr/>
        <w:t>de</w:t>
      </w:r>
      <w:r>
        <w:rPr>
          <w:spacing w:val="-12"/>
        </w:rPr>
        <w:t> </w:t>
      </w:r>
      <w:r>
        <w:rPr/>
        <w:t>los</w:t>
      </w:r>
      <w:r>
        <w:rPr>
          <w:spacing w:val="-14"/>
        </w:rPr>
        <w:t> </w:t>
      </w:r>
      <w:r>
        <w:rPr/>
        <w:t>metales</w:t>
      </w:r>
      <w:r>
        <w:rPr>
          <w:spacing w:val="-14"/>
        </w:rPr>
        <w:t> </w:t>
      </w:r>
      <w:r>
        <w:rPr/>
        <w:t>depende</w:t>
      </w:r>
      <w:r>
        <w:rPr>
          <w:spacing w:val="-14"/>
        </w:rPr>
        <w:t> </w:t>
      </w:r>
      <w:r>
        <w:rPr/>
        <w:t>de</w:t>
      </w:r>
      <w:r>
        <w:rPr>
          <w:spacing w:val="-12"/>
        </w:rPr>
        <w:t> </w:t>
      </w:r>
      <w:r>
        <w:rPr/>
        <w:t>su</w:t>
      </w:r>
      <w:r>
        <w:rPr>
          <w:spacing w:val="-12"/>
        </w:rPr>
        <w:t> </w:t>
      </w:r>
      <w:r>
        <w:rPr/>
        <w:t>liberación,</w:t>
      </w:r>
      <w:r>
        <w:rPr>
          <w:spacing w:val="-14"/>
        </w:rPr>
        <w:t> </w:t>
      </w:r>
      <w:r>
        <w:rPr/>
        <w:t>corrosión</w:t>
      </w:r>
      <w:r>
        <w:rPr>
          <w:spacing w:val="-11"/>
        </w:rPr>
        <w:t> </w:t>
      </w:r>
      <w:r>
        <w:rPr/>
        <w:t>y</w:t>
      </w:r>
      <w:r>
        <w:rPr>
          <w:spacing w:val="-15"/>
        </w:rPr>
        <w:t> </w:t>
      </w:r>
      <w:r>
        <w:rPr/>
        <w:t>galvanismo, pero   también   es   posible,   debido   a   factores   como   la   acumulación   de   </w:t>
      </w:r>
      <w:r>
        <w:rPr>
          <w:spacing w:val="24"/>
        </w:rPr>
        <w:t> </w:t>
      </w:r>
      <w:r>
        <w:rPr/>
        <w:t>placa</w:t>
      </w:r>
    </w:p>
    <w:p>
      <w:pPr>
        <w:spacing w:after="0" w:line="360" w:lineRule="auto"/>
        <w:jc w:val="both"/>
        <w:sectPr>
          <w:pgSz w:w="12240" w:h="15840"/>
          <w:pgMar w:header="0" w:footer="887" w:top="1360" w:bottom="1140" w:left="1300" w:right="1300"/>
        </w:sectPr>
      </w:pPr>
    </w:p>
    <w:p>
      <w:pPr>
        <w:pStyle w:val="BodyText"/>
        <w:spacing w:line="360" w:lineRule="auto" w:before="56"/>
        <w:ind w:left="118" w:right="123"/>
        <w:jc w:val="both"/>
      </w:pPr>
      <w:r>
        <w:rPr/>
        <w:t>dentobacteriana,</w:t>
      </w:r>
      <w:r>
        <w:rPr>
          <w:spacing w:val="-6"/>
        </w:rPr>
        <w:t> </w:t>
      </w:r>
      <w:r>
        <w:rPr/>
        <w:t>la</w:t>
      </w:r>
      <w:r>
        <w:rPr>
          <w:spacing w:val="-6"/>
        </w:rPr>
        <w:t> </w:t>
      </w:r>
      <w:r>
        <w:rPr/>
        <w:t>disminución</w:t>
      </w:r>
      <w:r>
        <w:rPr>
          <w:spacing w:val="-6"/>
        </w:rPr>
        <w:t> </w:t>
      </w:r>
      <w:r>
        <w:rPr/>
        <w:t>del</w:t>
      </w:r>
      <w:r>
        <w:rPr>
          <w:spacing w:val="-7"/>
        </w:rPr>
        <w:t> </w:t>
      </w:r>
      <w:r>
        <w:rPr/>
        <w:t>pH</w:t>
      </w:r>
      <w:r>
        <w:rPr>
          <w:spacing w:val="-7"/>
        </w:rPr>
        <w:t> </w:t>
      </w:r>
      <w:r>
        <w:rPr/>
        <w:t>salival,</w:t>
      </w:r>
      <w:r>
        <w:rPr>
          <w:spacing w:val="-7"/>
        </w:rPr>
        <w:t> </w:t>
      </w:r>
      <w:r>
        <w:rPr/>
        <w:t>el</w:t>
      </w:r>
      <w:r>
        <w:rPr>
          <w:spacing w:val="-7"/>
        </w:rPr>
        <w:t> </w:t>
      </w:r>
      <w:r>
        <w:rPr/>
        <w:t>flujo</w:t>
      </w:r>
      <w:r>
        <w:rPr>
          <w:spacing w:val="-6"/>
        </w:rPr>
        <w:t> </w:t>
      </w:r>
      <w:r>
        <w:rPr/>
        <w:t>salival,</w:t>
      </w:r>
      <w:r>
        <w:rPr>
          <w:spacing w:val="-7"/>
        </w:rPr>
        <w:t> </w:t>
      </w:r>
      <w:r>
        <w:rPr/>
        <w:t>la</w:t>
      </w:r>
      <w:r>
        <w:rPr>
          <w:spacing w:val="-6"/>
        </w:rPr>
        <w:t> </w:t>
      </w:r>
      <w:r>
        <w:rPr/>
        <w:t>ingesta</w:t>
      </w:r>
      <w:r>
        <w:rPr>
          <w:spacing w:val="-6"/>
        </w:rPr>
        <w:t> </w:t>
      </w:r>
      <w:r>
        <w:rPr/>
        <w:t>de</w:t>
      </w:r>
      <w:r>
        <w:rPr>
          <w:spacing w:val="-6"/>
        </w:rPr>
        <w:t> </w:t>
      </w:r>
      <w:r>
        <w:rPr/>
        <w:t>alimentos</w:t>
      </w:r>
      <w:r>
        <w:rPr>
          <w:spacing w:val="-7"/>
        </w:rPr>
        <w:t> </w:t>
      </w:r>
      <w:r>
        <w:rPr/>
        <w:t>y</w:t>
      </w:r>
      <w:r>
        <w:rPr>
          <w:spacing w:val="-9"/>
        </w:rPr>
        <w:t> </w:t>
      </w:r>
      <w:r>
        <w:rPr/>
        <w:t>la cercanía de su vivienda con zonas</w:t>
      </w:r>
      <w:r>
        <w:rPr>
          <w:spacing w:val="-15"/>
        </w:rPr>
        <w:t> </w:t>
      </w:r>
      <w:r>
        <w:rPr/>
        <w:t>industriales.</w:t>
      </w:r>
    </w:p>
    <w:p>
      <w:pPr>
        <w:pStyle w:val="BodyText"/>
        <w:spacing w:line="360" w:lineRule="auto" w:before="204"/>
        <w:ind w:left="118" w:right="114"/>
        <w:jc w:val="both"/>
      </w:pPr>
      <w:r>
        <w:rPr/>
        <w:t>El Odontopediatra debe prevenir, diagnosticar y tratar las enfermedades del paciente infantil, pero también salvaguardar y procurar el bienestar físico, metal y social del paciente, de ahí parte la interrogante por conocer la biotransformación de los componentes de las coronas níquel cromo.</w:t>
      </w:r>
    </w:p>
    <w:p>
      <w:pPr>
        <w:spacing w:after="0" w:line="360" w:lineRule="auto"/>
        <w:jc w:val="both"/>
        <w:sectPr>
          <w:pgSz w:w="12240" w:h="15840"/>
          <w:pgMar w:header="0" w:footer="887" w:top="1360" w:bottom="1140" w:left="1300" w:right="1300"/>
        </w:sectPr>
      </w:pPr>
    </w:p>
    <w:p>
      <w:pPr>
        <w:pStyle w:val="Heading1"/>
        <w:numPr>
          <w:ilvl w:val="1"/>
          <w:numId w:val="16"/>
        </w:numPr>
        <w:tabs>
          <w:tab w:pos="4735" w:val="left" w:leader="none"/>
        </w:tabs>
        <w:spacing w:line="240" w:lineRule="auto" w:before="56" w:after="0"/>
        <w:ind w:left="4734" w:right="0" w:hanging="360"/>
        <w:jc w:val="left"/>
      </w:pPr>
      <w:r>
        <w:rPr/>
        <w:t>CONCLUSION</w:t>
      </w:r>
    </w:p>
    <w:p>
      <w:pPr>
        <w:pStyle w:val="BodyText"/>
        <w:rPr>
          <w:b/>
        </w:rPr>
      </w:pPr>
    </w:p>
    <w:p>
      <w:pPr>
        <w:pStyle w:val="BodyText"/>
        <w:rPr>
          <w:b/>
        </w:rPr>
      </w:pPr>
    </w:p>
    <w:p>
      <w:pPr>
        <w:pStyle w:val="BodyText"/>
        <w:spacing w:line="360" w:lineRule="auto" w:before="199"/>
        <w:ind w:left="118" w:right="113"/>
        <w:jc w:val="both"/>
      </w:pPr>
      <w:r>
        <w:rPr/>
        <w:t>En</w:t>
      </w:r>
      <w:r>
        <w:rPr>
          <w:spacing w:val="-16"/>
        </w:rPr>
        <w:t> </w:t>
      </w:r>
      <w:r>
        <w:rPr/>
        <w:t>las</w:t>
      </w:r>
      <w:r>
        <w:rPr>
          <w:spacing w:val="-16"/>
        </w:rPr>
        <w:t> </w:t>
      </w:r>
      <w:r>
        <w:rPr/>
        <w:t>últimas</w:t>
      </w:r>
      <w:r>
        <w:rPr>
          <w:spacing w:val="-16"/>
        </w:rPr>
        <w:t> </w:t>
      </w:r>
      <w:r>
        <w:rPr/>
        <w:t>décadas</w:t>
      </w:r>
      <w:r>
        <w:rPr>
          <w:spacing w:val="-19"/>
        </w:rPr>
        <w:t> </w:t>
      </w:r>
      <w:r>
        <w:rPr/>
        <w:t>ha</w:t>
      </w:r>
      <w:r>
        <w:rPr>
          <w:spacing w:val="-16"/>
        </w:rPr>
        <w:t> </w:t>
      </w:r>
      <w:r>
        <w:rPr/>
        <w:t>aumentado</w:t>
      </w:r>
      <w:r>
        <w:rPr>
          <w:spacing w:val="-16"/>
        </w:rPr>
        <w:t> </w:t>
      </w:r>
      <w:r>
        <w:rPr/>
        <w:t>el</w:t>
      </w:r>
      <w:r>
        <w:rPr>
          <w:spacing w:val="-17"/>
        </w:rPr>
        <w:t> </w:t>
      </w:r>
      <w:r>
        <w:rPr/>
        <w:t>interés</w:t>
      </w:r>
      <w:r>
        <w:rPr>
          <w:spacing w:val="-16"/>
        </w:rPr>
        <w:t> </w:t>
      </w:r>
      <w:r>
        <w:rPr/>
        <w:t>por</w:t>
      </w:r>
      <w:r>
        <w:rPr>
          <w:spacing w:val="-17"/>
        </w:rPr>
        <w:t> </w:t>
      </w:r>
      <w:r>
        <w:rPr/>
        <w:t>la</w:t>
      </w:r>
      <w:r>
        <w:rPr>
          <w:spacing w:val="-16"/>
        </w:rPr>
        <w:t> </w:t>
      </w:r>
      <w:r>
        <w:rPr/>
        <w:t>biocompatibilidad</w:t>
      </w:r>
      <w:r>
        <w:rPr>
          <w:spacing w:val="-16"/>
        </w:rPr>
        <w:t> </w:t>
      </w:r>
      <w:r>
        <w:rPr/>
        <w:t>de</w:t>
      </w:r>
      <w:r>
        <w:rPr>
          <w:spacing w:val="-16"/>
        </w:rPr>
        <w:t> </w:t>
      </w:r>
      <w:r>
        <w:rPr/>
        <w:t>los</w:t>
      </w:r>
      <w:r>
        <w:rPr>
          <w:spacing w:val="-16"/>
        </w:rPr>
        <w:t> </w:t>
      </w:r>
      <w:r>
        <w:rPr/>
        <w:t>materiales dentales</w:t>
      </w:r>
      <w:r>
        <w:rPr>
          <w:spacing w:val="-12"/>
        </w:rPr>
        <w:t> </w:t>
      </w:r>
      <w:r>
        <w:rPr/>
        <w:t>y</w:t>
      </w:r>
      <w:r>
        <w:rPr>
          <w:spacing w:val="-15"/>
        </w:rPr>
        <w:t> </w:t>
      </w:r>
      <w:r>
        <w:rPr/>
        <w:t>la</w:t>
      </w:r>
      <w:r>
        <w:rPr>
          <w:spacing w:val="-12"/>
        </w:rPr>
        <w:t> </w:t>
      </w:r>
      <w:r>
        <w:rPr/>
        <w:t>repercusión</w:t>
      </w:r>
      <w:r>
        <w:rPr>
          <w:spacing w:val="-12"/>
        </w:rPr>
        <w:t> </w:t>
      </w:r>
      <w:r>
        <w:rPr/>
        <w:t>que</w:t>
      </w:r>
      <w:r>
        <w:rPr>
          <w:spacing w:val="-12"/>
        </w:rPr>
        <w:t> </w:t>
      </w:r>
      <w:r>
        <w:rPr/>
        <w:t>pueda</w:t>
      </w:r>
      <w:r>
        <w:rPr>
          <w:spacing w:val="-12"/>
        </w:rPr>
        <w:t> </w:t>
      </w:r>
      <w:r>
        <w:rPr/>
        <w:t>generar</w:t>
      </w:r>
      <w:r>
        <w:rPr>
          <w:spacing w:val="-15"/>
        </w:rPr>
        <w:t> </w:t>
      </w:r>
      <w:r>
        <w:rPr/>
        <w:t>en</w:t>
      </w:r>
      <w:r>
        <w:rPr>
          <w:spacing w:val="-12"/>
        </w:rPr>
        <w:t> </w:t>
      </w:r>
      <w:r>
        <w:rPr/>
        <w:t>el</w:t>
      </w:r>
      <w:r>
        <w:rPr>
          <w:spacing w:val="-13"/>
        </w:rPr>
        <w:t> </w:t>
      </w:r>
      <w:r>
        <w:rPr/>
        <w:t>organismo.</w:t>
      </w:r>
      <w:r>
        <w:rPr>
          <w:spacing w:val="-12"/>
        </w:rPr>
        <w:t> </w:t>
      </w:r>
      <w:r>
        <w:rPr/>
        <w:t>Algunos</w:t>
      </w:r>
      <w:r>
        <w:rPr>
          <w:spacing w:val="-13"/>
        </w:rPr>
        <w:t> </w:t>
      </w:r>
      <w:r>
        <w:rPr/>
        <w:t>metales</w:t>
      </w:r>
      <w:r>
        <w:rPr>
          <w:spacing w:val="-14"/>
        </w:rPr>
        <w:t> </w:t>
      </w:r>
      <w:r>
        <w:rPr/>
        <w:t>utilizados en</w:t>
      </w:r>
      <w:r>
        <w:rPr>
          <w:spacing w:val="-13"/>
        </w:rPr>
        <w:t> </w:t>
      </w:r>
      <w:r>
        <w:rPr/>
        <w:t>las</w:t>
      </w:r>
      <w:r>
        <w:rPr>
          <w:spacing w:val="-13"/>
        </w:rPr>
        <w:t> </w:t>
      </w:r>
      <w:r>
        <w:rPr/>
        <w:t>coronas</w:t>
      </w:r>
      <w:r>
        <w:rPr>
          <w:spacing w:val="-14"/>
        </w:rPr>
        <w:t> </w:t>
      </w:r>
      <w:r>
        <w:rPr/>
        <w:t>prefabricadas</w:t>
      </w:r>
      <w:r>
        <w:rPr>
          <w:spacing w:val="-14"/>
        </w:rPr>
        <w:t> </w:t>
      </w:r>
      <w:r>
        <w:rPr/>
        <w:t>como</w:t>
      </w:r>
      <w:r>
        <w:rPr>
          <w:spacing w:val="-13"/>
        </w:rPr>
        <w:t> </w:t>
      </w:r>
      <w:r>
        <w:rPr/>
        <w:t>el</w:t>
      </w:r>
      <w:r>
        <w:rPr>
          <w:spacing w:val="-14"/>
        </w:rPr>
        <w:t> </w:t>
      </w:r>
      <w:r>
        <w:rPr/>
        <w:t>Ni,</w:t>
      </w:r>
      <w:r>
        <w:rPr>
          <w:spacing w:val="-13"/>
        </w:rPr>
        <w:t> </w:t>
      </w:r>
      <w:r>
        <w:rPr/>
        <w:t>Cr</w:t>
      </w:r>
      <w:r>
        <w:rPr>
          <w:spacing w:val="-15"/>
        </w:rPr>
        <w:t> </w:t>
      </w:r>
      <w:r>
        <w:rPr/>
        <w:t>y</w:t>
      </w:r>
      <w:r>
        <w:rPr>
          <w:spacing w:val="-14"/>
        </w:rPr>
        <w:t> </w:t>
      </w:r>
      <w:r>
        <w:rPr/>
        <w:t>He</w:t>
      </w:r>
      <w:r>
        <w:rPr>
          <w:spacing w:val="-13"/>
        </w:rPr>
        <w:t> </w:t>
      </w:r>
      <w:r>
        <w:rPr/>
        <w:t>son</w:t>
      </w:r>
      <w:r>
        <w:rPr>
          <w:spacing w:val="-13"/>
        </w:rPr>
        <w:t> </w:t>
      </w:r>
      <w:r>
        <w:rPr/>
        <w:t>alérgenos,</w:t>
      </w:r>
      <w:r>
        <w:rPr>
          <w:spacing w:val="-13"/>
        </w:rPr>
        <w:t> </w:t>
      </w:r>
      <w:r>
        <w:rPr/>
        <w:t>citotóxicos</w:t>
      </w:r>
      <w:r>
        <w:rPr>
          <w:spacing w:val="-13"/>
        </w:rPr>
        <w:t> </w:t>
      </w:r>
      <w:r>
        <w:rPr/>
        <w:t>y</w:t>
      </w:r>
      <w:r>
        <w:rPr>
          <w:spacing w:val="-11"/>
        </w:rPr>
        <w:t> </w:t>
      </w:r>
      <w:r>
        <w:rPr/>
        <w:t>mutágenos. Dichos</w:t>
      </w:r>
      <w:r>
        <w:rPr>
          <w:spacing w:val="-17"/>
        </w:rPr>
        <w:t> </w:t>
      </w:r>
      <w:r>
        <w:rPr/>
        <w:t>materiales</w:t>
      </w:r>
      <w:r>
        <w:rPr>
          <w:spacing w:val="-17"/>
        </w:rPr>
        <w:t> </w:t>
      </w:r>
      <w:r>
        <w:rPr/>
        <w:t>empleados</w:t>
      </w:r>
      <w:r>
        <w:rPr>
          <w:spacing w:val="-17"/>
        </w:rPr>
        <w:t> </w:t>
      </w:r>
      <w:r>
        <w:rPr/>
        <w:t>están</w:t>
      </w:r>
      <w:r>
        <w:rPr>
          <w:spacing w:val="-18"/>
        </w:rPr>
        <w:t> </w:t>
      </w:r>
      <w:r>
        <w:rPr/>
        <w:t>expuestos</w:t>
      </w:r>
      <w:r>
        <w:rPr>
          <w:spacing w:val="-17"/>
        </w:rPr>
        <w:t> </w:t>
      </w:r>
      <w:r>
        <w:rPr/>
        <w:t>a</w:t>
      </w:r>
      <w:r>
        <w:rPr>
          <w:spacing w:val="-17"/>
        </w:rPr>
        <w:t> </w:t>
      </w:r>
      <w:r>
        <w:rPr/>
        <w:t>diferentes</w:t>
      </w:r>
      <w:r>
        <w:rPr>
          <w:spacing w:val="-19"/>
        </w:rPr>
        <w:t> </w:t>
      </w:r>
      <w:r>
        <w:rPr/>
        <w:t>factores</w:t>
      </w:r>
      <w:r>
        <w:rPr>
          <w:spacing w:val="-19"/>
        </w:rPr>
        <w:t> </w:t>
      </w:r>
      <w:r>
        <w:rPr/>
        <w:t>como</w:t>
      </w:r>
      <w:r>
        <w:rPr>
          <w:spacing w:val="-17"/>
        </w:rPr>
        <w:t> </w:t>
      </w:r>
      <w:r>
        <w:rPr/>
        <w:t>la</w:t>
      </w:r>
      <w:r>
        <w:rPr>
          <w:spacing w:val="-17"/>
        </w:rPr>
        <w:t> </w:t>
      </w:r>
      <w:r>
        <w:rPr/>
        <w:t>temperatura, el pH, stress mecánico (corrosión) y microflora (biocorrosión), induciendo a la liberación de iones metálicos al</w:t>
      </w:r>
      <w:r>
        <w:rPr>
          <w:spacing w:val="-14"/>
        </w:rPr>
        <w:t> </w:t>
      </w:r>
      <w:r>
        <w:rPr/>
        <w:t>organismo.</w:t>
      </w:r>
    </w:p>
    <w:p>
      <w:pPr>
        <w:pStyle w:val="BodyText"/>
        <w:spacing w:line="360" w:lineRule="auto" w:before="202"/>
        <w:ind w:left="118" w:right="112"/>
        <w:jc w:val="both"/>
      </w:pPr>
      <w:r>
        <w:rPr/>
        <w:t>El presente estudio piloto se describe los diversos factores que influyen en la liberación de metales en saliva después de rehabilitar a un paciente pediátrico con coronas de níquel</w:t>
      </w:r>
      <w:r>
        <w:rPr>
          <w:spacing w:val="-10"/>
        </w:rPr>
        <w:t> </w:t>
      </w:r>
      <w:r>
        <w:rPr/>
        <w:t>cromo,</w:t>
      </w:r>
      <w:r>
        <w:rPr>
          <w:spacing w:val="-9"/>
        </w:rPr>
        <w:t> </w:t>
      </w:r>
      <w:r>
        <w:rPr/>
        <w:t>así</w:t>
      </w:r>
      <w:r>
        <w:rPr>
          <w:spacing w:val="-11"/>
        </w:rPr>
        <w:t> </w:t>
      </w:r>
      <w:r>
        <w:rPr/>
        <w:t>como</w:t>
      </w:r>
      <w:r>
        <w:rPr>
          <w:spacing w:val="-8"/>
        </w:rPr>
        <w:t> </w:t>
      </w:r>
      <w:r>
        <w:rPr/>
        <w:t>sus</w:t>
      </w:r>
      <w:r>
        <w:rPr>
          <w:spacing w:val="-9"/>
        </w:rPr>
        <w:t> </w:t>
      </w:r>
      <w:r>
        <w:rPr/>
        <w:t>posibles</w:t>
      </w:r>
      <w:r>
        <w:rPr>
          <w:spacing w:val="-9"/>
        </w:rPr>
        <w:t> </w:t>
      </w:r>
      <w:r>
        <w:rPr/>
        <w:t>repercusiones</w:t>
      </w:r>
      <w:r>
        <w:rPr>
          <w:spacing w:val="-9"/>
        </w:rPr>
        <w:t> </w:t>
      </w:r>
      <w:r>
        <w:rPr/>
        <w:t>a</w:t>
      </w:r>
      <w:r>
        <w:rPr>
          <w:spacing w:val="-8"/>
        </w:rPr>
        <w:t> </w:t>
      </w:r>
      <w:r>
        <w:rPr/>
        <w:t>nivel</w:t>
      </w:r>
      <w:r>
        <w:rPr>
          <w:spacing w:val="-10"/>
        </w:rPr>
        <w:t> </w:t>
      </w:r>
      <w:r>
        <w:rPr/>
        <w:t>local</w:t>
      </w:r>
      <w:r>
        <w:rPr>
          <w:spacing w:val="-10"/>
        </w:rPr>
        <w:t> </w:t>
      </w:r>
      <w:r>
        <w:rPr/>
        <w:t>y</w:t>
      </w:r>
      <w:r>
        <w:rPr>
          <w:spacing w:val="-12"/>
        </w:rPr>
        <w:t> </w:t>
      </w:r>
      <w:r>
        <w:rPr/>
        <w:t>sistémico,</w:t>
      </w:r>
      <w:r>
        <w:rPr>
          <w:spacing w:val="-9"/>
        </w:rPr>
        <w:t> </w:t>
      </w:r>
      <w:r>
        <w:rPr/>
        <w:t>sin</w:t>
      </w:r>
      <w:r>
        <w:rPr>
          <w:spacing w:val="-9"/>
        </w:rPr>
        <w:t> </w:t>
      </w:r>
      <w:r>
        <w:rPr/>
        <w:t>embargo las</w:t>
      </w:r>
      <w:r>
        <w:rPr>
          <w:spacing w:val="-14"/>
        </w:rPr>
        <w:t> </w:t>
      </w:r>
      <w:r>
        <w:rPr/>
        <w:t>concentraciones</w:t>
      </w:r>
      <w:r>
        <w:rPr>
          <w:spacing w:val="-17"/>
        </w:rPr>
        <w:t> </w:t>
      </w:r>
      <w:r>
        <w:rPr/>
        <w:t>de</w:t>
      </w:r>
      <w:r>
        <w:rPr>
          <w:spacing w:val="-15"/>
        </w:rPr>
        <w:t> </w:t>
      </w:r>
      <w:r>
        <w:rPr/>
        <w:t>iones</w:t>
      </w:r>
      <w:r>
        <w:rPr>
          <w:spacing w:val="-17"/>
        </w:rPr>
        <w:t> </w:t>
      </w:r>
      <w:r>
        <w:rPr/>
        <w:t>metálicos</w:t>
      </w:r>
      <w:r>
        <w:rPr>
          <w:spacing w:val="-16"/>
        </w:rPr>
        <w:t> </w:t>
      </w:r>
      <w:r>
        <w:rPr/>
        <w:t>detectados</w:t>
      </w:r>
      <w:r>
        <w:rPr>
          <w:spacing w:val="-17"/>
        </w:rPr>
        <w:t> </w:t>
      </w:r>
      <w:r>
        <w:rPr/>
        <w:t>en</w:t>
      </w:r>
      <w:r>
        <w:rPr>
          <w:spacing w:val="-16"/>
        </w:rPr>
        <w:t> </w:t>
      </w:r>
      <w:r>
        <w:rPr/>
        <w:t>la</w:t>
      </w:r>
      <w:r>
        <w:rPr>
          <w:spacing w:val="-14"/>
        </w:rPr>
        <w:t> </w:t>
      </w:r>
      <w:r>
        <w:rPr/>
        <w:t>saliva</w:t>
      </w:r>
      <w:r>
        <w:rPr>
          <w:spacing w:val="-14"/>
        </w:rPr>
        <w:t> </w:t>
      </w:r>
      <w:r>
        <w:rPr/>
        <w:t>se</w:t>
      </w:r>
      <w:r>
        <w:rPr>
          <w:spacing w:val="-14"/>
        </w:rPr>
        <w:t> </w:t>
      </w:r>
      <w:r>
        <w:rPr/>
        <w:t>encontraron</w:t>
      </w:r>
      <w:r>
        <w:rPr>
          <w:spacing w:val="-10"/>
        </w:rPr>
        <w:t> </w:t>
      </w:r>
      <w:r>
        <w:rPr/>
        <w:t>por</w:t>
      </w:r>
      <w:r>
        <w:rPr>
          <w:spacing w:val="-16"/>
        </w:rPr>
        <w:t> </w:t>
      </w:r>
      <w:r>
        <w:rPr/>
        <w:t>debajo de las concentraciones máximas aceptables y no fueron estadísticamente significativos; es por ello que se requieren de más estudios para valorar si esos cambios producen daños</w:t>
      </w:r>
      <w:r>
        <w:rPr>
          <w:spacing w:val="-7"/>
        </w:rPr>
        <w:t> </w:t>
      </w:r>
      <w:r>
        <w:rPr/>
        <w:t>citotóxicos.</w:t>
      </w:r>
    </w:p>
    <w:p>
      <w:pPr>
        <w:pStyle w:val="BodyText"/>
        <w:spacing w:line="360" w:lineRule="auto" w:before="204"/>
        <w:ind w:left="118" w:right="113"/>
        <w:jc w:val="both"/>
      </w:pPr>
      <w:r>
        <w:rPr/>
        <w:t>Consideramos que ampliar la muestra y estudiarla durante todo el tratamiento; incluso después de la pérdida de la restauración en boca e incluir variables que pueden alterar la composición de la saliva, como por ejemplo: los hábitos alimenticios y complementar los</w:t>
      </w:r>
      <w:r>
        <w:rPr>
          <w:spacing w:val="-7"/>
        </w:rPr>
        <w:t> </w:t>
      </w:r>
      <w:r>
        <w:rPr/>
        <w:t>resultados</w:t>
      </w:r>
      <w:r>
        <w:rPr>
          <w:spacing w:val="-10"/>
        </w:rPr>
        <w:t> </w:t>
      </w:r>
      <w:r>
        <w:rPr/>
        <w:t>con</w:t>
      </w:r>
      <w:r>
        <w:rPr>
          <w:spacing w:val="-9"/>
        </w:rPr>
        <w:t> </w:t>
      </w:r>
      <w:r>
        <w:rPr/>
        <w:t>análisis</w:t>
      </w:r>
      <w:r>
        <w:rPr>
          <w:spacing w:val="-8"/>
        </w:rPr>
        <w:t> </w:t>
      </w:r>
      <w:r>
        <w:rPr/>
        <w:t>de</w:t>
      </w:r>
      <w:r>
        <w:rPr>
          <w:spacing w:val="-7"/>
        </w:rPr>
        <w:t> </w:t>
      </w:r>
      <w:r>
        <w:rPr/>
        <w:t>laboratorio,</w:t>
      </w:r>
      <w:r>
        <w:rPr>
          <w:spacing w:val="-10"/>
        </w:rPr>
        <w:t> </w:t>
      </w:r>
      <w:r>
        <w:rPr/>
        <w:t>logrando</w:t>
      </w:r>
      <w:r>
        <w:rPr>
          <w:spacing w:val="-2"/>
        </w:rPr>
        <w:t> </w:t>
      </w:r>
      <w:r>
        <w:rPr/>
        <w:t>resultados</w:t>
      </w:r>
      <w:r>
        <w:rPr>
          <w:spacing w:val="-8"/>
        </w:rPr>
        <w:t> </w:t>
      </w:r>
      <w:r>
        <w:rPr/>
        <w:t>concluyentes,</w:t>
      </w:r>
      <w:r>
        <w:rPr>
          <w:spacing w:val="-10"/>
        </w:rPr>
        <w:t> </w:t>
      </w:r>
      <w:r>
        <w:rPr/>
        <w:t>con</w:t>
      </w:r>
      <w:r>
        <w:rPr>
          <w:spacing w:val="-9"/>
        </w:rPr>
        <w:t> </w:t>
      </w:r>
      <w:r>
        <w:rPr/>
        <w:t>el</w:t>
      </w:r>
      <w:r>
        <w:rPr>
          <w:spacing w:val="-13"/>
        </w:rPr>
        <w:t> </w:t>
      </w:r>
      <w:r>
        <w:rPr/>
        <w:t>fin</w:t>
      </w:r>
      <w:r>
        <w:rPr>
          <w:spacing w:val="-10"/>
        </w:rPr>
        <w:t> </w:t>
      </w:r>
      <w:r>
        <w:rPr/>
        <w:t>de continuar con esta línea de investigación, en la búsqueda de salvaguardar el bienestar físico, psicológico y social del paciente</w:t>
      </w:r>
      <w:r>
        <w:rPr>
          <w:spacing w:val="-15"/>
        </w:rPr>
        <w:t> </w:t>
      </w:r>
      <w:r>
        <w:rPr/>
        <w:t>pediátrico.</w:t>
      </w:r>
    </w:p>
    <w:p>
      <w:pPr>
        <w:spacing w:after="0" w:line="360" w:lineRule="auto"/>
        <w:jc w:val="both"/>
        <w:sectPr>
          <w:pgSz w:w="12240" w:h="15840"/>
          <w:pgMar w:header="0" w:footer="887" w:top="1360" w:bottom="1140" w:left="1300" w:right="1300"/>
        </w:sectPr>
      </w:pPr>
    </w:p>
    <w:p>
      <w:pPr>
        <w:pStyle w:val="Heading1"/>
        <w:numPr>
          <w:ilvl w:val="1"/>
          <w:numId w:val="16"/>
        </w:numPr>
        <w:tabs>
          <w:tab w:pos="4975" w:val="left" w:leader="none"/>
        </w:tabs>
        <w:spacing w:line="240" w:lineRule="auto" w:before="56" w:after="0"/>
        <w:ind w:left="4974" w:right="0" w:hanging="427"/>
        <w:jc w:val="left"/>
      </w:pPr>
      <w:r>
        <w:rPr/>
        <w:t>RESUMEN</w:t>
      </w:r>
    </w:p>
    <w:p>
      <w:pPr>
        <w:pStyle w:val="BodyText"/>
        <w:rPr>
          <w:b/>
        </w:rPr>
      </w:pPr>
    </w:p>
    <w:p>
      <w:pPr>
        <w:pStyle w:val="BodyText"/>
        <w:rPr>
          <w:b/>
        </w:rPr>
      </w:pPr>
    </w:p>
    <w:p>
      <w:pPr>
        <w:pStyle w:val="BodyText"/>
        <w:spacing w:line="360" w:lineRule="auto"/>
        <w:ind w:left="118" w:right="112"/>
        <w:jc w:val="both"/>
      </w:pPr>
      <w:r>
        <w:rPr>
          <w:b/>
        </w:rPr>
        <w:t>Objetivo:</w:t>
      </w:r>
      <w:r>
        <w:rPr>
          <w:b/>
          <w:spacing w:val="-15"/>
        </w:rPr>
        <w:t> </w:t>
      </w:r>
      <w:r>
        <w:rPr/>
        <w:t>Cuantificar</w:t>
      </w:r>
      <w:r>
        <w:rPr>
          <w:spacing w:val="-16"/>
        </w:rPr>
        <w:t> </w:t>
      </w:r>
      <w:r>
        <w:rPr/>
        <w:t>los</w:t>
      </w:r>
      <w:r>
        <w:rPr>
          <w:spacing w:val="-16"/>
        </w:rPr>
        <w:t> </w:t>
      </w:r>
      <w:r>
        <w:rPr/>
        <w:t>metales</w:t>
      </w:r>
      <w:r>
        <w:rPr>
          <w:spacing w:val="-18"/>
        </w:rPr>
        <w:t> </w:t>
      </w:r>
      <w:r>
        <w:rPr/>
        <w:t>en</w:t>
      </w:r>
      <w:r>
        <w:rPr>
          <w:spacing w:val="-18"/>
        </w:rPr>
        <w:t> </w:t>
      </w:r>
      <w:r>
        <w:rPr/>
        <w:t>saliva</w:t>
      </w:r>
      <w:r>
        <w:rPr>
          <w:spacing w:val="-15"/>
        </w:rPr>
        <w:t> </w:t>
      </w:r>
      <w:r>
        <w:rPr/>
        <w:t>en</w:t>
      </w:r>
      <w:r>
        <w:rPr>
          <w:spacing w:val="-18"/>
        </w:rPr>
        <w:t> </w:t>
      </w:r>
      <w:r>
        <w:rPr/>
        <w:t>pacientes</w:t>
      </w:r>
      <w:r>
        <w:rPr>
          <w:spacing w:val="-17"/>
        </w:rPr>
        <w:t> </w:t>
      </w:r>
      <w:r>
        <w:rPr/>
        <w:t>un</w:t>
      </w:r>
      <w:r>
        <w:rPr>
          <w:spacing w:val="-18"/>
        </w:rPr>
        <w:t> </w:t>
      </w:r>
      <w:r>
        <w:rPr/>
        <w:t>mes</w:t>
      </w:r>
      <w:r>
        <w:rPr>
          <w:spacing w:val="-19"/>
        </w:rPr>
        <w:t> </w:t>
      </w:r>
      <w:r>
        <w:rPr/>
        <w:t>después</w:t>
      </w:r>
      <w:r>
        <w:rPr>
          <w:spacing w:val="-17"/>
        </w:rPr>
        <w:t> </w:t>
      </w:r>
      <w:r>
        <w:rPr/>
        <w:t>de</w:t>
      </w:r>
      <w:r>
        <w:rPr>
          <w:spacing w:val="-16"/>
        </w:rPr>
        <w:t> </w:t>
      </w:r>
      <w:r>
        <w:rPr/>
        <w:t>la</w:t>
      </w:r>
      <w:r>
        <w:rPr>
          <w:spacing w:val="-16"/>
        </w:rPr>
        <w:t> </w:t>
      </w:r>
      <w:r>
        <w:rPr/>
        <w:t>colocación de coronas níquel-cromo. </w:t>
      </w:r>
      <w:r>
        <w:rPr>
          <w:b/>
        </w:rPr>
        <w:t>Material y método: </w:t>
      </w:r>
      <w:r>
        <w:rPr/>
        <w:t>Se realizó un estudio piloto en la Clínica de especialidad en Odontopediatría de la Universidad Autónoma del Estado de México, que</w:t>
      </w:r>
      <w:r>
        <w:rPr>
          <w:spacing w:val="-12"/>
        </w:rPr>
        <w:t> </w:t>
      </w:r>
      <w:r>
        <w:rPr/>
        <w:t>tuvo</w:t>
      </w:r>
      <w:r>
        <w:rPr>
          <w:spacing w:val="-12"/>
        </w:rPr>
        <w:t> </w:t>
      </w:r>
      <w:r>
        <w:rPr/>
        <w:t>un</w:t>
      </w:r>
      <w:r>
        <w:rPr>
          <w:spacing w:val="-14"/>
        </w:rPr>
        <w:t> </w:t>
      </w:r>
      <w:r>
        <w:rPr/>
        <w:t>universo</w:t>
      </w:r>
      <w:r>
        <w:rPr>
          <w:spacing w:val="-12"/>
        </w:rPr>
        <w:t> </w:t>
      </w:r>
      <w:r>
        <w:rPr/>
        <w:t>de</w:t>
      </w:r>
      <w:r>
        <w:rPr>
          <w:spacing w:val="-12"/>
        </w:rPr>
        <w:t> </w:t>
      </w:r>
      <w:r>
        <w:rPr/>
        <w:t>trabajo</w:t>
      </w:r>
      <w:r>
        <w:rPr>
          <w:spacing w:val="-12"/>
        </w:rPr>
        <w:t> </w:t>
      </w:r>
      <w:r>
        <w:rPr/>
        <w:t>inicial</w:t>
      </w:r>
      <w:r>
        <w:rPr>
          <w:spacing w:val="-13"/>
        </w:rPr>
        <w:t> </w:t>
      </w:r>
      <w:r>
        <w:rPr/>
        <w:t>de</w:t>
      </w:r>
      <w:r>
        <w:rPr>
          <w:spacing w:val="-12"/>
        </w:rPr>
        <w:t> </w:t>
      </w:r>
      <w:r>
        <w:rPr/>
        <w:t>30</w:t>
      </w:r>
      <w:r>
        <w:rPr>
          <w:spacing w:val="-14"/>
        </w:rPr>
        <w:t> </w:t>
      </w:r>
      <w:r>
        <w:rPr/>
        <w:t>pacientes</w:t>
      </w:r>
      <w:r>
        <w:rPr>
          <w:spacing w:val="-13"/>
        </w:rPr>
        <w:t> </w:t>
      </w:r>
      <w:r>
        <w:rPr/>
        <w:t>pediátricos</w:t>
      </w:r>
      <w:r>
        <w:rPr>
          <w:spacing w:val="-15"/>
        </w:rPr>
        <w:t> </w:t>
      </w:r>
      <w:r>
        <w:rPr/>
        <w:t>sistémicamente</w:t>
      </w:r>
      <w:r>
        <w:rPr>
          <w:spacing w:val="-14"/>
        </w:rPr>
        <w:t> </w:t>
      </w:r>
      <w:r>
        <w:rPr/>
        <w:t>sanos, sin haber recibido tratamiento dental y que cumplieron con los criterios de inclusión. Se tomaron muestras de saliva antes de realizar el tratamiento y un mes después de la rehabilitación, se midió el pH salival y hábitos de higiene bucal. Se seleccionaron 5 pacientes de forma aleatoria y fueron evaluadas un total de 10 muestras (5 antes y 5 después</w:t>
      </w:r>
      <w:r>
        <w:rPr>
          <w:spacing w:val="-5"/>
        </w:rPr>
        <w:t> </w:t>
      </w:r>
      <w:r>
        <w:rPr/>
        <w:t>de</w:t>
      </w:r>
      <w:r>
        <w:rPr>
          <w:spacing w:val="-5"/>
        </w:rPr>
        <w:t> </w:t>
      </w:r>
      <w:r>
        <w:rPr/>
        <w:t>la</w:t>
      </w:r>
      <w:r>
        <w:rPr>
          <w:spacing w:val="-5"/>
        </w:rPr>
        <w:t> </w:t>
      </w:r>
      <w:r>
        <w:rPr/>
        <w:t>colocación</w:t>
      </w:r>
      <w:r>
        <w:rPr>
          <w:spacing w:val="-5"/>
        </w:rPr>
        <w:t> </w:t>
      </w:r>
      <w:r>
        <w:rPr/>
        <w:t>de</w:t>
      </w:r>
      <w:r>
        <w:rPr>
          <w:spacing w:val="-5"/>
        </w:rPr>
        <w:t> </w:t>
      </w:r>
      <w:r>
        <w:rPr/>
        <w:t>coronas</w:t>
      </w:r>
      <w:r>
        <w:rPr>
          <w:spacing w:val="-5"/>
        </w:rPr>
        <w:t> </w:t>
      </w:r>
      <w:r>
        <w:rPr/>
        <w:t>de</w:t>
      </w:r>
      <w:r>
        <w:rPr>
          <w:spacing w:val="-5"/>
        </w:rPr>
        <w:t> </w:t>
      </w:r>
      <w:r>
        <w:rPr/>
        <w:t>níquel</w:t>
      </w:r>
      <w:r>
        <w:rPr>
          <w:spacing w:val="-6"/>
        </w:rPr>
        <w:t> </w:t>
      </w:r>
      <w:r>
        <w:rPr/>
        <w:t>cromo),</w:t>
      </w:r>
      <w:r>
        <w:rPr>
          <w:spacing w:val="-6"/>
        </w:rPr>
        <w:t> </w:t>
      </w:r>
      <w:r>
        <w:rPr/>
        <w:t>se</w:t>
      </w:r>
      <w:r>
        <w:rPr>
          <w:spacing w:val="-5"/>
        </w:rPr>
        <w:t> </w:t>
      </w:r>
      <w:r>
        <w:rPr/>
        <w:t>realizó</w:t>
      </w:r>
      <w:r>
        <w:rPr>
          <w:spacing w:val="-5"/>
        </w:rPr>
        <w:t> </w:t>
      </w:r>
      <w:r>
        <w:rPr/>
        <w:t>la</w:t>
      </w:r>
      <w:r>
        <w:rPr>
          <w:spacing w:val="-5"/>
        </w:rPr>
        <w:t> </w:t>
      </w:r>
      <w:r>
        <w:rPr/>
        <w:t>curva</w:t>
      </w:r>
      <w:r>
        <w:rPr>
          <w:spacing w:val="-5"/>
        </w:rPr>
        <w:t> </w:t>
      </w:r>
      <w:r>
        <w:rPr/>
        <w:t>de</w:t>
      </w:r>
      <w:r>
        <w:rPr>
          <w:spacing w:val="-5"/>
        </w:rPr>
        <w:t> </w:t>
      </w:r>
      <w:r>
        <w:rPr/>
        <w:t>calibración del</w:t>
      </w:r>
      <w:r>
        <w:rPr>
          <w:spacing w:val="-6"/>
        </w:rPr>
        <w:t> </w:t>
      </w:r>
      <w:r>
        <w:rPr/>
        <w:t>equipo</w:t>
      </w:r>
      <w:r>
        <w:rPr>
          <w:spacing w:val="-7"/>
        </w:rPr>
        <w:t> </w:t>
      </w:r>
      <w:r>
        <w:rPr/>
        <w:t>espectrómetro</w:t>
      </w:r>
      <w:r>
        <w:rPr>
          <w:spacing w:val="-5"/>
        </w:rPr>
        <w:t> </w:t>
      </w:r>
      <w:r>
        <w:rPr/>
        <w:t>de</w:t>
      </w:r>
      <w:r>
        <w:rPr>
          <w:spacing w:val="-7"/>
        </w:rPr>
        <w:t> </w:t>
      </w:r>
      <w:r>
        <w:rPr/>
        <w:t>masas</w:t>
      </w:r>
      <w:r>
        <w:rPr>
          <w:spacing w:val="-5"/>
        </w:rPr>
        <w:t> </w:t>
      </w:r>
      <w:r>
        <w:rPr/>
        <w:t>por</w:t>
      </w:r>
      <w:r>
        <w:rPr>
          <w:spacing w:val="-6"/>
        </w:rPr>
        <w:t> </w:t>
      </w:r>
      <w:r>
        <w:rPr/>
        <w:t>horno</w:t>
      </w:r>
      <w:r>
        <w:rPr>
          <w:spacing w:val="-5"/>
        </w:rPr>
        <w:t> </w:t>
      </w:r>
      <w:r>
        <w:rPr/>
        <w:t>de</w:t>
      </w:r>
      <w:r>
        <w:rPr>
          <w:spacing w:val="-5"/>
        </w:rPr>
        <w:t> </w:t>
      </w:r>
      <w:r>
        <w:rPr/>
        <w:t>grafito</w:t>
      </w:r>
      <w:r>
        <w:rPr>
          <w:spacing w:val="-7"/>
        </w:rPr>
        <w:t> </w:t>
      </w:r>
      <w:r>
        <w:rPr/>
        <w:t>PERKIN</w:t>
      </w:r>
      <w:r>
        <w:rPr>
          <w:spacing w:val="-5"/>
        </w:rPr>
        <w:t> </w:t>
      </w:r>
      <w:r>
        <w:rPr/>
        <w:t>ELMER</w:t>
      </w:r>
      <w:r>
        <w:rPr>
          <w:spacing w:val="-6"/>
        </w:rPr>
        <w:t> </w:t>
      </w:r>
      <w:r>
        <w:rPr/>
        <w:t>Spectr</w:t>
      </w:r>
      <w:r>
        <w:rPr>
          <w:spacing w:val="-6"/>
        </w:rPr>
        <w:t> </w:t>
      </w:r>
      <w:r>
        <w:rPr/>
        <w:t>AA</w:t>
      </w:r>
      <w:r>
        <w:rPr>
          <w:spacing w:val="-7"/>
        </w:rPr>
        <w:t> </w:t>
      </w:r>
      <w:r>
        <w:rPr/>
        <w:t>200 con los metales a determinar. Finalmente se obtienen los resultados de las concentraciones para hierro, níquel y cromo de cada muestra, mediante el paquete analítico 200 versión 8.0,Copyright 2013, Perkin Elmer, Inc. Se obtendrán medidas de tendencia central y de dispersión de los datos obtenidos; para posteriormente hacer pruebas de comparación de medias aplicando la prueba de Wilcoxon para las muestras y buscar diferencia entre ellas; todo lo anterior mediante el uso del paquete estadístico SPSS v. 20. </w:t>
      </w:r>
      <w:r>
        <w:rPr>
          <w:b/>
        </w:rPr>
        <w:t>Resultados: </w:t>
      </w:r>
      <w:r>
        <w:rPr/>
        <w:t>La media en la concentración de metales medida en mg/ml se comportó</w:t>
      </w:r>
      <w:r>
        <w:rPr>
          <w:spacing w:val="-12"/>
        </w:rPr>
        <w:t> </w:t>
      </w:r>
      <w:r>
        <w:rPr/>
        <w:t>de</w:t>
      </w:r>
      <w:r>
        <w:rPr>
          <w:spacing w:val="-9"/>
        </w:rPr>
        <w:t> </w:t>
      </w:r>
      <w:r>
        <w:rPr/>
        <w:t>la</w:t>
      </w:r>
      <w:r>
        <w:rPr>
          <w:spacing w:val="-10"/>
        </w:rPr>
        <w:t> </w:t>
      </w:r>
      <w:r>
        <w:rPr/>
        <w:t>siguiente</w:t>
      </w:r>
      <w:r>
        <w:rPr>
          <w:spacing w:val="-9"/>
        </w:rPr>
        <w:t> </w:t>
      </w:r>
      <w:r>
        <w:rPr/>
        <w:t>manera:</w:t>
      </w:r>
      <w:r>
        <w:rPr>
          <w:spacing w:val="-10"/>
        </w:rPr>
        <w:t> </w:t>
      </w:r>
      <w:r>
        <w:rPr/>
        <w:t>níquel</w:t>
      </w:r>
      <w:r>
        <w:rPr>
          <w:spacing w:val="-11"/>
        </w:rPr>
        <w:t> </w:t>
      </w:r>
      <w:r>
        <w:rPr/>
        <w:t>antes</w:t>
      </w:r>
      <w:r>
        <w:rPr>
          <w:spacing w:val="-10"/>
        </w:rPr>
        <w:t> </w:t>
      </w:r>
      <w:r>
        <w:rPr/>
        <w:t>de</w:t>
      </w:r>
      <w:r>
        <w:rPr>
          <w:spacing w:val="-9"/>
        </w:rPr>
        <w:t> </w:t>
      </w:r>
      <w:r>
        <w:rPr/>
        <w:t>la</w:t>
      </w:r>
      <w:r>
        <w:rPr>
          <w:spacing w:val="-10"/>
        </w:rPr>
        <w:t> </w:t>
      </w:r>
      <w:r>
        <w:rPr/>
        <w:t>colocación</w:t>
      </w:r>
      <w:r>
        <w:rPr>
          <w:spacing w:val="-9"/>
        </w:rPr>
        <w:t> </w:t>
      </w:r>
      <w:r>
        <w:rPr/>
        <w:t>de</w:t>
      </w:r>
      <w:r>
        <w:rPr>
          <w:spacing w:val="-9"/>
        </w:rPr>
        <w:t> </w:t>
      </w:r>
      <w:r>
        <w:rPr/>
        <w:t>coronas</w:t>
      </w:r>
      <w:r>
        <w:rPr>
          <w:spacing w:val="-13"/>
        </w:rPr>
        <w:t> </w:t>
      </w:r>
      <w:r>
        <w:rPr/>
        <w:t>una</w:t>
      </w:r>
      <w:r>
        <w:rPr>
          <w:spacing w:val="-12"/>
        </w:rPr>
        <w:t> </w:t>
      </w:r>
      <w:r>
        <w:rPr/>
        <w:t>media</w:t>
      </w:r>
      <w:r>
        <w:rPr>
          <w:spacing w:val="-12"/>
        </w:rPr>
        <w:t> </w:t>
      </w:r>
      <w:r>
        <w:rPr/>
        <w:t>de</w:t>
      </w:r>
    </w:p>
    <w:p>
      <w:pPr>
        <w:pStyle w:val="BodyText"/>
        <w:spacing w:before="4"/>
        <w:ind w:left="118"/>
        <w:jc w:val="both"/>
        <w:rPr>
          <w:rFonts w:ascii="Cambria Math" w:hAnsi="Cambria Math"/>
        </w:rPr>
      </w:pPr>
      <w:r>
        <w:rPr/>
        <w:t>15.66 </w:t>
      </w:r>
      <w:r>
        <w:rPr>
          <w:rFonts w:ascii="Cambria Math" w:hAnsi="Cambria Math"/>
        </w:rPr>
        <w:t>±</w:t>
      </w:r>
      <w:r>
        <w:rPr/>
        <w:t>13.534, un mes posterior a la colocación de coronas una media de 98.35 </w:t>
      </w:r>
      <w:r>
        <w:rPr>
          <w:rFonts w:ascii="Cambria Math" w:hAnsi="Cambria Math"/>
        </w:rPr>
        <w:t>±</w:t>
      </w:r>
    </w:p>
    <w:p>
      <w:pPr>
        <w:pStyle w:val="BodyText"/>
        <w:spacing w:line="360" w:lineRule="auto" w:before="138"/>
        <w:ind w:left="118" w:right="114"/>
        <w:jc w:val="both"/>
      </w:pPr>
      <w:r>
        <w:rPr/>
        <w:t>162.423. El hierro antes del tratamiento 5763.40 </w:t>
      </w:r>
      <w:r>
        <w:rPr>
          <w:rFonts w:ascii="Cambria Math" w:hAnsi="Cambria Math"/>
        </w:rPr>
        <w:t>± </w:t>
      </w:r>
      <w:r>
        <w:rPr/>
        <w:t>2521.11, después del tatamiento 6978.70 </w:t>
      </w:r>
      <w:r>
        <w:rPr>
          <w:rFonts w:ascii="Cambria Math" w:hAnsi="Cambria Math"/>
        </w:rPr>
        <w:t>±</w:t>
      </w:r>
      <w:r>
        <w:rPr/>
        <w:t>499.75964, finalmente el cromo antes de la colocación de coronas la media fue</w:t>
      </w:r>
      <w:r>
        <w:rPr>
          <w:spacing w:val="-17"/>
        </w:rPr>
        <w:t> </w:t>
      </w:r>
      <w:r>
        <w:rPr/>
        <w:t>de</w:t>
      </w:r>
      <w:r>
        <w:rPr>
          <w:spacing w:val="-17"/>
        </w:rPr>
        <w:t> </w:t>
      </w:r>
      <w:r>
        <w:rPr/>
        <w:t>6.4600</w:t>
      </w:r>
      <w:r>
        <w:rPr>
          <w:spacing w:val="-17"/>
        </w:rPr>
        <w:t> </w:t>
      </w:r>
      <w:r>
        <w:rPr>
          <w:rFonts w:ascii="Cambria Math" w:hAnsi="Cambria Math"/>
        </w:rPr>
        <w:t>±</w:t>
      </w:r>
      <w:r>
        <w:rPr/>
        <w:t>4.6364</w:t>
      </w:r>
      <w:r>
        <w:rPr>
          <w:spacing w:val="-14"/>
        </w:rPr>
        <w:t> </w:t>
      </w:r>
      <w:r>
        <w:rPr/>
        <w:t>y</w:t>
      </w:r>
      <w:r>
        <w:rPr>
          <w:spacing w:val="-17"/>
        </w:rPr>
        <w:t> </w:t>
      </w:r>
      <w:r>
        <w:rPr/>
        <w:t>un</w:t>
      </w:r>
      <w:r>
        <w:rPr>
          <w:spacing w:val="-17"/>
        </w:rPr>
        <w:t> </w:t>
      </w:r>
      <w:r>
        <w:rPr/>
        <w:t>mes</w:t>
      </w:r>
      <w:r>
        <w:rPr>
          <w:spacing w:val="-17"/>
        </w:rPr>
        <w:t> </w:t>
      </w:r>
      <w:r>
        <w:rPr/>
        <w:t>posterior</w:t>
      </w:r>
      <w:r>
        <w:rPr>
          <w:spacing w:val="-16"/>
        </w:rPr>
        <w:t> </w:t>
      </w:r>
      <w:r>
        <w:rPr/>
        <w:t>6.0600</w:t>
      </w:r>
      <w:r>
        <w:rPr>
          <w:spacing w:val="-12"/>
        </w:rPr>
        <w:t> </w:t>
      </w:r>
      <w:r>
        <w:rPr>
          <w:rFonts w:ascii="Cambria Math" w:hAnsi="Cambria Math"/>
        </w:rPr>
        <w:t>±</w:t>
      </w:r>
      <w:r>
        <w:rPr/>
        <w:t>13.5505.</w:t>
      </w:r>
      <w:r>
        <w:rPr>
          <w:spacing w:val="-14"/>
        </w:rPr>
        <w:t> </w:t>
      </w:r>
      <w:r>
        <w:rPr>
          <w:b/>
        </w:rPr>
        <w:t>Conclusión:</w:t>
      </w:r>
      <w:r>
        <w:rPr>
          <w:b/>
          <w:spacing w:val="-13"/>
        </w:rPr>
        <w:t> </w:t>
      </w:r>
      <w:r>
        <w:rPr/>
        <w:t>Se</w:t>
      </w:r>
      <w:r>
        <w:rPr>
          <w:spacing w:val="-14"/>
        </w:rPr>
        <w:t> </w:t>
      </w:r>
      <w:r>
        <w:rPr/>
        <w:t>observaron cambios antes y después del tratamiento en los metales: hierro y níquel, consideramos que no existe diferencia estadísticamente significativa, sin embargo sigue siendo motivo para continuar con la segunda fase de investigación, ya que el paciente pediátrico es susceptible a elementos externos que promuevan un cambio o una reacción adversa en los tejidos</w:t>
      </w:r>
      <w:r>
        <w:rPr>
          <w:spacing w:val="-3"/>
        </w:rPr>
        <w:t> </w:t>
      </w:r>
      <w:r>
        <w:rPr/>
        <w:t>orales.</w:t>
      </w:r>
    </w:p>
    <w:p>
      <w:pPr>
        <w:pStyle w:val="BodyText"/>
        <w:spacing w:before="204"/>
        <w:ind w:left="118"/>
        <w:jc w:val="both"/>
      </w:pPr>
      <w:r>
        <w:rPr>
          <w:b/>
        </w:rPr>
        <w:t>Palabras clave: </w:t>
      </w:r>
      <w:r>
        <w:rPr/>
        <w:t>liberación de iones metálicos; espectrometría; corrosión; citotoxicidad.</w:t>
      </w:r>
    </w:p>
    <w:p>
      <w:pPr>
        <w:spacing w:after="0"/>
        <w:jc w:val="both"/>
        <w:sectPr>
          <w:pgSz w:w="12240" w:h="15840"/>
          <w:pgMar w:header="0" w:footer="887" w:top="1360" w:bottom="1140" w:left="1300" w:right="1300"/>
        </w:sectPr>
      </w:pPr>
    </w:p>
    <w:p>
      <w:pPr>
        <w:pStyle w:val="Heading1"/>
        <w:ind w:left="1675" w:right="1676"/>
        <w:jc w:val="center"/>
      </w:pPr>
      <w:r>
        <w:rPr/>
        <w:t>SUMMARY</w:t>
      </w:r>
    </w:p>
    <w:p>
      <w:pPr>
        <w:pStyle w:val="BodyText"/>
        <w:spacing w:before="5"/>
        <w:rPr>
          <w:b/>
          <w:sz w:val="29"/>
        </w:rPr>
      </w:pPr>
    </w:p>
    <w:p>
      <w:pPr>
        <w:pStyle w:val="BodyText"/>
        <w:spacing w:line="360" w:lineRule="auto"/>
        <w:ind w:left="118" w:right="112"/>
        <w:jc w:val="both"/>
      </w:pPr>
      <w:r>
        <w:rPr>
          <w:b/>
        </w:rPr>
        <w:t>Objective: </w:t>
      </w:r>
      <w:r>
        <w:rPr/>
        <w:t>To quantify the metals in saliva in patients one month after placing crowns nickel-chromium. </w:t>
      </w:r>
      <w:r>
        <w:rPr>
          <w:b/>
        </w:rPr>
        <w:t>Materials and methods: </w:t>
      </w:r>
      <w:r>
        <w:rPr/>
        <w:t>a pilot study in the specialty in Pediatric Dentistry Clinic of the University of the State of Mexico, which had an initial working universe of 30 systemically healthy pediatric patients, without receiving dental treatment and who met the criteria was carried out inclusion. Saliva samples were taken prior to treatment and one month after rehabilitation, salivary pH and oral hygiene habits was measured. 5 patients were randomly selected and were evaluated a total of 10 samples (5 before and 5 after placing crowns nickel chrome), the calibration curve of the mass spectrometer equipment was performed by graphite furnace PERKIN ELMER Spectr AA 200 to determine metals. Finally the results of the concentrations for iron, nickel and chromium from each sample was obtained by analytical package 200 version 8.0, Copyright 2013, Perkin Elmer, Inc. measures of central tendency and dispersion of </w:t>
      </w:r>
      <w:r>
        <w:rPr>
          <w:spacing w:val="2"/>
        </w:rPr>
        <w:t>the </w:t>
      </w:r>
      <w:r>
        <w:rPr/>
        <w:t>data</w:t>
      </w:r>
      <w:r>
        <w:rPr>
          <w:spacing w:val="-15"/>
        </w:rPr>
        <w:t> </w:t>
      </w:r>
      <w:r>
        <w:rPr/>
        <w:t>will</w:t>
      </w:r>
      <w:r>
        <w:rPr>
          <w:spacing w:val="-14"/>
        </w:rPr>
        <w:t> </w:t>
      </w:r>
      <w:r>
        <w:rPr/>
        <w:t>be</w:t>
      </w:r>
      <w:r>
        <w:rPr>
          <w:spacing w:val="-13"/>
        </w:rPr>
        <w:t> </w:t>
      </w:r>
      <w:r>
        <w:rPr/>
        <w:t>obtained;</w:t>
      </w:r>
      <w:r>
        <w:rPr>
          <w:spacing w:val="-16"/>
        </w:rPr>
        <w:t> </w:t>
      </w:r>
      <w:r>
        <w:rPr/>
        <w:t>then</w:t>
      </w:r>
      <w:r>
        <w:rPr>
          <w:spacing w:val="-15"/>
        </w:rPr>
        <w:t> </w:t>
      </w:r>
      <w:r>
        <w:rPr/>
        <w:t>do</w:t>
      </w:r>
      <w:r>
        <w:rPr>
          <w:spacing w:val="-15"/>
        </w:rPr>
        <w:t> </w:t>
      </w:r>
      <w:r>
        <w:rPr/>
        <w:t>tests</w:t>
      </w:r>
      <w:r>
        <w:rPr>
          <w:spacing w:val="-13"/>
        </w:rPr>
        <w:t> </w:t>
      </w:r>
      <w:r>
        <w:rPr/>
        <w:t>to</w:t>
      </w:r>
      <w:r>
        <w:rPr>
          <w:spacing w:val="-13"/>
        </w:rPr>
        <w:t> </w:t>
      </w:r>
      <w:r>
        <w:rPr/>
        <w:t>compare</w:t>
      </w:r>
      <w:r>
        <w:rPr>
          <w:spacing w:val="-16"/>
        </w:rPr>
        <w:t> </w:t>
      </w:r>
      <w:r>
        <w:rPr/>
        <w:t>means</w:t>
      </w:r>
      <w:r>
        <w:rPr>
          <w:spacing w:val="-14"/>
        </w:rPr>
        <w:t> </w:t>
      </w:r>
      <w:r>
        <w:rPr/>
        <w:t>using</w:t>
      </w:r>
      <w:r>
        <w:rPr>
          <w:spacing w:val="-15"/>
        </w:rPr>
        <w:t> </w:t>
      </w:r>
      <w:r>
        <w:rPr/>
        <w:t>the</w:t>
      </w:r>
      <w:r>
        <w:rPr>
          <w:spacing w:val="-20"/>
        </w:rPr>
        <w:t> </w:t>
      </w:r>
      <w:r>
        <w:rPr/>
        <w:t>Wilcoxon</w:t>
      </w:r>
      <w:r>
        <w:rPr>
          <w:spacing w:val="-13"/>
        </w:rPr>
        <w:t> </w:t>
      </w:r>
      <w:r>
        <w:rPr/>
        <w:t>test</w:t>
      </w:r>
      <w:r>
        <w:rPr>
          <w:spacing w:val="-18"/>
        </w:rPr>
        <w:t> </w:t>
      </w:r>
      <w:r>
        <w:rPr/>
        <w:t>for</w:t>
      </w:r>
      <w:r>
        <w:rPr>
          <w:spacing w:val="-9"/>
        </w:rPr>
        <w:t> </w:t>
      </w:r>
      <w:r>
        <w:rPr/>
        <w:t>samples and look for differences between them; all this using the SPSS v. 20. </w:t>
      </w:r>
      <w:r>
        <w:rPr>
          <w:b/>
        </w:rPr>
        <w:t>Results: </w:t>
      </w:r>
      <w:r>
        <w:rPr/>
        <w:t>The average metal concentrations measured in mg / ml behaved as follows: nickel before placing crowns an average of 15.66 ± 13,534, subsequent to the placement of crowns month an average of 98.35 ± 162,423. Iron before treatment 5763.40 ± 2521.11, after tatamiento 6978.70 ± 499.75964 finally chromium before placing crowns the mean was 6.4600 ± 4.6364 and a later month 6.0600 ± 13.5505. </w:t>
      </w:r>
      <w:r>
        <w:rPr>
          <w:b/>
        </w:rPr>
        <w:t>Conclusion: </w:t>
      </w:r>
      <w:r>
        <w:rPr/>
        <w:t>changes were observed before and after treatment metals, iron and nickel, we believe that there is no statistically significant difference, however is still reason to continue with the second phase of research, because the pediatric patient is susceptible to external elements that promote a change or an adverse tissue reaction</w:t>
      </w:r>
      <w:r>
        <w:rPr>
          <w:spacing w:val="-16"/>
        </w:rPr>
        <w:t> </w:t>
      </w:r>
      <w:r>
        <w:rPr/>
        <w:t>oral.</w:t>
      </w:r>
    </w:p>
    <w:p>
      <w:pPr>
        <w:pStyle w:val="BodyText"/>
        <w:spacing w:before="204"/>
        <w:ind w:left="118"/>
        <w:jc w:val="both"/>
      </w:pPr>
      <w:r>
        <w:rPr>
          <w:b/>
        </w:rPr>
        <w:t>Key words: </w:t>
      </w:r>
      <w:r>
        <w:rPr/>
        <w:t>metal ion release; spectrometry; corrosion; cytotoxicity.</w:t>
      </w:r>
    </w:p>
    <w:p>
      <w:pPr>
        <w:spacing w:after="0"/>
        <w:jc w:val="both"/>
        <w:sectPr>
          <w:pgSz w:w="12240" w:h="15840"/>
          <w:pgMar w:header="0" w:footer="887" w:top="1360" w:bottom="1140" w:left="1300" w:right="1300"/>
        </w:sectPr>
      </w:pPr>
    </w:p>
    <w:p>
      <w:pPr>
        <w:pStyle w:val="Heading1"/>
        <w:numPr>
          <w:ilvl w:val="1"/>
          <w:numId w:val="16"/>
        </w:numPr>
        <w:tabs>
          <w:tab w:pos="4353" w:val="left" w:leader="none"/>
        </w:tabs>
        <w:spacing w:line="240" w:lineRule="auto" w:before="56" w:after="0"/>
        <w:ind w:left="4353" w:right="0" w:hanging="428"/>
        <w:jc w:val="left"/>
      </w:pPr>
      <w:r>
        <w:rPr/>
        <w:t>REFERENCIAS</w:t>
      </w:r>
    </w:p>
    <w:p>
      <w:pPr>
        <w:pStyle w:val="BodyText"/>
        <w:rPr>
          <w:b/>
        </w:rPr>
      </w:pPr>
    </w:p>
    <w:p>
      <w:pPr>
        <w:pStyle w:val="BodyText"/>
        <w:rPr>
          <w:b/>
        </w:rPr>
      </w:pPr>
    </w:p>
    <w:p>
      <w:pPr>
        <w:pStyle w:val="ListParagraph"/>
        <w:numPr>
          <w:ilvl w:val="0"/>
          <w:numId w:val="18"/>
        </w:numPr>
        <w:tabs>
          <w:tab w:pos="479" w:val="left" w:leader="none"/>
        </w:tabs>
        <w:spacing w:line="360" w:lineRule="auto" w:before="0" w:after="0"/>
        <w:ind w:left="478" w:right="111" w:hanging="360"/>
        <w:jc w:val="both"/>
        <w:rPr>
          <w:sz w:val="24"/>
        </w:rPr>
      </w:pPr>
      <w:r>
        <w:rPr>
          <w:sz w:val="24"/>
        </w:rPr>
        <w:t>Boj JR. Odontopediatría. 5ª ed. España: Elsevier Mosby, Masson; 2010, p 163- 164.</w:t>
      </w:r>
    </w:p>
    <w:p>
      <w:pPr>
        <w:pStyle w:val="ListParagraph"/>
        <w:numPr>
          <w:ilvl w:val="0"/>
          <w:numId w:val="18"/>
        </w:numPr>
        <w:tabs>
          <w:tab w:pos="479" w:val="left" w:leader="none"/>
        </w:tabs>
        <w:spacing w:line="360" w:lineRule="auto" w:before="5" w:after="0"/>
        <w:ind w:left="478" w:right="117" w:hanging="360"/>
        <w:jc w:val="both"/>
        <w:rPr>
          <w:sz w:val="24"/>
        </w:rPr>
      </w:pPr>
      <w:r>
        <w:rPr>
          <w:sz w:val="24"/>
        </w:rPr>
        <w:t>Angus C. Manual de odontopediatría pediátrica. 3ª ed. España: Elsevier Mosby; 2010, p</w:t>
      </w:r>
      <w:r>
        <w:rPr>
          <w:spacing w:val="-5"/>
          <w:sz w:val="24"/>
        </w:rPr>
        <w:t> </w:t>
      </w:r>
      <w:r>
        <w:rPr>
          <w:sz w:val="24"/>
        </w:rPr>
        <w:t>81.</w:t>
      </w:r>
    </w:p>
    <w:p>
      <w:pPr>
        <w:pStyle w:val="ListParagraph"/>
        <w:numPr>
          <w:ilvl w:val="0"/>
          <w:numId w:val="18"/>
        </w:numPr>
        <w:tabs>
          <w:tab w:pos="479" w:val="left" w:leader="none"/>
        </w:tabs>
        <w:spacing w:line="360" w:lineRule="auto" w:before="5" w:after="0"/>
        <w:ind w:left="478" w:right="113" w:hanging="360"/>
        <w:jc w:val="both"/>
        <w:rPr>
          <w:sz w:val="24"/>
        </w:rPr>
      </w:pPr>
      <w:r>
        <w:rPr>
          <w:sz w:val="24"/>
        </w:rPr>
        <w:t>Barrancos M, Barrancos. Operatoria dental, integración clínica, 4ª ed. Argentina: Panamericana; 2006, p</w:t>
      </w:r>
      <w:r>
        <w:rPr>
          <w:spacing w:val="-11"/>
          <w:sz w:val="24"/>
        </w:rPr>
        <w:t> </w:t>
      </w:r>
      <w:r>
        <w:rPr>
          <w:sz w:val="24"/>
        </w:rPr>
        <w:t>680.</w:t>
      </w:r>
    </w:p>
    <w:p>
      <w:pPr>
        <w:pStyle w:val="ListParagraph"/>
        <w:numPr>
          <w:ilvl w:val="0"/>
          <w:numId w:val="18"/>
        </w:numPr>
        <w:tabs>
          <w:tab w:pos="479" w:val="left" w:leader="none"/>
        </w:tabs>
        <w:spacing w:line="360" w:lineRule="auto" w:before="5" w:after="0"/>
        <w:ind w:left="478" w:right="112" w:hanging="360"/>
        <w:jc w:val="both"/>
        <w:rPr>
          <w:sz w:val="24"/>
        </w:rPr>
      </w:pPr>
      <w:r>
        <w:rPr>
          <w:sz w:val="24"/>
        </w:rPr>
        <w:t>Schillingburg HT. Metallographic. In fundamentals of fixed prosthodontics. 3ª ed. Chicago: Quintessence; 1997, p</w:t>
      </w:r>
      <w:r>
        <w:rPr>
          <w:spacing w:val="-13"/>
          <w:sz w:val="24"/>
        </w:rPr>
        <w:t> </w:t>
      </w:r>
      <w:r>
        <w:rPr>
          <w:sz w:val="24"/>
        </w:rPr>
        <w:t>143.</w:t>
      </w:r>
    </w:p>
    <w:p>
      <w:pPr>
        <w:pStyle w:val="ListParagraph"/>
        <w:numPr>
          <w:ilvl w:val="0"/>
          <w:numId w:val="18"/>
        </w:numPr>
        <w:tabs>
          <w:tab w:pos="479" w:val="left" w:leader="none"/>
        </w:tabs>
        <w:spacing w:line="360" w:lineRule="auto" w:before="5" w:after="0"/>
        <w:ind w:left="478" w:right="114" w:hanging="360"/>
        <w:jc w:val="both"/>
        <w:rPr>
          <w:sz w:val="24"/>
        </w:rPr>
      </w:pPr>
      <w:r>
        <w:rPr>
          <w:sz w:val="24"/>
        </w:rPr>
        <w:t>Craig</w:t>
      </w:r>
      <w:r>
        <w:rPr>
          <w:spacing w:val="-8"/>
          <w:sz w:val="24"/>
        </w:rPr>
        <w:t> </w:t>
      </w:r>
      <w:r>
        <w:rPr>
          <w:sz w:val="24"/>
        </w:rPr>
        <w:t>R.</w:t>
      </w:r>
      <w:r>
        <w:rPr>
          <w:spacing w:val="-6"/>
          <w:sz w:val="24"/>
        </w:rPr>
        <w:t> </w:t>
      </w:r>
      <w:r>
        <w:rPr>
          <w:sz w:val="24"/>
        </w:rPr>
        <w:t>Aleaciones</w:t>
      </w:r>
      <w:r>
        <w:rPr>
          <w:spacing w:val="-4"/>
          <w:sz w:val="24"/>
        </w:rPr>
        <w:t> </w:t>
      </w:r>
      <w:r>
        <w:rPr>
          <w:sz w:val="24"/>
        </w:rPr>
        <w:t>de</w:t>
      </w:r>
      <w:r>
        <w:rPr>
          <w:spacing w:val="-7"/>
          <w:sz w:val="24"/>
        </w:rPr>
        <w:t> </w:t>
      </w:r>
      <w:r>
        <w:rPr>
          <w:sz w:val="24"/>
        </w:rPr>
        <w:t>metales</w:t>
      </w:r>
      <w:r>
        <w:rPr>
          <w:spacing w:val="-6"/>
          <w:sz w:val="24"/>
        </w:rPr>
        <w:t> </w:t>
      </w:r>
      <w:r>
        <w:rPr>
          <w:sz w:val="24"/>
        </w:rPr>
        <w:t>nobles</w:t>
      </w:r>
      <w:r>
        <w:rPr>
          <w:spacing w:val="-5"/>
          <w:sz w:val="24"/>
        </w:rPr>
        <w:t> </w:t>
      </w:r>
      <w:r>
        <w:rPr>
          <w:sz w:val="24"/>
        </w:rPr>
        <w:t>y</w:t>
      </w:r>
      <w:r>
        <w:rPr>
          <w:spacing w:val="-8"/>
          <w:sz w:val="24"/>
        </w:rPr>
        <w:t> </w:t>
      </w:r>
      <w:r>
        <w:rPr>
          <w:sz w:val="24"/>
        </w:rPr>
        <w:t>soldaduras</w:t>
      </w:r>
      <w:r>
        <w:rPr>
          <w:spacing w:val="-6"/>
          <w:sz w:val="24"/>
        </w:rPr>
        <w:t> </w:t>
      </w:r>
      <w:r>
        <w:rPr>
          <w:sz w:val="24"/>
        </w:rPr>
        <w:t>en</w:t>
      </w:r>
      <w:r>
        <w:rPr>
          <w:spacing w:val="-5"/>
          <w:sz w:val="24"/>
        </w:rPr>
        <w:t> </w:t>
      </w:r>
      <w:r>
        <w:rPr>
          <w:sz w:val="24"/>
        </w:rPr>
        <w:t>materiales</w:t>
      </w:r>
      <w:r>
        <w:rPr>
          <w:spacing w:val="-5"/>
          <w:sz w:val="24"/>
        </w:rPr>
        <w:t> </w:t>
      </w:r>
      <w:r>
        <w:rPr>
          <w:sz w:val="24"/>
        </w:rPr>
        <w:t>en</w:t>
      </w:r>
      <w:r>
        <w:rPr>
          <w:spacing w:val="-5"/>
          <w:sz w:val="24"/>
        </w:rPr>
        <w:t> </w:t>
      </w:r>
      <w:r>
        <w:rPr>
          <w:sz w:val="24"/>
        </w:rPr>
        <w:t>odontología restauradora. 10ª ed. Madrid; 1998, p 383-</w:t>
      </w:r>
      <w:r>
        <w:rPr>
          <w:spacing w:val="-20"/>
          <w:sz w:val="24"/>
        </w:rPr>
        <w:t> </w:t>
      </w:r>
      <w:r>
        <w:rPr>
          <w:sz w:val="24"/>
        </w:rPr>
        <w:t>395.</w:t>
      </w:r>
    </w:p>
    <w:p>
      <w:pPr>
        <w:pStyle w:val="ListParagraph"/>
        <w:numPr>
          <w:ilvl w:val="0"/>
          <w:numId w:val="18"/>
        </w:numPr>
        <w:tabs>
          <w:tab w:pos="479" w:val="left" w:leader="none"/>
        </w:tabs>
        <w:spacing w:line="360" w:lineRule="auto" w:before="5" w:after="0"/>
        <w:ind w:left="478" w:right="112" w:hanging="360"/>
        <w:jc w:val="both"/>
        <w:rPr>
          <w:sz w:val="24"/>
        </w:rPr>
      </w:pPr>
      <w:r>
        <w:rPr>
          <w:sz w:val="24"/>
        </w:rPr>
        <w:t>Giraldo OL. Metales y aleaciones en Odontología. Rev Fac Odont Univ Ant.</w:t>
      </w:r>
      <w:r>
        <w:rPr>
          <w:spacing w:val="-35"/>
          <w:sz w:val="24"/>
        </w:rPr>
        <w:t> </w:t>
      </w:r>
      <w:r>
        <w:rPr>
          <w:sz w:val="24"/>
        </w:rPr>
        <w:t>2004; 15</w:t>
      </w:r>
      <w:r>
        <w:rPr>
          <w:spacing w:val="-3"/>
          <w:sz w:val="24"/>
        </w:rPr>
        <w:t> </w:t>
      </w:r>
      <w:r>
        <w:rPr>
          <w:sz w:val="24"/>
        </w:rPr>
        <w:t>(2):53-63.</w:t>
      </w:r>
    </w:p>
    <w:p>
      <w:pPr>
        <w:pStyle w:val="ListParagraph"/>
        <w:numPr>
          <w:ilvl w:val="0"/>
          <w:numId w:val="18"/>
        </w:numPr>
        <w:tabs>
          <w:tab w:pos="479" w:val="left" w:leader="none"/>
        </w:tabs>
        <w:spacing w:line="360" w:lineRule="auto" w:before="5" w:after="0"/>
        <w:ind w:left="478" w:right="112" w:hanging="360"/>
        <w:jc w:val="both"/>
        <w:rPr>
          <w:sz w:val="24"/>
        </w:rPr>
      </w:pPr>
      <w:r>
        <w:rPr>
          <w:sz w:val="24"/>
        </w:rPr>
        <w:t>3M ESPE (Internet). España: Guía de uso para coronas prefabricadas de 3M™ ESPE™, 2012, pp 13 [acceso 12 de mayo del</w:t>
      </w:r>
      <w:r>
        <w:rPr>
          <w:spacing w:val="-20"/>
          <w:sz w:val="24"/>
        </w:rPr>
        <w:t> </w:t>
      </w:r>
      <w:r>
        <w:rPr>
          <w:sz w:val="24"/>
        </w:rPr>
        <w:t>2015]</w:t>
      </w:r>
    </w:p>
    <w:p>
      <w:pPr>
        <w:pStyle w:val="BodyText"/>
        <w:tabs>
          <w:tab w:pos="1900" w:val="left" w:leader="none"/>
          <w:tab w:pos="2536" w:val="left" w:leader="none"/>
        </w:tabs>
        <w:spacing w:line="360" w:lineRule="auto" w:before="5"/>
        <w:ind w:left="478" w:right="111"/>
      </w:pPr>
      <w:r>
        <w:rPr/>
        <w:t>Disponible</w:t>
        <w:tab/>
        <w:t>en:</w:t>
        <w:tab/>
      </w:r>
      <w:hyperlink r:id="rId109">
        <w:r>
          <w:rPr>
            <w:spacing w:val="-1"/>
          </w:rPr>
          <w:t>http://multimedia.3m.com/mws/media/221322O/3mtm-espetm-</w:t>
        </w:r>
      </w:hyperlink>
      <w:r>
        <w:rPr>
          <w:spacing w:val="-1"/>
        </w:rPr>
        <w:t> </w:t>
      </w:r>
      <w:r>
        <w:rPr/>
        <w:t>crown-products.pdf?fn=crowns_ifu_we.pdf</w:t>
      </w:r>
    </w:p>
    <w:p>
      <w:pPr>
        <w:pStyle w:val="ListParagraph"/>
        <w:numPr>
          <w:ilvl w:val="0"/>
          <w:numId w:val="18"/>
        </w:numPr>
        <w:tabs>
          <w:tab w:pos="479" w:val="left" w:leader="none"/>
        </w:tabs>
        <w:spacing w:line="360" w:lineRule="auto" w:before="5" w:after="0"/>
        <w:ind w:left="478" w:right="115" w:hanging="360"/>
        <w:jc w:val="both"/>
        <w:rPr>
          <w:sz w:val="24"/>
        </w:rPr>
      </w:pPr>
      <w:r>
        <w:rPr>
          <w:sz w:val="24"/>
        </w:rPr>
        <w:t>Téllez-Licona M. PH salival y su capacidad amortiguadora como factor de riesgo de caries en niños de la escuela primaria federal “Ignacio Ramírez”, Poza Rica, [Tesis]. Universidad Veracruzana, 2011, pp</w:t>
      </w:r>
      <w:r>
        <w:rPr>
          <w:spacing w:val="-13"/>
          <w:sz w:val="24"/>
        </w:rPr>
        <w:t> </w:t>
      </w:r>
      <w:r>
        <w:rPr>
          <w:sz w:val="24"/>
        </w:rPr>
        <w:t>45-48.</w:t>
      </w:r>
    </w:p>
    <w:p>
      <w:pPr>
        <w:pStyle w:val="ListParagraph"/>
        <w:numPr>
          <w:ilvl w:val="0"/>
          <w:numId w:val="18"/>
        </w:numPr>
        <w:tabs>
          <w:tab w:pos="479" w:val="left" w:leader="none"/>
        </w:tabs>
        <w:spacing w:line="360" w:lineRule="auto" w:before="2" w:after="0"/>
        <w:ind w:left="478" w:right="115" w:hanging="360"/>
        <w:jc w:val="both"/>
        <w:rPr>
          <w:sz w:val="24"/>
        </w:rPr>
      </w:pPr>
      <w:r>
        <w:rPr>
          <w:sz w:val="24"/>
        </w:rPr>
        <w:t>Pérez DM. Características fisicoquímicas de la saliva de parótida y actividad antimicrobiana-antioxidante de la peroxidasa salival en escolares con gingivitis. Odous Científica.</w:t>
      </w:r>
      <w:r>
        <w:rPr>
          <w:spacing w:val="-10"/>
          <w:sz w:val="24"/>
        </w:rPr>
        <w:t> </w:t>
      </w:r>
      <w:r>
        <w:rPr>
          <w:sz w:val="24"/>
        </w:rPr>
        <w:t>2011,12:(2),3-7</w:t>
      </w:r>
    </w:p>
    <w:p>
      <w:pPr>
        <w:pStyle w:val="ListParagraph"/>
        <w:numPr>
          <w:ilvl w:val="0"/>
          <w:numId w:val="18"/>
        </w:numPr>
        <w:tabs>
          <w:tab w:pos="479" w:val="left" w:leader="none"/>
        </w:tabs>
        <w:spacing w:line="240" w:lineRule="auto" w:before="2" w:after="0"/>
        <w:ind w:left="478" w:right="0" w:hanging="360"/>
        <w:jc w:val="left"/>
        <w:rPr>
          <w:sz w:val="24"/>
        </w:rPr>
      </w:pPr>
      <w:r>
        <w:rPr>
          <w:sz w:val="24"/>
        </w:rPr>
        <w:t>Perejoan M. Sustitutos de la saliva. Rev Esp Estomat. 1986; 14(2):</w:t>
      </w:r>
      <w:r>
        <w:rPr>
          <w:spacing w:val="-24"/>
          <w:sz w:val="24"/>
        </w:rPr>
        <w:t> </w:t>
      </w:r>
      <w:r>
        <w:rPr>
          <w:sz w:val="24"/>
        </w:rPr>
        <w:t>326-332.</w:t>
      </w:r>
    </w:p>
    <w:p>
      <w:pPr>
        <w:pStyle w:val="ListParagraph"/>
        <w:numPr>
          <w:ilvl w:val="0"/>
          <w:numId w:val="18"/>
        </w:numPr>
        <w:tabs>
          <w:tab w:pos="479" w:val="left" w:leader="none"/>
        </w:tabs>
        <w:spacing w:line="360" w:lineRule="auto" w:before="139" w:after="0"/>
        <w:ind w:left="478" w:right="120" w:hanging="360"/>
        <w:jc w:val="both"/>
        <w:rPr>
          <w:sz w:val="24"/>
        </w:rPr>
      </w:pPr>
      <w:r>
        <w:rPr>
          <w:sz w:val="24"/>
        </w:rPr>
        <w:t>Restrepo Ospina DP, Ardila Medina CM. Reacciones adversas ocasionadas por los biomateriales usados en prostodoncia. Av. Odont. 2010; 26(1):</w:t>
      </w:r>
      <w:r>
        <w:rPr>
          <w:spacing w:val="-23"/>
          <w:sz w:val="24"/>
        </w:rPr>
        <w:t> </w:t>
      </w:r>
      <w:r>
        <w:rPr>
          <w:sz w:val="24"/>
        </w:rPr>
        <w:t>19-30.</w:t>
      </w:r>
    </w:p>
    <w:p>
      <w:pPr>
        <w:pStyle w:val="ListParagraph"/>
        <w:numPr>
          <w:ilvl w:val="0"/>
          <w:numId w:val="18"/>
        </w:numPr>
        <w:tabs>
          <w:tab w:pos="479" w:val="left" w:leader="none"/>
        </w:tabs>
        <w:spacing w:line="360" w:lineRule="auto" w:before="5" w:after="0"/>
        <w:ind w:left="478" w:right="111" w:hanging="360"/>
        <w:jc w:val="both"/>
        <w:rPr>
          <w:sz w:val="24"/>
        </w:rPr>
      </w:pPr>
      <w:r>
        <w:rPr>
          <w:sz w:val="24"/>
        </w:rPr>
        <w:t>Llena-Puy C. La saliva en el mantenimiento </w:t>
      </w:r>
      <w:r>
        <w:rPr>
          <w:spacing w:val="3"/>
          <w:sz w:val="24"/>
        </w:rPr>
        <w:t>de </w:t>
      </w:r>
      <w:r>
        <w:rPr>
          <w:sz w:val="24"/>
        </w:rPr>
        <w:t>la salud oral y como ayuda en el diagnóstico de algunas patologías. Med Oral Patol Oral Cir Bucal. 2006; 11:449- 55.</w:t>
      </w:r>
    </w:p>
    <w:p>
      <w:pPr>
        <w:spacing w:after="0" w:line="360" w:lineRule="auto"/>
        <w:jc w:val="both"/>
        <w:rPr>
          <w:sz w:val="24"/>
        </w:rPr>
        <w:sectPr>
          <w:pgSz w:w="12240" w:h="15840"/>
          <w:pgMar w:header="0" w:footer="887" w:top="1360" w:bottom="1140" w:left="1660" w:right="1300"/>
        </w:sectPr>
      </w:pPr>
    </w:p>
    <w:p>
      <w:pPr>
        <w:pStyle w:val="ListParagraph"/>
        <w:numPr>
          <w:ilvl w:val="0"/>
          <w:numId w:val="18"/>
        </w:numPr>
        <w:tabs>
          <w:tab w:pos="479" w:val="left" w:leader="none"/>
        </w:tabs>
        <w:spacing w:line="360" w:lineRule="auto" w:before="56" w:after="0"/>
        <w:ind w:left="478" w:right="113" w:hanging="360"/>
        <w:jc w:val="both"/>
        <w:rPr>
          <w:sz w:val="24"/>
        </w:rPr>
      </w:pPr>
      <w:r>
        <w:rPr>
          <w:sz w:val="24"/>
        </w:rPr>
        <w:t>Spiros-Zinelis. Elemental composition of brazing alloys in metallic orrthodontic brackets. Angle Ortho. 2004; 74 (3):</w:t>
      </w:r>
      <w:r>
        <w:rPr>
          <w:spacing w:val="-13"/>
          <w:sz w:val="24"/>
        </w:rPr>
        <w:t> </w:t>
      </w:r>
      <w:r>
        <w:rPr>
          <w:sz w:val="24"/>
        </w:rPr>
        <w:t>394-99.</w:t>
      </w:r>
    </w:p>
    <w:p>
      <w:pPr>
        <w:pStyle w:val="ListParagraph"/>
        <w:numPr>
          <w:ilvl w:val="0"/>
          <w:numId w:val="18"/>
        </w:numPr>
        <w:tabs>
          <w:tab w:pos="479" w:val="left" w:leader="none"/>
        </w:tabs>
        <w:spacing w:line="360" w:lineRule="auto" w:before="5" w:after="0"/>
        <w:ind w:left="478" w:right="112" w:hanging="360"/>
        <w:jc w:val="both"/>
        <w:rPr>
          <w:sz w:val="24"/>
        </w:rPr>
      </w:pPr>
      <w:r>
        <w:rPr>
          <w:sz w:val="24"/>
        </w:rPr>
        <w:t>Allen E, Bayne S, Brodine A, Cronin R, Donovan T, Kois J, Summitt J. Annual review of selected dental literature: Report of the committee on scientific investigation of the American Academy of Restorative Dentistry. J Prosthet Dent. 2003; 90 (1):</w:t>
      </w:r>
      <w:r>
        <w:rPr>
          <w:spacing w:val="-9"/>
          <w:sz w:val="24"/>
        </w:rPr>
        <w:t> </w:t>
      </w:r>
      <w:r>
        <w:rPr>
          <w:sz w:val="24"/>
        </w:rPr>
        <w:t>50-80.</w:t>
      </w:r>
    </w:p>
    <w:p>
      <w:pPr>
        <w:pStyle w:val="ListParagraph"/>
        <w:numPr>
          <w:ilvl w:val="0"/>
          <w:numId w:val="18"/>
        </w:numPr>
        <w:tabs>
          <w:tab w:pos="479" w:val="left" w:leader="none"/>
        </w:tabs>
        <w:spacing w:line="360" w:lineRule="auto" w:before="5" w:after="0"/>
        <w:ind w:left="478" w:right="233" w:hanging="360"/>
        <w:jc w:val="left"/>
        <w:rPr>
          <w:sz w:val="24"/>
        </w:rPr>
      </w:pPr>
      <w:r>
        <w:rPr>
          <w:sz w:val="24"/>
        </w:rPr>
        <w:t>Berrios M, López JC, Salinas Pedro J. Hipersensibilidad tipo IV al níquel y su relación con restauraciones metálicas en la cavidad bucal. Act Odont Ven. 2009; 47 (1):</w:t>
      </w:r>
      <w:r>
        <w:rPr>
          <w:spacing w:val="-4"/>
          <w:sz w:val="24"/>
        </w:rPr>
        <w:t> </w:t>
      </w:r>
      <w:r>
        <w:rPr>
          <w:sz w:val="24"/>
        </w:rPr>
        <w:t>1-9.</w:t>
      </w:r>
    </w:p>
    <w:p>
      <w:pPr>
        <w:pStyle w:val="ListParagraph"/>
        <w:numPr>
          <w:ilvl w:val="0"/>
          <w:numId w:val="18"/>
        </w:numPr>
        <w:tabs>
          <w:tab w:pos="479" w:val="left" w:leader="none"/>
        </w:tabs>
        <w:spacing w:line="360" w:lineRule="auto" w:before="3" w:after="0"/>
        <w:ind w:left="478" w:right="115" w:hanging="360"/>
        <w:jc w:val="both"/>
        <w:rPr>
          <w:sz w:val="24"/>
        </w:rPr>
      </w:pPr>
      <w:r>
        <w:rPr>
          <w:sz w:val="24"/>
        </w:rPr>
        <w:t>Mansoor</w:t>
      </w:r>
      <w:r>
        <w:rPr>
          <w:spacing w:val="-11"/>
          <w:sz w:val="24"/>
        </w:rPr>
        <w:t> </w:t>
      </w:r>
      <w:r>
        <w:rPr>
          <w:sz w:val="24"/>
        </w:rPr>
        <w:t>NS.</w:t>
      </w:r>
      <w:r>
        <w:rPr>
          <w:spacing w:val="-12"/>
          <w:sz w:val="24"/>
        </w:rPr>
        <w:t> </w:t>
      </w:r>
      <w:r>
        <w:rPr>
          <w:sz w:val="24"/>
        </w:rPr>
        <w:t>The</w:t>
      </w:r>
      <w:r>
        <w:rPr>
          <w:spacing w:val="-9"/>
          <w:sz w:val="24"/>
        </w:rPr>
        <w:t> </w:t>
      </w:r>
      <w:r>
        <w:rPr>
          <w:sz w:val="24"/>
        </w:rPr>
        <w:t>corrosion</w:t>
      </w:r>
      <w:r>
        <w:rPr>
          <w:spacing w:val="-11"/>
          <w:sz w:val="24"/>
        </w:rPr>
        <w:t> </w:t>
      </w:r>
      <w:r>
        <w:rPr>
          <w:sz w:val="24"/>
        </w:rPr>
        <w:t>behavior</w:t>
      </w:r>
      <w:r>
        <w:rPr>
          <w:spacing w:val="-10"/>
          <w:sz w:val="24"/>
        </w:rPr>
        <w:t> </w:t>
      </w:r>
      <w:r>
        <w:rPr>
          <w:sz w:val="24"/>
        </w:rPr>
        <w:t>of</w:t>
      </w:r>
      <w:r>
        <w:rPr>
          <w:spacing w:val="-10"/>
          <w:sz w:val="24"/>
        </w:rPr>
        <w:t> </w:t>
      </w:r>
      <w:r>
        <w:rPr>
          <w:sz w:val="24"/>
        </w:rPr>
        <w:t>different</w:t>
      </w:r>
      <w:r>
        <w:rPr>
          <w:spacing w:val="-10"/>
          <w:sz w:val="24"/>
        </w:rPr>
        <w:t> </w:t>
      </w:r>
      <w:r>
        <w:rPr>
          <w:sz w:val="24"/>
        </w:rPr>
        <w:t>gauges</w:t>
      </w:r>
      <w:r>
        <w:rPr>
          <w:spacing w:val="-10"/>
          <w:sz w:val="24"/>
        </w:rPr>
        <w:t> </w:t>
      </w:r>
      <w:r>
        <w:rPr>
          <w:sz w:val="24"/>
        </w:rPr>
        <w:t>of</w:t>
      </w:r>
      <w:r>
        <w:rPr>
          <w:spacing w:val="-10"/>
          <w:sz w:val="24"/>
        </w:rPr>
        <w:t> </w:t>
      </w:r>
      <w:r>
        <w:rPr>
          <w:sz w:val="24"/>
        </w:rPr>
        <w:t>stainless</w:t>
      </w:r>
      <w:r>
        <w:rPr>
          <w:spacing w:val="-12"/>
          <w:sz w:val="24"/>
        </w:rPr>
        <w:t> </w:t>
      </w:r>
      <w:r>
        <w:rPr>
          <w:sz w:val="24"/>
        </w:rPr>
        <w:t>steel</w:t>
      </w:r>
      <w:r>
        <w:rPr>
          <w:spacing w:val="-13"/>
          <w:sz w:val="24"/>
        </w:rPr>
        <w:t> </w:t>
      </w:r>
      <w:r>
        <w:rPr>
          <w:sz w:val="24"/>
        </w:rPr>
        <w:t>wire</w:t>
      </w:r>
      <w:r>
        <w:rPr>
          <w:spacing w:val="-9"/>
          <w:sz w:val="24"/>
        </w:rPr>
        <w:t> </w:t>
      </w:r>
      <w:r>
        <w:rPr>
          <w:sz w:val="24"/>
        </w:rPr>
        <w:t>use in removable partial denture and orthodontics appliances, College of health and medical technology. 2010; 23</w:t>
      </w:r>
      <w:r>
        <w:rPr>
          <w:spacing w:val="-14"/>
          <w:sz w:val="24"/>
        </w:rPr>
        <w:t> </w:t>
      </w:r>
      <w:r>
        <w:rPr>
          <w:sz w:val="24"/>
        </w:rPr>
        <w:t>(2):1-10.</w:t>
      </w:r>
    </w:p>
    <w:p>
      <w:pPr>
        <w:pStyle w:val="ListParagraph"/>
        <w:numPr>
          <w:ilvl w:val="0"/>
          <w:numId w:val="18"/>
        </w:numPr>
        <w:tabs>
          <w:tab w:pos="542" w:val="left" w:leader="none"/>
        </w:tabs>
        <w:spacing w:line="360" w:lineRule="auto" w:before="5" w:after="0"/>
        <w:ind w:left="478" w:right="112" w:hanging="360"/>
        <w:jc w:val="both"/>
        <w:rPr>
          <w:sz w:val="24"/>
        </w:rPr>
      </w:pPr>
      <w:r>
        <w:rPr>
          <w:sz w:val="24"/>
        </w:rPr>
        <w:t>Weinhold E. Liberación de iones metálicos en el medio bucal por fenómenos de corrosión de aleaciones. Aspectos teóricos. Editor Universidad de los Andes, Argentina; 2000, p</w:t>
      </w:r>
      <w:r>
        <w:rPr>
          <w:spacing w:val="-12"/>
          <w:sz w:val="24"/>
        </w:rPr>
        <w:t> </w:t>
      </w:r>
      <w:r>
        <w:rPr>
          <w:sz w:val="24"/>
        </w:rPr>
        <w:t>6-7.</w:t>
      </w:r>
    </w:p>
    <w:p>
      <w:pPr>
        <w:pStyle w:val="ListParagraph"/>
        <w:numPr>
          <w:ilvl w:val="0"/>
          <w:numId w:val="18"/>
        </w:numPr>
        <w:tabs>
          <w:tab w:pos="479" w:val="left" w:leader="none"/>
        </w:tabs>
        <w:spacing w:line="360" w:lineRule="auto" w:before="2" w:after="0"/>
        <w:ind w:left="478" w:right="114" w:hanging="360"/>
        <w:jc w:val="both"/>
        <w:rPr>
          <w:sz w:val="24"/>
        </w:rPr>
      </w:pPr>
      <w:r>
        <w:rPr>
          <w:sz w:val="24"/>
        </w:rPr>
        <w:t>Corona S, Diushi K. Biocorrosión in vitro en cinco marcas comerciales de arcos dentales de Ni Ti en presencia de alcaligenes faecalis [Tesis doctoral]. México: Universidad Michoacana de San Nicolás de Hidalgo. 2010, p</w:t>
      </w:r>
      <w:r>
        <w:rPr>
          <w:spacing w:val="-21"/>
          <w:sz w:val="24"/>
        </w:rPr>
        <w:t> </w:t>
      </w:r>
      <w:r>
        <w:rPr>
          <w:sz w:val="24"/>
        </w:rPr>
        <w:t>1-39.</w:t>
      </w:r>
    </w:p>
    <w:p>
      <w:pPr>
        <w:pStyle w:val="ListParagraph"/>
        <w:numPr>
          <w:ilvl w:val="0"/>
          <w:numId w:val="18"/>
        </w:numPr>
        <w:tabs>
          <w:tab w:pos="479" w:val="left" w:leader="none"/>
        </w:tabs>
        <w:spacing w:line="360" w:lineRule="auto" w:before="0" w:after="0"/>
        <w:ind w:left="478" w:right="112" w:hanging="360"/>
        <w:jc w:val="both"/>
        <w:rPr>
          <w:sz w:val="24"/>
        </w:rPr>
      </w:pPr>
      <w:r>
        <w:rPr>
          <w:sz w:val="24"/>
        </w:rPr>
        <w:t>Bennett PA, Rothery E, Introducing atomic absorption analysis, 2</w:t>
      </w:r>
      <w:r>
        <w:rPr>
          <w:position w:val="8"/>
          <w:sz w:val="16"/>
        </w:rPr>
        <w:t>a</w:t>
      </w:r>
      <w:r>
        <w:rPr>
          <w:sz w:val="24"/>
        </w:rPr>
        <w:t>ed. Australia, Varian, 2000, p</w:t>
      </w:r>
      <w:r>
        <w:rPr>
          <w:spacing w:val="-8"/>
          <w:sz w:val="24"/>
        </w:rPr>
        <w:t> </w:t>
      </w:r>
      <w:r>
        <w:rPr>
          <w:sz w:val="24"/>
        </w:rPr>
        <w:t>43-46.</w:t>
      </w:r>
    </w:p>
    <w:p>
      <w:pPr>
        <w:pStyle w:val="ListParagraph"/>
        <w:numPr>
          <w:ilvl w:val="0"/>
          <w:numId w:val="18"/>
        </w:numPr>
        <w:tabs>
          <w:tab w:pos="479" w:val="left" w:leader="none"/>
        </w:tabs>
        <w:spacing w:line="360" w:lineRule="auto" w:before="5" w:after="0"/>
        <w:ind w:left="478" w:right="112" w:hanging="360"/>
        <w:jc w:val="both"/>
        <w:rPr>
          <w:sz w:val="24"/>
        </w:rPr>
      </w:pPr>
      <w:r>
        <w:rPr>
          <w:sz w:val="24"/>
        </w:rPr>
        <w:t>Haefliger Pascal, Guía breve de métodos analíticos para determinar las concentraciones de plomo en la sangre, Organización Mundial de la Salud, 2013; 2-5, [acceso 27 septiembre del</w:t>
      </w:r>
      <w:r>
        <w:rPr>
          <w:spacing w:val="-19"/>
          <w:sz w:val="24"/>
        </w:rPr>
        <w:t> </w:t>
      </w:r>
      <w:r>
        <w:rPr>
          <w:sz w:val="24"/>
        </w:rPr>
        <w:t>2015]</w:t>
      </w:r>
    </w:p>
    <w:p>
      <w:pPr>
        <w:pStyle w:val="BodyText"/>
        <w:spacing w:line="360" w:lineRule="auto" w:before="2"/>
        <w:ind w:left="478" w:right="111"/>
      </w:pPr>
      <w:r>
        <w:rPr/>
        <w:t>Disponible en: </w:t>
      </w:r>
      <w:hyperlink r:id="rId110">
        <w:r>
          <w:rPr/>
          <w:t>http://apps.who.int/iris/bitstream/10665/77917/1/9789243502137_spa.pdf</w:t>
        </w:r>
      </w:hyperlink>
    </w:p>
    <w:p>
      <w:pPr>
        <w:pStyle w:val="ListParagraph"/>
        <w:numPr>
          <w:ilvl w:val="0"/>
          <w:numId w:val="18"/>
        </w:numPr>
        <w:tabs>
          <w:tab w:pos="479" w:val="left" w:leader="none"/>
        </w:tabs>
        <w:spacing w:line="360" w:lineRule="auto" w:before="205" w:after="0"/>
        <w:ind w:left="478" w:right="112" w:hanging="360"/>
        <w:jc w:val="both"/>
        <w:rPr>
          <w:sz w:val="24"/>
        </w:rPr>
      </w:pPr>
      <w:r>
        <w:rPr>
          <w:sz w:val="24"/>
        </w:rPr>
        <w:t>Segar DA, González JG, Evaluation of atomic absorption with a heated graphite atomizaer for the direct determination of trace transition metals in sea water, Anal Chim Acta, 1972; 58(7):</w:t>
      </w:r>
      <w:r>
        <w:rPr>
          <w:spacing w:val="-9"/>
          <w:sz w:val="24"/>
        </w:rPr>
        <w:t> </w:t>
      </w:r>
      <w:r>
        <w:rPr>
          <w:sz w:val="24"/>
        </w:rPr>
        <w:t>2-3.</w:t>
      </w:r>
    </w:p>
    <w:p>
      <w:pPr>
        <w:pStyle w:val="ListParagraph"/>
        <w:numPr>
          <w:ilvl w:val="0"/>
          <w:numId w:val="18"/>
        </w:numPr>
        <w:tabs>
          <w:tab w:pos="479" w:val="left" w:leader="none"/>
        </w:tabs>
        <w:spacing w:line="360" w:lineRule="auto" w:before="5" w:after="0"/>
        <w:ind w:left="478" w:right="113" w:hanging="360"/>
        <w:jc w:val="both"/>
        <w:rPr>
          <w:sz w:val="24"/>
        </w:rPr>
      </w:pPr>
      <w:r>
        <w:rPr>
          <w:sz w:val="24"/>
        </w:rPr>
        <w:t>Keinan D, Mass E, Zilbermann U. Absorption of nickel, chromium, and iron by the root surface of primary molar covered with stainless steel crowns. International J Dent. 2010; 15 (4):</w:t>
      </w:r>
      <w:r>
        <w:rPr>
          <w:spacing w:val="-11"/>
          <w:sz w:val="24"/>
        </w:rPr>
        <w:t> </w:t>
      </w:r>
      <w:r>
        <w:rPr>
          <w:sz w:val="24"/>
        </w:rPr>
        <w:t>1-4.</w:t>
      </w:r>
    </w:p>
    <w:p>
      <w:pPr>
        <w:spacing w:after="0" w:line="360" w:lineRule="auto"/>
        <w:jc w:val="both"/>
        <w:rPr>
          <w:sz w:val="24"/>
        </w:rPr>
        <w:sectPr>
          <w:pgSz w:w="12240" w:h="15840"/>
          <w:pgMar w:header="0" w:footer="887" w:top="1360" w:bottom="1140" w:left="1660" w:right="1300"/>
        </w:sectPr>
      </w:pPr>
    </w:p>
    <w:p>
      <w:pPr>
        <w:pStyle w:val="ListParagraph"/>
        <w:numPr>
          <w:ilvl w:val="0"/>
          <w:numId w:val="18"/>
        </w:numPr>
        <w:tabs>
          <w:tab w:pos="479" w:val="left" w:leader="none"/>
        </w:tabs>
        <w:spacing w:line="360" w:lineRule="auto" w:before="56" w:after="0"/>
        <w:ind w:left="478" w:right="112" w:hanging="360"/>
        <w:jc w:val="both"/>
        <w:rPr>
          <w:sz w:val="24"/>
        </w:rPr>
      </w:pPr>
      <w:r>
        <w:rPr>
          <w:sz w:val="24"/>
        </w:rPr>
        <w:t>Menek N, Basaran S, Karaman Y, Ceylan G, Sen Tunk E. Investigation of nickel on release from stainless steel crowns by square wave voltammetry. Int J Electrochem .2012; 7 (2):</w:t>
      </w:r>
      <w:r>
        <w:rPr>
          <w:spacing w:val="-11"/>
          <w:sz w:val="24"/>
        </w:rPr>
        <w:t> </w:t>
      </w:r>
      <w:r>
        <w:rPr>
          <w:sz w:val="24"/>
        </w:rPr>
        <w:t>6465-71.</w:t>
      </w:r>
    </w:p>
    <w:p>
      <w:pPr>
        <w:pStyle w:val="ListParagraph"/>
        <w:numPr>
          <w:ilvl w:val="0"/>
          <w:numId w:val="18"/>
        </w:numPr>
        <w:tabs>
          <w:tab w:pos="479" w:val="left" w:leader="none"/>
        </w:tabs>
        <w:spacing w:line="360" w:lineRule="auto" w:before="2" w:after="0"/>
        <w:ind w:left="478" w:right="116" w:hanging="360"/>
        <w:jc w:val="both"/>
        <w:rPr>
          <w:sz w:val="24"/>
        </w:rPr>
      </w:pPr>
      <w:r>
        <w:rPr>
          <w:sz w:val="24"/>
        </w:rPr>
        <w:t>Bhaskar V, Subba R. Biodegradation of nickel and chromium from space maintainers: An in vitro study. J Ind Soc Pedod Prevent Dent 2010;</w:t>
      </w:r>
      <w:r>
        <w:rPr>
          <w:spacing w:val="-23"/>
          <w:sz w:val="24"/>
        </w:rPr>
        <w:t> </w:t>
      </w:r>
      <w:r>
        <w:rPr>
          <w:sz w:val="24"/>
        </w:rPr>
        <w:t>28:6-12.</w:t>
      </w:r>
    </w:p>
    <w:p>
      <w:pPr>
        <w:pStyle w:val="ListParagraph"/>
        <w:numPr>
          <w:ilvl w:val="0"/>
          <w:numId w:val="18"/>
        </w:numPr>
        <w:tabs>
          <w:tab w:pos="479" w:val="left" w:leader="none"/>
        </w:tabs>
        <w:spacing w:line="360" w:lineRule="auto" w:before="2" w:after="0"/>
        <w:ind w:left="478" w:right="112" w:hanging="360"/>
        <w:jc w:val="both"/>
        <w:rPr>
          <w:sz w:val="24"/>
        </w:rPr>
      </w:pPr>
      <w:r>
        <w:rPr>
          <w:sz w:val="24"/>
        </w:rPr>
        <w:t>Vreeburg</w:t>
      </w:r>
      <w:r>
        <w:rPr>
          <w:spacing w:val="-9"/>
          <w:sz w:val="24"/>
        </w:rPr>
        <w:t> </w:t>
      </w:r>
      <w:r>
        <w:rPr>
          <w:sz w:val="24"/>
        </w:rPr>
        <w:t>KJ,</w:t>
      </w:r>
      <w:r>
        <w:rPr>
          <w:spacing w:val="-9"/>
          <w:sz w:val="24"/>
        </w:rPr>
        <w:t> </w:t>
      </w:r>
      <w:r>
        <w:rPr>
          <w:sz w:val="24"/>
        </w:rPr>
        <w:t>de</w:t>
      </w:r>
      <w:r>
        <w:rPr>
          <w:spacing w:val="-8"/>
          <w:sz w:val="24"/>
        </w:rPr>
        <w:t> </w:t>
      </w:r>
      <w:r>
        <w:rPr>
          <w:sz w:val="24"/>
        </w:rPr>
        <w:t>Groot</w:t>
      </w:r>
      <w:r>
        <w:rPr>
          <w:spacing w:val="-11"/>
          <w:sz w:val="24"/>
        </w:rPr>
        <w:t> </w:t>
      </w:r>
      <w:r>
        <w:rPr>
          <w:sz w:val="24"/>
        </w:rPr>
        <w:t>k,</w:t>
      </w:r>
      <w:r>
        <w:rPr>
          <w:spacing w:val="-6"/>
          <w:sz w:val="24"/>
        </w:rPr>
        <w:t> </w:t>
      </w:r>
      <w:r>
        <w:rPr>
          <w:sz w:val="24"/>
        </w:rPr>
        <w:t>von</w:t>
      </w:r>
      <w:r>
        <w:rPr>
          <w:spacing w:val="-6"/>
          <w:sz w:val="24"/>
        </w:rPr>
        <w:t> </w:t>
      </w:r>
      <w:r>
        <w:rPr>
          <w:sz w:val="24"/>
        </w:rPr>
        <w:t>Blomberg</w:t>
      </w:r>
      <w:r>
        <w:rPr>
          <w:spacing w:val="-9"/>
          <w:sz w:val="24"/>
        </w:rPr>
        <w:t> </w:t>
      </w:r>
      <w:r>
        <w:rPr>
          <w:sz w:val="24"/>
        </w:rPr>
        <w:t>M,</w:t>
      </w:r>
      <w:r>
        <w:rPr>
          <w:spacing w:val="-6"/>
          <w:sz w:val="24"/>
        </w:rPr>
        <w:t> </w:t>
      </w:r>
      <w:r>
        <w:rPr>
          <w:sz w:val="24"/>
        </w:rPr>
        <w:t>Scheper</w:t>
      </w:r>
      <w:r>
        <w:rPr>
          <w:spacing w:val="-7"/>
          <w:sz w:val="24"/>
        </w:rPr>
        <w:t> </w:t>
      </w:r>
      <w:r>
        <w:rPr>
          <w:sz w:val="24"/>
        </w:rPr>
        <w:t>RJ.</w:t>
      </w:r>
      <w:r>
        <w:rPr>
          <w:spacing w:val="-5"/>
          <w:sz w:val="24"/>
        </w:rPr>
        <w:t> </w:t>
      </w:r>
      <w:r>
        <w:rPr>
          <w:sz w:val="24"/>
        </w:rPr>
        <w:t>lnduction</w:t>
      </w:r>
      <w:r>
        <w:rPr>
          <w:spacing w:val="-8"/>
          <w:sz w:val="24"/>
        </w:rPr>
        <w:t> </w:t>
      </w:r>
      <w:r>
        <w:rPr>
          <w:sz w:val="24"/>
        </w:rPr>
        <w:t>of</w:t>
      </w:r>
      <w:r>
        <w:rPr>
          <w:spacing w:val="-6"/>
          <w:sz w:val="24"/>
        </w:rPr>
        <w:t> </w:t>
      </w:r>
      <w:r>
        <w:rPr>
          <w:sz w:val="24"/>
        </w:rPr>
        <w:t>inmunological tolerance by oral administration of nickel of chromium. J Dent Res.1990; 63(2): 124-28.</w:t>
      </w:r>
    </w:p>
    <w:p>
      <w:pPr>
        <w:pStyle w:val="ListParagraph"/>
        <w:numPr>
          <w:ilvl w:val="0"/>
          <w:numId w:val="18"/>
        </w:numPr>
        <w:tabs>
          <w:tab w:pos="479" w:val="left" w:leader="none"/>
        </w:tabs>
        <w:spacing w:line="360" w:lineRule="auto" w:before="5" w:after="0"/>
        <w:ind w:left="478" w:right="113" w:hanging="360"/>
        <w:jc w:val="both"/>
        <w:rPr>
          <w:sz w:val="24"/>
        </w:rPr>
      </w:pPr>
      <w:r>
        <w:rPr>
          <w:sz w:val="24"/>
        </w:rPr>
        <w:t>Sánchez-Lorda M, Avances en espectrometría de masas con fuente de plasma, análisis simultáneo de elementos mayores y trazas mediante q-icp-ms y análisis de</w:t>
      </w:r>
      <w:r>
        <w:rPr>
          <w:spacing w:val="-12"/>
          <w:sz w:val="24"/>
        </w:rPr>
        <w:t> </w:t>
      </w:r>
      <w:r>
        <w:rPr>
          <w:sz w:val="24"/>
        </w:rPr>
        <w:t>isótopos</w:t>
      </w:r>
      <w:r>
        <w:rPr>
          <w:spacing w:val="-13"/>
          <w:sz w:val="24"/>
        </w:rPr>
        <w:t> </w:t>
      </w:r>
      <w:r>
        <w:rPr>
          <w:sz w:val="24"/>
        </w:rPr>
        <w:t>de</w:t>
      </w:r>
      <w:r>
        <w:rPr>
          <w:spacing w:val="-12"/>
          <w:sz w:val="24"/>
        </w:rPr>
        <w:t> </w:t>
      </w:r>
      <w:r>
        <w:rPr>
          <w:sz w:val="24"/>
        </w:rPr>
        <w:t>sm-nd</w:t>
      </w:r>
      <w:r>
        <w:rPr>
          <w:spacing w:val="-14"/>
          <w:sz w:val="24"/>
        </w:rPr>
        <w:t> </w:t>
      </w:r>
      <w:r>
        <w:rPr>
          <w:sz w:val="24"/>
        </w:rPr>
        <w:t>mediante</w:t>
      </w:r>
      <w:r>
        <w:rPr>
          <w:spacing w:val="-12"/>
          <w:sz w:val="24"/>
        </w:rPr>
        <w:t> </w:t>
      </w:r>
      <w:r>
        <w:rPr>
          <w:sz w:val="24"/>
        </w:rPr>
        <w:t>hr-mc-icp-ms.</w:t>
      </w:r>
      <w:r>
        <w:rPr>
          <w:spacing w:val="-12"/>
          <w:sz w:val="24"/>
        </w:rPr>
        <w:t> </w:t>
      </w:r>
      <w:r>
        <w:rPr>
          <w:sz w:val="24"/>
        </w:rPr>
        <w:t>Aplicación</w:t>
      </w:r>
      <w:r>
        <w:rPr>
          <w:spacing w:val="-14"/>
          <w:sz w:val="24"/>
        </w:rPr>
        <w:t> </w:t>
      </w:r>
      <w:r>
        <w:rPr>
          <w:sz w:val="24"/>
        </w:rPr>
        <w:t>en</w:t>
      </w:r>
      <w:r>
        <w:rPr>
          <w:spacing w:val="-12"/>
          <w:sz w:val="24"/>
        </w:rPr>
        <w:t> </w:t>
      </w:r>
      <w:r>
        <w:rPr>
          <w:sz w:val="24"/>
        </w:rPr>
        <w:t>estudios</w:t>
      </w:r>
      <w:r>
        <w:rPr>
          <w:spacing w:val="-9"/>
          <w:sz w:val="24"/>
        </w:rPr>
        <w:t> </w:t>
      </w:r>
      <w:r>
        <w:rPr>
          <w:sz w:val="24"/>
        </w:rPr>
        <w:t>geoquímicos [tesis doctoral]. Facultad de Ciencia y Tecnología, México. 2013, p</w:t>
      </w:r>
      <w:r>
        <w:rPr>
          <w:spacing w:val="-21"/>
          <w:sz w:val="24"/>
        </w:rPr>
        <w:t> </w:t>
      </w:r>
      <w:r>
        <w:rPr>
          <w:sz w:val="24"/>
        </w:rPr>
        <w:t>123.</w:t>
      </w:r>
    </w:p>
    <w:p>
      <w:pPr>
        <w:pStyle w:val="ListParagraph"/>
        <w:numPr>
          <w:ilvl w:val="0"/>
          <w:numId w:val="18"/>
        </w:numPr>
        <w:tabs>
          <w:tab w:pos="479" w:val="left" w:leader="none"/>
        </w:tabs>
        <w:spacing w:line="360" w:lineRule="auto" w:before="5" w:after="0"/>
        <w:ind w:left="478" w:right="111" w:hanging="360"/>
        <w:jc w:val="both"/>
        <w:rPr>
          <w:sz w:val="24"/>
        </w:rPr>
      </w:pPr>
      <w:r>
        <w:rPr>
          <w:sz w:val="24"/>
        </w:rPr>
        <w:t>Castro-Amor</w:t>
      </w:r>
      <w:r>
        <w:rPr>
          <w:spacing w:val="-17"/>
          <w:sz w:val="24"/>
        </w:rPr>
        <w:t> </w:t>
      </w:r>
      <w:r>
        <w:rPr>
          <w:sz w:val="24"/>
        </w:rPr>
        <w:t>M,</w:t>
      </w:r>
      <w:r>
        <w:rPr>
          <w:spacing w:val="-16"/>
          <w:sz w:val="24"/>
        </w:rPr>
        <w:t> </w:t>
      </w:r>
      <w:r>
        <w:rPr>
          <w:sz w:val="24"/>
        </w:rPr>
        <w:t>Moyaho-Bernal</w:t>
      </w:r>
      <w:r>
        <w:rPr>
          <w:spacing w:val="-19"/>
          <w:sz w:val="24"/>
        </w:rPr>
        <w:t> </w:t>
      </w:r>
      <w:r>
        <w:rPr>
          <w:sz w:val="24"/>
        </w:rPr>
        <w:t>A,</w:t>
      </w:r>
      <w:r>
        <w:rPr>
          <w:spacing w:val="-16"/>
          <w:sz w:val="24"/>
        </w:rPr>
        <w:t> </w:t>
      </w:r>
      <w:r>
        <w:rPr>
          <w:sz w:val="24"/>
        </w:rPr>
        <w:t>Soberanes</w:t>
      </w:r>
      <w:r>
        <w:rPr>
          <w:spacing w:val="-20"/>
          <w:sz w:val="24"/>
        </w:rPr>
        <w:t> </w:t>
      </w:r>
      <w:r>
        <w:rPr>
          <w:sz w:val="24"/>
        </w:rPr>
        <w:t>de</w:t>
      </w:r>
      <w:r>
        <w:rPr>
          <w:spacing w:val="-16"/>
          <w:sz w:val="24"/>
        </w:rPr>
        <w:t> </w:t>
      </w:r>
      <w:r>
        <w:rPr>
          <w:sz w:val="24"/>
        </w:rPr>
        <w:t>la</w:t>
      </w:r>
      <w:r>
        <w:rPr>
          <w:spacing w:val="-18"/>
          <w:sz w:val="24"/>
        </w:rPr>
        <w:t> </w:t>
      </w:r>
      <w:r>
        <w:rPr>
          <w:sz w:val="24"/>
        </w:rPr>
        <w:t>Fuente</w:t>
      </w:r>
      <w:r>
        <w:rPr>
          <w:spacing w:val="-17"/>
          <w:sz w:val="24"/>
        </w:rPr>
        <w:t> </w:t>
      </w:r>
      <w:r>
        <w:rPr>
          <w:sz w:val="24"/>
        </w:rPr>
        <w:t>E,</w:t>
      </w:r>
      <w:r>
        <w:rPr>
          <w:spacing w:val="-17"/>
          <w:sz w:val="24"/>
        </w:rPr>
        <w:t> </w:t>
      </w:r>
      <w:r>
        <w:rPr>
          <w:sz w:val="24"/>
        </w:rPr>
        <w:t>Luminosa</w:t>
      </w:r>
      <w:r>
        <w:rPr>
          <w:spacing w:val="-14"/>
          <w:sz w:val="24"/>
        </w:rPr>
        <w:t> </w:t>
      </w:r>
      <w:r>
        <w:rPr>
          <w:sz w:val="24"/>
        </w:rPr>
        <w:t>Carrasco- Gutiérrez R, Muñoz-Quintana G. Descripción de cambios morfológicos y elementos liberados en coronas de acero cromo (estudio ex vivo). Rev Col Inv en Odont.  2013; 41(3):</w:t>
      </w:r>
      <w:r>
        <w:rPr>
          <w:spacing w:val="-8"/>
          <w:sz w:val="24"/>
        </w:rPr>
        <w:t> </w:t>
      </w:r>
      <w:r>
        <w:rPr>
          <w:sz w:val="24"/>
        </w:rPr>
        <w:t>1-5.</w:t>
      </w:r>
    </w:p>
    <w:p>
      <w:pPr>
        <w:pStyle w:val="ListParagraph"/>
        <w:numPr>
          <w:ilvl w:val="0"/>
          <w:numId w:val="18"/>
        </w:numPr>
        <w:tabs>
          <w:tab w:pos="479" w:val="left" w:leader="none"/>
        </w:tabs>
        <w:spacing w:line="360" w:lineRule="auto" w:before="5" w:after="0"/>
        <w:ind w:left="478" w:right="112" w:hanging="360"/>
        <w:jc w:val="both"/>
        <w:rPr>
          <w:sz w:val="24"/>
        </w:rPr>
      </w:pPr>
      <w:r>
        <w:rPr>
          <w:sz w:val="24"/>
        </w:rPr>
        <w:t>Nordberg G, Metales: propiedades químicas y toxicidad, Enciclopedia de salud y seguridad</w:t>
      </w:r>
      <w:r>
        <w:rPr>
          <w:spacing w:val="-17"/>
          <w:sz w:val="24"/>
        </w:rPr>
        <w:t> </w:t>
      </w:r>
      <w:r>
        <w:rPr>
          <w:sz w:val="24"/>
        </w:rPr>
        <w:t>en</w:t>
      </w:r>
      <w:r>
        <w:rPr>
          <w:spacing w:val="-17"/>
          <w:sz w:val="24"/>
        </w:rPr>
        <w:t> </w:t>
      </w:r>
      <w:r>
        <w:rPr>
          <w:sz w:val="24"/>
        </w:rPr>
        <w:t>el</w:t>
      </w:r>
      <w:r>
        <w:rPr>
          <w:spacing w:val="-15"/>
          <w:sz w:val="24"/>
        </w:rPr>
        <w:t> </w:t>
      </w:r>
      <w:r>
        <w:rPr>
          <w:sz w:val="24"/>
        </w:rPr>
        <w:t>trabajo,</w:t>
      </w:r>
      <w:r>
        <w:rPr>
          <w:spacing w:val="-14"/>
          <w:sz w:val="24"/>
        </w:rPr>
        <w:t> </w:t>
      </w:r>
      <w:r>
        <w:rPr>
          <w:sz w:val="24"/>
        </w:rPr>
        <w:t>(internet),</w:t>
      </w:r>
      <w:r>
        <w:rPr>
          <w:spacing w:val="-15"/>
          <w:sz w:val="24"/>
        </w:rPr>
        <w:t> </w:t>
      </w:r>
      <w:r>
        <w:rPr>
          <w:sz w:val="24"/>
        </w:rPr>
        <w:t>Agosto</w:t>
      </w:r>
      <w:r>
        <w:rPr>
          <w:spacing w:val="-14"/>
          <w:sz w:val="24"/>
        </w:rPr>
        <w:t> </w:t>
      </w:r>
      <w:r>
        <w:rPr>
          <w:sz w:val="24"/>
        </w:rPr>
        <w:t>2000,</w:t>
      </w:r>
      <w:r>
        <w:rPr>
          <w:spacing w:val="-9"/>
          <w:sz w:val="24"/>
        </w:rPr>
        <w:t> </w:t>
      </w:r>
      <w:r>
        <w:rPr>
          <w:sz w:val="24"/>
        </w:rPr>
        <w:t>[citado</w:t>
      </w:r>
      <w:r>
        <w:rPr>
          <w:spacing w:val="-16"/>
          <w:sz w:val="24"/>
        </w:rPr>
        <w:t> </w:t>
      </w:r>
      <w:r>
        <w:rPr>
          <w:sz w:val="24"/>
        </w:rPr>
        <w:t>12</w:t>
      </w:r>
      <w:r>
        <w:rPr>
          <w:spacing w:val="-14"/>
          <w:sz w:val="24"/>
        </w:rPr>
        <w:t> </w:t>
      </w:r>
      <w:r>
        <w:rPr>
          <w:sz w:val="24"/>
        </w:rPr>
        <w:t>de</w:t>
      </w:r>
      <w:r>
        <w:rPr>
          <w:spacing w:val="-14"/>
          <w:sz w:val="24"/>
        </w:rPr>
        <w:t> </w:t>
      </w:r>
      <w:r>
        <w:rPr>
          <w:sz w:val="24"/>
        </w:rPr>
        <w:t>noviembre</w:t>
      </w:r>
      <w:r>
        <w:rPr>
          <w:spacing w:val="-14"/>
          <w:sz w:val="24"/>
        </w:rPr>
        <w:t> </w:t>
      </w:r>
      <w:r>
        <w:rPr>
          <w:sz w:val="24"/>
        </w:rPr>
        <w:t>de</w:t>
      </w:r>
      <w:r>
        <w:rPr>
          <w:spacing w:val="36"/>
          <w:sz w:val="24"/>
        </w:rPr>
        <w:t> </w:t>
      </w:r>
      <w:r>
        <w:rPr>
          <w:sz w:val="24"/>
        </w:rPr>
        <w:t>2014]; capítulo 63, pp 63.15, 63.21,</w:t>
      </w:r>
      <w:r>
        <w:rPr>
          <w:spacing w:val="-15"/>
          <w:sz w:val="24"/>
        </w:rPr>
        <w:t> </w:t>
      </w:r>
      <w:r>
        <w:rPr>
          <w:sz w:val="24"/>
        </w:rPr>
        <w:t>63.35.</w:t>
      </w:r>
    </w:p>
    <w:p>
      <w:pPr>
        <w:pStyle w:val="BodyText"/>
        <w:spacing w:line="360" w:lineRule="auto" w:before="2"/>
        <w:ind w:left="478" w:right="111"/>
      </w:pPr>
      <w:r>
        <w:rPr/>
        <w:t>Disponible en: </w:t>
      </w:r>
      <w:hyperlink r:id="rId111">
        <w:r>
          <w:rPr/>
          <w:t>http://www.insht.es/InshtWeb/Contenidos/Documentacion/TextosOnline/Enciclop</w:t>
        </w:r>
      </w:hyperlink>
      <w:r>
        <w:rPr/>
        <w:t> ediaOIT/tomo2/63.pdf, vista el 2 octubre 2014.</w:t>
      </w:r>
    </w:p>
    <w:p>
      <w:pPr>
        <w:pStyle w:val="ListParagraph"/>
        <w:numPr>
          <w:ilvl w:val="0"/>
          <w:numId w:val="18"/>
        </w:numPr>
        <w:tabs>
          <w:tab w:pos="546" w:val="left" w:leader="none"/>
        </w:tabs>
        <w:spacing w:line="360" w:lineRule="auto" w:before="5" w:after="0"/>
        <w:ind w:left="478" w:right="112" w:hanging="360"/>
        <w:jc w:val="both"/>
        <w:rPr>
          <w:b/>
          <w:sz w:val="24"/>
        </w:rPr>
      </w:pPr>
      <w:r>
        <w:rPr>
          <w:sz w:val="24"/>
        </w:rPr>
        <w:t>AlShaibah</w:t>
      </w:r>
      <w:r>
        <w:rPr>
          <w:spacing w:val="-17"/>
          <w:sz w:val="24"/>
        </w:rPr>
        <w:t> </w:t>
      </w:r>
      <w:r>
        <w:rPr>
          <w:sz w:val="24"/>
        </w:rPr>
        <w:t>BM,</w:t>
      </w:r>
      <w:r>
        <w:rPr>
          <w:spacing w:val="-21"/>
          <w:sz w:val="24"/>
        </w:rPr>
        <w:t> </w:t>
      </w:r>
      <w:r>
        <w:rPr>
          <w:sz w:val="24"/>
        </w:rPr>
        <w:t>Shehaby</w:t>
      </w:r>
      <w:r>
        <w:rPr>
          <w:spacing w:val="-21"/>
          <w:sz w:val="24"/>
        </w:rPr>
        <w:t> </w:t>
      </w:r>
      <w:r>
        <w:rPr>
          <w:sz w:val="24"/>
        </w:rPr>
        <w:t>Fatma</w:t>
      </w:r>
      <w:r>
        <w:rPr>
          <w:spacing w:val="-18"/>
          <w:sz w:val="24"/>
        </w:rPr>
        <w:t> </w:t>
      </w:r>
      <w:r>
        <w:rPr>
          <w:sz w:val="24"/>
        </w:rPr>
        <w:t>El-A,</w:t>
      </w:r>
      <w:r>
        <w:rPr>
          <w:spacing w:val="-18"/>
          <w:sz w:val="24"/>
        </w:rPr>
        <w:t> </w:t>
      </w:r>
      <w:r>
        <w:rPr>
          <w:sz w:val="24"/>
        </w:rPr>
        <w:t>El-Dokky</w:t>
      </w:r>
      <w:r>
        <w:rPr>
          <w:spacing w:val="-21"/>
          <w:sz w:val="24"/>
        </w:rPr>
        <w:t> </w:t>
      </w:r>
      <w:r>
        <w:rPr>
          <w:sz w:val="24"/>
        </w:rPr>
        <w:t>NA,</w:t>
      </w:r>
      <w:r>
        <w:rPr>
          <w:spacing w:val="-18"/>
          <w:sz w:val="24"/>
        </w:rPr>
        <w:t> </w:t>
      </w:r>
      <w:r>
        <w:rPr>
          <w:sz w:val="24"/>
        </w:rPr>
        <w:t>Reda</w:t>
      </w:r>
      <w:r>
        <w:rPr>
          <w:spacing w:val="-17"/>
          <w:sz w:val="24"/>
        </w:rPr>
        <w:t> </w:t>
      </w:r>
      <w:r>
        <w:rPr>
          <w:sz w:val="24"/>
        </w:rPr>
        <w:t>AR.</w:t>
      </w:r>
      <w:r>
        <w:rPr>
          <w:spacing w:val="-19"/>
          <w:sz w:val="24"/>
        </w:rPr>
        <w:t> </w:t>
      </w:r>
      <w:r>
        <w:rPr>
          <w:sz w:val="24"/>
        </w:rPr>
        <w:t>Estudio</w:t>
      </w:r>
      <w:r>
        <w:rPr>
          <w:spacing w:val="-18"/>
          <w:sz w:val="24"/>
        </w:rPr>
        <w:t> </w:t>
      </w:r>
      <w:r>
        <w:rPr>
          <w:sz w:val="24"/>
        </w:rPr>
        <w:t>comparativo sobre la adhesión microbiana a preveneered y coronas de acero inoxidable. Soc Ind Odontop Prevent. 2012; 30 (3):</w:t>
      </w:r>
      <w:r>
        <w:rPr>
          <w:spacing w:val="-16"/>
          <w:sz w:val="24"/>
        </w:rPr>
        <w:t> </w:t>
      </w:r>
      <w:r>
        <w:rPr>
          <w:sz w:val="24"/>
        </w:rPr>
        <w:t>206-11</w:t>
      </w:r>
      <w:r>
        <w:rPr>
          <w:b/>
          <w:color w:val="878787"/>
          <w:sz w:val="24"/>
        </w:rPr>
        <w:t>.</w:t>
      </w:r>
    </w:p>
    <w:p>
      <w:pPr>
        <w:pStyle w:val="ListParagraph"/>
        <w:numPr>
          <w:ilvl w:val="0"/>
          <w:numId w:val="18"/>
        </w:numPr>
        <w:tabs>
          <w:tab w:pos="479" w:val="left" w:leader="none"/>
        </w:tabs>
        <w:spacing w:line="360" w:lineRule="auto" w:before="5" w:after="0"/>
        <w:ind w:left="478" w:right="118" w:hanging="360"/>
        <w:jc w:val="both"/>
        <w:rPr>
          <w:sz w:val="24"/>
        </w:rPr>
      </w:pPr>
      <w:r>
        <w:rPr>
          <w:sz w:val="24"/>
        </w:rPr>
        <w:t>Nakagawa</w:t>
      </w:r>
      <w:r>
        <w:rPr>
          <w:spacing w:val="-16"/>
          <w:sz w:val="24"/>
        </w:rPr>
        <w:t> </w:t>
      </w:r>
      <w:r>
        <w:rPr>
          <w:sz w:val="24"/>
        </w:rPr>
        <w:t>M,</w:t>
      </w:r>
      <w:r>
        <w:rPr>
          <w:spacing w:val="-16"/>
          <w:sz w:val="24"/>
        </w:rPr>
        <w:t> </w:t>
      </w:r>
      <w:r>
        <w:rPr>
          <w:sz w:val="24"/>
        </w:rPr>
        <w:t>Matsuya</w:t>
      </w:r>
      <w:r>
        <w:rPr>
          <w:spacing w:val="-16"/>
          <w:sz w:val="24"/>
        </w:rPr>
        <w:t> </w:t>
      </w:r>
      <w:r>
        <w:rPr>
          <w:sz w:val="24"/>
        </w:rPr>
        <w:t>S,</w:t>
      </w:r>
      <w:r>
        <w:rPr>
          <w:spacing w:val="-16"/>
          <w:sz w:val="24"/>
        </w:rPr>
        <w:t> </w:t>
      </w:r>
      <w:r>
        <w:rPr>
          <w:sz w:val="24"/>
        </w:rPr>
        <w:t>Udoh</w:t>
      </w:r>
      <w:r>
        <w:rPr>
          <w:spacing w:val="-16"/>
          <w:sz w:val="24"/>
        </w:rPr>
        <w:t> </w:t>
      </w:r>
      <w:r>
        <w:rPr>
          <w:sz w:val="24"/>
        </w:rPr>
        <w:t>K.</w:t>
      </w:r>
      <w:r>
        <w:rPr>
          <w:spacing w:val="-16"/>
          <w:sz w:val="24"/>
        </w:rPr>
        <w:t> </w:t>
      </w:r>
      <w:r>
        <w:rPr>
          <w:sz w:val="24"/>
        </w:rPr>
        <w:t>Corrosion</w:t>
      </w:r>
      <w:r>
        <w:rPr>
          <w:spacing w:val="-20"/>
          <w:sz w:val="24"/>
        </w:rPr>
        <w:t> </w:t>
      </w:r>
      <w:r>
        <w:rPr>
          <w:sz w:val="24"/>
        </w:rPr>
        <w:t>behavior</w:t>
      </w:r>
      <w:r>
        <w:rPr>
          <w:spacing w:val="-17"/>
          <w:sz w:val="24"/>
        </w:rPr>
        <w:t> </w:t>
      </w:r>
      <w:r>
        <w:rPr>
          <w:sz w:val="24"/>
        </w:rPr>
        <w:t>of</w:t>
      </w:r>
      <w:r>
        <w:rPr>
          <w:spacing w:val="-16"/>
          <w:sz w:val="24"/>
        </w:rPr>
        <w:t> </w:t>
      </w:r>
      <w:r>
        <w:rPr>
          <w:sz w:val="24"/>
        </w:rPr>
        <w:t>pure</w:t>
      </w:r>
      <w:r>
        <w:rPr>
          <w:spacing w:val="-19"/>
          <w:sz w:val="24"/>
        </w:rPr>
        <w:t> </w:t>
      </w:r>
      <w:r>
        <w:rPr>
          <w:sz w:val="24"/>
        </w:rPr>
        <w:t>titanium</w:t>
      </w:r>
      <w:r>
        <w:rPr>
          <w:spacing w:val="-15"/>
          <w:sz w:val="24"/>
        </w:rPr>
        <w:t> </w:t>
      </w:r>
      <w:r>
        <w:rPr>
          <w:sz w:val="24"/>
        </w:rPr>
        <w:t>and</w:t>
      </w:r>
      <w:r>
        <w:rPr>
          <w:spacing w:val="-18"/>
          <w:sz w:val="24"/>
        </w:rPr>
        <w:t> </w:t>
      </w:r>
      <w:r>
        <w:rPr>
          <w:sz w:val="24"/>
        </w:rPr>
        <w:t>titanium alloys in fluoride containg solutions. Dent Mat J. 2001; 20(4):</w:t>
      </w:r>
      <w:r>
        <w:rPr>
          <w:spacing w:val="-21"/>
          <w:sz w:val="24"/>
        </w:rPr>
        <w:t> </w:t>
      </w:r>
      <w:r>
        <w:rPr>
          <w:sz w:val="24"/>
        </w:rPr>
        <w:t>305-14.</w:t>
      </w:r>
    </w:p>
    <w:p>
      <w:pPr>
        <w:pStyle w:val="ListParagraph"/>
        <w:numPr>
          <w:ilvl w:val="0"/>
          <w:numId w:val="18"/>
        </w:numPr>
        <w:tabs>
          <w:tab w:pos="479" w:val="left" w:leader="none"/>
        </w:tabs>
        <w:spacing w:line="360" w:lineRule="auto" w:before="5" w:after="0"/>
        <w:ind w:left="478" w:right="114" w:hanging="360"/>
        <w:jc w:val="both"/>
        <w:rPr>
          <w:sz w:val="24"/>
        </w:rPr>
      </w:pPr>
      <w:r>
        <w:rPr>
          <w:sz w:val="24"/>
        </w:rPr>
        <w:t>Ley General de Salud, Secretaría de Salud, México [actualizado 23 diciembre 2012: consultado 8 de noviembre de 2014]. Disponible en: </w:t>
      </w:r>
      <w:hyperlink r:id="rId112">
        <w:r>
          <w:rPr>
            <w:sz w:val="24"/>
          </w:rPr>
          <w:t>http://www.salud.gob.mx/unidades/cdi/legis/lgs/LEY_GENERAL_DE_SALUD.pdf.</w:t>
        </w:r>
      </w:hyperlink>
    </w:p>
    <w:p>
      <w:pPr>
        <w:spacing w:after="0" w:line="360" w:lineRule="auto"/>
        <w:jc w:val="both"/>
        <w:rPr>
          <w:sz w:val="24"/>
        </w:rPr>
        <w:sectPr>
          <w:pgSz w:w="12240" w:h="15840"/>
          <w:pgMar w:header="0" w:footer="887" w:top="1360" w:bottom="1140" w:left="1660" w:right="1300"/>
        </w:sectPr>
      </w:pPr>
    </w:p>
    <w:p>
      <w:pPr>
        <w:pStyle w:val="Heading1"/>
        <w:ind w:left="4641"/>
      </w:pPr>
      <w:r>
        <w:rPr/>
        <w:t>12. ANEXOS</w:t>
      </w:r>
    </w:p>
    <w:p>
      <w:pPr>
        <w:pStyle w:val="BodyText"/>
        <w:spacing w:before="135"/>
        <w:ind w:left="118"/>
      </w:pPr>
      <w:r>
        <w:rPr/>
        <w:t>Anexo 1</w:t>
      </w:r>
    </w:p>
    <w:p>
      <w:pPr>
        <w:spacing w:line="252" w:lineRule="exact" w:before="2"/>
        <w:ind w:left="118" w:right="0" w:firstLine="0"/>
        <w:jc w:val="left"/>
        <w:rPr>
          <w:sz w:val="22"/>
        </w:rPr>
      </w:pPr>
      <w:r>
        <w:rPr>
          <w:sz w:val="22"/>
        </w:rPr>
        <w:t>CARTA DE CONSENTIMIENTO BAJO INFORMACION</w:t>
      </w:r>
    </w:p>
    <w:p>
      <w:pPr>
        <w:spacing w:line="252" w:lineRule="exact" w:before="0"/>
        <w:ind w:left="1974" w:right="1878" w:firstLine="0"/>
        <w:jc w:val="center"/>
        <w:rPr>
          <w:b/>
          <w:sz w:val="22"/>
        </w:rPr>
      </w:pPr>
      <w:r>
        <w:rPr>
          <w:b/>
          <w:sz w:val="22"/>
        </w:rPr>
        <w:t>UNIVERSIDAD AUTONOMA DEL ESTADO DE MÉXICO</w:t>
      </w:r>
    </w:p>
    <w:p>
      <w:pPr>
        <w:spacing w:before="1"/>
        <w:ind w:left="1974" w:right="1871" w:firstLine="0"/>
        <w:jc w:val="center"/>
        <w:rPr>
          <w:sz w:val="22"/>
        </w:rPr>
      </w:pPr>
      <w:r>
        <w:rPr>
          <w:sz w:val="22"/>
        </w:rPr>
        <w:t>ESPECIALIDAD EN ODONTOPEDIATRÍA</w:t>
      </w:r>
    </w:p>
    <w:p>
      <w:pPr>
        <w:pStyle w:val="BodyText"/>
        <w:spacing w:before="5"/>
        <w:rPr>
          <w:sz w:val="28"/>
        </w:rPr>
      </w:pPr>
    </w:p>
    <w:p>
      <w:pPr>
        <w:spacing w:before="1"/>
        <w:ind w:left="1974" w:right="1874" w:firstLine="0"/>
        <w:jc w:val="center"/>
        <w:rPr>
          <w:sz w:val="22"/>
        </w:rPr>
      </w:pPr>
      <w:r>
        <w:rPr>
          <w:sz w:val="22"/>
        </w:rPr>
        <w:t>A quien corresponda:</w:t>
      </w:r>
    </w:p>
    <w:p>
      <w:pPr>
        <w:pStyle w:val="BodyText"/>
        <w:spacing w:before="3"/>
        <w:rPr>
          <w:sz w:val="28"/>
        </w:rPr>
      </w:pPr>
    </w:p>
    <w:p>
      <w:pPr>
        <w:spacing w:before="0"/>
        <w:ind w:left="1112" w:right="0" w:firstLine="0"/>
        <w:jc w:val="both"/>
        <w:rPr>
          <w:sz w:val="22"/>
        </w:rPr>
      </w:pPr>
      <w:r>
        <w:rPr>
          <w:sz w:val="22"/>
        </w:rPr>
        <w:t>Por          medio          de          la          presente,          yo          Sr./Sra.</w:t>
      </w:r>
    </w:p>
    <w:p>
      <w:pPr>
        <w:tabs>
          <w:tab w:pos="4718" w:val="left" w:leader="none"/>
        </w:tabs>
        <w:spacing w:line="360" w:lineRule="auto" w:before="126"/>
        <w:ind w:left="1112" w:right="1479" w:firstLine="0"/>
        <w:jc w:val="both"/>
        <w:rPr>
          <w:sz w:val="22"/>
        </w:rPr>
      </w:pPr>
      <w:r>
        <w:rPr>
          <w:w w:val="100"/>
          <w:sz w:val="22"/>
          <w:u w:val="single"/>
        </w:rPr>
        <w:t> </w:t>
      </w:r>
      <w:r>
        <w:rPr>
          <w:sz w:val="22"/>
          <w:u w:val="single"/>
        </w:rPr>
        <w:tab/>
      </w:r>
      <w:r>
        <w:rPr>
          <w:sz w:val="22"/>
        </w:rPr>
        <w:t>acepto libre y</w:t>
      </w:r>
      <w:r>
        <w:rPr>
          <w:spacing w:val="-27"/>
          <w:sz w:val="22"/>
        </w:rPr>
        <w:t> </w:t>
      </w:r>
      <w:r>
        <w:rPr>
          <w:sz w:val="22"/>
        </w:rPr>
        <w:t>voluntariamente</w:t>
      </w:r>
      <w:r>
        <w:rPr>
          <w:spacing w:val="-10"/>
          <w:sz w:val="22"/>
        </w:rPr>
        <w:t> </w:t>
      </w:r>
      <w:r>
        <w:rPr>
          <w:sz w:val="22"/>
        </w:rPr>
        <w:t>que</w:t>
      </w:r>
      <w:r>
        <w:rPr>
          <w:w w:val="100"/>
          <w:sz w:val="22"/>
        </w:rPr>
        <w:t> </w:t>
      </w:r>
      <w:r>
        <w:rPr>
          <w:sz w:val="22"/>
        </w:rPr>
        <w:t>mi hijo(a) participe en el estudio denominado: “Detección de liberación de metales de coronas níquel cromo en pacientes sometidos a una rehabilitación bucal, en la Clínica de Especialidad en Odontopediatría del CIEAO, 2014-2015, el cual se llevará a cabo en la clínica de Odontopediatría de la Facultad de Odontología de la Universidad Autónoma del Estado de México, como parte del trabajo de tesis que realizará CD. Jeraldine Izchel Martínez</w:t>
      </w:r>
      <w:r>
        <w:rPr>
          <w:spacing w:val="-18"/>
          <w:sz w:val="22"/>
        </w:rPr>
        <w:t> </w:t>
      </w:r>
      <w:r>
        <w:rPr>
          <w:sz w:val="22"/>
        </w:rPr>
        <w:t>Olguín.</w:t>
      </w:r>
    </w:p>
    <w:p>
      <w:pPr>
        <w:pStyle w:val="BodyText"/>
        <w:spacing w:before="7"/>
        <w:rPr>
          <w:sz w:val="17"/>
        </w:rPr>
      </w:pPr>
    </w:p>
    <w:p>
      <w:pPr>
        <w:spacing w:line="360" w:lineRule="auto" w:before="0"/>
        <w:ind w:left="1112" w:right="1481" w:firstLine="0"/>
        <w:jc w:val="both"/>
        <w:rPr>
          <w:sz w:val="22"/>
        </w:rPr>
      </w:pPr>
      <w:r>
        <w:rPr>
          <w:sz w:val="22"/>
        </w:rPr>
        <w:t>Se</w:t>
      </w:r>
      <w:r>
        <w:rPr>
          <w:spacing w:val="-12"/>
          <w:sz w:val="22"/>
        </w:rPr>
        <w:t> </w:t>
      </w:r>
      <w:r>
        <w:rPr>
          <w:sz w:val="22"/>
        </w:rPr>
        <w:t>me</w:t>
      </w:r>
      <w:r>
        <w:rPr>
          <w:spacing w:val="-15"/>
          <w:sz w:val="22"/>
        </w:rPr>
        <w:t> </w:t>
      </w:r>
      <w:r>
        <w:rPr>
          <w:sz w:val="22"/>
        </w:rPr>
        <w:t>ha</w:t>
      </w:r>
      <w:r>
        <w:rPr>
          <w:spacing w:val="-15"/>
          <w:sz w:val="22"/>
        </w:rPr>
        <w:t> </w:t>
      </w:r>
      <w:r>
        <w:rPr>
          <w:sz w:val="22"/>
        </w:rPr>
        <w:t>informado</w:t>
      </w:r>
      <w:r>
        <w:rPr>
          <w:spacing w:val="-18"/>
          <w:sz w:val="22"/>
        </w:rPr>
        <w:t> </w:t>
      </w:r>
      <w:r>
        <w:rPr>
          <w:sz w:val="22"/>
        </w:rPr>
        <w:t>que</w:t>
      </w:r>
      <w:r>
        <w:rPr>
          <w:spacing w:val="-15"/>
          <w:sz w:val="22"/>
        </w:rPr>
        <w:t> </w:t>
      </w:r>
      <w:r>
        <w:rPr>
          <w:sz w:val="22"/>
        </w:rPr>
        <w:t>los</w:t>
      </w:r>
      <w:r>
        <w:rPr>
          <w:spacing w:val="-12"/>
          <w:sz w:val="22"/>
        </w:rPr>
        <w:t> </w:t>
      </w:r>
      <w:r>
        <w:rPr>
          <w:sz w:val="22"/>
        </w:rPr>
        <w:t>procedimientos</w:t>
      </w:r>
      <w:r>
        <w:rPr>
          <w:spacing w:val="-12"/>
          <w:sz w:val="22"/>
        </w:rPr>
        <w:t> </w:t>
      </w:r>
      <w:r>
        <w:rPr>
          <w:sz w:val="22"/>
        </w:rPr>
        <w:t>y</w:t>
      </w:r>
      <w:r>
        <w:rPr>
          <w:spacing w:val="-15"/>
          <w:sz w:val="22"/>
        </w:rPr>
        <w:t> </w:t>
      </w:r>
      <w:r>
        <w:rPr>
          <w:sz w:val="22"/>
        </w:rPr>
        <w:t>pruebas</w:t>
      </w:r>
      <w:r>
        <w:rPr>
          <w:spacing w:val="-15"/>
          <w:sz w:val="22"/>
        </w:rPr>
        <w:t> </w:t>
      </w:r>
      <w:r>
        <w:rPr>
          <w:sz w:val="22"/>
        </w:rPr>
        <w:t>que</w:t>
      </w:r>
      <w:r>
        <w:rPr>
          <w:spacing w:val="-15"/>
          <w:sz w:val="22"/>
        </w:rPr>
        <w:t> </w:t>
      </w:r>
      <w:r>
        <w:rPr>
          <w:sz w:val="22"/>
        </w:rPr>
        <w:t>se</w:t>
      </w:r>
      <w:r>
        <w:rPr>
          <w:spacing w:val="-15"/>
          <w:sz w:val="22"/>
        </w:rPr>
        <w:t> </w:t>
      </w:r>
      <w:r>
        <w:rPr>
          <w:sz w:val="22"/>
        </w:rPr>
        <w:t>realizarán a mi hijo(a), que consistirá en la recolección de saliva estimulada, que será depositada en un vaso individual. Así como la revisión minuciosa del estado bucal. Lo antes mencionado no implica ningún riesgo a la salud de mi hijo(a). Podré en cualquier momento retirarse de la investigación y no se verá afectada su atención como paciente en la clínica.</w:t>
      </w:r>
    </w:p>
    <w:p>
      <w:pPr>
        <w:pStyle w:val="BodyText"/>
        <w:spacing w:before="7"/>
        <w:rPr>
          <w:sz w:val="19"/>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269"/>
        <w:gridCol w:w="5052"/>
      </w:tblGrid>
      <w:tr>
        <w:trPr>
          <w:trHeight w:val="393" w:hRule="exact"/>
        </w:trPr>
        <w:tc>
          <w:tcPr>
            <w:tcW w:w="4269" w:type="dxa"/>
            <w:tcBorders>
              <w:bottom w:val="single" w:sz="4" w:space="0" w:color="C2D59B"/>
            </w:tcBorders>
          </w:tcPr>
          <w:p>
            <w:pPr>
              <w:pStyle w:val="TableParagraph"/>
              <w:spacing w:line="204" w:lineRule="exact"/>
              <w:ind w:left="107"/>
              <w:rPr>
                <w:b/>
                <w:sz w:val="20"/>
              </w:rPr>
            </w:pPr>
            <w:r>
              <w:rPr>
                <w:b/>
                <w:sz w:val="20"/>
              </w:rPr>
              <w:t>Nombre del padre o tutor del paciente:</w:t>
            </w:r>
          </w:p>
        </w:tc>
        <w:tc>
          <w:tcPr>
            <w:tcW w:w="5052" w:type="dxa"/>
            <w:tcBorders>
              <w:bottom w:val="single" w:sz="4" w:space="0" w:color="C2D59B"/>
            </w:tcBorders>
          </w:tcPr>
          <w:p>
            <w:pPr>
              <w:pStyle w:val="TableParagraph"/>
              <w:tabs>
                <w:tab w:pos="3767" w:val="left" w:leader="none"/>
              </w:tabs>
              <w:spacing w:line="204" w:lineRule="exact"/>
              <w:ind w:left="497"/>
              <w:rPr>
                <w:b/>
                <w:sz w:val="20"/>
              </w:rPr>
            </w:pPr>
            <w:r>
              <w:rPr>
                <w:b/>
                <w:w w:val="99"/>
                <w:sz w:val="20"/>
                <w:u w:val="single"/>
              </w:rPr>
              <w:t> </w:t>
            </w:r>
            <w:r>
              <w:rPr>
                <w:b/>
                <w:sz w:val="20"/>
                <w:u w:val="single"/>
              </w:rPr>
              <w:tab/>
            </w:r>
          </w:p>
        </w:tc>
      </w:tr>
      <w:tr>
        <w:trPr>
          <w:trHeight w:val="438" w:hRule="exact"/>
        </w:trPr>
        <w:tc>
          <w:tcPr>
            <w:tcW w:w="4269" w:type="dxa"/>
            <w:tcBorders>
              <w:top w:val="single" w:sz="4" w:space="0" w:color="C2D59B"/>
            </w:tcBorders>
            <w:shd w:val="clear" w:color="auto" w:fill="EAF0DD"/>
          </w:tcPr>
          <w:p>
            <w:pPr>
              <w:pStyle w:val="TableParagraph"/>
              <w:spacing w:line="226" w:lineRule="exact"/>
              <w:ind w:left="107"/>
              <w:rPr>
                <w:b/>
                <w:sz w:val="20"/>
              </w:rPr>
            </w:pPr>
            <w:r>
              <w:rPr>
                <w:b/>
                <w:sz w:val="20"/>
              </w:rPr>
              <w:t>Firma del padre  o tutor del paciente:</w:t>
            </w:r>
          </w:p>
        </w:tc>
        <w:tc>
          <w:tcPr>
            <w:tcW w:w="5052" w:type="dxa"/>
            <w:tcBorders>
              <w:top w:val="single" w:sz="4" w:space="0" w:color="C2D59B"/>
            </w:tcBorders>
            <w:shd w:val="clear" w:color="auto" w:fill="EAF0DD"/>
          </w:tcPr>
          <w:p>
            <w:pPr>
              <w:pStyle w:val="TableParagraph"/>
              <w:tabs>
                <w:tab w:pos="3767" w:val="left" w:leader="none"/>
              </w:tabs>
              <w:spacing w:line="226" w:lineRule="exact"/>
              <w:ind w:left="497"/>
              <w:rPr>
                <w:b/>
                <w:sz w:val="20"/>
              </w:rPr>
            </w:pPr>
            <w:r>
              <w:rPr>
                <w:b/>
                <w:w w:val="99"/>
                <w:sz w:val="20"/>
                <w:u w:val="single"/>
              </w:rPr>
              <w:t> </w:t>
            </w:r>
            <w:r>
              <w:rPr>
                <w:b/>
                <w:sz w:val="20"/>
                <w:u w:val="single"/>
              </w:rPr>
              <w:tab/>
            </w:r>
          </w:p>
        </w:tc>
      </w:tr>
      <w:tr>
        <w:trPr>
          <w:trHeight w:val="432" w:hRule="exact"/>
        </w:trPr>
        <w:tc>
          <w:tcPr>
            <w:tcW w:w="4269" w:type="dxa"/>
          </w:tcPr>
          <w:p>
            <w:pPr>
              <w:pStyle w:val="TableParagraph"/>
              <w:tabs>
                <w:tab w:pos="1877" w:val="left" w:leader="none"/>
              </w:tabs>
              <w:spacing w:line="225" w:lineRule="exact"/>
              <w:ind w:left="107"/>
              <w:rPr>
                <w:b/>
                <w:sz w:val="20"/>
              </w:rPr>
            </w:pPr>
            <w:r>
              <w:rPr>
                <w:b/>
                <w:sz w:val="20"/>
              </w:rPr>
              <w:t>Edad: </w:t>
            </w:r>
            <w:r>
              <w:rPr>
                <w:b/>
                <w:w w:val="99"/>
                <w:sz w:val="20"/>
                <w:u w:val="single"/>
              </w:rPr>
              <w:t> </w:t>
            </w:r>
            <w:r>
              <w:rPr>
                <w:b/>
                <w:sz w:val="20"/>
                <w:u w:val="single"/>
              </w:rPr>
              <w:tab/>
            </w:r>
          </w:p>
        </w:tc>
        <w:tc>
          <w:tcPr>
            <w:tcW w:w="5052" w:type="dxa"/>
          </w:tcPr>
          <w:p>
            <w:pPr>
              <w:pStyle w:val="TableParagraph"/>
              <w:tabs>
                <w:tab w:pos="2224" w:val="left" w:leader="none"/>
              </w:tabs>
              <w:spacing w:line="227" w:lineRule="exact"/>
              <w:ind w:left="497"/>
              <w:rPr>
                <w:sz w:val="20"/>
              </w:rPr>
            </w:pPr>
            <w:r>
              <w:rPr>
                <w:sz w:val="20"/>
              </w:rPr>
              <w:t>Sexo:</w:t>
            </w:r>
            <w:r>
              <w:rPr>
                <w:spacing w:val="1"/>
                <w:sz w:val="20"/>
              </w:rPr>
              <w:t> </w:t>
            </w:r>
            <w:r>
              <w:rPr>
                <w:w w:val="99"/>
                <w:sz w:val="20"/>
                <w:u w:val="single"/>
              </w:rPr>
              <w:t> </w:t>
            </w:r>
            <w:r>
              <w:rPr>
                <w:sz w:val="20"/>
                <w:u w:val="single"/>
              </w:rPr>
              <w:tab/>
            </w:r>
          </w:p>
        </w:tc>
      </w:tr>
      <w:tr>
        <w:trPr>
          <w:trHeight w:val="408" w:hRule="exact"/>
        </w:trPr>
        <w:tc>
          <w:tcPr>
            <w:tcW w:w="9321" w:type="dxa"/>
            <w:gridSpan w:val="2"/>
            <w:shd w:val="clear" w:color="auto" w:fill="EAF0DD"/>
          </w:tcPr>
          <w:p>
            <w:pPr>
              <w:pStyle w:val="TableParagraph"/>
              <w:tabs>
                <w:tab w:pos="6301" w:val="left" w:leader="none"/>
                <w:tab w:pos="8857" w:val="left" w:leader="none"/>
              </w:tabs>
              <w:spacing w:line="225" w:lineRule="exact"/>
              <w:ind w:left="107"/>
              <w:rPr>
                <w:b/>
                <w:sz w:val="20"/>
              </w:rPr>
            </w:pPr>
            <w:r>
              <w:rPr>
                <w:b/>
                <w:sz w:val="20"/>
              </w:rPr>
              <w:t>Dirección:</w:t>
            </w:r>
            <w:r>
              <w:rPr>
                <w:b/>
                <w:sz w:val="20"/>
                <w:u w:val="single"/>
              </w:rPr>
              <w:t> </w:t>
              <w:tab/>
            </w:r>
            <w:r>
              <w:rPr>
                <w:b/>
                <w:sz w:val="20"/>
              </w:rPr>
              <w:t>Municipio:</w:t>
            </w:r>
            <w:r>
              <w:rPr>
                <w:b/>
                <w:spacing w:val="1"/>
                <w:sz w:val="20"/>
              </w:rPr>
              <w:t> </w:t>
            </w:r>
            <w:r>
              <w:rPr>
                <w:b/>
                <w:w w:val="99"/>
                <w:sz w:val="20"/>
                <w:u w:val="single"/>
              </w:rPr>
              <w:t> </w:t>
            </w:r>
            <w:r>
              <w:rPr>
                <w:b/>
                <w:sz w:val="20"/>
                <w:u w:val="single"/>
              </w:rPr>
              <w:tab/>
            </w:r>
          </w:p>
        </w:tc>
      </w:tr>
      <w:tr>
        <w:trPr>
          <w:trHeight w:val="221" w:hRule="exact"/>
        </w:trPr>
        <w:tc>
          <w:tcPr>
            <w:tcW w:w="9321" w:type="dxa"/>
            <w:gridSpan w:val="2"/>
          </w:tcPr>
          <w:p>
            <w:pPr>
              <w:pStyle w:val="TableParagraph"/>
              <w:tabs>
                <w:tab w:pos="4749" w:val="left" w:leader="none"/>
              </w:tabs>
              <w:spacing w:line="225" w:lineRule="exact"/>
              <w:ind w:left="107"/>
              <w:rPr>
                <w:b/>
                <w:sz w:val="20"/>
              </w:rPr>
            </w:pPr>
            <w:r>
              <w:rPr>
                <w:b/>
                <w:sz w:val="20"/>
              </w:rPr>
              <w:t>Teléfono</w:t>
            </w:r>
            <w:r>
              <w:rPr>
                <w:b/>
                <w:spacing w:val="-3"/>
                <w:sz w:val="20"/>
              </w:rPr>
              <w:t> </w:t>
            </w:r>
            <w:r>
              <w:rPr>
                <w:b/>
                <w:sz w:val="20"/>
              </w:rPr>
              <w:t>(s):</w:t>
            </w:r>
            <w:r>
              <w:rPr>
                <w:b/>
                <w:spacing w:val="1"/>
                <w:sz w:val="20"/>
              </w:rPr>
              <w:t> </w:t>
            </w:r>
            <w:r>
              <w:rPr>
                <w:b/>
                <w:w w:val="99"/>
                <w:sz w:val="20"/>
                <w:u w:val="single"/>
              </w:rPr>
              <w:t> </w:t>
            </w:r>
            <w:r>
              <w:rPr>
                <w:b/>
                <w:sz w:val="20"/>
                <w:u w:val="single"/>
              </w:rPr>
              <w:tab/>
            </w:r>
          </w:p>
        </w:tc>
      </w:tr>
    </w:tbl>
    <w:p>
      <w:pPr>
        <w:spacing w:after="0" w:line="225" w:lineRule="exact"/>
        <w:rPr>
          <w:sz w:val="20"/>
        </w:rPr>
        <w:sectPr>
          <w:pgSz w:w="12240" w:h="15840"/>
          <w:pgMar w:header="0" w:footer="887" w:top="1360" w:bottom="1140" w:left="1300" w:right="1400"/>
        </w:sectPr>
      </w:pPr>
    </w:p>
    <w:p>
      <w:pPr>
        <w:pStyle w:val="BodyText"/>
        <w:spacing w:before="56"/>
        <w:ind w:left="118"/>
      </w:pPr>
      <w:r>
        <w:rPr/>
        <w:t>Anexo 2</w:t>
      </w:r>
    </w:p>
    <w:p>
      <w:pPr>
        <w:pStyle w:val="BodyText"/>
        <w:spacing w:before="5"/>
        <w:rPr>
          <w:sz w:val="23"/>
        </w:rPr>
      </w:pPr>
    </w:p>
    <w:p>
      <w:pPr>
        <w:pStyle w:val="BodyText"/>
        <w:spacing w:before="69"/>
        <w:ind w:left="1519" w:right="1099"/>
        <w:jc w:val="center"/>
      </w:pPr>
      <w:r>
        <w:rPr/>
        <w:t>HOJA DE REGISTRO DE IDENTIFICACIÓN DEL PACIENTE</w:t>
      </w:r>
    </w:p>
    <w:p>
      <w:pPr>
        <w:pStyle w:val="BodyText"/>
        <w:spacing w:before="11"/>
        <w:rPr>
          <w:sz w:val="28"/>
        </w:rPr>
      </w:pPr>
    </w:p>
    <w:p>
      <w:pPr>
        <w:spacing w:before="0"/>
        <w:ind w:left="1515" w:right="1099" w:firstLine="0"/>
        <w:jc w:val="center"/>
        <w:rPr>
          <w:b/>
          <w:sz w:val="22"/>
        </w:rPr>
      </w:pPr>
      <w:r>
        <w:rPr>
          <w:b/>
          <w:sz w:val="22"/>
        </w:rPr>
        <w:t>UNIVERSIDAD AUTÓNOMA DEL ESTADO DE MÉXICO</w:t>
      </w:r>
    </w:p>
    <w:p>
      <w:pPr>
        <w:pStyle w:val="BodyText"/>
        <w:spacing w:before="8"/>
        <w:rPr>
          <w:b/>
          <w:sz w:val="28"/>
        </w:rPr>
      </w:pPr>
    </w:p>
    <w:p>
      <w:pPr>
        <w:spacing w:before="0"/>
        <w:ind w:left="1519" w:right="1096" w:firstLine="0"/>
        <w:jc w:val="center"/>
        <w:rPr>
          <w:sz w:val="22"/>
        </w:rPr>
      </w:pPr>
      <w:r>
        <w:rPr>
          <w:sz w:val="22"/>
        </w:rPr>
        <w:t>ESPECIALIDAD EN ODONTOPEDIATRIA</w:t>
      </w:r>
    </w:p>
    <w:p>
      <w:pPr>
        <w:spacing w:after="0"/>
        <w:jc w:val="center"/>
        <w:rPr>
          <w:sz w:val="22"/>
        </w:rPr>
        <w:sectPr>
          <w:pgSz w:w="12240" w:h="15840"/>
          <w:pgMar w:header="0" w:footer="887" w:top="1360" w:bottom="1140" w:left="1300" w:right="1720"/>
        </w:sectPr>
      </w:pPr>
    </w:p>
    <w:p>
      <w:pPr>
        <w:tabs>
          <w:tab w:pos="2810" w:val="left" w:leader="none"/>
        </w:tabs>
        <w:spacing w:before="169"/>
        <w:ind w:left="793" w:right="0" w:firstLine="0"/>
        <w:jc w:val="left"/>
        <w:rPr>
          <w:sz w:val="22"/>
        </w:rPr>
      </w:pPr>
      <w:r>
        <w:rPr>
          <w:sz w:val="22"/>
        </w:rPr>
        <w:t>Fecha:</w:t>
      </w:r>
      <w:r>
        <w:rPr>
          <w:spacing w:val="2"/>
          <w:sz w:val="22"/>
        </w:rPr>
        <w:t> </w:t>
      </w:r>
      <w:r>
        <w:rPr>
          <w:w w:val="100"/>
          <w:sz w:val="22"/>
          <w:u w:val="single"/>
        </w:rPr>
        <w:t> </w:t>
      </w:r>
      <w:r>
        <w:rPr>
          <w:sz w:val="22"/>
          <w:u w:val="single"/>
        </w:rPr>
        <w:tab/>
      </w:r>
    </w:p>
    <w:p>
      <w:pPr>
        <w:tabs>
          <w:tab w:pos="3514" w:val="left" w:leader="none"/>
        </w:tabs>
        <w:spacing w:before="169"/>
        <w:ind w:left="573" w:right="0" w:firstLine="0"/>
        <w:jc w:val="left"/>
        <w:rPr>
          <w:sz w:val="22"/>
        </w:rPr>
      </w:pPr>
      <w:r>
        <w:rPr/>
        <w:br w:type="column"/>
      </w:r>
      <w:r>
        <w:rPr>
          <w:sz w:val="22"/>
        </w:rPr>
        <w:t>No. de</w:t>
      </w:r>
      <w:r>
        <w:rPr>
          <w:spacing w:val="-3"/>
          <w:sz w:val="22"/>
        </w:rPr>
        <w:t> </w:t>
      </w:r>
      <w:r>
        <w:rPr>
          <w:sz w:val="22"/>
        </w:rPr>
        <w:t>expediente:</w:t>
      </w:r>
      <w:r>
        <w:rPr>
          <w:spacing w:val="-1"/>
          <w:sz w:val="22"/>
        </w:rPr>
        <w:t> </w:t>
      </w:r>
      <w:r>
        <w:rPr>
          <w:w w:val="100"/>
          <w:sz w:val="22"/>
          <w:u w:val="single"/>
        </w:rPr>
        <w:t> </w:t>
      </w:r>
      <w:r>
        <w:rPr>
          <w:sz w:val="22"/>
          <w:u w:val="single"/>
        </w:rPr>
        <w:tab/>
      </w:r>
    </w:p>
    <w:p>
      <w:pPr>
        <w:spacing w:before="169"/>
        <w:ind w:left="210" w:right="0" w:firstLine="0"/>
        <w:jc w:val="left"/>
        <w:rPr>
          <w:sz w:val="22"/>
        </w:rPr>
      </w:pPr>
      <w:r>
        <w:rPr/>
        <w:br w:type="column"/>
      </w:r>
      <w:r>
        <w:rPr>
          <w:sz w:val="22"/>
        </w:rPr>
        <w:t>No. de registro:</w:t>
      </w:r>
    </w:p>
    <w:p>
      <w:pPr>
        <w:spacing w:after="0"/>
        <w:jc w:val="left"/>
        <w:rPr>
          <w:sz w:val="22"/>
        </w:rPr>
        <w:sectPr>
          <w:type w:val="continuous"/>
          <w:pgSz w:w="12240" w:h="15840"/>
          <w:pgMar w:top="1500" w:bottom="280" w:left="1300" w:right="1720"/>
          <w:cols w:num="3" w:equalWidth="0">
            <w:col w:w="2811" w:space="40"/>
            <w:col w:w="3515" w:space="40"/>
            <w:col w:w="2814"/>
          </w:cols>
        </w:sectPr>
      </w:pPr>
    </w:p>
    <w:p>
      <w:pPr>
        <w:pStyle w:val="BodyText"/>
        <w:spacing w:before="9"/>
        <w:rPr>
          <w:sz w:val="23"/>
        </w:rPr>
      </w:pPr>
    </w:p>
    <w:p>
      <w:pPr>
        <w:pStyle w:val="BodyText"/>
        <w:spacing w:line="20" w:lineRule="exact"/>
        <w:ind w:left="786"/>
        <w:rPr>
          <w:sz w:val="2"/>
        </w:rPr>
      </w:pPr>
      <w:r>
        <w:rPr>
          <w:sz w:val="2"/>
        </w:rPr>
        <w:pict>
          <v:group style="width:55.8pt;height:.7pt;mso-position-horizontal-relative:char;mso-position-vertical-relative:line" coordorigin="0,0" coordsize="1116,14">
            <v:line style="position:absolute" from="7,7" to="1109,7" stroked="true" strokeweight=".69552pt" strokecolor="#000000"/>
          </v:group>
        </w:pict>
      </w:r>
      <w:r>
        <w:rPr>
          <w:sz w:val="2"/>
        </w:rPr>
      </w:r>
    </w:p>
    <w:p>
      <w:pPr>
        <w:pStyle w:val="BodyText"/>
        <w:spacing w:before="11"/>
        <w:rPr>
          <w:sz w:val="13"/>
        </w:rPr>
      </w:pPr>
    </w:p>
    <w:p>
      <w:pPr>
        <w:tabs>
          <w:tab w:pos="8388" w:val="left" w:leader="none"/>
        </w:tabs>
        <w:spacing w:before="72"/>
        <w:ind w:left="793" w:right="0" w:firstLine="0"/>
        <w:jc w:val="left"/>
        <w:rPr>
          <w:sz w:val="22"/>
        </w:rPr>
      </w:pPr>
      <w:r>
        <w:rPr>
          <w:sz w:val="22"/>
        </w:rPr>
        <w:t>Nombre del</w:t>
      </w:r>
      <w:r>
        <w:rPr>
          <w:spacing w:val="-7"/>
          <w:sz w:val="22"/>
        </w:rPr>
        <w:t> </w:t>
      </w:r>
      <w:r>
        <w:rPr>
          <w:sz w:val="22"/>
        </w:rPr>
        <w:t>paciente:</w:t>
      </w:r>
      <w:r>
        <w:rPr>
          <w:spacing w:val="2"/>
          <w:sz w:val="22"/>
        </w:rPr>
        <w:t> </w:t>
      </w:r>
      <w:r>
        <w:rPr>
          <w:w w:val="100"/>
          <w:sz w:val="22"/>
          <w:u w:val="single"/>
        </w:rPr>
        <w:t> </w:t>
      </w:r>
      <w:r>
        <w:rPr>
          <w:sz w:val="22"/>
          <w:u w:val="single"/>
        </w:rPr>
        <w:tab/>
      </w:r>
    </w:p>
    <w:p>
      <w:pPr>
        <w:pStyle w:val="BodyText"/>
        <w:spacing w:before="5"/>
        <w:rPr>
          <w:sz w:val="14"/>
        </w:rPr>
      </w:pPr>
    </w:p>
    <w:p>
      <w:pPr>
        <w:tabs>
          <w:tab w:pos="1977" w:val="left" w:leader="none"/>
          <w:tab w:pos="3067" w:val="left" w:leader="none"/>
        </w:tabs>
        <w:spacing w:before="73"/>
        <w:ind w:left="793" w:right="0" w:firstLine="0"/>
        <w:jc w:val="left"/>
        <w:rPr>
          <w:sz w:val="22"/>
        </w:rPr>
      </w:pPr>
      <w:r>
        <w:rPr>
          <w:sz w:val="22"/>
        </w:rPr>
        <w:t>Edad:</w:t>
      </w:r>
      <w:r>
        <w:rPr>
          <w:sz w:val="22"/>
          <w:u w:val="single"/>
        </w:rPr>
        <w:t> </w:t>
        <w:tab/>
      </w:r>
      <w:r>
        <w:rPr>
          <w:sz w:val="22"/>
        </w:rPr>
        <w:t>años</w:t>
      </w:r>
      <w:r>
        <w:rPr>
          <w:sz w:val="22"/>
          <w:u w:val="single"/>
        </w:rPr>
        <w:t> </w:t>
        <w:tab/>
      </w:r>
      <w:r>
        <w:rPr>
          <w:sz w:val="22"/>
        </w:rPr>
        <w:t>meses</w:t>
      </w:r>
    </w:p>
    <w:p>
      <w:pPr>
        <w:pStyle w:val="BodyText"/>
        <w:spacing w:before="3"/>
        <w:rPr>
          <w:sz w:val="14"/>
        </w:rPr>
      </w:pPr>
    </w:p>
    <w:p>
      <w:pPr>
        <w:tabs>
          <w:tab w:pos="3013" w:val="left" w:leader="none"/>
          <w:tab w:pos="3508" w:val="left" w:leader="none"/>
          <w:tab w:pos="5094" w:val="left" w:leader="none"/>
        </w:tabs>
        <w:spacing w:before="73"/>
        <w:ind w:left="793" w:right="0" w:firstLine="0"/>
        <w:jc w:val="left"/>
        <w:rPr>
          <w:sz w:val="22"/>
        </w:rPr>
      </w:pPr>
      <w:r>
        <w:rPr>
          <w:sz w:val="22"/>
        </w:rPr>
        <w:t>Sexo:</w:t>
      </w:r>
      <w:r>
        <w:rPr>
          <w:spacing w:val="-1"/>
          <w:sz w:val="22"/>
        </w:rPr>
        <w:t> </w:t>
      </w:r>
      <w:r>
        <w:rPr>
          <w:sz w:val="22"/>
        </w:rPr>
        <w:t>Masculino</w:t>
      </w:r>
      <w:r>
        <w:rPr>
          <w:sz w:val="22"/>
          <w:u w:val="single"/>
        </w:rPr>
        <w:t> </w:t>
        <w:tab/>
      </w:r>
      <w:r>
        <w:rPr>
          <w:sz w:val="22"/>
        </w:rPr>
        <w:tab/>
        <w:t>Femenino</w:t>
      </w:r>
      <w:r>
        <w:rPr>
          <w:spacing w:val="-2"/>
          <w:sz w:val="22"/>
        </w:rPr>
        <w:t> </w:t>
      </w:r>
      <w:r>
        <w:rPr>
          <w:w w:val="100"/>
          <w:sz w:val="22"/>
          <w:u w:val="single"/>
        </w:rPr>
        <w:t> </w:t>
      </w:r>
      <w:r>
        <w:rPr>
          <w:sz w:val="22"/>
          <w:u w:val="single"/>
        </w:rPr>
        <w:tab/>
      </w:r>
    </w:p>
    <w:p>
      <w:pPr>
        <w:pStyle w:val="BodyText"/>
        <w:rPr>
          <w:sz w:val="20"/>
        </w:rPr>
      </w:pPr>
    </w:p>
    <w:p>
      <w:pPr>
        <w:pStyle w:val="BodyText"/>
        <w:rPr>
          <w:sz w:val="20"/>
        </w:rPr>
      </w:pPr>
    </w:p>
    <w:p>
      <w:pPr>
        <w:pStyle w:val="BodyText"/>
        <w:spacing w:before="8" w:after="1"/>
        <w:rPr>
          <w:sz w:val="23"/>
        </w:rPr>
      </w:pPr>
    </w:p>
    <w:tbl>
      <w:tblPr>
        <w:tblW w:w="0" w:type="auto"/>
        <w:jc w:val="left"/>
        <w:tblInd w:w="793" w:type="dxa"/>
        <w:tblBorders>
          <w:top w:val="single" w:sz="4" w:space="0" w:color="C2D59B"/>
          <w:left w:val="single" w:sz="4" w:space="0" w:color="C2D59B"/>
          <w:bottom w:val="single" w:sz="4" w:space="0" w:color="C2D59B"/>
          <w:right w:val="single" w:sz="4" w:space="0" w:color="C2D59B"/>
          <w:insideH w:val="single" w:sz="4" w:space="0" w:color="C2D59B"/>
          <w:insideV w:val="single" w:sz="4" w:space="0" w:color="C2D59B"/>
        </w:tblBorders>
        <w:tblLayout w:type="fixed"/>
        <w:tblCellMar>
          <w:top w:w="0" w:type="dxa"/>
          <w:left w:w="0" w:type="dxa"/>
          <w:bottom w:w="0" w:type="dxa"/>
          <w:right w:w="0" w:type="dxa"/>
        </w:tblCellMar>
        <w:tblLook w:val="01E0"/>
      </w:tblPr>
      <w:tblGrid>
        <w:gridCol w:w="1757"/>
        <w:gridCol w:w="829"/>
        <w:gridCol w:w="2384"/>
      </w:tblGrid>
      <w:tr>
        <w:trPr>
          <w:trHeight w:val="397" w:hRule="exact"/>
        </w:trPr>
        <w:tc>
          <w:tcPr>
            <w:tcW w:w="4969" w:type="dxa"/>
            <w:gridSpan w:val="3"/>
            <w:shd w:val="clear" w:color="auto" w:fill="EAF0DD"/>
          </w:tcPr>
          <w:p>
            <w:pPr>
              <w:pStyle w:val="TableParagraph"/>
              <w:tabs>
                <w:tab w:pos="4575" w:val="left" w:leader="none"/>
              </w:tabs>
              <w:spacing w:line="251" w:lineRule="exact"/>
              <w:rPr>
                <w:sz w:val="22"/>
              </w:rPr>
            </w:pPr>
            <w:r>
              <w:rPr>
                <w:sz w:val="22"/>
              </w:rPr>
              <w:t>Fecha primera toma de</w:t>
            </w:r>
            <w:r>
              <w:rPr>
                <w:spacing w:val="-6"/>
                <w:sz w:val="22"/>
              </w:rPr>
              <w:t> </w:t>
            </w:r>
            <w:r>
              <w:rPr>
                <w:sz w:val="22"/>
              </w:rPr>
              <w:t>muestra:</w:t>
            </w:r>
            <w:r>
              <w:rPr>
                <w:w w:val="100"/>
                <w:sz w:val="22"/>
                <w:u w:val="single"/>
              </w:rPr>
              <w:t> </w:t>
            </w:r>
            <w:r>
              <w:rPr>
                <w:sz w:val="22"/>
                <w:u w:val="single"/>
              </w:rPr>
              <w:tab/>
            </w:r>
          </w:p>
        </w:tc>
      </w:tr>
      <w:tr>
        <w:trPr>
          <w:trHeight w:val="389" w:hRule="exact"/>
        </w:trPr>
        <w:tc>
          <w:tcPr>
            <w:tcW w:w="2585" w:type="dxa"/>
            <w:gridSpan w:val="2"/>
            <w:shd w:val="clear" w:color="auto" w:fill="EAF0DD"/>
          </w:tcPr>
          <w:p>
            <w:pPr>
              <w:pStyle w:val="TableParagraph"/>
              <w:spacing w:line="249" w:lineRule="exact"/>
              <w:rPr>
                <w:b/>
                <w:sz w:val="22"/>
              </w:rPr>
            </w:pPr>
            <w:r>
              <w:rPr>
                <w:b/>
                <w:sz w:val="22"/>
              </w:rPr>
              <w:t>Característica</w:t>
            </w:r>
          </w:p>
        </w:tc>
        <w:tc>
          <w:tcPr>
            <w:tcW w:w="2384" w:type="dxa"/>
          </w:tcPr>
          <w:p>
            <w:pPr>
              <w:pStyle w:val="TableParagraph"/>
              <w:spacing w:line="252" w:lineRule="exact"/>
              <w:rPr>
                <w:sz w:val="22"/>
              </w:rPr>
            </w:pPr>
            <w:r>
              <w:rPr>
                <w:sz w:val="22"/>
              </w:rPr>
              <w:t>Descripción</w:t>
            </w:r>
          </w:p>
        </w:tc>
      </w:tr>
      <w:tr>
        <w:trPr>
          <w:trHeight w:val="390" w:hRule="exact"/>
        </w:trPr>
        <w:tc>
          <w:tcPr>
            <w:tcW w:w="2585" w:type="dxa"/>
            <w:gridSpan w:val="2"/>
            <w:shd w:val="clear" w:color="auto" w:fill="EAF0DD"/>
          </w:tcPr>
          <w:p>
            <w:pPr>
              <w:pStyle w:val="TableParagraph"/>
              <w:spacing w:line="249" w:lineRule="exact"/>
              <w:rPr>
                <w:b/>
                <w:sz w:val="22"/>
              </w:rPr>
            </w:pPr>
            <w:r>
              <w:rPr>
                <w:b/>
                <w:sz w:val="22"/>
              </w:rPr>
              <w:t>pH salival</w:t>
            </w:r>
          </w:p>
        </w:tc>
        <w:tc>
          <w:tcPr>
            <w:tcW w:w="2384" w:type="dxa"/>
            <w:shd w:val="clear" w:color="auto" w:fill="EAF0DD"/>
          </w:tcPr>
          <w:p>
            <w:pPr>
              <w:pStyle w:val="TableParagraph"/>
              <w:tabs>
                <w:tab w:pos="1034" w:val="left" w:leader="none"/>
              </w:tabs>
              <w:spacing w:line="249" w:lineRule="exact"/>
              <w:ind w:left="0" w:right="641"/>
              <w:jc w:val="right"/>
              <w:rPr>
                <w:b/>
                <w:sz w:val="22"/>
              </w:rPr>
            </w:pPr>
            <w:r>
              <w:rPr>
                <w:b/>
                <w:w w:val="100"/>
                <w:sz w:val="22"/>
                <w:u w:val="single"/>
              </w:rPr>
              <w:t> </w:t>
            </w:r>
            <w:r>
              <w:rPr>
                <w:b/>
                <w:sz w:val="22"/>
                <w:u w:val="single"/>
              </w:rPr>
              <w:tab/>
            </w:r>
          </w:p>
        </w:tc>
      </w:tr>
      <w:tr>
        <w:trPr>
          <w:trHeight w:val="354" w:hRule="exact"/>
        </w:trPr>
        <w:tc>
          <w:tcPr>
            <w:tcW w:w="1757" w:type="dxa"/>
            <w:vMerge w:val="restart"/>
            <w:shd w:val="clear" w:color="auto" w:fill="EAF0DD"/>
          </w:tcPr>
          <w:p>
            <w:pPr>
              <w:pStyle w:val="TableParagraph"/>
              <w:spacing w:line="248" w:lineRule="exact"/>
              <w:rPr>
                <w:b/>
                <w:sz w:val="22"/>
              </w:rPr>
            </w:pPr>
            <w:r>
              <w:rPr>
                <w:b/>
                <w:sz w:val="22"/>
              </w:rPr>
              <w:t>Concentración</w:t>
            </w:r>
          </w:p>
        </w:tc>
        <w:tc>
          <w:tcPr>
            <w:tcW w:w="829" w:type="dxa"/>
          </w:tcPr>
          <w:p>
            <w:pPr>
              <w:pStyle w:val="TableParagraph"/>
              <w:spacing w:line="251" w:lineRule="exact"/>
              <w:ind w:left="83" w:right="82"/>
              <w:jc w:val="center"/>
              <w:rPr>
                <w:sz w:val="22"/>
              </w:rPr>
            </w:pPr>
            <w:r>
              <w:rPr>
                <w:sz w:val="22"/>
              </w:rPr>
              <w:t>cromo</w:t>
            </w:r>
          </w:p>
        </w:tc>
        <w:tc>
          <w:tcPr>
            <w:tcW w:w="2384" w:type="dxa"/>
            <w:shd w:val="clear" w:color="auto" w:fill="EAF0DD"/>
          </w:tcPr>
          <w:p>
            <w:pPr>
              <w:pStyle w:val="TableParagraph"/>
              <w:tabs>
                <w:tab w:pos="1034" w:val="left" w:leader="none"/>
              </w:tabs>
              <w:spacing w:line="251" w:lineRule="exact"/>
              <w:ind w:left="0" w:right="640"/>
              <w:jc w:val="right"/>
              <w:rPr>
                <w:sz w:val="22"/>
              </w:rPr>
            </w:pPr>
            <w:r>
              <w:rPr>
                <w:w w:val="100"/>
                <w:sz w:val="22"/>
                <w:u w:val="single"/>
              </w:rPr>
              <w:t> </w:t>
            </w:r>
            <w:r>
              <w:rPr>
                <w:sz w:val="22"/>
                <w:u w:val="single"/>
              </w:rPr>
              <w:tab/>
            </w:r>
          </w:p>
        </w:tc>
      </w:tr>
      <w:tr>
        <w:trPr>
          <w:trHeight w:val="390" w:hRule="exact"/>
        </w:trPr>
        <w:tc>
          <w:tcPr>
            <w:tcW w:w="1757" w:type="dxa"/>
            <w:vMerge/>
            <w:shd w:val="clear" w:color="auto" w:fill="EAF0DD"/>
          </w:tcPr>
          <w:p>
            <w:pPr/>
          </w:p>
        </w:tc>
        <w:tc>
          <w:tcPr>
            <w:tcW w:w="829" w:type="dxa"/>
            <w:shd w:val="clear" w:color="auto" w:fill="EAF0DD"/>
          </w:tcPr>
          <w:p>
            <w:pPr>
              <w:pStyle w:val="TableParagraph"/>
              <w:spacing w:line="252" w:lineRule="exact"/>
              <w:ind w:left="71" w:right="83"/>
              <w:jc w:val="center"/>
              <w:rPr>
                <w:sz w:val="22"/>
              </w:rPr>
            </w:pPr>
            <w:r>
              <w:rPr>
                <w:sz w:val="22"/>
              </w:rPr>
              <w:t>níquel</w:t>
            </w:r>
          </w:p>
        </w:tc>
        <w:tc>
          <w:tcPr>
            <w:tcW w:w="2384" w:type="dxa"/>
            <w:shd w:val="clear" w:color="auto" w:fill="EAF0DD"/>
          </w:tcPr>
          <w:p>
            <w:pPr>
              <w:pStyle w:val="TableParagraph"/>
              <w:tabs>
                <w:tab w:pos="1034" w:val="left" w:leader="none"/>
              </w:tabs>
              <w:spacing w:line="252" w:lineRule="exact"/>
              <w:ind w:left="0" w:right="640"/>
              <w:jc w:val="right"/>
              <w:rPr>
                <w:sz w:val="22"/>
              </w:rPr>
            </w:pPr>
            <w:r>
              <w:rPr>
                <w:w w:val="100"/>
                <w:sz w:val="22"/>
                <w:u w:val="single"/>
              </w:rPr>
              <w:t> </w:t>
            </w:r>
            <w:r>
              <w:rPr>
                <w:sz w:val="22"/>
                <w:u w:val="single"/>
              </w:rPr>
              <w:tab/>
            </w:r>
          </w:p>
        </w:tc>
      </w:tr>
      <w:tr>
        <w:trPr>
          <w:trHeight w:val="423" w:hRule="exact"/>
        </w:trPr>
        <w:tc>
          <w:tcPr>
            <w:tcW w:w="1757" w:type="dxa"/>
            <w:vMerge/>
            <w:shd w:val="clear" w:color="auto" w:fill="EAF0DD"/>
          </w:tcPr>
          <w:p>
            <w:pPr/>
          </w:p>
        </w:tc>
        <w:tc>
          <w:tcPr>
            <w:tcW w:w="829" w:type="dxa"/>
          </w:tcPr>
          <w:p>
            <w:pPr>
              <w:pStyle w:val="TableParagraph"/>
              <w:spacing w:line="251" w:lineRule="exact"/>
              <w:ind w:left="37" w:right="83"/>
              <w:jc w:val="center"/>
              <w:rPr>
                <w:sz w:val="22"/>
              </w:rPr>
            </w:pPr>
            <w:r>
              <w:rPr>
                <w:sz w:val="22"/>
              </w:rPr>
              <w:t>hierro</w:t>
            </w:r>
          </w:p>
        </w:tc>
        <w:tc>
          <w:tcPr>
            <w:tcW w:w="2384" w:type="dxa"/>
            <w:shd w:val="clear" w:color="auto" w:fill="EAF0DD"/>
          </w:tcPr>
          <w:p>
            <w:pPr>
              <w:pStyle w:val="TableParagraph"/>
              <w:tabs>
                <w:tab w:pos="1034" w:val="left" w:leader="none"/>
              </w:tabs>
              <w:spacing w:line="251" w:lineRule="exact"/>
              <w:ind w:left="0" w:right="640"/>
              <w:jc w:val="right"/>
              <w:rPr>
                <w:sz w:val="22"/>
              </w:rPr>
            </w:pPr>
            <w:r>
              <w:rPr>
                <w:w w:val="100"/>
                <w:sz w:val="22"/>
                <w:u w:val="single"/>
              </w:rPr>
              <w:t> </w:t>
            </w:r>
            <w:r>
              <w:rPr>
                <w:sz w:val="22"/>
                <w:u w:val="single"/>
              </w:rPr>
              <w:tab/>
            </w:r>
          </w:p>
        </w:tc>
      </w:tr>
    </w:tbl>
    <w:p>
      <w:pPr>
        <w:pStyle w:val="BodyText"/>
        <w:rPr>
          <w:sz w:val="20"/>
        </w:rPr>
      </w:pPr>
    </w:p>
    <w:p>
      <w:pPr>
        <w:pStyle w:val="BodyText"/>
        <w:spacing w:before="1"/>
        <w:rPr>
          <w:sz w:val="25"/>
        </w:rPr>
      </w:pPr>
      <w:r>
        <w:rPr/>
        <w:drawing>
          <wp:anchor distT="0" distB="0" distL="0" distR="0" allowOverlap="1" layoutInCell="1" locked="0" behindDoc="0" simplePos="0" relativeHeight="3304">
            <wp:simplePos x="0" y="0"/>
            <wp:positionH relativeFrom="page">
              <wp:posOffset>1328927</wp:posOffset>
            </wp:positionH>
            <wp:positionV relativeFrom="paragraph">
              <wp:posOffset>208167</wp:posOffset>
            </wp:positionV>
            <wp:extent cx="5236462" cy="117348"/>
            <wp:effectExtent l="0" t="0" r="0" b="0"/>
            <wp:wrapTopAndBottom/>
            <wp:docPr id="77" name="image104.png" descr=""/>
            <wp:cNvGraphicFramePr>
              <a:graphicFrameLocks noChangeAspect="1"/>
            </wp:cNvGraphicFramePr>
            <a:graphic>
              <a:graphicData uri="http://schemas.openxmlformats.org/drawingml/2006/picture">
                <pic:pic>
                  <pic:nvPicPr>
                    <pic:cNvPr id="78" name="image104.png"/>
                    <pic:cNvPicPr/>
                  </pic:nvPicPr>
                  <pic:blipFill>
                    <a:blip r:embed="rId113" cstate="print"/>
                    <a:stretch>
                      <a:fillRect/>
                    </a:stretch>
                  </pic:blipFill>
                  <pic:spPr>
                    <a:xfrm>
                      <a:off x="0" y="0"/>
                      <a:ext cx="5236462" cy="117348"/>
                    </a:xfrm>
                    <a:prstGeom prst="rect">
                      <a:avLst/>
                    </a:prstGeom>
                  </pic:spPr>
                </pic:pic>
              </a:graphicData>
            </a:graphic>
          </wp:anchor>
        </w:drawing>
      </w:r>
    </w:p>
    <w:p>
      <w:pPr>
        <w:pStyle w:val="BodyText"/>
        <w:rPr>
          <w:sz w:val="20"/>
        </w:rPr>
      </w:pPr>
    </w:p>
    <w:p>
      <w:pPr>
        <w:pStyle w:val="BodyText"/>
        <w:rPr>
          <w:sz w:val="20"/>
        </w:rPr>
      </w:pPr>
    </w:p>
    <w:p>
      <w:pPr>
        <w:pStyle w:val="BodyText"/>
        <w:rPr>
          <w:sz w:val="21"/>
        </w:rPr>
      </w:pPr>
    </w:p>
    <w:tbl>
      <w:tblPr>
        <w:tblW w:w="0" w:type="auto"/>
        <w:jc w:val="left"/>
        <w:tblInd w:w="793" w:type="dxa"/>
        <w:tblBorders>
          <w:top w:val="single" w:sz="4" w:space="0" w:color="C2D59B"/>
          <w:left w:val="single" w:sz="4" w:space="0" w:color="C2D59B"/>
          <w:bottom w:val="single" w:sz="4" w:space="0" w:color="C2D59B"/>
          <w:right w:val="single" w:sz="4" w:space="0" w:color="C2D59B"/>
          <w:insideH w:val="single" w:sz="4" w:space="0" w:color="C2D59B"/>
          <w:insideV w:val="single" w:sz="4" w:space="0" w:color="C2D59B"/>
        </w:tblBorders>
        <w:tblLayout w:type="fixed"/>
        <w:tblCellMar>
          <w:top w:w="0" w:type="dxa"/>
          <w:left w:w="0" w:type="dxa"/>
          <w:bottom w:w="0" w:type="dxa"/>
          <w:right w:w="0" w:type="dxa"/>
        </w:tblCellMar>
        <w:tblLook w:val="01E0"/>
      </w:tblPr>
      <w:tblGrid>
        <w:gridCol w:w="1757"/>
        <w:gridCol w:w="829"/>
        <w:gridCol w:w="2384"/>
      </w:tblGrid>
      <w:tr>
        <w:trPr>
          <w:trHeight w:val="398" w:hRule="exact"/>
        </w:trPr>
        <w:tc>
          <w:tcPr>
            <w:tcW w:w="4969" w:type="dxa"/>
            <w:gridSpan w:val="3"/>
            <w:shd w:val="clear" w:color="auto" w:fill="EAF0DD"/>
          </w:tcPr>
          <w:p>
            <w:pPr>
              <w:pStyle w:val="TableParagraph"/>
              <w:tabs>
                <w:tab w:pos="4673" w:val="left" w:leader="none"/>
              </w:tabs>
              <w:spacing w:line="251" w:lineRule="exact"/>
              <w:rPr>
                <w:sz w:val="22"/>
              </w:rPr>
            </w:pPr>
            <w:r>
              <w:rPr>
                <w:sz w:val="22"/>
              </w:rPr>
              <w:t>Fecha segunda toma de</w:t>
            </w:r>
            <w:r>
              <w:rPr>
                <w:spacing w:val="-7"/>
                <w:sz w:val="22"/>
              </w:rPr>
              <w:t> </w:t>
            </w:r>
            <w:r>
              <w:rPr>
                <w:sz w:val="22"/>
              </w:rPr>
              <w:t>muestra:</w:t>
            </w:r>
            <w:r>
              <w:rPr>
                <w:w w:val="100"/>
                <w:sz w:val="22"/>
                <w:u w:val="single"/>
              </w:rPr>
              <w:t> </w:t>
            </w:r>
            <w:r>
              <w:rPr>
                <w:sz w:val="22"/>
                <w:u w:val="single"/>
              </w:rPr>
              <w:tab/>
            </w:r>
          </w:p>
        </w:tc>
      </w:tr>
      <w:tr>
        <w:trPr>
          <w:trHeight w:val="389" w:hRule="exact"/>
        </w:trPr>
        <w:tc>
          <w:tcPr>
            <w:tcW w:w="2585" w:type="dxa"/>
            <w:gridSpan w:val="2"/>
            <w:shd w:val="clear" w:color="auto" w:fill="EAF0DD"/>
          </w:tcPr>
          <w:p>
            <w:pPr>
              <w:pStyle w:val="TableParagraph"/>
              <w:spacing w:line="248" w:lineRule="exact"/>
              <w:rPr>
                <w:b/>
                <w:sz w:val="22"/>
              </w:rPr>
            </w:pPr>
            <w:r>
              <w:rPr>
                <w:b/>
                <w:sz w:val="22"/>
              </w:rPr>
              <w:t>Característica</w:t>
            </w:r>
          </w:p>
        </w:tc>
        <w:tc>
          <w:tcPr>
            <w:tcW w:w="2384" w:type="dxa"/>
          </w:tcPr>
          <w:p>
            <w:pPr>
              <w:pStyle w:val="TableParagraph"/>
              <w:spacing w:line="251" w:lineRule="exact"/>
              <w:rPr>
                <w:sz w:val="22"/>
              </w:rPr>
            </w:pPr>
            <w:r>
              <w:rPr>
                <w:sz w:val="22"/>
              </w:rPr>
              <w:t>Descripción</w:t>
            </w:r>
          </w:p>
        </w:tc>
      </w:tr>
      <w:tr>
        <w:trPr>
          <w:trHeight w:val="389" w:hRule="exact"/>
        </w:trPr>
        <w:tc>
          <w:tcPr>
            <w:tcW w:w="2585" w:type="dxa"/>
            <w:gridSpan w:val="2"/>
            <w:shd w:val="clear" w:color="auto" w:fill="EAF0DD"/>
          </w:tcPr>
          <w:p>
            <w:pPr>
              <w:pStyle w:val="TableParagraph"/>
              <w:spacing w:line="248" w:lineRule="exact"/>
              <w:rPr>
                <w:b/>
                <w:sz w:val="22"/>
              </w:rPr>
            </w:pPr>
            <w:r>
              <w:rPr>
                <w:b/>
                <w:sz w:val="22"/>
              </w:rPr>
              <w:t>pH salival</w:t>
            </w:r>
          </w:p>
        </w:tc>
        <w:tc>
          <w:tcPr>
            <w:tcW w:w="2384" w:type="dxa"/>
            <w:shd w:val="clear" w:color="auto" w:fill="EAF0DD"/>
          </w:tcPr>
          <w:p>
            <w:pPr>
              <w:pStyle w:val="TableParagraph"/>
              <w:tabs>
                <w:tab w:pos="1034" w:val="left" w:leader="none"/>
              </w:tabs>
              <w:spacing w:line="248" w:lineRule="exact"/>
              <w:ind w:left="0" w:right="641"/>
              <w:jc w:val="right"/>
              <w:rPr>
                <w:b/>
                <w:sz w:val="22"/>
              </w:rPr>
            </w:pPr>
            <w:r>
              <w:rPr>
                <w:b/>
                <w:w w:val="100"/>
                <w:sz w:val="22"/>
                <w:u w:val="single"/>
              </w:rPr>
              <w:t> </w:t>
            </w:r>
            <w:r>
              <w:rPr>
                <w:b/>
                <w:sz w:val="22"/>
                <w:u w:val="single"/>
              </w:rPr>
              <w:tab/>
            </w:r>
          </w:p>
        </w:tc>
      </w:tr>
      <w:tr>
        <w:trPr>
          <w:trHeight w:val="355" w:hRule="exact"/>
        </w:trPr>
        <w:tc>
          <w:tcPr>
            <w:tcW w:w="1757" w:type="dxa"/>
            <w:vMerge w:val="restart"/>
            <w:shd w:val="clear" w:color="auto" w:fill="EAF0DD"/>
          </w:tcPr>
          <w:p>
            <w:pPr>
              <w:pStyle w:val="TableParagraph"/>
              <w:spacing w:line="248" w:lineRule="exact"/>
              <w:rPr>
                <w:b/>
                <w:sz w:val="22"/>
              </w:rPr>
            </w:pPr>
            <w:r>
              <w:rPr>
                <w:b/>
                <w:sz w:val="22"/>
              </w:rPr>
              <w:t>Concentración</w:t>
            </w:r>
          </w:p>
        </w:tc>
        <w:tc>
          <w:tcPr>
            <w:tcW w:w="829" w:type="dxa"/>
          </w:tcPr>
          <w:p>
            <w:pPr>
              <w:pStyle w:val="TableParagraph"/>
              <w:spacing w:line="251" w:lineRule="exact"/>
              <w:ind w:left="83" w:right="82"/>
              <w:jc w:val="center"/>
              <w:rPr>
                <w:sz w:val="22"/>
              </w:rPr>
            </w:pPr>
            <w:r>
              <w:rPr>
                <w:sz w:val="22"/>
              </w:rPr>
              <w:t>cromo</w:t>
            </w:r>
          </w:p>
        </w:tc>
        <w:tc>
          <w:tcPr>
            <w:tcW w:w="2384" w:type="dxa"/>
            <w:shd w:val="clear" w:color="auto" w:fill="EAF0DD"/>
          </w:tcPr>
          <w:p>
            <w:pPr>
              <w:pStyle w:val="TableParagraph"/>
              <w:tabs>
                <w:tab w:pos="1034" w:val="left" w:leader="none"/>
              </w:tabs>
              <w:spacing w:line="251" w:lineRule="exact"/>
              <w:ind w:left="0" w:right="640"/>
              <w:jc w:val="right"/>
              <w:rPr>
                <w:sz w:val="22"/>
              </w:rPr>
            </w:pPr>
            <w:r>
              <w:rPr>
                <w:w w:val="100"/>
                <w:sz w:val="22"/>
                <w:u w:val="single"/>
              </w:rPr>
              <w:t> </w:t>
            </w:r>
            <w:r>
              <w:rPr>
                <w:sz w:val="22"/>
                <w:u w:val="single"/>
              </w:rPr>
              <w:tab/>
            </w:r>
          </w:p>
        </w:tc>
      </w:tr>
      <w:tr>
        <w:trPr>
          <w:trHeight w:val="389" w:hRule="exact"/>
        </w:trPr>
        <w:tc>
          <w:tcPr>
            <w:tcW w:w="1757" w:type="dxa"/>
            <w:vMerge/>
            <w:shd w:val="clear" w:color="auto" w:fill="EAF0DD"/>
          </w:tcPr>
          <w:p>
            <w:pPr/>
          </w:p>
        </w:tc>
        <w:tc>
          <w:tcPr>
            <w:tcW w:w="829" w:type="dxa"/>
            <w:shd w:val="clear" w:color="auto" w:fill="EAF0DD"/>
          </w:tcPr>
          <w:p>
            <w:pPr>
              <w:pStyle w:val="TableParagraph"/>
              <w:spacing w:line="251" w:lineRule="exact"/>
              <w:ind w:left="71" w:right="83"/>
              <w:jc w:val="center"/>
              <w:rPr>
                <w:sz w:val="22"/>
              </w:rPr>
            </w:pPr>
            <w:r>
              <w:rPr>
                <w:sz w:val="22"/>
              </w:rPr>
              <w:t>níquel</w:t>
            </w:r>
          </w:p>
        </w:tc>
        <w:tc>
          <w:tcPr>
            <w:tcW w:w="2384" w:type="dxa"/>
            <w:shd w:val="clear" w:color="auto" w:fill="EAF0DD"/>
          </w:tcPr>
          <w:p>
            <w:pPr>
              <w:pStyle w:val="TableParagraph"/>
              <w:tabs>
                <w:tab w:pos="1034" w:val="left" w:leader="none"/>
              </w:tabs>
              <w:spacing w:line="251" w:lineRule="exact"/>
              <w:ind w:left="0" w:right="640"/>
              <w:jc w:val="right"/>
              <w:rPr>
                <w:sz w:val="22"/>
              </w:rPr>
            </w:pPr>
            <w:r>
              <w:rPr>
                <w:w w:val="100"/>
                <w:sz w:val="22"/>
                <w:u w:val="single"/>
              </w:rPr>
              <w:t> </w:t>
            </w:r>
            <w:r>
              <w:rPr>
                <w:sz w:val="22"/>
                <w:u w:val="single"/>
              </w:rPr>
              <w:tab/>
            </w:r>
          </w:p>
        </w:tc>
      </w:tr>
      <w:tr>
        <w:trPr>
          <w:trHeight w:val="425" w:hRule="exact"/>
        </w:trPr>
        <w:tc>
          <w:tcPr>
            <w:tcW w:w="1757" w:type="dxa"/>
            <w:vMerge/>
            <w:shd w:val="clear" w:color="auto" w:fill="EAF0DD"/>
          </w:tcPr>
          <w:p>
            <w:pPr/>
          </w:p>
        </w:tc>
        <w:tc>
          <w:tcPr>
            <w:tcW w:w="829" w:type="dxa"/>
          </w:tcPr>
          <w:p>
            <w:pPr>
              <w:pStyle w:val="TableParagraph"/>
              <w:spacing w:line="251" w:lineRule="exact"/>
              <w:ind w:left="37" w:right="83"/>
              <w:jc w:val="center"/>
              <w:rPr>
                <w:sz w:val="22"/>
              </w:rPr>
            </w:pPr>
            <w:r>
              <w:rPr>
                <w:sz w:val="22"/>
              </w:rPr>
              <w:t>hierro</w:t>
            </w:r>
          </w:p>
        </w:tc>
        <w:tc>
          <w:tcPr>
            <w:tcW w:w="2384" w:type="dxa"/>
            <w:shd w:val="clear" w:color="auto" w:fill="EAF0DD"/>
          </w:tcPr>
          <w:p>
            <w:pPr>
              <w:pStyle w:val="TableParagraph"/>
              <w:tabs>
                <w:tab w:pos="1034" w:val="left" w:leader="none"/>
              </w:tabs>
              <w:spacing w:line="251" w:lineRule="exact"/>
              <w:ind w:left="0" w:right="640"/>
              <w:jc w:val="right"/>
              <w:rPr>
                <w:sz w:val="22"/>
              </w:rPr>
            </w:pPr>
            <w:r>
              <w:rPr>
                <w:w w:val="100"/>
                <w:sz w:val="22"/>
                <w:u w:val="single"/>
              </w:rPr>
              <w:t> </w:t>
            </w:r>
            <w:r>
              <w:rPr>
                <w:sz w:val="22"/>
                <w:u w:val="single"/>
              </w:rPr>
              <w:tab/>
            </w:r>
          </w:p>
        </w:tc>
      </w:tr>
    </w:tbl>
    <w:p>
      <w:pPr>
        <w:spacing w:after="0" w:line="251" w:lineRule="exact"/>
        <w:jc w:val="right"/>
        <w:rPr>
          <w:sz w:val="22"/>
        </w:rPr>
        <w:sectPr>
          <w:type w:val="continuous"/>
          <w:pgSz w:w="12240" w:h="15840"/>
          <w:pgMar w:top="1500" w:bottom="280" w:left="1300" w:right="1720"/>
        </w:sectPr>
      </w:pPr>
    </w:p>
    <w:p>
      <w:pPr>
        <w:pStyle w:val="BodyText"/>
        <w:spacing w:before="56"/>
        <w:ind w:left="418"/>
      </w:pPr>
      <w:r>
        <w:rPr/>
        <w:t>Anexo 3</w:t>
      </w:r>
    </w:p>
    <w:p>
      <w:pPr>
        <w:pStyle w:val="BodyText"/>
        <w:spacing w:before="10"/>
        <w:rPr>
          <w:sz w:val="14"/>
        </w:rPr>
      </w:pPr>
    </w:p>
    <w:p>
      <w:pPr>
        <w:pStyle w:val="BodyText"/>
        <w:spacing w:before="69"/>
        <w:ind w:left="1724"/>
      </w:pPr>
      <w:r>
        <w:rPr/>
        <w:t>CUESTIONARIO DE HABITOS DE HIGIENE Y ALIMENTICIOS</w:t>
      </w:r>
    </w:p>
    <w:p>
      <w:pPr>
        <w:pStyle w:val="BodyText"/>
      </w:pPr>
    </w:p>
    <w:p>
      <w:pPr>
        <w:pStyle w:val="BodyText"/>
      </w:pPr>
    </w:p>
    <w:p>
      <w:pPr>
        <w:tabs>
          <w:tab w:pos="7034" w:val="left" w:leader="none"/>
        </w:tabs>
        <w:spacing w:before="208"/>
        <w:ind w:left="418" w:right="0" w:firstLine="0"/>
        <w:jc w:val="left"/>
        <w:rPr>
          <w:sz w:val="22"/>
        </w:rPr>
      </w:pPr>
      <w:r>
        <w:rPr>
          <w:sz w:val="22"/>
        </w:rPr>
        <w:t>Nombre del</w:t>
      </w:r>
      <w:r>
        <w:rPr>
          <w:spacing w:val="-7"/>
          <w:sz w:val="22"/>
        </w:rPr>
        <w:t> </w:t>
      </w:r>
      <w:r>
        <w:rPr>
          <w:sz w:val="22"/>
        </w:rPr>
        <w:t>paciente:</w:t>
      </w:r>
      <w:r>
        <w:rPr>
          <w:spacing w:val="2"/>
          <w:sz w:val="22"/>
        </w:rPr>
        <w:t> </w:t>
      </w:r>
      <w:r>
        <w:rPr>
          <w:w w:val="100"/>
          <w:sz w:val="22"/>
          <w:u w:val="single"/>
        </w:rPr>
        <w:t> </w:t>
      </w:r>
      <w:r>
        <w:rPr>
          <w:sz w:val="22"/>
          <w:u w:val="single"/>
        </w:rPr>
        <w:tab/>
      </w:r>
    </w:p>
    <w:p>
      <w:pPr>
        <w:pStyle w:val="BodyText"/>
        <w:spacing w:before="3"/>
        <w:rPr>
          <w:sz w:val="14"/>
        </w:rPr>
      </w:pPr>
    </w:p>
    <w:p>
      <w:pPr>
        <w:spacing w:before="72"/>
        <w:ind w:left="418" w:right="0" w:firstLine="0"/>
        <w:jc w:val="left"/>
        <w:rPr>
          <w:sz w:val="22"/>
        </w:rPr>
      </w:pPr>
      <w:r>
        <w:rPr>
          <w:sz w:val="22"/>
        </w:rPr>
        <w:t>Las preguntas se realizarán a los padres o tutores del paciente:</w:t>
      </w:r>
    </w:p>
    <w:p>
      <w:pPr>
        <w:pStyle w:val="BodyText"/>
        <w:rPr>
          <w:sz w:val="20"/>
        </w:rPr>
      </w:pPr>
    </w:p>
    <w:p>
      <w:pPr>
        <w:pStyle w:val="BodyText"/>
        <w:rPr>
          <w:sz w:val="20"/>
        </w:rPr>
      </w:pPr>
    </w:p>
    <w:p>
      <w:pPr>
        <w:pStyle w:val="BodyText"/>
        <w:spacing w:before="6" w:after="1"/>
        <w:rPr>
          <w:sz w:val="25"/>
        </w:rPr>
      </w:pPr>
    </w:p>
    <w:tbl>
      <w:tblPr>
        <w:tblW w:w="0" w:type="auto"/>
        <w:jc w:val="left"/>
        <w:tblInd w:w="16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7"/>
        <w:gridCol w:w="3908"/>
        <w:gridCol w:w="3572"/>
        <w:gridCol w:w="2216"/>
      </w:tblGrid>
      <w:tr>
        <w:trPr>
          <w:trHeight w:val="682" w:hRule="exact"/>
        </w:trPr>
        <w:tc>
          <w:tcPr>
            <w:tcW w:w="257" w:type="dxa"/>
          </w:tcPr>
          <w:p>
            <w:pPr/>
          </w:p>
        </w:tc>
        <w:tc>
          <w:tcPr>
            <w:tcW w:w="3908" w:type="dxa"/>
            <w:tcBorders>
              <w:bottom w:val="single" w:sz="12" w:space="0" w:color="C2D59B"/>
            </w:tcBorders>
          </w:tcPr>
          <w:p>
            <w:pPr>
              <w:pStyle w:val="TableParagraph"/>
              <w:spacing w:line="227" w:lineRule="exact"/>
              <w:ind w:left="107"/>
              <w:rPr>
                <w:sz w:val="22"/>
              </w:rPr>
            </w:pPr>
            <w:r>
              <w:rPr>
                <w:sz w:val="22"/>
              </w:rPr>
              <w:t>¿Cuantas veces se cepilla los dientes</w:t>
            </w:r>
          </w:p>
          <w:p>
            <w:pPr>
              <w:pStyle w:val="TableParagraph"/>
              <w:spacing w:before="1"/>
              <w:ind w:left="107"/>
              <w:rPr>
                <w:sz w:val="22"/>
              </w:rPr>
            </w:pPr>
            <w:r>
              <w:rPr>
                <w:sz w:val="22"/>
              </w:rPr>
              <w:t>al día?</w:t>
            </w:r>
          </w:p>
        </w:tc>
        <w:tc>
          <w:tcPr>
            <w:tcW w:w="3572" w:type="dxa"/>
            <w:tcBorders>
              <w:bottom w:val="single" w:sz="12" w:space="0" w:color="C2D59B"/>
            </w:tcBorders>
          </w:tcPr>
          <w:p>
            <w:pPr>
              <w:pStyle w:val="TableParagraph"/>
              <w:numPr>
                <w:ilvl w:val="0"/>
                <w:numId w:val="19"/>
              </w:numPr>
              <w:tabs>
                <w:tab w:pos="826" w:val="left" w:leader="none"/>
              </w:tabs>
              <w:spacing w:line="204" w:lineRule="exact" w:before="0" w:after="0"/>
              <w:ind w:left="825" w:right="0" w:hanging="360"/>
              <w:jc w:val="left"/>
              <w:rPr>
                <w:sz w:val="20"/>
              </w:rPr>
            </w:pPr>
            <w:r>
              <w:rPr>
                <w:sz w:val="20"/>
              </w:rPr>
              <w:t>1 vez al</w:t>
            </w:r>
            <w:r>
              <w:rPr>
                <w:spacing w:val="-6"/>
                <w:sz w:val="20"/>
              </w:rPr>
              <w:t> </w:t>
            </w:r>
            <w:r>
              <w:rPr>
                <w:sz w:val="20"/>
              </w:rPr>
              <w:t>día</w:t>
            </w:r>
          </w:p>
          <w:p>
            <w:pPr>
              <w:pStyle w:val="TableParagraph"/>
              <w:numPr>
                <w:ilvl w:val="0"/>
                <w:numId w:val="19"/>
              </w:numPr>
              <w:tabs>
                <w:tab w:pos="826" w:val="left" w:leader="none"/>
              </w:tabs>
              <w:spacing w:line="240" w:lineRule="auto" w:before="0" w:after="0"/>
              <w:ind w:left="825" w:right="0" w:hanging="360"/>
              <w:jc w:val="left"/>
              <w:rPr>
                <w:sz w:val="20"/>
              </w:rPr>
            </w:pPr>
            <w:r>
              <w:rPr>
                <w:sz w:val="20"/>
              </w:rPr>
              <w:t>2 veces al</w:t>
            </w:r>
            <w:r>
              <w:rPr>
                <w:spacing w:val="-6"/>
                <w:sz w:val="20"/>
              </w:rPr>
              <w:t> </w:t>
            </w:r>
            <w:r>
              <w:rPr>
                <w:sz w:val="20"/>
              </w:rPr>
              <w:t>día</w:t>
            </w:r>
          </w:p>
          <w:p>
            <w:pPr>
              <w:pStyle w:val="TableParagraph"/>
              <w:numPr>
                <w:ilvl w:val="0"/>
                <w:numId w:val="19"/>
              </w:numPr>
              <w:tabs>
                <w:tab w:pos="825" w:val="left" w:leader="none"/>
                <w:tab w:pos="826" w:val="left" w:leader="none"/>
              </w:tabs>
              <w:spacing w:line="240" w:lineRule="auto" w:before="0" w:after="0"/>
              <w:ind w:left="825" w:right="0" w:hanging="360"/>
              <w:jc w:val="left"/>
              <w:rPr>
                <w:sz w:val="20"/>
              </w:rPr>
            </w:pPr>
            <w:r>
              <w:rPr>
                <w:sz w:val="20"/>
              </w:rPr>
              <w:t>3 o más veces al</w:t>
            </w:r>
            <w:r>
              <w:rPr>
                <w:spacing w:val="-7"/>
                <w:sz w:val="20"/>
              </w:rPr>
              <w:t> </w:t>
            </w:r>
            <w:r>
              <w:rPr>
                <w:sz w:val="20"/>
              </w:rPr>
              <w:t>día</w:t>
            </w:r>
          </w:p>
        </w:tc>
        <w:tc>
          <w:tcPr>
            <w:tcW w:w="2216" w:type="dxa"/>
          </w:tcPr>
          <w:p>
            <w:pPr/>
          </w:p>
        </w:tc>
      </w:tr>
      <w:tr>
        <w:trPr>
          <w:trHeight w:val="937" w:hRule="exact"/>
        </w:trPr>
        <w:tc>
          <w:tcPr>
            <w:tcW w:w="257" w:type="dxa"/>
            <w:vMerge w:val="restart"/>
          </w:tcPr>
          <w:p>
            <w:pPr/>
          </w:p>
        </w:tc>
        <w:tc>
          <w:tcPr>
            <w:tcW w:w="3908" w:type="dxa"/>
            <w:tcBorders>
              <w:top w:val="single" w:sz="12" w:space="0" w:color="C2D59B"/>
              <w:bottom w:val="single" w:sz="2" w:space="0" w:color="C2D59B"/>
              <w:right w:val="single" w:sz="2" w:space="0" w:color="C2D59B"/>
            </w:tcBorders>
            <w:shd w:val="clear" w:color="auto" w:fill="EAF0DD"/>
          </w:tcPr>
          <w:p>
            <w:pPr>
              <w:pStyle w:val="TableParagraph"/>
              <w:ind w:left="107" w:right="246"/>
              <w:jc w:val="both"/>
              <w:rPr>
                <w:sz w:val="22"/>
              </w:rPr>
            </w:pPr>
            <w:r>
              <w:rPr>
                <w:sz w:val="22"/>
              </w:rPr>
              <w:t>¿Quién realiza el cepillado, el niño/a o con ayuda de mamá o papá u otro familiar?</w:t>
            </w:r>
          </w:p>
        </w:tc>
        <w:tc>
          <w:tcPr>
            <w:tcW w:w="3572" w:type="dxa"/>
            <w:tcBorders>
              <w:top w:val="single" w:sz="12" w:space="0" w:color="C2D59B"/>
              <w:left w:val="single" w:sz="2" w:space="0" w:color="C2D59B"/>
              <w:bottom w:val="single" w:sz="2" w:space="0" w:color="C2D59B"/>
            </w:tcBorders>
            <w:shd w:val="clear" w:color="auto" w:fill="EAF0DD"/>
          </w:tcPr>
          <w:p>
            <w:pPr>
              <w:pStyle w:val="TableParagraph"/>
              <w:numPr>
                <w:ilvl w:val="0"/>
                <w:numId w:val="20"/>
              </w:numPr>
              <w:tabs>
                <w:tab w:pos="824" w:val="left" w:leader="none"/>
              </w:tabs>
              <w:spacing w:line="228" w:lineRule="exact" w:before="0" w:after="0"/>
              <w:ind w:left="823" w:right="0" w:hanging="360"/>
              <w:jc w:val="left"/>
              <w:rPr>
                <w:sz w:val="20"/>
              </w:rPr>
            </w:pPr>
            <w:r>
              <w:rPr>
                <w:sz w:val="20"/>
              </w:rPr>
              <w:t>Niño/a</w:t>
            </w:r>
          </w:p>
          <w:p>
            <w:pPr>
              <w:pStyle w:val="TableParagraph"/>
              <w:numPr>
                <w:ilvl w:val="0"/>
                <w:numId w:val="20"/>
              </w:numPr>
              <w:tabs>
                <w:tab w:pos="824" w:val="left" w:leader="none"/>
              </w:tabs>
              <w:spacing w:line="240" w:lineRule="auto" w:before="0" w:after="0"/>
              <w:ind w:left="823" w:right="0" w:hanging="360"/>
              <w:jc w:val="left"/>
              <w:rPr>
                <w:sz w:val="20"/>
              </w:rPr>
            </w:pPr>
            <w:r>
              <w:rPr>
                <w:sz w:val="20"/>
              </w:rPr>
              <w:t>Mamá</w:t>
            </w:r>
          </w:p>
          <w:p>
            <w:pPr>
              <w:pStyle w:val="TableParagraph"/>
              <w:numPr>
                <w:ilvl w:val="0"/>
                <w:numId w:val="20"/>
              </w:numPr>
              <w:tabs>
                <w:tab w:pos="823" w:val="left" w:leader="none"/>
                <w:tab w:pos="824" w:val="left" w:leader="none"/>
              </w:tabs>
              <w:spacing w:line="240" w:lineRule="auto" w:before="0" w:after="0"/>
              <w:ind w:left="823" w:right="0" w:hanging="360"/>
              <w:jc w:val="left"/>
              <w:rPr>
                <w:sz w:val="20"/>
              </w:rPr>
            </w:pPr>
            <w:r>
              <w:rPr>
                <w:sz w:val="20"/>
              </w:rPr>
              <w:t>Papá</w:t>
            </w:r>
          </w:p>
          <w:p>
            <w:pPr>
              <w:pStyle w:val="TableParagraph"/>
              <w:numPr>
                <w:ilvl w:val="0"/>
                <w:numId w:val="20"/>
              </w:numPr>
              <w:tabs>
                <w:tab w:pos="824" w:val="left" w:leader="none"/>
              </w:tabs>
              <w:spacing w:line="240" w:lineRule="auto" w:before="0" w:after="0"/>
              <w:ind w:left="823" w:right="0" w:hanging="360"/>
              <w:jc w:val="left"/>
              <w:rPr>
                <w:sz w:val="20"/>
              </w:rPr>
            </w:pPr>
            <w:r>
              <w:rPr>
                <w:sz w:val="20"/>
              </w:rPr>
              <w:t>Otro</w:t>
            </w:r>
            <w:r>
              <w:rPr>
                <w:spacing w:val="-7"/>
                <w:sz w:val="20"/>
              </w:rPr>
              <w:t> </w:t>
            </w:r>
            <w:r>
              <w:rPr>
                <w:sz w:val="20"/>
              </w:rPr>
              <w:t>familiar</w:t>
            </w:r>
          </w:p>
        </w:tc>
        <w:tc>
          <w:tcPr>
            <w:tcW w:w="2216" w:type="dxa"/>
            <w:vMerge w:val="restart"/>
          </w:tcPr>
          <w:p>
            <w:pPr/>
          </w:p>
        </w:tc>
      </w:tr>
      <w:tr>
        <w:trPr>
          <w:trHeight w:val="926" w:hRule="exact"/>
        </w:trPr>
        <w:tc>
          <w:tcPr>
            <w:tcW w:w="257" w:type="dxa"/>
            <w:vMerge/>
          </w:tcPr>
          <w:p>
            <w:pPr/>
          </w:p>
        </w:tc>
        <w:tc>
          <w:tcPr>
            <w:tcW w:w="3908" w:type="dxa"/>
            <w:tcBorders>
              <w:top w:val="single" w:sz="2" w:space="0" w:color="C2D59B"/>
              <w:bottom w:val="single" w:sz="2" w:space="0" w:color="C2D59B"/>
              <w:right w:val="single" w:sz="2" w:space="0" w:color="C2D59B"/>
            </w:tcBorders>
          </w:tcPr>
          <w:p>
            <w:pPr>
              <w:pStyle w:val="TableParagraph"/>
              <w:ind w:left="107" w:right="451"/>
              <w:rPr>
                <w:sz w:val="22"/>
              </w:rPr>
            </w:pPr>
            <w:r>
              <w:rPr>
                <w:sz w:val="22"/>
              </w:rPr>
              <w:t>¿Usa cepillo y pasta dental?</w:t>
            </w:r>
          </w:p>
        </w:tc>
        <w:tc>
          <w:tcPr>
            <w:tcW w:w="3572" w:type="dxa"/>
            <w:tcBorders>
              <w:top w:val="single" w:sz="2" w:space="0" w:color="C2D59B"/>
              <w:left w:val="single" w:sz="2" w:space="0" w:color="C2D59B"/>
              <w:bottom w:val="single" w:sz="2" w:space="0" w:color="C2D59B"/>
            </w:tcBorders>
          </w:tcPr>
          <w:p>
            <w:pPr>
              <w:pStyle w:val="TableParagraph"/>
              <w:numPr>
                <w:ilvl w:val="0"/>
                <w:numId w:val="21"/>
              </w:numPr>
              <w:tabs>
                <w:tab w:pos="824" w:val="left" w:leader="none"/>
              </w:tabs>
              <w:spacing w:line="229" w:lineRule="exact" w:before="0" w:after="0"/>
              <w:ind w:left="823" w:right="0" w:hanging="360"/>
              <w:jc w:val="left"/>
              <w:rPr>
                <w:sz w:val="20"/>
              </w:rPr>
            </w:pPr>
            <w:r>
              <w:rPr>
                <w:sz w:val="20"/>
              </w:rPr>
              <w:t>Cepillo y pasta</w:t>
            </w:r>
            <w:r>
              <w:rPr>
                <w:spacing w:val="-6"/>
                <w:sz w:val="20"/>
              </w:rPr>
              <w:t> </w:t>
            </w:r>
            <w:r>
              <w:rPr>
                <w:sz w:val="20"/>
              </w:rPr>
              <w:t>dental</w:t>
            </w:r>
          </w:p>
          <w:p>
            <w:pPr>
              <w:pStyle w:val="TableParagraph"/>
              <w:numPr>
                <w:ilvl w:val="0"/>
                <w:numId w:val="21"/>
              </w:numPr>
              <w:tabs>
                <w:tab w:pos="824" w:val="left" w:leader="none"/>
              </w:tabs>
              <w:spacing w:line="229" w:lineRule="exact" w:before="0" w:after="0"/>
              <w:ind w:left="823" w:right="0" w:hanging="360"/>
              <w:jc w:val="left"/>
              <w:rPr>
                <w:sz w:val="20"/>
              </w:rPr>
            </w:pPr>
            <w:r>
              <w:rPr>
                <w:sz w:val="20"/>
              </w:rPr>
              <w:t>Solo</w:t>
            </w:r>
            <w:r>
              <w:rPr>
                <w:spacing w:val="-7"/>
                <w:sz w:val="20"/>
              </w:rPr>
              <w:t> </w:t>
            </w:r>
            <w:r>
              <w:rPr>
                <w:sz w:val="20"/>
              </w:rPr>
              <w:t>cepillo</w:t>
            </w:r>
          </w:p>
          <w:p>
            <w:pPr>
              <w:pStyle w:val="TableParagraph"/>
              <w:numPr>
                <w:ilvl w:val="0"/>
                <w:numId w:val="21"/>
              </w:numPr>
              <w:tabs>
                <w:tab w:pos="823" w:val="left" w:leader="none"/>
                <w:tab w:pos="824" w:val="left" w:leader="none"/>
              </w:tabs>
              <w:spacing w:line="240" w:lineRule="auto" w:before="0" w:after="0"/>
              <w:ind w:left="823" w:right="0" w:hanging="360"/>
              <w:jc w:val="left"/>
              <w:rPr>
                <w:sz w:val="20"/>
              </w:rPr>
            </w:pPr>
            <w:r>
              <w:rPr>
                <w:sz w:val="20"/>
              </w:rPr>
              <w:t>No usa cepillo y pasta</w:t>
            </w:r>
            <w:r>
              <w:rPr>
                <w:spacing w:val="-9"/>
                <w:sz w:val="20"/>
              </w:rPr>
              <w:t> </w:t>
            </w:r>
            <w:r>
              <w:rPr>
                <w:sz w:val="20"/>
              </w:rPr>
              <w:t>dental</w:t>
            </w:r>
          </w:p>
          <w:p>
            <w:pPr>
              <w:pStyle w:val="TableParagraph"/>
              <w:numPr>
                <w:ilvl w:val="0"/>
                <w:numId w:val="21"/>
              </w:numPr>
              <w:tabs>
                <w:tab w:pos="824" w:val="left" w:leader="none"/>
              </w:tabs>
              <w:spacing w:line="240" w:lineRule="auto" w:before="0" w:after="0"/>
              <w:ind w:left="823" w:right="0" w:hanging="360"/>
              <w:jc w:val="left"/>
              <w:rPr>
                <w:sz w:val="20"/>
              </w:rPr>
            </w:pPr>
            <w:r>
              <w:rPr>
                <w:sz w:val="20"/>
              </w:rPr>
              <w:t>Ninguno de los</w:t>
            </w:r>
            <w:r>
              <w:rPr>
                <w:spacing w:val="-7"/>
                <w:sz w:val="20"/>
              </w:rPr>
              <w:t> </w:t>
            </w:r>
            <w:r>
              <w:rPr>
                <w:sz w:val="20"/>
              </w:rPr>
              <w:t>anteriores</w:t>
            </w:r>
          </w:p>
        </w:tc>
        <w:tc>
          <w:tcPr>
            <w:tcW w:w="2216" w:type="dxa"/>
            <w:vMerge/>
          </w:tcPr>
          <w:p>
            <w:pPr/>
          </w:p>
        </w:tc>
      </w:tr>
      <w:tr>
        <w:trPr>
          <w:trHeight w:val="924" w:hRule="exact"/>
        </w:trPr>
        <w:tc>
          <w:tcPr>
            <w:tcW w:w="257" w:type="dxa"/>
            <w:vMerge/>
          </w:tcPr>
          <w:p>
            <w:pPr/>
          </w:p>
        </w:tc>
        <w:tc>
          <w:tcPr>
            <w:tcW w:w="3908" w:type="dxa"/>
            <w:tcBorders>
              <w:top w:val="single" w:sz="2" w:space="0" w:color="C2D59B"/>
              <w:bottom w:val="single" w:sz="2" w:space="0" w:color="C2D59B"/>
              <w:right w:val="single" w:sz="2" w:space="0" w:color="C2D59B"/>
            </w:tcBorders>
            <w:shd w:val="clear" w:color="auto" w:fill="EAF0DD"/>
          </w:tcPr>
          <w:p>
            <w:pPr>
              <w:pStyle w:val="TableParagraph"/>
              <w:spacing w:line="252" w:lineRule="exact" w:before="2"/>
              <w:ind w:left="107" w:right="451"/>
              <w:rPr>
                <w:sz w:val="22"/>
              </w:rPr>
            </w:pPr>
            <w:r>
              <w:rPr>
                <w:sz w:val="22"/>
              </w:rPr>
              <w:t>Utiliza algún auxiliar en su higiene bucal, ¿cómo?</w:t>
            </w:r>
          </w:p>
        </w:tc>
        <w:tc>
          <w:tcPr>
            <w:tcW w:w="3572" w:type="dxa"/>
            <w:tcBorders>
              <w:top w:val="single" w:sz="2" w:space="0" w:color="C2D59B"/>
              <w:left w:val="single" w:sz="2" w:space="0" w:color="C2D59B"/>
              <w:bottom w:val="single" w:sz="2" w:space="0" w:color="C2D59B"/>
            </w:tcBorders>
            <w:shd w:val="clear" w:color="auto" w:fill="EAF0DD"/>
          </w:tcPr>
          <w:p>
            <w:pPr>
              <w:pStyle w:val="TableParagraph"/>
              <w:numPr>
                <w:ilvl w:val="0"/>
                <w:numId w:val="22"/>
              </w:numPr>
              <w:tabs>
                <w:tab w:pos="824" w:val="left" w:leader="none"/>
              </w:tabs>
              <w:spacing w:line="227" w:lineRule="exact" w:before="0" w:after="0"/>
              <w:ind w:left="823" w:right="0" w:hanging="360"/>
              <w:jc w:val="left"/>
              <w:rPr>
                <w:sz w:val="20"/>
              </w:rPr>
            </w:pPr>
            <w:r>
              <w:rPr>
                <w:sz w:val="20"/>
              </w:rPr>
              <w:t>Enjuague</w:t>
            </w:r>
          </w:p>
          <w:p>
            <w:pPr>
              <w:pStyle w:val="TableParagraph"/>
              <w:numPr>
                <w:ilvl w:val="0"/>
                <w:numId w:val="22"/>
              </w:numPr>
              <w:tabs>
                <w:tab w:pos="824" w:val="left" w:leader="none"/>
              </w:tabs>
              <w:spacing w:line="240" w:lineRule="auto" w:before="0" w:after="0"/>
              <w:ind w:left="823" w:right="0" w:hanging="360"/>
              <w:jc w:val="left"/>
              <w:rPr>
                <w:sz w:val="20"/>
              </w:rPr>
            </w:pPr>
            <w:r>
              <w:rPr>
                <w:sz w:val="20"/>
              </w:rPr>
              <w:t>Hilo</w:t>
            </w:r>
            <w:r>
              <w:rPr>
                <w:spacing w:val="-4"/>
                <w:sz w:val="20"/>
              </w:rPr>
              <w:t> </w:t>
            </w:r>
            <w:r>
              <w:rPr>
                <w:sz w:val="20"/>
              </w:rPr>
              <w:t>dental</w:t>
            </w:r>
          </w:p>
          <w:p>
            <w:pPr>
              <w:pStyle w:val="TableParagraph"/>
              <w:numPr>
                <w:ilvl w:val="0"/>
                <w:numId w:val="22"/>
              </w:numPr>
              <w:tabs>
                <w:tab w:pos="823" w:val="left" w:leader="none"/>
                <w:tab w:pos="824" w:val="left" w:leader="none"/>
              </w:tabs>
              <w:spacing w:line="229" w:lineRule="exact" w:before="0" w:after="0"/>
              <w:ind w:left="823" w:right="0" w:hanging="360"/>
              <w:jc w:val="left"/>
              <w:rPr>
                <w:sz w:val="20"/>
              </w:rPr>
            </w:pPr>
            <w:r>
              <w:rPr>
                <w:sz w:val="20"/>
              </w:rPr>
              <w:t>Cepillo</w:t>
            </w:r>
            <w:r>
              <w:rPr>
                <w:spacing w:val="-5"/>
                <w:sz w:val="20"/>
              </w:rPr>
              <w:t> </w:t>
            </w:r>
            <w:r>
              <w:rPr>
                <w:sz w:val="20"/>
              </w:rPr>
              <w:t>interproximal</w:t>
            </w:r>
          </w:p>
          <w:p>
            <w:pPr>
              <w:pStyle w:val="TableParagraph"/>
              <w:numPr>
                <w:ilvl w:val="0"/>
                <w:numId w:val="22"/>
              </w:numPr>
              <w:tabs>
                <w:tab w:pos="824" w:val="left" w:leader="none"/>
              </w:tabs>
              <w:spacing w:line="229" w:lineRule="exact" w:before="0" w:after="0"/>
              <w:ind w:left="823" w:right="0" w:hanging="360"/>
              <w:jc w:val="left"/>
              <w:rPr>
                <w:sz w:val="20"/>
              </w:rPr>
            </w:pPr>
            <w:r>
              <w:rPr>
                <w:sz w:val="20"/>
              </w:rPr>
              <w:t>Ninguno de los</w:t>
            </w:r>
            <w:r>
              <w:rPr>
                <w:spacing w:val="-7"/>
                <w:sz w:val="20"/>
              </w:rPr>
              <w:t> </w:t>
            </w:r>
            <w:r>
              <w:rPr>
                <w:sz w:val="20"/>
              </w:rPr>
              <w:t>anteriores</w:t>
            </w:r>
          </w:p>
        </w:tc>
        <w:tc>
          <w:tcPr>
            <w:tcW w:w="2216" w:type="dxa"/>
            <w:vMerge/>
          </w:tcPr>
          <w:p>
            <w:pPr/>
          </w:p>
        </w:tc>
      </w:tr>
      <w:tr>
        <w:trPr>
          <w:trHeight w:val="175" w:hRule="exact"/>
        </w:trPr>
        <w:tc>
          <w:tcPr>
            <w:tcW w:w="9953" w:type="dxa"/>
            <w:gridSpan w:val="4"/>
            <w:tcBorders>
              <w:bottom w:val="single" w:sz="30" w:space="0" w:color="4F81BC"/>
            </w:tcBorders>
          </w:tcPr>
          <w:p>
            <w:pPr/>
          </w:p>
        </w:tc>
      </w:tr>
    </w:tbl>
    <w:p>
      <w:pPr>
        <w:pStyle w:val="BodyText"/>
        <w:spacing w:before="7"/>
        <w:rPr>
          <w:sz w:val="20"/>
        </w:rPr>
      </w:pPr>
    </w:p>
    <w:p>
      <w:pPr>
        <w:pStyle w:val="BodyText"/>
        <w:spacing w:before="70"/>
        <w:ind w:left="1453"/>
      </w:pPr>
      <w:r>
        <w:rPr/>
        <w:drawing>
          <wp:anchor distT="0" distB="0" distL="0" distR="0" allowOverlap="1" layoutInCell="1" locked="0" behindDoc="1" simplePos="0" relativeHeight="268382591">
            <wp:simplePos x="0" y="0"/>
            <wp:positionH relativeFrom="page">
              <wp:posOffset>707136</wp:posOffset>
            </wp:positionH>
            <wp:positionV relativeFrom="paragraph">
              <wp:posOffset>-220397</wp:posOffset>
            </wp:positionV>
            <wp:extent cx="6406958" cy="132873"/>
            <wp:effectExtent l="0" t="0" r="0" b="0"/>
            <wp:wrapNone/>
            <wp:docPr id="79" name="image105.png" descr=""/>
            <wp:cNvGraphicFramePr>
              <a:graphicFrameLocks noChangeAspect="1"/>
            </wp:cNvGraphicFramePr>
            <a:graphic>
              <a:graphicData uri="http://schemas.openxmlformats.org/drawingml/2006/picture">
                <pic:pic>
                  <pic:nvPicPr>
                    <pic:cNvPr id="80" name="image105.png"/>
                    <pic:cNvPicPr/>
                  </pic:nvPicPr>
                  <pic:blipFill>
                    <a:blip r:embed="rId114" cstate="print"/>
                    <a:stretch>
                      <a:fillRect/>
                    </a:stretch>
                  </pic:blipFill>
                  <pic:spPr>
                    <a:xfrm>
                      <a:off x="0" y="0"/>
                      <a:ext cx="6406958" cy="132873"/>
                    </a:xfrm>
                    <a:prstGeom prst="rect">
                      <a:avLst/>
                    </a:prstGeom>
                  </pic:spPr>
                </pic:pic>
              </a:graphicData>
            </a:graphic>
          </wp:anchor>
        </w:drawing>
      </w:r>
      <w:r>
        <w:rPr/>
        <w:t>HOJA DE REGISTRO DE INDICE DE PLACA DENTOBACTERIANA</w:t>
      </w:r>
    </w:p>
    <w:p>
      <w:pPr>
        <w:pStyle w:val="BodyText"/>
        <w:rPr>
          <w:sz w:val="21"/>
        </w:rPr>
      </w:pPr>
    </w:p>
    <w:p>
      <w:pPr>
        <w:spacing w:before="0"/>
        <w:ind w:left="418" w:right="0" w:firstLine="0"/>
        <w:jc w:val="left"/>
        <w:rPr>
          <w:sz w:val="20"/>
        </w:rPr>
      </w:pPr>
      <w:r>
        <w:rPr>
          <w:sz w:val="20"/>
        </w:rPr>
        <w:t>Aplicado con el índice O´Leary</w:t>
      </w:r>
    </w:p>
    <w:p>
      <w:pPr>
        <w:pStyle w:val="BodyText"/>
        <w:spacing w:before="5"/>
        <w:rPr>
          <w:sz w:val="20"/>
        </w:rPr>
      </w:pPr>
    </w:p>
    <w:p>
      <w:pPr>
        <w:tabs>
          <w:tab w:pos="6746" w:val="left" w:leader="none"/>
          <w:tab w:pos="8685" w:val="left" w:leader="none"/>
        </w:tabs>
        <w:spacing w:line="225" w:lineRule="exact" w:before="0"/>
        <w:ind w:left="474" w:right="0" w:firstLine="0"/>
        <w:jc w:val="left"/>
        <w:rPr>
          <w:sz w:val="20"/>
        </w:rPr>
      </w:pPr>
      <w:r>
        <w:rPr/>
        <w:drawing>
          <wp:anchor distT="0" distB="0" distL="0" distR="0" allowOverlap="1" layoutInCell="1" locked="0" behindDoc="0" simplePos="0" relativeHeight="3328">
            <wp:simplePos x="0" y="0"/>
            <wp:positionH relativeFrom="page">
              <wp:posOffset>874775</wp:posOffset>
            </wp:positionH>
            <wp:positionV relativeFrom="paragraph">
              <wp:posOffset>409319</wp:posOffset>
            </wp:positionV>
            <wp:extent cx="2143361" cy="629412"/>
            <wp:effectExtent l="0" t="0" r="0" b="0"/>
            <wp:wrapNone/>
            <wp:docPr id="81" name="image106.png" descr=""/>
            <wp:cNvGraphicFramePr>
              <a:graphicFrameLocks noChangeAspect="1"/>
            </wp:cNvGraphicFramePr>
            <a:graphic>
              <a:graphicData uri="http://schemas.openxmlformats.org/drawingml/2006/picture">
                <pic:pic>
                  <pic:nvPicPr>
                    <pic:cNvPr id="82" name="image106.png"/>
                    <pic:cNvPicPr/>
                  </pic:nvPicPr>
                  <pic:blipFill>
                    <a:blip r:embed="rId115" cstate="print"/>
                    <a:stretch>
                      <a:fillRect/>
                    </a:stretch>
                  </pic:blipFill>
                  <pic:spPr>
                    <a:xfrm>
                      <a:off x="0" y="0"/>
                      <a:ext cx="2143361" cy="629412"/>
                    </a:xfrm>
                    <a:prstGeom prst="rect">
                      <a:avLst/>
                    </a:prstGeom>
                  </pic:spPr>
                </pic:pic>
              </a:graphicData>
            </a:graphic>
          </wp:anchor>
        </w:drawing>
      </w:r>
      <w:r>
        <w:rPr>
          <w:sz w:val="20"/>
        </w:rPr>
        <w:t>Primer control</w:t>
      </w:r>
      <w:r>
        <w:rPr>
          <w:spacing w:val="-5"/>
          <w:sz w:val="20"/>
        </w:rPr>
        <w:t> </w:t>
      </w:r>
      <w:r>
        <w:rPr>
          <w:sz w:val="20"/>
        </w:rPr>
        <w:t>de</w:t>
      </w:r>
      <w:r>
        <w:rPr>
          <w:spacing w:val="-2"/>
          <w:sz w:val="20"/>
        </w:rPr>
        <w:t> </w:t>
      </w:r>
      <w:r>
        <w:rPr>
          <w:sz w:val="20"/>
        </w:rPr>
        <w:t>placa</w:t>
        <w:tab/>
        <w:t>Fecha:</w:t>
      </w:r>
      <w:r>
        <w:rPr>
          <w:spacing w:val="-1"/>
          <w:sz w:val="20"/>
        </w:rPr>
        <w:t> </w:t>
      </w:r>
      <w:r>
        <w:rPr>
          <w:w w:val="99"/>
          <w:sz w:val="20"/>
          <w:u w:val="single"/>
        </w:rPr>
        <w:t> </w:t>
      </w:r>
      <w:r>
        <w:rPr>
          <w:sz w:val="20"/>
          <w:u w:val="single"/>
        </w:rPr>
        <w:tab/>
      </w:r>
    </w:p>
    <w:p>
      <w:pPr>
        <w:spacing w:after="0" w:line="225" w:lineRule="exact"/>
        <w:jc w:val="left"/>
        <w:rPr>
          <w:sz w:val="20"/>
        </w:rPr>
        <w:sectPr>
          <w:pgSz w:w="12240" w:h="15840"/>
          <w:pgMar w:header="0" w:footer="887" w:top="1360" w:bottom="1140" w:left="1000" w:right="9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8"/>
        </w:rPr>
      </w:pPr>
    </w:p>
    <w:p>
      <w:pPr>
        <w:tabs>
          <w:tab w:pos="2355" w:val="left" w:leader="none"/>
        </w:tabs>
        <w:spacing w:line="242" w:lineRule="auto" w:before="0"/>
        <w:ind w:left="418" w:right="1060" w:firstLine="0"/>
        <w:jc w:val="left"/>
        <w:rPr>
          <w:sz w:val="20"/>
        </w:rPr>
      </w:pPr>
      <w:r>
        <w:rPr/>
        <w:drawing>
          <wp:anchor distT="0" distB="0" distL="0" distR="0" allowOverlap="1" layoutInCell="1" locked="0" behindDoc="0" simplePos="0" relativeHeight="3352">
            <wp:simplePos x="0" y="0"/>
            <wp:positionH relativeFrom="page">
              <wp:posOffset>873252</wp:posOffset>
            </wp:positionH>
            <wp:positionV relativeFrom="paragraph">
              <wp:posOffset>406271</wp:posOffset>
            </wp:positionV>
            <wp:extent cx="2083308" cy="612648"/>
            <wp:effectExtent l="0" t="0" r="0" b="0"/>
            <wp:wrapNone/>
            <wp:docPr id="83" name="image106.png" descr=""/>
            <wp:cNvGraphicFramePr>
              <a:graphicFrameLocks noChangeAspect="1"/>
            </wp:cNvGraphicFramePr>
            <a:graphic>
              <a:graphicData uri="http://schemas.openxmlformats.org/drawingml/2006/picture">
                <pic:pic>
                  <pic:nvPicPr>
                    <pic:cNvPr id="84" name="image106.png"/>
                    <pic:cNvPicPr/>
                  </pic:nvPicPr>
                  <pic:blipFill>
                    <a:blip r:embed="rId115" cstate="print"/>
                    <a:stretch>
                      <a:fillRect/>
                    </a:stretch>
                  </pic:blipFill>
                  <pic:spPr>
                    <a:xfrm>
                      <a:off x="0" y="0"/>
                      <a:ext cx="2083308" cy="612648"/>
                    </a:xfrm>
                    <a:prstGeom prst="rect">
                      <a:avLst/>
                    </a:prstGeom>
                  </pic:spPr>
                </pic:pic>
              </a:graphicData>
            </a:graphic>
          </wp:anchor>
        </w:drawing>
      </w:r>
      <w:r>
        <w:rPr>
          <w:sz w:val="20"/>
        </w:rPr>
        <w:t>Segundo control de</w:t>
      </w:r>
      <w:r>
        <w:rPr>
          <w:spacing w:val="-12"/>
          <w:sz w:val="20"/>
        </w:rPr>
        <w:t> </w:t>
      </w:r>
      <w:r>
        <w:rPr>
          <w:sz w:val="20"/>
        </w:rPr>
        <w:t>placa Fecha:</w:t>
      </w:r>
      <w:r>
        <w:rPr>
          <w:spacing w:val="-1"/>
          <w:sz w:val="20"/>
        </w:rPr>
        <w:t> </w:t>
      </w:r>
      <w:r>
        <w:rPr>
          <w:w w:val="99"/>
          <w:sz w:val="20"/>
          <w:u w:val="single"/>
        </w:rPr>
        <w:t> </w:t>
      </w:r>
      <w:r>
        <w:rPr>
          <w:sz w:val="20"/>
          <w:u w:val="single"/>
        </w:rPr>
        <w:tab/>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spacing w:before="6"/>
        <w:rPr>
          <w:sz w:val="17"/>
        </w:rPr>
      </w:pPr>
    </w:p>
    <w:p>
      <w:pPr>
        <w:spacing w:before="0"/>
        <w:ind w:left="375" w:right="0" w:firstLine="7"/>
        <w:jc w:val="left"/>
        <w:rPr>
          <w:sz w:val="16"/>
        </w:rPr>
      </w:pPr>
      <w:r>
        <w:rPr>
          <w:sz w:val="16"/>
        </w:rPr>
        <w:t>Total de dientes:</w:t>
      </w:r>
    </w:p>
    <w:p>
      <w:pPr>
        <w:pStyle w:val="BodyText"/>
        <w:rPr>
          <w:sz w:val="7"/>
        </w:rPr>
      </w:pPr>
    </w:p>
    <w:tbl>
      <w:tblPr>
        <w:tblW w:w="0" w:type="auto"/>
        <w:jc w:val="left"/>
        <w:tblInd w:w="260" w:type="dxa"/>
        <w:tblBorders>
          <w:top w:val="single" w:sz="2" w:space="0" w:color="C2D59B"/>
          <w:left w:val="single" w:sz="2" w:space="0" w:color="C2D59B"/>
          <w:bottom w:val="single" w:sz="2" w:space="0" w:color="C2D59B"/>
          <w:right w:val="single" w:sz="2" w:space="0" w:color="C2D59B"/>
          <w:insideH w:val="single" w:sz="2" w:space="0" w:color="C2D59B"/>
          <w:insideV w:val="single" w:sz="2" w:space="0" w:color="C2D59B"/>
        </w:tblBorders>
        <w:tblLayout w:type="fixed"/>
        <w:tblCellMar>
          <w:top w:w="0" w:type="dxa"/>
          <w:left w:w="0" w:type="dxa"/>
          <w:bottom w:w="0" w:type="dxa"/>
          <w:right w:w="0" w:type="dxa"/>
        </w:tblCellMar>
        <w:tblLook w:val="01E0"/>
      </w:tblPr>
      <w:tblGrid>
        <w:gridCol w:w="2660"/>
        <w:gridCol w:w="852"/>
      </w:tblGrid>
      <w:tr>
        <w:trPr>
          <w:trHeight w:val="271" w:hRule="exact"/>
        </w:trPr>
        <w:tc>
          <w:tcPr>
            <w:tcW w:w="2660" w:type="dxa"/>
            <w:tcBorders>
              <w:top w:val="single" w:sz="12" w:space="0" w:color="C2D59B"/>
              <w:left w:val="nil"/>
            </w:tcBorders>
            <w:shd w:val="clear" w:color="auto" w:fill="EAF0DD"/>
          </w:tcPr>
          <w:p>
            <w:pPr>
              <w:pStyle w:val="TableParagraph"/>
              <w:spacing w:line="180" w:lineRule="exact"/>
              <w:ind w:left="107"/>
              <w:rPr>
                <w:sz w:val="16"/>
              </w:rPr>
            </w:pPr>
            <w:r>
              <w:rPr>
                <w:sz w:val="16"/>
              </w:rPr>
              <w:t>Total de superficies pintadas:</w:t>
            </w:r>
          </w:p>
        </w:tc>
        <w:tc>
          <w:tcPr>
            <w:tcW w:w="852" w:type="dxa"/>
            <w:tcBorders>
              <w:top w:val="single" w:sz="12" w:space="0" w:color="C2D59B"/>
              <w:right w:val="nil"/>
            </w:tcBorders>
            <w:shd w:val="clear" w:color="auto" w:fill="EAF0DD"/>
          </w:tcPr>
          <w:p>
            <w:pPr/>
          </w:p>
        </w:tc>
      </w:tr>
      <w:tr>
        <w:trPr>
          <w:trHeight w:val="226" w:hRule="exact"/>
        </w:trPr>
        <w:tc>
          <w:tcPr>
            <w:tcW w:w="2660" w:type="dxa"/>
            <w:tcBorders>
              <w:left w:val="nil"/>
            </w:tcBorders>
          </w:tcPr>
          <w:p>
            <w:pPr>
              <w:pStyle w:val="TableParagraph"/>
              <w:spacing w:line="180" w:lineRule="exact"/>
              <w:ind w:left="107"/>
              <w:rPr>
                <w:sz w:val="16"/>
              </w:rPr>
            </w:pPr>
            <w:r>
              <w:rPr>
                <w:sz w:val="16"/>
              </w:rPr>
              <w:t>Índice de placa:</w:t>
            </w:r>
          </w:p>
        </w:tc>
        <w:tc>
          <w:tcPr>
            <w:tcW w:w="852" w:type="dxa"/>
            <w:tcBorders>
              <w:right w:val="nil"/>
            </w:tcBorders>
          </w:tcPr>
          <w:p>
            <w:pPr/>
          </w:p>
        </w:tc>
      </w:tr>
    </w:tbl>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spacing w:before="139"/>
        <w:ind w:left="375" w:right="0" w:firstLine="0"/>
        <w:jc w:val="left"/>
        <w:rPr>
          <w:sz w:val="16"/>
        </w:rPr>
      </w:pPr>
      <w:r>
        <w:rPr>
          <w:sz w:val="16"/>
        </w:rPr>
        <w:t>Total de dientes:</w:t>
      </w:r>
    </w:p>
    <w:p>
      <w:pPr>
        <w:spacing w:after="0"/>
        <w:jc w:val="left"/>
        <w:rPr>
          <w:sz w:val="16"/>
        </w:rPr>
        <w:sectPr>
          <w:type w:val="continuous"/>
          <w:pgSz w:w="12240" w:h="15840"/>
          <w:pgMar w:top="1500" w:bottom="280" w:left="1000" w:right="940"/>
          <w:cols w:num="2" w:equalWidth="0">
            <w:col w:w="3745" w:space="2278"/>
            <w:col w:w="4277"/>
          </w:cols>
        </w:sectPr>
      </w:pPr>
    </w:p>
    <w:p>
      <w:pPr>
        <w:pStyle w:val="BodyText"/>
        <w:spacing w:before="8"/>
        <w:rPr>
          <w:sz w:val="7"/>
        </w:rPr>
      </w:pPr>
    </w:p>
    <w:tbl>
      <w:tblPr>
        <w:tblW w:w="0" w:type="auto"/>
        <w:jc w:val="left"/>
        <w:tblInd w:w="6275" w:type="dxa"/>
        <w:tblBorders>
          <w:top w:val="single" w:sz="2" w:space="0" w:color="C2D59B"/>
          <w:left w:val="single" w:sz="2" w:space="0" w:color="C2D59B"/>
          <w:bottom w:val="single" w:sz="2" w:space="0" w:color="C2D59B"/>
          <w:right w:val="single" w:sz="2" w:space="0" w:color="C2D59B"/>
          <w:insideH w:val="single" w:sz="2" w:space="0" w:color="C2D59B"/>
          <w:insideV w:val="single" w:sz="2" w:space="0" w:color="C2D59B"/>
        </w:tblBorders>
        <w:tblLayout w:type="fixed"/>
        <w:tblCellMar>
          <w:top w:w="0" w:type="dxa"/>
          <w:left w:w="0" w:type="dxa"/>
          <w:bottom w:w="0" w:type="dxa"/>
          <w:right w:w="0" w:type="dxa"/>
        </w:tblCellMar>
        <w:tblLook w:val="01E0"/>
      </w:tblPr>
      <w:tblGrid>
        <w:gridCol w:w="2780"/>
        <w:gridCol w:w="739"/>
      </w:tblGrid>
      <w:tr>
        <w:trPr>
          <w:trHeight w:val="276" w:hRule="exact"/>
        </w:trPr>
        <w:tc>
          <w:tcPr>
            <w:tcW w:w="2780" w:type="dxa"/>
            <w:tcBorders>
              <w:top w:val="single" w:sz="12" w:space="0" w:color="C2D59B"/>
              <w:left w:val="nil"/>
            </w:tcBorders>
            <w:shd w:val="clear" w:color="auto" w:fill="EAF0DD"/>
          </w:tcPr>
          <w:p>
            <w:pPr>
              <w:pStyle w:val="TableParagraph"/>
              <w:spacing w:line="180" w:lineRule="exact"/>
              <w:ind w:left="108"/>
              <w:rPr>
                <w:sz w:val="16"/>
              </w:rPr>
            </w:pPr>
            <w:r>
              <w:rPr>
                <w:sz w:val="16"/>
              </w:rPr>
              <w:t>Total de superficies pintadas:</w:t>
            </w:r>
          </w:p>
        </w:tc>
        <w:tc>
          <w:tcPr>
            <w:tcW w:w="739" w:type="dxa"/>
            <w:tcBorders>
              <w:top w:val="single" w:sz="12" w:space="0" w:color="C2D59B"/>
              <w:right w:val="nil"/>
            </w:tcBorders>
            <w:shd w:val="clear" w:color="auto" w:fill="EAF0DD"/>
          </w:tcPr>
          <w:p>
            <w:pPr/>
          </w:p>
        </w:tc>
      </w:tr>
      <w:tr>
        <w:trPr>
          <w:trHeight w:val="269" w:hRule="exact"/>
        </w:trPr>
        <w:tc>
          <w:tcPr>
            <w:tcW w:w="2780" w:type="dxa"/>
            <w:tcBorders>
              <w:left w:val="nil"/>
            </w:tcBorders>
          </w:tcPr>
          <w:p>
            <w:pPr>
              <w:pStyle w:val="TableParagraph"/>
              <w:spacing w:line="183" w:lineRule="exact"/>
              <w:ind w:left="108"/>
              <w:rPr>
                <w:sz w:val="16"/>
              </w:rPr>
            </w:pPr>
            <w:r>
              <w:rPr>
                <w:sz w:val="16"/>
              </w:rPr>
              <w:t>Índice de placa:</w:t>
            </w:r>
          </w:p>
        </w:tc>
        <w:tc>
          <w:tcPr>
            <w:tcW w:w="739" w:type="dxa"/>
            <w:tcBorders>
              <w:right w:val="nil"/>
            </w:tcBorders>
          </w:tcPr>
          <w:p>
            <w:pPr/>
          </w:p>
        </w:tc>
      </w:tr>
    </w:tbl>
    <w:p>
      <w:pPr>
        <w:spacing w:after="0"/>
        <w:sectPr>
          <w:type w:val="continuous"/>
          <w:pgSz w:w="12240" w:h="15840"/>
          <w:pgMar w:top="1500" w:bottom="280" w:left="1000" w:right="940"/>
        </w:sectPr>
      </w:pPr>
    </w:p>
    <w:p>
      <w:pPr>
        <w:pStyle w:val="Heading1"/>
        <w:ind w:left="2046"/>
      </w:pPr>
      <w:r>
        <w:rPr/>
        <w:t>PARTICIPACIÓN EN MODALIDAD CARTEL</w:t>
      </w:r>
    </w:p>
    <w:p>
      <w:pPr>
        <w:pStyle w:val="BodyText"/>
        <w:spacing w:before="6"/>
        <w:rPr>
          <w:b/>
          <w:sz w:val="25"/>
        </w:rPr>
      </w:pPr>
      <w:r>
        <w:rPr/>
        <w:drawing>
          <wp:anchor distT="0" distB="0" distL="0" distR="0" allowOverlap="1" layoutInCell="1" locked="0" behindDoc="0" simplePos="0" relativeHeight="3400">
            <wp:simplePos x="0" y="0"/>
            <wp:positionH relativeFrom="page">
              <wp:posOffset>1104900</wp:posOffset>
            </wp:positionH>
            <wp:positionV relativeFrom="paragraph">
              <wp:posOffset>211544</wp:posOffset>
            </wp:positionV>
            <wp:extent cx="5539501" cy="7420927"/>
            <wp:effectExtent l="0" t="0" r="0" b="0"/>
            <wp:wrapTopAndBottom/>
            <wp:docPr id="85" name="image107.jpeg" descr=""/>
            <wp:cNvGraphicFramePr>
              <a:graphicFrameLocks noChangeAspect="1"/>
            </wp:cNvGraphicFramePr>
            <a:graphic>
              <a:graphicData uri="http://schemas.openxmlformats.org/drawingml/2006/picture">
                <pic:pic>
                  <pic:nvPicPr>
                    <pic:cNvPr id="86" name="image107.jpeg"/>
                    <pic:cNvPicPr/>
                  </pic:nvPicPr>
                  <pic:blipFill>
                    <a:blip r:embed="rId116" cstate="print"/>
                    <a:stretch>
                      <a:fillRect/>
                    </a:stretch>
                  </pic:blipFill>
                  <pic:spPr>
                    <a:xfrm>
                      <a:off x="0" y="0"/>
                      <a:ext cx="5539501" cy="7420927"/>
                    </a:xfrm>
                    <a:prstGeom prst="rect">
                      <a:avLst/>
                    </a:prstGeom>
                  </pic:spPr>
                </pic:pic>
              </a:graphicData>
            </a:graphic>
          </wp:anchor>
        </w:drawing>
      </w:r>
    </w:p>
    <w:p>
      <w:pPr>
        <w:spacing w:after="0"/>
        <w:rPr>
          <w:sz w:val="25"/>
        </w:rPr>
        <w:sectPr>
          <w:pgSz w:w="12240" w:h="15840"/>
          <w:pgMar w:header="0" w:footer="887" w:top="1360" w:bottom="1140" w:left="1640" w:right="1640"/>
        </w:sectPr>
      </w:pPr>
    </w:p>
    <w:p>
      <w:pPr>
        <w:spacing w:before="56"/>
        <w:ind w:left="978" w:right="0" w:firstLine="0"/>
        <w:jc w:val="left"/>
        <w:rPr>
          <w:b/>
          <w:sz w:val="24"/>
        </w:rPr>
      </w:pPr>
      <w:r>
        <w:rPr>
          <w:b/>
          <w:sz w:val="24"/>
        </w:rPr>
        <w:t>EVIDENCIA DE PARTICIPACIÓN EN CONCUSO DE CARTELES</w:t>
      </w:r>
    </w:p>
    <w:p>
      <w:pPr>
        <w:pStyle w:val="BodyText"/>
        <w:spacing w:before="7"/>
        <w:rPr>
          <w:b/>
          <w:sz w:val="17"/>
        </w:rPr>
      </w:pPr>
      <w:r>
        <w:rPr/>
        <w:drawing>
          <wp:anchor distT="0" distB="0" distL="0" distR="0" allowOverlap="1" layoutInCell="1" locked="0" behindDoc="0" simplePos="0" relativeHeight="3424">
            <wp:simplePos x="0" y="0"/>
            <wp:positionH relativeFrom="page">
              <wp:posOffset>1075944</wp:posOffset>
            </wp:positionH>
            <wp:positionV relativeFrom="paragraph">
              <wp:posOffset>153632</wp:posOffset>
            </wp:positionV>
            <wp:extent cx="5610541" cy="7274052"/>
            <wp:effectExtent l="0" t="0" r="0" b="0"/>
            <wp:wrapTopAndBottom/>
            <wp:docPr id="87" name="image108.jpeg" descr=""/>
            <wp:cNvGraphicFramePr>
              <a:graphicFrameLocks noChangeAspect="1"/>
            </wp:cNvGraphicFramePr>
            <a:graphic>
              <a:graphicData uri="http://schemas.openxmlformats.org/drawingml/2006/picture">
                <pic:pic>
                  <pic:nvPicPr>
                    <pic:cNvPr id="88" name="image108.jpeg"/>
                    <pic:cNvPicPr/>
                  </pic:nvPicPr>
                  <pic:blipFill>
                    <a:blip r:embed="rId117" cstate="print"/>
                    <a:stretch>
                      <a:fillRect/>
                    </a:stretch>
                  </pic:blipFill>
                  <pic:spPr>
                    <a:xfrm>
                      <a:off x="0" y="0"/>
                      <a:ext cx="5610541" cy="7274052"/>
                    </a:xfrm>
                    <a:prstGeom prst="rect">
                      <a:avLst/>
                    </a:prstGeom>
                  </pic:spPr>
                </pic:pic>
              </a:graphicData>
            </a:graphic>
          </wp:anchor>
        </w:drawing>
      </w:r>
    </w:p>
    <w:p>
      <w:pPr>
        <w:spacing w:after="0"/>
        <w:rPr>
          <w:sz w:val="17"/>
        </w:rPr>
        <w:sectPr>
          <w:pgSz w:w="12240" w:h="15840"/>
          <w:pgMar w:header="0" w:footer="887" w:top="1360" w:bottom="1140" w:left="1580" w:right="1600"/>
        </w:sectPr>
      </w:pPr>
    </w:p>
    <w:p>
      <w:pPr>
        <w:pStyle w:val="BodyText"/>
        <w:ind w:left="114"/>
        <w:rPr>
          <w:sz w:val="20"/>
        </w:rPr>
      </w:pPr>
      <w:r>
        <w:rPr>
          <w:sz w:val="20"/>
        </w:rPr>
        <w:drawing>
          <wp:inline distT="0" distB="0" distL="0" distR="0">
            <wp:extent cx="5465060" cy="7098792"/>
            <wp:effectExtent l="0" t="0" r="0" b="0"/>
            <wp:docPr id="89" name="image109.jpeg" descr=""/>
            <wp:cNvGraphicFramePr>
              <a:graphicFrameLocks noChangeAspect="1"/>
            </wp:cNvGraphicFramePr>
            <a:graphic>
              <a:graphicData uri="http://schemas.openxmlformats.org/drawingml/2006/picture">
                <pic:pic>
                  <pic:nvPicPr>
                    <pic:cNvPr id="90" name="image109.jpeg"/>
                    <pic:cNvPicPr/>
                  </pic:nvPicPr>
                  <pic:blipFill>
                    <a:blip r:embed="rId118" cstate="print"/>
                    <a:stretch>
                      <a:fillRect/>
                    </a:stretch>
                  </pic:blipFill>
                  <pic:spPr>
                    <a:xfrm>
                      <a:off x="0" y="0"/>
                      <a:ext cx="5465060" cy="7098792"/>
                    </a:xfrm>
                    <a:prstGeom prst="rect">
                      <a:avLst/>
                    </a:prstGeom>
                  </pic:spPr>
                </pic:pic>
              </a:graphicData>
            </a:graphic>
          </wp:inline>
        </w:drawing>
      </w:r>
      <w:r>
        <w:rPr>
          <w:sz w:val="20"/>
        </w:rPr>
      </w:r>
    </w:p>
    <w:p>
      <w:pPr>
        <w:spacing w:after="0"/>
        <w:rPr>
          <w:sz w:val="20"/>
        </w:rPr>
        <w:sectPr>
          <w:pgSz w:w="12240" w:h="15840"/>
          <w:pgMar w:header="0" w:footer="887" w:top="1420" w:bottom="1080" w:left="1580" w:right="1600"/>
        </w:sectPr>
      </w:pPr>
    </w:p>
    <w:p>
      <w:pPr>
        <w:pStyle w:val="BodyText"/>
        <w:spacing w:before="5"/>
        <w:rPr>
          <w:rFonts w:ascii="Times New Roman"/>
          <w:sz w:val="20"/>
        </w:rPr>
      </w:pPr>
    </w:p>
    <w:p>
      <w:pPr>
        <w:pStyle w:val="BodyText"/>
        <w:ind w:left="118"/>
        <w:rPr>
          <w:rFonts w:ascii="Times New Roman"/>
          <w:sz w:val="20"/>
        </w:rPr>
      </w:pPr>
      <w:r>
        <w:rPr>
          <w:rFonts w:ascii="Times New Roman"/>
          <w:sz w:val="20"/>
        </w:rPr>
        <w:drawing>
          <wp:inline distT="0" distB="0" distL="0" distR="0">
            <wp:extent cx="5610188" cy="7251192"/>
            <wp:effectExtent l="0" t="0" r="0" b="0"/>
            <wp:docPr id="91" name="image110.jpeg" descr=""/>
            <wp:cNvGraphicFramePr>
              <a:graphicFrameLocks noChangeAspect="1"/>
            </wp:cNvGraphicFramePr>
            <a:graphic>
              <a:graphicData uri="http://schemas.openxmlformats.org/drawingml/2006/picture">
                <pic:pic>
                  <pic:nvPicPr>
                    <pic:cNvPr id="92" name="image110.jpeg"/>
                    <pic:cNvPicPr/>
                  </pic:nvPicPr>
                  <pic:blipFill>
                    <a:blip r:embed="rId119" cstate="print"/>
                    <a:stretch>
                      <a:fillRect/>
                    </a:stretch>
                  </pic:blipFill>
                  <pic:spPr>
                    <a:xfrm>
                      <a:off x="0" y="0"/>
                      <a:ext cx="5610188" cy="725119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887" w:top="1500" w:bottom="1080" w:left="1300" w:right="1720"/>
        </w:sectPr>
      </w:pPr>
    </w:p>
    <w:p>
      <w:pPr>
        <w:pStyle w:val="BodyText"/>
        <w:ind w:left="118"/>
        <w:rPr>
          <w:rFonts w:ascii="Times New Roman"/>
          <w:sz w:val="20"/>
        </w:rPr>
      </w:pPr>
      <w:r>
        <w:rPr>
          <w:rFonts w:ascii="Times New Roman"/>
          <w:sz w:val="20"/>
        </w:rPr>
        <w:drawing>
          <wp:inline distT="0" distB="0" distL="0" distR="0">
            <wp:extent cx="5884001" cy="7606665"/>
            <wp:effectExtent l="0" t="0" r="0" b="0"/>
            <wp:docPr id="93" name="image111.jpeg" descr=""/>
            <wp:cNvGraphicFramePr>
              <a:graphicFrameLocks noChangeAspect="1"/>
            </wp:cNvGraphicFramePr>
            <a:graphic>
              <a:graphicData uri="http://schemas.openxmlformats.org/drawingml/2006/picture">
                <pic:pic>
                  <pic:nvPicPr>
                    <pic:cNvPr id="94" name="image111.jpeg"/>
                    <pic:cNvPicPr/>
                  </pic:nvPicPr>
                  <pic:blipFill>
                    <a:blip r:embed="rId120" cstate="print"/>
                    <a:stretch>
                      <a:fillRect/>
                    </a:stretch>
                  </pic:blipFill>
                  <pic:spPr>
                    <a:xfrm>
                      <a:off x="0" y="0"/>
                      <a:ext cx="5884001" cy="7606665"/>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887" w:top="1440" w:bottom="1080" w:left="1300" w:right="1380"/>
        </w:sectPr>
      </w:pPr>
    </w:p>
    <w:p>
      <w:pPr>
        <w:pStyle w:val="BodyText"/>
        <w:ind w:left="111"/>
        <w:rPr>
          <w:rFonts w:ascii="Times New Roman"/>
          <w:sz w:val="20"/>
        </w:rPr>
      </w:pPr>
      <w:r>
        <w:rPr>
          <w:rFonts w:ascii="Times New Roman"/>
          <w:sz w:val="20"/>
        </w:rPr>
        <w:drawing>
          <wp:inline distT="0" distB="0" distL="0" distR="0">
            <wp:extent cx="6016737" cy="7818120"/>
            <wp:effectExtent l="0" t="0" r="0" b="0"/>
            <wp:docPr id="95" name="image112.jpeg" descr=""/>
            <wp:cNvGraphicFramePr>
              <a:graphicFrameLocks noChangeAspect="1"/>
            </wp:cNvGraphicFramePr>
            <a:graphic>
              <a:graphicData uri="http://schemas.openxmlformats.org/drawingml/2006/picture">
                <pic:pic>
                  <pic:nvPicPr>
                    <pic:cNvPr id="96" name="image112.jpeg"/>
                    <pic:cNvPicPr/>
                  </pic:nvPicPr>
                  <pic:blipFill>
                    <a:blip r:embed="rId121" cstate="print"/>
                    <a:stretch>
                      <a:fillRect/>
                    </a:stretch>
                  </pic:blipFill>
                  <pic:spPr>
                    <a:xfrm>
                      <a:off x="0" y="0"/>
                      <a:ext cx="6016737" cy="781812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887" w:top="1420" w:bottom="1080" w:left="1420" w:right="1080"/>
        </w:sectPr>
      </w:pPr>
    </w:p>
    <w:p>
      <w:pPr>
        <w:pStyle w:val="BodyText"/>
        <w:spacing w:before="7" w:after="1"/>
        <w:rPr>
          <w:rFonts w:ascii="Times New Roman"/>
          <w:sz w:val="11"/>
        </w:rPr>
      </w:pPr>
    </w:p>
    <w:p>
      <w:pPr>
        <w:pStyle w:val="BodyText"/>
        <w:ind w:left="105"/>
        <w:rPr>
          <w:rFonts w:ascii="Times New Roman"/>
          <w:sz w:val="20"/>
        </w:rPr>
      </w:pPr>
      <w:r>
        <w:rPr>
          <w:rFonts w:ascii="Times New Roman"/>
          <w:sz w:val="20"/>
        </w:rPr>
        <w:drawing>
          <wp:inline distT="0" distB="0" distL="0" distR="0">
            <wp:extent cx="5779089" cy="7355205"/>
            <wp:effectExtent l="0" t="0" r="0" b="0"/>
            <wp:docPr id="97" name="image113.jpeg" descr=""/>
            <wp:cNvGraphicFramePr>
              <a:graphicFrameLocks noChangeAspect="1"/>
            </wp:cNvGraphicFramePr>
            <a:graphic>
              <a:graphicData uri="http://schemas.openxmlformats.org/drawingml/2006/picture">
                <pic:pic>
                  <pic:nvPicPr>
                    <pic:cNvPr id="98" name="image113.jpeg"/>
                    <pic:cNvPicPr/>
                  </pic:nvPicPr>
                  <pic:blipFill>
                    <a:blip r:embed="rId122" cstate="print"/>
                    <a:stretch>
                      <a:fillRect/>
                    </a:stretch>
                  </pic:blipFill>
                  <pic:spPr>
                    <a:xfrm>
                      <a:off x="0" y="0"/>
                      <a:ext cx="5779089" cy="7355205"/>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887" w:top="1500" w:bottom="1080" w:left="1620" w:right="1280"/>
        </w:sectPr>
      </w:pPr>
    </w:p>
    <w:p>
      <w:pPr>
        <w:pStyle w:val="BodyText"/>
        <w:ind w:left="118"/>
        <w:rPr>
          <w:rFonts w:ascii="Times New Roman"/>
          <w:sz w:val="20"/>
        </w:rPr>
      </w:pPr>
      <w:r>
        <w:rPr>
          <w:rFonts w:ascii="Times New Roman"/>
          <w:sz w:val="20"/>
        </w:rPr>
        <w:drawing>
          <wp:inline distT="0" distB="0" distL="0" distR="0">
            <wp:extent cx="5809337" cy="7406640"/>
            <wp:effectExtent l="0" t="0" r="0" b="0"/>
            <wp:docPr id="99" name="image114.jpeg" descr=""/>
            <wp:cNvGraphicFramePr>
              <a:graphicFrameLocks noChangeAspect="1"/>
            </wp:cNvGraphicFramePr>
            <a:graphic>
              <a:graphicData uri="http://schemas.openxmlformats.org/drawingml/2006/picture">
                <pic:pic>
                  <pic:nvPicPr>
                    <pic:cNvPr id="100" name="image114.jpeg"/>
                    <pic:cNvPicPr/>
                  </pic:nvPicPr>
                  <pic:blipFill>
                    <a:blip r:embed="rId123" cstate="print"/>
                    <a:stretch>
                      <a:fillRect/>
                    </a:stretch>
                  </pic:blipFill>
                  <pic:spPr>
                    <a:xfrm>
                      <a:off x="0" y="0"/>
                      <a:ext cx="5809337" cy="740664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887" w:top="1420" w:bottom="1080" w:left="1300" w:right="1500"/>
        </w:sectPr>
      </w:pPr>
    </w:p>
    <w:p>
      <w:pPr>
        <w:pStyle w:val="BodyText"/>
        <w:ind w:left="111"/>
        <w:rPr>
          <w:rFonts w:ascii="Times New Roman"/>
          <w:sz w:val="20"/>
        </w:rPr>
      </w:pPr>
      <w:r>
        <w:rPr>
          <w:rFonts w:ascii="Times New Roman"/>
          <w:sz w:val="20"/>
        </w:rPr>
        <w:drawing>
          <wp:inline distT="0" distB="0" distL="0" distR="0">
            <wp:extent cx="5746421" cy="7738776"/>
            <wp:effectExtent l="0" t="0" r="0" b="0"/>
            <wp:docPr id="101" name="image115.jpeg" descr=""/>
            <wp:cNvGraphicFramePr>
              <a:graphicFrameLocks noChangeAspect="1"/>
            </wp:cNvGraphicFramePr>
            <a:graphic>
              <a:graphicData uri="http://schemas.openxmlformats.org/drawingml/2006/picture">
                <pic:pic>
                  <pic:nvPicPr>
                    <pic:cNvPr id="102" name="image115.jpeg"/>
                    <pic:cNvPicPr/>
                  </pic:nvPicPr>
                  <pic:blipFill>
                    <a:blip r:embed="rId124" cstate="print"/>
                    <a:stretch>
                      <a:fillRect/>
                    </a:stretch>
                  </pic:blipFill>
                  <pic:spPr>
                    <a:xfrm>
                      <a:off x="0" y="0"/>
                      <a:ext cx="5746421" cy="7738776"/>
                    </a:xfrm>
                    <a:prstGeom prst="rect">
                      <a:avLst/>
                    </a:prstGeom>
                  </pic:spPr>
                </pic:pic>
              </a:graphicData>
            </a:graphic>
          </wp:inline>
        </w:drawing>
      </w:r>
      <w:r>
        <w:rPr>
          <w:rFonts w:ascii="Times New Roman"/>
          <w:sz w:val="20"/>
        </w:rPr>
      </w:r>
    </w:p>
    <w:sectPr>
      <w:pgSz w:w="12240" w:h="15840"/>
      <w:pgMar w:header="0" w:footer="887" w:top="1500" w:bottom="1080" w:left="1660" w:right="12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Wingdings">
    <w:altName w:val="Wingdings"/>
    <w:charset w:val="2"/>
    <w:family w:val="auto"/>
    <w:pitch w:val="variable"/>
  </w:font>
  <w:font w:name="Calibri">
    <w:altName w:val="Calibri"/>
    <w:charset w:val="0"/>
    <w:family w:val="swiss"/>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4"/>
      </w:rPr>
    </w:pPr>
    <w:r>
      <w:rPr/>
      <w:pict>
        <v:shapetype id="_x0000_t202" o:spt="202" coordsize="21600,21600" path="m,l,21600r21600,l21600,xe">
          <v:stroke joinstyle="miter"/>
          <v:path gradientshapeok="t" o:connecttype="rect"/>
        </v:shapetype>
        <v:shape style="position:absolute;margin-left:299.010010pt;margin-top:733.041443pt;width:14.1pt;height:12.6pt;mso-position-horizontal-relative:page;mso-position-vertical-relative:page;z-index:-55216" type="#_x0000_t202" filled="false" stroked="false">
          <v:textbox inset="0,0,0,0">
            <w:txbxContent>
              <w:p>
                <w:pPr>
                  <w:spacing w:before="5"/>
                  <w:ind w:left="40" w:right="0" w:firstLine="0"/>
                  <w:jc w:val="left"/>
                  <w:rPr>
                    <w:rFonts w:ascii="Times New Roman"/>
                    <w:sz w:val="20"/>
                  </w:rPr>
                </w:pPr>
                <w:r>
                  <w:rPr/>
                  <w:fldChar w:fldCharType="begin"/>
                </w:r>
                <w:r>
                  <w:rPr>
                    <w:rFonts w:ascii="Times New Roman"/>
                    <w:sz w:val="20"/>
                  </w:rPr>
                  <w:instrText> PAGE </w:instrText>
                </w:r>
                <w:r>
                  <w:rPr/>
                  <w:fldChar w:fldCharType="separate"/>
                </w:r>
                <w:r>
                  <w:rPr/>
                  <w:t>23</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6">
    <w:multiLevelType w:val="hybridMultilevel"/>
    <w:lvl w:ilvl="0">
      <w:start w:val="1"/>
      <w:numFmt w:val="lowerLetter"/>
      <w:lvlText w:val="%1."/>
      <w:lvlJc w:val="left"/>
      <w:pPr>
        <w:ind w:left="4344" w:hanging="383"/>
        <w:jc w:val="left"/>
      </w:pPr>
      <w:rPr>
        <w:rFonts w:hint="default" w:ascii="Calibri" w:hAnsi="Calibri" w:eastAsia="Calibri" w:cs="Calibri"/>
        <w:color w:val="585858"/>
        <w:spacing w:val="-1"/>
        <w:w w:val="100"/>
        <w:sz w:val="18"/>
        <w:szCs w:val="18"/>
      </w:rPr>
    </w:lvl>
    <w:lvl w:ilvl="1">
      <w:start w:val="1"/>
      <w:numFmt w:val="bullet"/>
      <w:lvlText w:val="•"/>
      <w:lvlJc w:val="left"/>
      <w:pPr>
        <w:ind w:left="4870" w:hanging="383"/>
      </w:pPr>
      <w:rPr>
        <w:rFonts w:hint="default"/>
      </w:rPr>
    </w:lvl>
    <w:lvl w:ilvl="2">
      <w:start w:val="1"/>
      <w:numFmt w:val="bullet"/>
      <w:lvlText w:val="•"/>
      <w:lvlJc w:val="left"/>
      <w:pPr>
        <w:ind w:left="5400" w:hanging="383"/>
      </w:pPr>
      <w:rPr>
        <w:rFonts w:hint="default"/>
      </w:rPr>
    </w:lvl>
    <w:lvl w:ilvl="3">
      <w:start w:val="1"/>
      <w:numFmt w:val="bullet"/>
      <w:lvlText w:val="•"/>
      <w:lvlJc w:val="left"/>
      <w:pPr>
        <w:ind w:left="5930" w:hanging="383"/>
      </w:pPr>
      <w:rPr>
        <w:rFonts w:hint="default"/>
      </w:rPr>
    </w:lvl>
    <w:lvl w:ilvl="4">
      <w:start w:val="1"/>
      <w:numFmt w:val="bullet"/>
      <w:lvlText w:val="•"/>
      <w:lvlJc w:val="left"/>
      <w:pPr>
        <w:ind w:left="6460" w:hanging="383"/>
      </w:pPr>
      <w:rPr>
        <w:rFonts w:hint="default"/>
      </w:rPr>
    </w:lvl>
    <w:lvl w:ilvl="5">
      <w:start w:val="1"/>
      <w:numFmt w:val="bullet"/>
      <w:lvlText w:val="•"/>
      <w:lvlJc w:val="left"/>
      <w:pPr>
        <w:ind w:left="6990" w:hanging="383"/>
      </w:pPr>
      <w:rPr>
        <w:rFonts w:hint="default"/>
      </w:rPr>
    </w:lvl>
    <w:lvl w:ilvl="6">
      <w:start w:val="1"/>
      <w:numFmt w:val="bullet"/>
      <w:lvlText w:val="•"/>
      <w:lvlJc w:val="left"/>
      <w:pPr>
        <w:ind w:left="7520" w:hanging="383"/>
      </w:pPr>
      <w:rPr>
        <w:rFonts w:hint="default"/>
      </w:rPr>
    </w:lvl>
    <w:lvl w:ilvl="7">
      <w:start w:val="1"/>
      <w:numFmt w:val="bullet"/>
      <w:lvlText w:val="•"/>
      <w:lvlJc w:val="left"/>
      <w:pPr>
        <w:ind w:left="8050" w:hanging="383"/>
      </w:pPr>
      <w:rPr>
        <w:rFonts w:hint="default"/>
      </w:rPr>
    </w:lvl>
    <w:lvl w:ilvl="8">
      <w:start w:val="1"/>
      <w:numFmt w:val="bullet"/>
      <w:lvlText w:val="•"/>
      <w:lvlJc w:val="left"/>
      <w:pPr>
        <w:ind w:left="8580" w:hanging="383"/>
      </w:pPr>
      <w:rPr>
        <w:rFonts w:hint="default"/>
      </w:rPr>
    </w:lvl>
  </w:abstractNum>
  <w:abstractNum w:abstractNumId="21">
    <w:multiLevelType w:val="hybridMultilevel"/>
    <w:lvl w:ilvl="0">
      <w:start w:val="1"/>
      <w:numFmt w:val="lowerLetter"/>
      <w:lvlText w:val="%1."/>
      <w:lvlJc w:val="left"/>
      <w:pPr>
        <w:ind w:left="823" w:hanging="360"/>
        <w:jc w:val="left"/>
      </w:pPr>
      <w:rPr>
        <w:rFonts w:hint="default" w:ascii="Arial" w:hAnsi="Arial" w:eastAsia="Arial" w:cs="Arial"/>
        <w:spacing w:val="-1"/>
        <w:w w:val="99"/>
        <w:sz w:val="20"/>
        <w:szCs w:val="20"/>
      </w:rPr>
    </w:lvl>
    <w:lvl w:ilvl="1">
      <w:start w:val="1"/>
      <w:numFmt w:val="bullet"/>
      <w:lvlText w:val="•"/>
      <w:lvlJc w:val="left"/>
      <w:pPr>
        <w:ind w:left="1094" w:hanging="360"/>
      </w:pPr>
      <w:rPr>
        <w:rFonts w:hint="default"/>
      </w:rPr>
    </w:lvl>
    <w:lvl w:ilvl="2">
      <w:start w:val="1"/>
      <w:numFmt w:val="bullet"/>
      <w:lvlText w:val="•"/>
      <w:lvlJc w:val="left"/>
      <w:pPr>
        <w:ind w:left="1369" w:hanging="360"/>
      </w:pPr>
      <w:rPr>
        <w:rFonts w:hint="default"/>
      </w:rPr>
    </w:lvl>
    <w:lvl w:ilvl="3">
      <w:start w:val="1"/>
      <w:numFmt w:val="bullet"/>
      <w:lvlText w:val="•"/>
      <w:lvlJc w:val="left"/>
      <w:pPr>
        <w:ind w:left="1644" w:hanging="360"/>
      </w:pPr>
      <w:rPr>
        <w:rFonts w:hint="default"/>
      </w:rPr>
    </w:lvl>
    <w:lvl w:ilvl="4">
      <w:start w:val="1"/>
      <w:numFmt w:val="bullet"/>
      <w:lvlText w:val="•"/>
      <w:lvlJc w:val="left"/>
      <w:pPr>
        <w:ind w:left="1919" w:hanging="360"/>
      </w:pPr>
      <w:rPr>
        <w:rFonts w:hint="default"/>
      </w:rPr>
    </w:lvl>
    <w:lvl w:ilvl="5">
      <w:start w:val="1"/>
      <w:numFmt w:val="bullet"/>
      <w:lvlText w:val="•"/>
      <w:lvlJc w:val="left"/>
      <w:pPr>
        <w:ind w:left="2194" w:hanging="360"/>
      </w:pPr>
      <w:rPr>
        <w:rFonts w:hint="default"/>
      </w:rPr>
    </w:lvl>
    <w:lvl w:ilvl="6">
      <w:start w:val="1"/>
      <w:numFmt w:val="bullet"/>
      <w:lvlText w:val="•"/>
      <w:lvlJc w:val="left"/>
      <w:pPr>
        <w:ind w:left="2469" w:hanging="360"/>
      </w:pPr>
      <w:rPr>
        <w:rFonts w:hint="default"/>
      </w:rPr>
    </w:lvl>
    <w:lvl w:ilvl="7">
      <w:start w:val="1"/>
      <w:numFmt w:val="bullet"/>
      <w:lvlText w:val="•"/>
      <w:lvlJc w:val="left"/>
      <w:pPr>
        <w:ind w:left="2744" w:hanging="360"/>
      </w:pPr>
      <w:rPr>
        <w:rFonts w:hint="default"/>
      </w:rPr>
    </w:lvl>
    <w:lvl w:ilvl="8">
      <w:start w:val="1"/>
      <w:numFmt w:val="bullet"/>
      <w:lvlText w:val="•"/>
      <w:lvlJc w:val="left"/>
      <w:pPr>
        <w:ind w:left="3019" w:hanging="360"/>
      </w:pPr>
      <w:rPr>
        <w:rFonts w:hint="default"/>
      </w:rPr>
    </w:lvl>
  </w:abstractNum>
  <w:abstractNum w:abstractNumId="20">
    <w:multiLevelType w:val="hybridMultilevel"/>
    <w:lvl w:ilvl="0">
      <w:start w:val="1"/>
      <w:numFmt w:val="lowerLetter"/>
      <w:lvlText w:val="%1."/>
      <w:lvlJc w:val="left"/>
      <w:pPr>
        <w:ind w:left="823" w:hanging="360"/>
        <w:jc w:val="left"/>
      </w:pPr>
      <w:rPr>
        <w:rFonts w:hint="default" w:ascii="Arial" w:hAnsi="Arial" w:eastAsia="Arial" w:cs="Arial"/>
        <w:spacing w:val="-1"/>
        <w:w w:val="99"/>
        <w:sz w:val="20"/>
        <w:szCs w:val="20"/>
      </w:rPr>
    </w:lvl>
    <w:lvl w:ilvl="1">
      <w:start w:val="1"/>
      <w:numFmt w:val="bullet"/>
      <w:lvlText w:val="•"/>
      <w:lvlJc w:val="left"/>
      <w:pPr>
        <w:ind w:left="1094" w:hanging="360"/>
      </w:pPr>
      <w:rPr>
        <w:rFonts w:hint="default"/>
      </w:rPr>
    </w:lvl>
    <w:lvl w:ilvl="2">
      <w:start w:val="1"/>
      <w:numFmt w:val="bullet"/>
      <w:lvlText w:val="•"/>
      <w:lvlJc w:val="left"/>
      <w:pPr>
        <w:ind w:left="1369" w:hanging="360"/>
      </w:pPr>
      <w:rPr>
        <w:rFonts w:hint="default"/>
      </w:rPr>
    </w:lvl>
    <w:lvl w:ilvl="3">
      <w:start w:val="1"/>
      <w:numFmt w:val="bullet"/>
      <w:lvlText w:val="•"/>
      <w:lvlJc w:val="left"/>
      <w:pPr>
        <w:ind w:left="1644" w:hanging="360"/>
      </w:pPr>
      <w:rPr>
        <w:rFonts w:hint="default"/>
      </w:rPr>
    </w:lvl>
    <w:lvl w:ilvl="4">
      <w:start w:val="1"/>
      <w:numFmt w:val="bullet"/>
      <w:lvlText w:val="•"/>
      <w:lvlJc w:val="left"/>
      <w:pPr>
        <w:ind w:left="1919" w:hanging="360"/>
      </w:pPr>
      <w:rPr>
        <w:rFonts w:hint="default"/>
      </w:rPr>
    </w:lvl>
    <w:lvl w:ilvl="5">
      <w:start w:val="1"/>
      <w:numFmt w:val="bullet"/>
      <w:lvlText w:val="•"/>
      <w:lvlJc w:val="left"/>
      <w:pPr>
        <w:ind w:left="2194" w:hanging="360"/>
      </w:pPr>
      <w:rPr>
        <w:rFonts w:hint="default"/>
      </w:rPr>
    </w:lvl>
    <w:lvl w:ilvl="6">
      <w:start w:val="1"/>
      <w:numFmt w:val="bullet"/>
      <w:lvlText w:val="•"/>
      <w:lvlJc w:val="left"/>
      <w:pPr>
        <w:ind w:left="2469" w:hanging="360"/>
      </w:pPr>
      <w:rPr>
        <w:rFonts w:hint="default"/>
      </w:rPr>
    </w:lvl>
    <w:lvl w:ilvl="7">
      <w:start w:val="1"/>
      <w:numFmt w:val="bullet"/>
      <w:lvlText w:val="•"/>
      <w:lvlJc w:val="left"/>
      <w:pPr>
        <w:ind w:left="2744" w:hanging="360"/>
      </w:pPr>
      <w:rPr>
        <w:rFonts w:hint="default"/>
      </w:rPr>
    </w:lvl>
    <w:lvl w:ilvl="8">
      <w:start w:val="1"/>
      <w:numFmt w:val="bullet"/>
      <w:lvlText w:val="•"/>
      <w:lvlJc w:val="left"/>
      <w:pPr>
        <w:ind w:left="3019" w:hanging="360"/>
      </w:pPr>
      <w:rPr>
        <w:rFonts w:hint="default"/>
      </w:rPr>
    </w:lvl>
  </w:abstractNum>
  <w:abstractNum w:abstractNumId="19">
    <w:multiLevelType w:val="hybridMultilevel"/>
    <w:lvl w:ilvl="0">
      <w:start w:val="1"/>
      <w:numFmt w:val="lowerLetter"/>
      <w:lvlText w:val="%1."/>
      <w:lvlJc w:val="left"/>
      <w:pPr>
        <w:ind w:left="823" w:hanging="360"/>
        <w:jc w:val="left"/>
      </w:pPr>
      <w:rPr>
        <w:rFonts w:hint="default" w:ascii="Arial" w:hAnsi="Arial" w:eastAsia="Arial" w:cs="Arial"/>
        <w:spacing w:val="-1"/>
        <w:w w:val="99"/>
        <w:sz w:val="20"/>
        <w:szCs w:val="20"/>
      </w:rPr>
    </w:lvl>
    <w:lvl w:ilvl="1">
      <w:start w:val="1"/>
      <w:numFmt w:val="bullet"/>
      <w:lvlText w:val="•"/>
      <w:lvlJc w:val="left"/>
      <w:pPr>
        <w:ind w:left="1094" w:hanging="360"/>
      </w:pPr>
      <w:rPr>
        <w:rFonts w:hint="default"/>
      </w:rPr>
    </w:lvl>
    <w:lvl w:ilvl="2">
      <w:start w:val="1"/>
      <w:numFmt w:val="bullet"/>
      <w:lvlText w:val="•"/>
      <w:lvlJc w:val="left"/>
      <w:pPr>
        <w:ind w:left="1369" w:hanging="360"/>
      </w:pPr>
      <w:rPr>
        <w:rFonts w:hint="default"/>
      </w:rPr>
    </w:lvl>
    <w:lvl w:ilvl="3">
      <w:start w:val="1"/>
      <w:numFmt w:val="bullet"/>
      <w:lvlText w:val="•"/>
      <w:lvlJc w:val="left"/>
      <w:pPr>
        <w:ind w:left="1644" w:hanging="360"/>
      </w:pPr>
      <w:rPr>
        <w:rFonts w:hint="default"/>
      </w:rPr>
    </w:lvl>
    <w:lvl w:ilvl="4">
      <w:start w:val="1"/>
      <w:numFmt w:val="bullet"/>
      <w:lvlText w:val="•"/>
      <w:lvlJc w:val="left"/>
      <w:pPr>
        <w:ind w:left="1919" w:hanging="360"/>
      </w:pPr>
      <w:rPr>
        <w:rFonts w:hint="default"/>
      </w:rPr>
    </w:lvl>
    <w:lvl w:ilvl="5">
      <w:start w:val="1"/>
      <w:numFmt w:val="bullet"/>
      <w:lvlText w:val="•"/>
      <w:lvlJc w:val="left"/>
      <w:pPr>
        <w:ind w:left="2194" w:hanging="360"/>
      </w:pPr>
      <w:rPr>
        <w:rFonts w:hint="default"/>
      </w:rPr>
    </w:lvl>
    <w:lvl w:ilvl="6">
      <w:start w:val="1"/>
      <w:numFmt w:val="bullet"/>
      <w:lvlText w:val="•"/>
      <w:lvlJc w:val="left"/>
      <w:pPr>
        <w:ind w:left="2469" w:hanging="360"/>
      </w:pPr>
      <w:rPr>
        <w:rFonts w:hint="default"/>
      </w:rPr>
    </w:lvl>
    <w:lvl w:ilvl="7">
      <w:start w:val="1"/>
      <w:numFmt w:val="bullet"/>
      <w:lvlText w:val="•"/>
      <w:lvlJc w:val="left"/>
      <w:pPr>
        <w:ind w:left="2744" w:hanging="360"/>
      </w:pPr>
      <w:rPr>
        <w:rFonts w:hint="default"/>
      </w:rPr>
    </w:lvl>
    <w:lvl w:ilvl="8">
      <w:start w:val="1"/>
      <w:numFmt w:val="bullet"/>
      <w:lvlText w:val="•"/>
      <w:lvlJc w:val="left"/>
      <w:pPr>
        <w:ind w:left="3019" w:hanging="360"/>
      </w:pPr>
      <w:rPr>
        <w:rFonts w:hint="default"/>
      </w:rPr>
    </w:lvl>
  </w:abstractNum>
  <w:abstractNum w:abstractNumId="18">
    <w:multiLevelType w:val="hybridMultilevel"/>
    <w:lvl w:ilvl="0">
      <w:start w:val="1"/>
      <w:numFmt w:val="lowerLetter"/>
      <w:lvlText w:val="%1."/>
      <w:lvlJc w:val="left"/>
      <w:pPr>
        <w:ind w:left="825" w:hanging="360"/>
        <w:jc w:val="left"/>
      </w:pPr>
      <w:rPr>
        <w:rFonts w:hint="default" w:ascii="Arial" w:hAnsi="Arial" w:eastAsia="Arial" w:cs="Arial"/>
        <w:spacing w:val="-1"/>
        <w:w w:val="99"/>
        <w:sz w:val="20"/>
        <w:szCs w:val="20"/>
      </w:rPr>
    </w:lvl>
    <w:lvl w:ilvl="1">
      <w:start w:val="1"/>
      <w:numFmt w:val="bullet"/>
      <w:lvlText w:val="•"/>
      <w:lvlJc w:val="left"/>
      <w:pPr>
        <w:ind w:left="1095" w:hanging="360"/>
      </w:pPr>
      <w:rPr>
        <w:rFonts w:hint="default"/>
      </w:rPr>
    </w:lvl>
    <w:lvl w:ilvl="2">
      <w:start w:val="1"/>
      <w:numFmt w:val="bullet"/>
      <w:lvlText w:val="•"/>
      <w:lvlJc w:val="left"/>
      <w:pPr>
        <w:ind w:left="1370" w:hanging="360"/>
      </w:pPr>
      <w:rPr>
        <w:rFonts w:hint="default"/>
      </w:rPr>
    </w:lvl>
    <w:lvl w:ilvl="3">
      <w:start w:val="1"/>
      <w:numFmt w:val="bullet"/>
      <w:lvlText w:val="•"/>
      <w:lvlJc w:val="left"/>
      <w:pPr>
        <w:ind w:left="1645" w:hanging="360"/>
      </w:pPr>
      <w:rPr>
        <w:rFonts w:hint="default"/>
      </w:rPr>
    </w:lvl>
    <w:lvl w:ilvl="4">
      <w:start w:val="1"/>
      <w:numFmt w:val="bullet"/>
      <w:lvlText w:val="•"/>
      <w:lvlJc w:val="left"/>
      <w:pPr>
        <w:ind w:left="1920" w:hanging="360"/>
      </w:pPr>
      <w:rPr>
        <w:rFonts w:hint="default"/>
      </w:rPr>
    </w:lvl>
    <w:lvl w:ilvl="5">
      <w:start w:val="1"/>
      <w:numFmt w:val="bullet"/>
      <w:lvlText w:val="•"/>
      <w:lvlJc w:val="left"/>
      <w:pPr>
        <w:ind w:left="2195" w:hanging="360"/>
      </w:pPr>
      <w:rPr>
        <w:rFonts w:hint="default"/>
      </w:rPr>
    </w:lvl>
    <w:lvl w:ilvl="6">
      <w:start w:val="1"/>
      <w:numFmt w:val="bullet"/>
      <w:lvlText w:val="•"/>
      <w:lvlJc w:val="left"/>
      <w:pPr>
        <w:ind w:left="2470" w:hanging="360"/>
      </w:pPr>
      <w:rPr>
        <w:rFonts w:hint="default"/>
      </w:rPr>
    </w:lvl>
    <w:lvl w:ilvl="7">
      <w:start w:val="1"/>
      <w:numFmt w:val="bullet"/>
      <w:lvlText w:val="•"/>
      <w:lvlJc w:val="left"/>
      <w:pPr>
        <w:ind w:left="2746" w:hanging="360"/>
      </w:pPr>
      <w:rPr>
        <w:rFonts w:hint="default"/>
      </w:rPr>
    </w:lvl>
    <w:lvl w:ilvl="8">
      <w:start w:val="1"/>
      <w:numFmt w:val="bullet"/>
      <w:lvlText w:val="•"/>
      <w:lvlJc w:val="left"/>
      <w:pPr>
        <w:ind w:left="3021" w:hanging="360"/>
      </w:pPr>
      <w:rPr>
        <w:rFonts w:hint="default"/>
      </w:rPr>
    </w:lvl>
  </w:abstractNum>
  <w:abstractNum w:abstractNumId="17">
    <w:multiLevelType w:val="hybridMultilevel"/>
    <w:lvl w:ilvl="0">
      <w:start w:val="1"/>
      <w:numFmt w:val="decimal"/>
      <w:lvlText w:val="%1."/>
      <w:lvlJc w:val="left"/>
      <w:pPr>
        <w:ind w:left="478" w:hanging="360"/>
        <w:jc w:val="left"/>
      </w:pPr>
      <w:rPr>
        <w:rFonts w:hint="default" w:ascii="Arial" w:hAnsi="Arial" w:eastAsia="Arial" w:cs="Arial"/>
        <w:spacing w:val="-3"/>
        <w:w w:val="99"/>
        <w:sz w:val="24"/>
        <w:szCs w:val="24"/>
      </w:rPr>
    </w:lvl>
    <w:lvl w:ilvl="1">
      <w:start w:val="1"/>
      <w:numFmt w:val="bullet"/>
      <w:lvlText w:val="•"/>
      <w:lvlJc w:val="left"/>
      <w:pPr>
        <w:ind w:left="5080" w:hanging="360"/>
      </w:pPr>
      <w:rPr>
        <w:rFonts w:hint="default"/>
      </w:rPr>
    </w:lvl>
    <w:lvl w:ilvl="2">
      <w:start w:val="1"/>
      <w:numFmt w:val="bullet"/>
      <w:lvlText w:val="•"/>
      <w:lvlJc w:val="left"/>
      <w:pPr>
        <w:ind w:left="5535" w:hanging="360"/>
      </w:pPr>
      <w:rPr>
        <w:rFonts w:hint="default"/>
      </w:rPr>
    </w:lvl>
    <w:lvl w:ilvl="3">
      <w:start w:val="1"/>
      <w:numFmt w:val="bullet"/>
      <w:lvlText w:val="•"/>
      <w:lvlJc w:val="left"/>
      <w:pPr>
        <w:ind w:left="5991" w:hanging="360"/>
      </w:pPr>
      <w:rPr>
        <w:rFonts w:hint="default"/>
      </w:rPr>
    </w:lvl>
    <w:lvl w:ilvl="4">
      <w:start w:val="1"/>
      <w:numFmt w:val="bullet"/>
      <w:lvlText w:val="•"/>
      <w:lvlJc w:val="left"/>
      <w:pPr>
        <w:ind w:left="6446" w:hanging="360"/>
      </w:pPr>
      <w:rPr>
        <w:rFonts w:hint="default"/>
      </w:rPr>
    </w:lvl>
    <w:lvl w:ilvl="5">
      <w:start w:val="1"/>
      <w:numFmt w:val="bullet"/>
      <w:lvlText w:val="•"/>
      <w:lvlJc w:val="left"/>
      <w:pPr>
        <w:ind w:left="6902" w:hanging="360"/>
      </w:pPr>
      <w:rPr>
        <w:rFonts w:hint="default"/>
      </w:rPr>
    </w:lvl>
    <w:lvl w:ilvl="6">
      <w:start w:val="1"/>
      <w:numFmt w:val="bullet"/>
      <w:lvlText w:val="•"/>
      <w:lvlJc w:val="left"/>
      <w:pPr>
        <w:ind w:left="7357" w:hanging="360"/>
      </w:pPr>
      <w:rPr>
        <w:rFonts w:hint="default"/>
      </w:rPr>
    </w:lvl>
    <w:lvl w:ilvl="7">
      <w:start w:val="1"/>
      <w:numFmt w:val="bullet"/>
      <w:lvlText w:val="•"/>
      <w:lvlJc w:val="left"/>
      <w:pPr>
        <w:ind w:left="7813" w:hanging="360"/>
      </w:pPr>
      <w:rPr>
        <w:rFonts w:hint="default"/>
      </w:rPr>
    </w:lvl>
    <w:lvl w:ilvl="8">
      <w:start w:val="1"/>
      <w:numFmt w:val="bullet"/>
      <w:lvlText w:val="•"/>
      <w:lvlJc w:val="left"/>
      <w:pPr>
        <w:ind w:left="8268" w:hanging="360"/>
      </w:pPr>
      <w:rPr>
        <w:rFonts w:hint="default"/>
      </w:rPr>
    </w:lvl>
  </w:abstractNum>
  <w:abstractNum w:abstractNumId="15">
    <w:multiLevelType w:val="hybridMultilevel"/>
    <w:lvl w:ilvl="0">
      <w:start w:val="1"/>
      <w:numFmt w:val="decimal"/>
      <w:lvlText w:val="%1."/>
      <w:lvlJc w:val="left"/>
      <w:pPr>
        <w:ind w:left="478" w:hanging="360"/>
        <w:jc w:val="left"/>
      </w:pPr>
      <w:rPr>
        <w:rFonts w:hint="default" w:ascii="Arial" w:hAnsi="Arial" w:eastAsia="Arial" w:cs="Arial"/>
        <w:spacing w:val="-3"/>
        <w:w w:val="99"/>
        <w:sz w:val="24"/>
        <w:szCs w:val="24"/>
      </w:rPr>
    </w:lvl>
    <w:lvl w:ilvl="1">
      <w:start w:val="7"/>
      <w:numFmt w:val="decimal"/>
      <w:lvlText w:val="%2."/>
      <w:lvlJc w:val="left"/>
      <w:pPr>
        <w:ind w:left="4079" w:hanging="360"/>
        <w:jc w:val="right"/>
      </w:pPr>
      <w:rPr>
        <w:rFonts w:hint="default" w:ascii="Arial" w:hAnsi="Arial" w:eastAsia="Arial" w:cs="Arial"/>
        <w:b/>
        <w:bCs/>
        <w:w w:val="99"/>
        <w:sz w:val="24"/>
        <w:szCs w:val="24"/>
      </w:rPr>
    </w:lvl>
    <w:lvl w:ilvl="2">
      <w:start w:val="1"/>
      <w:numFmt w:val="bullet"/>
      <w:lvlText w:val="•"/>
      <w:lvlJc w:val="left"/>
      <w:pPr>
        <w:ind w:left="4697" w:hanging="360"/>
      </w:pPr>
      <w:rPr>
        <w:rFonts w:hint="default"/>
      </w:rPr>
    </w:lvl>
    <w:lvl w:ilvl="3">
      <w:start w:val="1"/>
      <w:numFmt w:val="bullet"/>
      <w:lvlText w:val="•"/>
      <w:lvlJc w:val="left"/>
      <w:pPr>
        <w:ind w:left="5315" w:hanging="360"/>
      </w:pPr>
      <w:rPr>
        <w:rFonts w:hint="default"/>
      </w:rPr>
    </w:lvl>
    <w:lvl w:ilvl="4">
      <w:start w:val="1"/>
      <w:numFmt w:val="bullet"/>
      <w:lvlText w:val="•"/>
      <w:lvlJc w:val="left"/>
      <w:pPr>
        <w:ind w:left="5933" w:hanging="360"/>
      </w:pPr>
      <w:rPr>
        <w:rFonts w:hint="default"/>
      </w:rPr>
    </w:lvl>
    <w:lvl w:ilvl="5">
      <w:start w:val="1"/>
      <w:numFmt w:val="bullet"/>
      <w:lvlText w:val="•"/>
      <w:lvlJc w:val="left"/>
      <w:pPr>
        <w:ind w:left="6551" w:hanging="360"/>
      </w:pPr>
      <w:rPr>
        <w:rFonts w:hint="default"/>
      </w:rPr>
    </w:lvl>
    <w:lvl w:ilvl="6">
      <w:start w:val="1"/>
      <w:numFmt w:val="bullet"/>
      <w:lvlText w:val="•"/>
      <w:lvlJc w:val="left"/>
      <w:pPr>
        <w:ind w:left="7168" w:hanging="360"/>
      </w:pPr>
      <w:rPr>
        <w:rFonts w:hint="default"/>
      </w:rPr>
    </w:lvl>
    <w:lvl w:ilvl="7">
      <w:start w:val="1"/>
      <w:numFmt w:val="bullet"/>
      <w:lvlText w:val="•"/>
      <w:lvlJc w:val="left"/>
      <w:pPr>
        <w:ind w:left="7786" w:hanging="360"/>
      </w:pPr>
      <w:rPr>
        <w:rFonts w:hint="default"/>
      </w:rPr>
    </w:lvl>
    <w:lvl w:ilvl="8">
      <w:start w:val="1"/>
      <w:numFmt w:val="bullet"/>
      <w:lvlText w:val="•"/>
      <w:lvlJc w:val="left"/>
      <w:pPr>
        <w:ind w:left="8404" w:hanging="360"/>
      </w:pPr>
      <w:rPr>
        <w:rFonts w:hint="default"/>
      </w:rPr>
    </w:lvl>
  </w:abstractNum>
  <w:abstractNum w:abstractNumId="14">
    <w:multiLevelType w:val="hybridMultilevel"/>
    <w:lvl w:ilvl="0">
      <w:start w:val="1"/>
      <w:numFmt w:val="upperLetter"/>
      <w:lvlText w:val="%1."/>
      <w:lvlJc w:val="left"/>
      <w:pPr>
        <w:ind w:left="118" w:hanging="360"/>
        <w:jc w:val="left"/>
      </w:pPr>
      <w:rPr>
        <w:rFonts w:hint="default" w:ascii="Arial" w:hAnsi="Arial" w:eastAsia="Arial" w:cs="Arial"/>
        <w:b/>
        <w:bCs/>
        <w:spacing w:val="-6"/>
        <w:w w:val="99"/>
        <w:sz w:val="24"/>
        <w:szCs w:val="24"/>
      </w:rPr>
    </w:lvl>
    <w:lvl w:ilvl="1">
      <w:start w:val="1"/>
      <w:numFmt w:val="decimal"/>
      <w:lvlText w:val="%1.%2"/>
      <w:lvlJc w:val="left"/>
      <w:pPr>
        <w:ind w:left="118" w:hanging="475"/>
        <w:jc w:val="left"/>
      </w:pPr>
      <w:rPr>
        <w:rFonts w:hint="default" w:ascii="Arial" w:hAnsi="Arial" w:eastAsia="Arial" w:cs="Arial"/>
        <w:spacing w:val="-24"/>
        <w:w w:val="99"/>
        <w:sz w:val="24"/>
        <w:szCs w:val="24"/>
      </w:rPr>
    </w:lvl>
    <w:lvl w:ilvl="2">
      <w:start w:val="1"/>
      <w:numFmt w:val="bullet"/>
      <w:lvlText w:val="•"/>
      <w:lvlJc w:val="left"/>
      <w:pPr>
        <w:ind w:left="2024" w:hanging="475"/>
      </w:pPr>
      <w:rPr>
        <w:rFonts w:hint="default"/>
      </w:rPr>
    </w:lvl>
    <w:lvl w:ilvl="3">
      <w:start w:val="1"/>
      <w:numFmt w:val="bullet"/>
      <w:lvlText w:val="•"/>
      <w:lvlJc w:val="left"/>
      <w:pPr>
        <w:ind w:left="2976" w:hanging="475"/>
      </w:pPr>
      <w:rPr>
        <w:rFonts w:hint="default"/>
      </w:rPr>
    </w:lvl>
    <w:lvl w:ilvl="4">
      <w:start w:val="1"/>
      <w:numFmt w:val="bullet"/>
      <w:lvlText w:val="•"/>
      <w:lvlJc w:val="left"/>
      <w:pPr>
        <w:ind w:left="3928" w:hanging="475"/>
      </w:pPr>
      <w:rPr>
        <w:rFonts w:hint="default"/>
      </w:rPr>
    </w:lvl>
    <w:lvl w:ilvl="5">
      <w:start w:val="1"/>
      <w:numFmt w:val="bullet"/>
      <w:lvlText w:val="•"/>
      <w:lvlJc w:val="left"/>
      <w:pPr>
        <w:ind w:left="4880" w:hanging="475"/>
      </w:pPr>
      <w:rPr>
        <w:rFonts w:hint="default"/>
      </w:rPr>
    </w:lvl>
    <w:lvl w:ilvl="6">
      <w:start w:val="1"/>
      <w:numFmt w:val="bullet"/>
      <w:lvlText w:val="•"/>
      <w:lvlJc w:val="left"/>
      <w:pPr>
        <w:ind w:left="5832" w:hanging="475"/>
      </w:pPr>
      <w:rPr>
        <w:rFonts w:hint="default"/>
      </w:rPr>
    </w:lvl>
    <w:lvl w:ilvl="7">
      <w:start w:val="1"/>
      <w:numFmt w:val="bullet"/>
      <w:lvlText w:val="•"/>
      <w:lvlJc w:val="left"/>
      <w:pPr>
        <w:ind w:left="6784" w:hanging="475"/>
      </w:pPr>
      <w:rPr>
        <w:rFonts w:hint="default"/>
      </w:rPr>
    </w:lvl>
    <w:lvl w:ilvl="8">
      <w:start w:val="1"/>
      <w:numFmt w:val="bullet"/>
      <w:lvlText w:val="•"/>
      <w:lvlJc w:val="left"/>
      <w:pPr>
        <w:ind w:left="7736" w:hanging="475"/>
      </w:pPr>
      <w:rPr>
        <w:rFonts w:hint="default"/>
      </w:rPr>
    </w:lvl>
  </w:abstractNum>
  <w:abstractNum w:abstractNumId="13">
    <w:multiLevelType w:val="hybridMultilevel"/>
    <w:lvl w:ilvl="0">
      <w:start w:val="1"/>
      <w:numFmt w:val="decimal"/>
      <w:lvlText w:val="%1"/>
      <w:lvlJc w:val="left"/>
      <w:pPr>
        <w:ind w:left="253" w:hanging="151"/>
        <w:jc w:val="left"/>
      </w:pPr>
      <w:rPr>
        <w:rFonts w:hint="default" w:ascii="Arial" w:hAnsi="Arial" w:eastAsia="Arial" w:cs="Arial"/>
        <w:w w:val="99"/>
        <w:sz w:val="18"/>
        <w:szCs w:val="18"/>
      </w:rPr>
    </w:lvl>
    <w:lvl w:ilvl="1">
      <w:start w:val="1"/>
      <w:numFmt w:val="bullet"/>
      <w:lvlText w:val="•"/>
      <w:lvlJc w:val="left"/>
      <w:pPr>
        <w:ind w:left="459" w:hanging="151"/>
      </w:pPr>
      <w:rPr>
        <w:rFonts w:hint="default"/>
      </w:rPr>
    </w:lvl>
    <w:lvl w:ilvl="2">
      <w:start w:val="1"/>
      <w:numFmt w:val="bullet"/>
      <w:lvlText w:val="•"/>
      <w:lvlJc w:val="left"/>
      <w:pPr>
        <w:ind w:left="659" w:hanging="151"/>
      </w:pPr>
      <w:rPr>
        <w:rFonts w:hint="default"/>
      </w:rPr>
    </w:lvl>
    <w:lvl w:ilvl="3">
      <w:start w:val="1"/>
      <w:numFmt w:val="bullet"/>
      <w:lvlText w:val="•"/>
      <w:lvlJc w:val="left"/>
      <w:pPr>
        <w:ind w:left="859" w:hanging="151"/>
      </w:pPr>
      <w:rPr>
        <w:rFonts w:hint="default"/>
      </w:rPr>
    </w:lvl>
    <w:lvl w:ilvl="4">
      <w:start w:val="1"/>
      <w:numFmt w:val="bullet"/>
      <w:lvlText w:val="•"/>
      <w:lvlJc w:val="left"/>
      <w:pPr>
        <w:ind w:left="1059" w:hanging="151"/>
      </w:pPr>
      <w:rPr>
        <w:rFonts w:hint="default"/>
      </w:rPr>
    </w:lvl>
    <w:lvl w:ilvl="5">
      <w:start w:val="1"/>
      <w:numFmt w:val="bullet"/>
      <w:lvlText w:val="•"/>
      <w:lvlJc w:val="left"/>
      <w:pPr>
        <w:ind w:left="1259" w:hanging="151"/>
      </w:pPr>
      <w:rPr>
        <w:rFonts w:hint="default"/>
      </w:rPr>
    </w:lvl>
    <w:lvl w:ilvl="6">
      <w:start w:val="1"/>
      <w:numFmt w:val="bullet"/>
      <w:lvlText w:val="•"/>
      <w:lvlJc w:val="left"/>
      <w:pPr>
        <w:ind w:left="1459" w:hanging="151"/>
      </w:pPr>
      <w:rPr>
        <w:rFonts w:hint="default"/>
      </w:rPr>
    </w:lvl>
    <w:lvl w:ilvl="7">
      <w:start w:val="1"/>
      <w:numFmt w:val="bullet"/>
      <w:lvlText w:val="•"/>
      <w:lvlJc w:val="left"/>
      <w:pPr>
        <w:ind w:left="1659" w:hanging="151"/>
      </w:pPr>
      <w:rPr>
        <w:rFonts w:hint="default"/>
      </w:rPr>
    </w:lvl>
    <w:lvl w:ilvl="8">
      <w:start w:val="1"/>
      <w:numFmt w:val="bullet"/>
      <w:lvlText w:val="•"/>
      <w:lvlJc w:val="left"/>
      <w:pPr>
        <w:ind w:left="1859" w:hanging="151"/>
      </w:pPr>
      <w:rPr>
        <w:rFonts w:hint="default"/>
      </w:rPr>
    </w:lvl>
  </w:abstractNum>
  <w:abstractNum w:abstractNumId="12">
    <w:multiLevelType w:val="hybridMultilevel"/>
    <w:lvl w:ilvl="0">
      <w:start w:val="3"/>
      <w:numFmt w:val="decimal"/>
      <w:lvlText w:val="%1"/>
      <w:lvlJc w:val="left"/>
      <w:pPr>
        <w:ind w:left="253" w:hanging="151"/>
        <w:jc w:val="left"/>
      </w:pPr>
      <w:rPr>
        <w:rFonts w:hint="default" w:ascii="Arial" w:hAnsi="Arial" w:eastAsia="Arial" w:cs="Arial"/>
        <w:w w:val="99"/>
        <w:sz w:val="18"/>
        <w:szCs w:val="18"/>
      </w:rPr>
    </w:lvl>
    <w:lvl w:ilvl="1">
      <w:start w:val="1"/>
      <w:numFmt w:val="bullet"/>
      <w:lvlText w:val="•"/>
      <w:lvlJc w:val="left"/>
      <w:pPr>
        <w:ind w:left="459" w:hanging="151"/>
      </w:pPr>
      <w:rPr>
        <w:rFonts w:hint="default"/>
      </w:rPr>
    </w:lvl>
    <w:lvl w:ilvl="2">
      <w:start w:val="1"/>
      <w:numFmt w:val="bullet"/>
      <w:lvlText w:val="•"/>
      <w:lvlJc w:val="left"/>
      <w:pPr>
        <w:ind w:left="659" w:hanging="151"/>
      </w:pPr>
      <w:rPr>
        <w:rFonts w:hint="default"/>
      </w:rPr>
    </w:lvl>
    <w:lvl w:ilvl="3">
      <w:start w:val="1"/>
      <w:numFmt w:val="bullet"/>
      <w:lvlText w:val="•"/>
      <w:lvlJc w:val="left"/>
      <w:pPr>
        <w:ind w:left="859" w:hanging="151"/>
      </w:pPr>
      <w:rPr>
        <w:rFonts w:hint="default"/>
      </w:rPr>
    </w:lvl>
    <w:lvl w:ilvl="4">
      <w:start w:val="1"/>
      <w:numFmt w:val="bullet"/>
      <w:lvlText w:val="•"/>
      <w:lvlJc w:val="left"/>
      <w:pPr>
        <w:ind w:left="1059" w:hanging="151"/>
      </w:pPr>
      <w:rPr>
        <w:rFonts w:hint="default"/>
      </w:rPr>
    </w:lvl>
    <w:lvl w:ilvl="5">
      <w:start w:val="1"/>
      <w:numFmt w:val="bullet"/>
      <w:lvlText w:val="•"/>
      <w:lvlJc w:val="left"/>
      <w:pPr>
        <w:ind w:left="1259" w:hanging="151"/>
      </w:pPr>
      <w:rPr>
        <w:rFonts w:hint="default"/>
      </w:rPr>
    </w:lvl>
    <w:lvl w:ilvl="6">
      <w:start w:val="1"/>
      <w:numFmt w:val="bullet"/>
      <w:lvlText w:val="•"/>
      <w:lvlJc w:val="left"/>
      <w:pPr>
        <w:ind w:left="1459" w:hanging="151"/>
      </w:pPr>
      <w:rPr>
        <w:rFonts w:hint="default"/>
      </w:rPr>
    </w:lvl>
    <w:lvl w:ilvl="7">
      <w:start w:val="1"/>
      <w:numFmt w:val="bullet"/>
      <w:lvlText w:val="•"/>
      <w:lvlJc w:val="left"/>
      <w:pPr>
        <w:ind w:left="1659" w:hanging="151"/>
      </w:pPr>
      <w:rPr>
        <w:rFonts w:hint="default"/>
      </w:rPr>
    </w:lvl>
    <w:lvl w:ilvl="8">
      <w:start w:val="1"/>
      <w:numFmt w:val="bullet"/>
      <w:lvlText w:val="•"/>
      <w:lvlJc w:val="left"/>
      <w:pPr>
        <w:ind w:left="1859" w:hanging="151"/>
      </w:pPr>
      <w:rPr>
        <w:rFonts w:hint="default"/>
      </w:rPr>
    </w:lvl>
  </w:abstractNum>
  <w:abstractNum w:abstractNumId="11">
    <w:multiLevelType w:val="hybridMultilevel"/>
    <w:lvl w:ilvl="0">
      <w:start w:val="2"/>
      <w:numFmt w:val="upperRoman"/>
      <w:lvlText w:val="%1."/>
      <w:lvlJc w:val="left"/>
      <w:pPr>
        <w:ind w:left="118" w:hanging="310"/>
        <w:jc w:val="left"/>
      </w:pPr>
      <w:rPr>
        <w:rFonts w:hint="default" w:ascii="Arial" w:hAnsi="Arial" w:eastAsia="Arial" w:cs="Arial"/>
        <w:w w:val="100"/>
        <w:sz w:val="24"/>
        <w:szCs w:val="24"/>
      </w:rPr>
    </w:lvl>
    <w:lvl w:ilvl="1">
      <w:start w:val="1"/>
      <w:numFmt w:val="bullet"/>
      <w:lvlText w:val="•"/>
      <w:lvlJc w:val="left"/>
      <w:pPr>
        <w:ind w:left="1072" w:hanging="310"/>
      </w:pPr>
      <w:rPr>
        <w:rFonts w:hint="default"/>
      </w:rPr>
    </w:lvl>
    <w:lvl w:ilvl="2">
      <w:start w:val="1"/>
      <w:numFmt w:val="bullet"/>
      <w:lvlText w:val="•"/>
      <w:lvlJc w:val="left"/>
      <w:pPr>
        <w:ind w:left="2024" w:hanging="310"/>
      </w:pPr>
      <w:rPr>
        <w:rFonts w:hint="default"/>
      </w:rPr>
    </w:lvl>
    <w:lvl w:ilvl="3">
      <w:start w:val="1"/>
      <w:numFmt w:val="bullet"/>
      <w:lvlText w:val="•"/>
      <w:lvlJc w:val="left"/>
      <w:pPr>
        <w:ind w:left="2976" w:hanging="310"/>
      </w:pPr>
      <w:rPr>
        <w:rFonts w:hint="default"/>
      </w:rPr>
    </w:lvl>
    <w:lvl w:ilvl="4">
      <w:start w:val="1"/>
      <w:numFmt w:val="bullet"/>
      <w:lvlText w:val="•"/>
      <w:lvlJc w:val="left"/>
      <w:pPr>
        <w:ind w:left="3928" w:hanging="310"/>
      </w:pPr>
      <w:rPr>
        <w:rFonts w:hint="default"/>
      </w:rPr>
    </w:lvl>
    <w:lvl w:ilvl="5">
      <w:start w:val="1"/>
      <w:numFmt w:val="bullet"/>
      <w:lvlText w:val="•"/>
      <w:lvlJc w:val="left"/>
      <w:pPr>
        <w:ind w:left="4880" w:hanging="310"/>
      </w:pPr>
      <w:rPr>
        <w:rFonts w:hint="default"/>
      </w:rPr>
    </w:lvl>
    <w:lvl w:ilvl="6">
      <w:start w:val="1"/>
      <w:numFmt w:val="bullet"/>
      <w:lvlText w:val="•"/>
      <w:lvlJc w:val="left"/>
      <w:pPr>
        <w:ind w:left="5832" w:hanging="310"/>
      </w:pPr>
      <w:rPr>
        <w:rFonts w:hint="default"/>
      </w:rPr>
    </w:lvl>
    <w:lvl w:ilvl="7">
      <w:start w:val="1"/>
      <w:numFmt w:val="bullet"/>
      <w:lvlText w:val="•"/>
      <w:lvlJc w:val="left"/>
      <w:pPr>
        <w:ind w:left="6784" w:hanging="310"/>
      </w:pPr>
      <w:rPr>
        <w:rFonts w:hint="default"/>
      </w:rPr>
    </w:lvl>
    <w:lvl w:ilvl="8">
      <w:start w:val="1"/>
      <w:numFmt w:val="bullet"/>
      <w:lvlText w:val="•"/>
      <w:lvlJc w:val="left"/>
      <w:pPr>
        <w:ind w:left="7736" w:hanging="310"/>
      </w:pPr>
      <w:rPr>
        <w:rFonts w:hint="default"/>
      </w:rPr>
    </w:lvl>
  </w:abstractNum>
  <w:abstractNum w:abstractNumId="10">
    <w:multiLevelType w:val="hybridMultilevel"/>
    <w:lvl w:ilvl="0">
      <w:start w:val="1"/>
      <w:numFmt w:val="bullet"/>
      <w:lvlText w:val=""/>
      <w:lvlJc w:val="left"/>
      <w:pPr>
        <w:ind w:left="478" w:hanging="360"/>
      </w:pPr>
      <w:rPr>
        <w:rFonts w:hint="default" w:ascii="Wingdings" w:hAnsi="Wingdings" w:eastAsia="Wingdings" w:cs="Wingdings"/>
        <w:w w:val="100"/>
        <w:sz w:val="24"/>
        <w:szCs w:val="24"/>
      </w:rPr>
    </w:lvl>
    <w:lvl w:ilvl="1">
      <w:start w:val="1"/>
      <w:numFmt w:val="bullet"/>
      <w:lvlText w:val="•"/>
      <w:lvlJc w:val="left"/>
      <w:pPr>
        <w:ind w:left="1396" w:hanging="360"/>
      </w:pPr>
      <w:rPr>
        <w:rFonts w:hint="default"/>
      </w:rPr>
    </w:lvl>
    <w:lvl w:ilvl="2">
      <w:start w:val="1"/>
      <w:numFmt w:val="bullet"/>
      <w:lvlText w:val="•"/>
      <w:lvlJc w:val="left"/>
      <w:pPr>
        <w:ind w:left="2312" w:hanging="360"/>
      </w:pPr>
      <w:rPr>
        <w:rFonts w:hint="default"/>
      </w:rPr>
    </w:lvl>
    <w:lvl w:ilvl="3">
      <w:start w:val="1"/>
      <w:numFmt w:val="bullet"/>
      <w:lvlText w:val="•"/>
      <w:lvlJc w:val="left"/>
      <w:pPr>
        <w:ind w:left="3228" w:hanging="360"/>
      </w:pPr>
      <w:rPr>
        <w:rFonts w:hint="default"/>
      </w:rPr>
    </w:lvl>
    <w:lvl w:ilvl="4">
      <w:start w:val="1"/>
      <w:numFmt w:val="bullet"/>
      <w:lvlText w:val="•"/>
      <w:lvlJc w:val="left"/>
      <w:pPr>
        <w:ind w:left="4144" w:hanging="360"/>
      </w:pPr>
      <w:rPr>
        <w:rFonts w:hint="default"/>
      </w:rPr>
    </w:lvl>
    <w:lvl w:ilvl="5">
      <w:start w:val="1"/>
      <w:numFmt w:val="bullet"/>
      <w:lvlText w:val="•"/>
      <w:lvlJc w:val="left"/>
      <w:pPr>
        <w:ind w:left="5060" w:hanging="360"/>
      </w:pPr>
      <w:rPr>
        <w:rFonts w:hint="default"/>
      </w:rPr>
    </w:lvl>
    <w:lvl w:ilvl="6">
      <w:start w:val="1"/>
      <w:numFmt w:val="bullet"/>
      <w:lvlText w:val="•"/>
      <w:lvlJc w:val="left"/>
      <w:pPr>
        <w:ind w:left="5976" w:hanging="360"/>
      </w:pPr>
      <w:rPr>
        <w:rFonts w:hint="default"/>
      </w:rPr>
    </w:lvl>
    <w:lvl w:ilvl="7">
      <w:start w:val="1"/>
      <w:numFmt w:val="bullet"/>
      <w:lvlText w:val="•"/>
      <w:lvlJc w:val="left"/>
      <w:pPr>
        <w:ind w:left="6892" w:hanging="360"/>
      </w:pPr>
      <w:rPr>
        <w:rFonts w:hint="default"/>
      </w:rPr>
    </w:lvl>
    <w:lvl w:ilvl="8">
      <w:start w:val="1"/>
      <w:numFmt w:val="bullet"/>
      <w:lvlText w:val="•"/>
      <w:lvlJc w:val="left"/>
      <w:pPr>
        <w:ind w:left="7808" w:hanging="360"/>
      </w:pPr>
      <w:rPr>
        <w:rFonts w:hint="default"/>
      </w:rPr>
    </w:lvl>
  </w:abstractNum>
  <w:abstractNum w:abstractNumId="9">
    <w:multiLevelType w:val="hybridMultilevel"/>
    <w:lvl w:ilvl="0">
      <w:start w:val="1"/>
      <w:numFmt w:val="decimal"/>
      <w:lvlText w:val="%1."/>
      <w:lvlJc w:val="left"/>
      <w:pPr>
        <w:ind w:left="478" w:hanging="360"/>
        <w:jc w:val="left"/>
      </w:pPr>
      <w:rPr>
        <w:rFonts w:hint="default" w:ascii="Arial" w:hAnsi="Arial" w:eastAsia="Arial" w:cs="Arial"/>
        <w:spacing w:val="-2"/>
        <w:w w:val="99"/>
        <w:sz w:val="24"/>
        <w:szCs w:val="24"/>
      </w:rPr>
    </w:lvl>
    <w:lvl w:ilvl="1">
      <w:start w:val="2"/>
      <w:numFmt w:val="decimal"/>
      <w:lvlText w:val="%2."/>
      <w:lvlJc w:val="left"/>
      <w:pPr>
        <w:ind w:left="3513" w:hanging="360"/>
        <w:jc w:val="right"/>
      </w:pPr>
      <w:rPr>
        <w:rFonts w:hint="default" w:ascii="Arial" w:hAnsi="Arial" w:eastAsia="Arial" w:cs="Arial"/>
        <w:b/>
        <w:bCs/>
        <w:w w:val="99"/>
        <w:sz w:val="24"/>
        <w:szCs w:val="24"/>
      </w:rPr>
    </w:lvl>
    <w:lvl w:ilvl="2">
      <w:start w:val="1"/>
      <w:numFmt w:val="bullet"/>
      <w:lvlText w:val="•"/>
      <w:lvlJc w:val="left"/>
      <w:pPr>
        <w:ind w:left="4200" w:hanging="360"/>
      </w:pPr>
      <w:rPr>
        <w:rFonts w:hint="default"/>
      </w:rPr>
    </w:lvl>
    <w:lvl w:ilvl="3">
      <w:start w:val="1"/>
      <w:numFmt w:val="bullet"/>
      <w:lvlText w:val="•"/>
      <w:lvlJc w:val="left"/>
      <w:pPr>
        <w:ind w:left="4880" w:hanging="360"/>
      </w:pPr>
      <w:rPr>
        <w:rFonts w:hint="default"/>
      </w:rPr>
    </w:lvl>
    <w:lvl w:ilvl="4">
      <w:start w:val="1"/>
      <w:numFmt w:val="bullet"/>
      <w:lvlText w:val="•"/>
      <w:lvlJc w:val="left"/>
      <w:pPr>
        <w:ind w:left="5560" w:hanging="360"/>
      </w:pPr>
      <w:rPr>
        <w:rFonts w:hint="default"/>
      </w:rPr>
    </w:lvl>
    <w:lvl w:ilvl="5">
      <w:start w:val="1"/>
      <w:numFmt w:val="bullet"/>
      <w:lvlText w:val="•"/>
      <w:lvlJc w:val="left"/>
      <w:pPr>
        <w:ind w:left="6240" w:hanging="360"/>
      </w:pPr>
      <w:rPr>
        <w:rFonts w:hint="default"/>
      </w:rPr>
    </w:lvl>
    <w:lvl w:ilvl="6">
      <w:start w:val="1"/>
      <w:numFmt w:val="bullet"/>
      <w:lvlText w:val="•"/>
      <w:lvlJc w:val="left"/>
      <w:pPr>
        <w:ind w:left="6920" w:hanging="360"/>
      </w:pPr>
      <w:rPr>
        <w:rFonts w:hint="default"/>
      </w:rPr>
    </w:lvl>
    <w:lvl w:ilvl="7">
      <w:start w:val="1"/>
      <w:numFmt w:val="bullet"/>
      <w:lvlText w:val="•"/>
      <w:lvlJc w:val="left"/>
      <w:pPr>
        <w:ind w:left="7600" w:hanging="360"/>
      </w:pPr>
      <w:rPr>
        <w:rFonts w:hint="default"/>
      </w:rPr>
    </w:lvl>
    <w:lvl w:ilvl="8">
      <w:start w:val="1"/>
      <w:numFmt w:val="bullet"/>
      <w:lvlText w:val="•"/>
      <w:lvlJc w:val="left"/>
      <w:pPr>
        <w:ind w:left="8280" w:hanging="360"/>
      </w:pPr>
      <w:rPr>
        <w:rFonts w:hint="default"/>
      </w:rPr>
    </w:lvl>
  </w:abstractNum>
  <w:abstractNum w:abstractNumId="8">
    <w:multiLevelType w:val="hybridMultilevel"/>
    <w:lvl w:ilvl="0">
      <w:start w:val="1"/>
      <w:numFmt w:val="decimal"/>
      <w:lvlText w:val="%1."/>
      <w:lvlJc w:val="left"/>
      <w:pPr>
        <w:ind w:left="387" w:hanging="269"/>
        <w:jc w:val="left"/>
      </w:pPr>
      <w:rPr>
        <w:rFonts w:hint="default" w:ascii="Arial" w:hAnsi="Arial" w:eastAsia="Arial" w:cs="Arial"/>
        <w:w w:val="99"/>
        <w:sz w:val="24"/>
        <w:szCs w:val="24"/>
      </w:rPr>
    </w:lvl>
    <w:lvl w:ilvl="1">
      <w:start w:val="1"/>
      <w:numFmt w:val="bullet"/>
      <w:lvlText w:val="•"/>
      <w:lvlJc w:val="left"/>
      <w:pPr>
        <w:ind w:left="1306" w:hanging="269"/>
      </w:pPr>
      <w:rPr>
        <w:rFonts w:hint="default"/>
      </w:rPr>
    </w:lvl>
    <w:lvl w:ilvl="2">
      <w:start w:val="1"/>
      <w:numFmt w:val="bullet"/>
      <w:lvlText w:val="•"/>
      <w:lvlJc w:val="left"/>
      <w:pPr>
        <w:ind w:left="2232" w:hanging="269"/>
      </w:pPr>
      <w:rPr>
        <w:rFonts w:hint="default"/>
      </w:rPr>
    </w:lvl>
    <w:lvl w:ilvl="3">
      <w:start w:val="1"/>
      <w:numFmt w:val="bullet"/>
      <w:lvlText w:val="•"/>
      <w:lvlJc w:val="left"/>
      <w:pPr>
        <w:ind w:left="3158" w:hanging="269"/>
      </w:pPr>
      <w:rPr>
        <w:rFonts w:hint="default"/>
      </w:rPr>
    </w:lvl>
    <w:lvl w:ilvl="4">
      <w:start w:val="1"/>
      <w:numFmt w:val="bullet"/>
      <w:lvlText w:val="•"/>
      <w:lvlJc w:val="left"/>
      <w:pPr>
        <w:ind w:left="4084" w:hanging="269"/>
      </w:pPr>
      <w:rPr>
        <w:rFonts w:hint="default"/>
      </w:rPr>
    </w:lvl>
    <w:lvl w:ilvl="5">
      <w:start w:val="1"/>
      <w:numFmt w:val="bullet"/>
      <w:lvlText w:val="•"/>
      <w:lvlJc w:val="left"/>
      <w:pPr>
        <w:ind w:left="5010" w:hanging="269"/>
      </w:pPr>
      <w:rPr>
        <w:rFonts w:hint="default"/>
      </w:rPr>
    </w:lvl>
    <w:lvl w:ilvl="6">
      <w:start w:val="1"/>
      <w:numFmt w:val="bullet"/>
      <w:lvlText w:val="•"/>
      <w:lvlJc w:val="left"/>
      <w:pPr>
        <w:ind w:left="5936" w:hanging="269"/>
      </w:pPr>
      <w:rPr>
        <w:rFonts w:hint="default"/>
      </w:rPr>
    </w:lvl>
    <w:lvl w:ilvl="7">
      <w:start w:val="1"/>
      <w:numFmt w:val="bullet"/>
      <w:lvlText w:val="•"/>
      <w:lvlJc w:val="left"/>
      <w:pPr>
        <w:ind w:left="6862" w:hanging="269"/>
      </w:pPr>
      <w:rPr>
        <w:rFonts w:hint="default"/>
      </w:rPr>
    </w:lvl>
    <w:lvl w:ilvl="8">
      <w:start w:val="1"/>
      <w:numFmt w:val="bullet"/>
      <w:lvlText w:val="•"/>
      <w:lvlJc w:val="left"/>
      <w:pPr>
        <w:ind w:left="7788" w:hanging="269"/>
      </w:pPr>
      <w:rPr>
        <w:rFonts w:hint="default"/>
      </w:rPr>
    </w:lvl>
  </w:abstractNum>
  <w:abstractNum w:abstractNumId="7">
    <w:multiLevelType w:val="hybridMultilevel"/>
    <w:lvl w:ilvl="0">
      <w:start w:val="2"/>
      <w:numFmt w:val="upperLetter"/>
      <w:lvlText w:val="%1"/>
      <w:lvlJc w:val="left"/>
      <w:pPr>
        <w:ind w:left="559" w:hanging="441"/>
        <w:jc w:val="left"/>
      </w:pPr>
      <w:rPr>
        <w:rFonts w:hint="default"/>
      </w:rPr>
    </w:lvl>
    <w:lvl w:ilvl="1">
      <w:start w:val="1"/>
      <w:numFmt w:val="decimal"/>
      <w:lvlText w:val="%1.%2"/>
      <w:lvlJc w:val="left"/>
      <w:pPr>
        <w:ind w:left="559" w:hanging="441"/>
        <w:jc w:val="left"/>
      </w:pPr>
      <w:rPr>
        <w:rFonts w:hint="default" w:ascii="Arial" w:hAnsi="Arial" w:eastAsia="Arial" w:cs="Arial"/>
        <w:b/>
        <w:bCs/>
        <w:spacing w:val="-1"/>
        <w:w w:val="99"/>
        <w:sz w:val="24"/>
        <w:szCs w:val="24"/>
      </w:rPr>
    </w:lvl>
    <w:lvl w:ilvl="2">
      <w:start w:val="1"/>
      <w:numFmt w:val="bullet"/>
      <w:lvlText w:val="•"/>
      <w:lvlJc w:val="left"/>
      <w:pPr>
        <w:ind w:left="2376" w:hanging="441"/>
      </w:pPr>
      <w:rPr>
        <w:rFonts w:hint="default"/>
      </w:rPr>
    </w:lvl>
    <w:lvl w:ilvl="3">
      <w:start w:val="1"/>
      <w:numFmt w:val="bullet"/>
      <w:lvlText w:val="•"/>
      <w:lvlJc w:val="left"/>
      <w:pPr>
        <w:ind w:left="3284" w:hanging="441"/>
      </w:pPr>
      <w:rPr>
        <w:rFonts w:hint="default"/>
      </w:rPr>
    </w:lvl>
    <w:lvl w:ilvl="4">
      <w:start w:val="1"/>
      <w:numFmt w:val="bullet"/>
      <w:lvlText w:val="•"/>
      <w:lvlJc w:val="left"/>
      <w:pPr>
        <w:ind w:left="4192" w:hanging="441"/>
      </w:pPr>
      <w:rPr>
        <w:rFonts w:hint="default"/>
      </w:rPr>
    </w:lvl>
    <w:lvl w:ilvl="5">
      <w:start w:val="1"/>
      <w:numFmt w:val="bullet"/>
      <w:lvlText w:val="•"/>
      <w:lvlJc w:val="left"/>
      <w:pPr>
        <w:ind w:left="5100" w:hanging="441"/>
      </w:pPr>
      <w:rPr>
        <w:rFonts w:hint="default"/>
      </w:rPr>
    </w:lvl>
    <w:lvl w:ilvl="6">
      <w:start w:val="1"/>
      <w:numFmt w:val="bullet"/>
      <w:lvlText w:val="•"/>
      <w:lvlJc w:val="left"/>
      <w:pPr>
        <w:ind w:left="6008" w:hanging="441"/>
      </w:pPr>
      <w:rPr>
        <w:rFonts w:hint="default"/>
      </w:rPr>
    </w:lvl>
    <w:lvl w:ilvl="7">
      <w:start w:val="1"/>
      <w:numFmt w:val="bullet"/>
      <w:lvlText w:val="•"/>
      <w:lvlJc w:val="left"/>
      <w:pPr>
        <w:ind w:left="6916" w:hanging="441"/>
      </w:pPr>
      <w:rPr>
        <w:rFonts w:hint="default"/>
      </w:rPr>
    </w:lvl>
    <w:lvl w:ilvl="8">
      <w:start w:val="1"/>
      <w:numFmt w:val="bullet"/>
      <w:lvlText w:val="•"/>
      <w:lvlJc w:val="left"/>
      <w:pPr>
        <w:ind w:left="7824" w:hanging="441"/>
      </w:pPr>
      <w:rPr>
        <w:rFonts w:hint="default"/>
      </w:rPr>
    </w:lvl>
  </w:abstractNum>
  <w:abstractNum w:abstractNumId="6">
    <w:multiLevelType w:val="hybridMultilevel"/>
    <w:lvl w:ilvl="0">
      <w:start w:val="1"/>
      <w:numFmt w:val="lowerLetter"/>
      <w:lvlText w:val="%1."/>
      <w:lvlJc w:val="left"/>
      <w:pPr>
        <w:ind w:left="478" w:hanging="360"/>
        <w:jc w:val="left"/>
      </w:pPr>
      <w:rPr>
        <w:rFonts w:hint="default" w:ascii="Arial" w:hAnsi="Arial" w:eastAsia="Arial" w:cs="Arial"/>
        <w:spacing w:val="-15"/>
        <w:w w:val="99"/>
        <w:sz w:val="24"/>
        <w:szCs w:val="24"/>
      </w:rPr>
    </w:lvl>
    <w:lvl w:ilvl="1">
      <w:start w:val="1"/>
      <w:numFmt w:val="bullet"/>
      <w:lvlText w:val="•"/>
      <w:lvlJc w:val="left"/>
      <w:pPr>
        <w:ind w:left="1396" w:hanging="360"/>
      </w:pPr>
      <w:rPr>
        <w:rFonts w:hint="default"/>
      </w:rPr>
    </w:lvl>
    <w:lvl w:ilvl="2">
      <w:start w:val="1"/>
      <w:numFmt w:val="bullet"/>
      <w:lvlText w:val="•"/>
      <w:lvlJc w:val="left"/>
      <w:pPr>
        <w:ind w:left="2312" w:hanging="360"/>
      </w:pPr>
      <w:rPr>
        <w:rFonts w:hint="default"/>
      </w:rPr>
    </w:lvl>
    <w:lvl w:ilvl="3">
      <w:start w:val="1"/>
      <w:numFmt w:val="bullet"/>
      <w:lvlText w:val="•"/>
      <w:lvlJc w:val="left"/>
      <w:pPr>
        <w:ind w:left="3228" w:hanging="360"/>
      </w:pPr>
      <w:rPr>
        <w:rFonts w:hint="default"/>
      </w:rPr>
    </w:lvl>
    <w:lvl w:ilvl="4">
      <w:start w:val="1"/>
      <w:numFmt w:val="bullet"/>
      <w:lvlText w:val="•"/>
      <w:lvlJc w:val="left"/>
      <w:pPr>
        <w:ind w:left="4144" w:hanging="360"/>
      </w:pPr>
      <w:rPr>
        <w:rFonts w:hint="default"/>
      </w:rPr>
    </w:lvl>
    <w:lvl w:ilvl="5">
      <w:start w:val="1"/>
      <w:numFmt w:val="bullet"/>
      <w:lvlText w:val="•"/>
      <w:lvlJc w:val="left"/>
      <w:pPr>
        <w:ind w:left="5060" w:hanging="360"/>
      </w:pPr>
      <w:rPr>
        <w:rFonts w:hint="default"/>
      </w:rPr>
    </w:lvl>
    <w:lvl w:ilvl="6">
      <w:start w:val="1"/>
      <w:numFmt w:val="bullet"/>
      <w:lvlText w:val="•"/>
      <w:lvlJc w:val="left"/>
      <w:pPr>
        <w:ind w:left="5976" w:hanging="360"/>
      </w:pPr>
      <w:rPr>
        <w:rFonts w:hint="default"/>
      </w:rPr>
    </w:lvl>
    <w:lvl w:ilvl="7">
      <w:start w:val="1"/>
      <w:numFmt w:val="bullet"/>
      <w:lvlText w:val="•"/>
      <w:lvlJc w:val="left"/>
      <w:pPr>
        <w:ind w:left="6892" w:hanging="360"/>
      </w:pPr>
      <w:rPr>
        <w:rFonts w:hint="default"/>
      </w:rPr>
    </w:lvl>
    <w:lvl w:ilvl="8">
      <w:start w:val="1"/>
      <w:numFmt w:val="bullet"/>
      <w:lvlText w:val="•"/>
      <w:lvlJc w:val="left"/>
      <w:pPr>
        <w:ind w:left="7808" w:hanging="360"/>
      </w:pPr>
      <w:rPr>
        <w:rFonts w:hint="default"/>
      </w:rPr>
    </w:lvl>
  </w:abstractNum>
  <w:abstractNum w:abstractNumId="5">
    <w:multiLevelType w:val="hybridMultilevel"/>
    <w:lvl w:ilvl="0">
      <w:start w:val="1"/>
      <w:numFmt w:val="decimal"/>
      <w:lvlText w:val="%1)"/>
      <w:lvlJc w:val="left"/>
      <w:pPr>
        <w:ind w:left="478" w:hanging="360"/>
        <w:jc w:val="left"/>
      </w:pPr>
      <w:rPr>
        <w:rFonts w:hint="default" w:ascii="Arial" w:hAnsi="Arial" w:eastAsia="Arial" w:cs="Arial"/>
        <w:w w:val="99"/>
        <w:sz w:val="24"/>
        <w:szCs w:val="24"/>
      </w:rPr>
    </w:lvl>
    <w:lvl w:ilvl="1">
      <w:start w:val="1"/>
      <w:numFmt w:val="bullet"/>
      <w:lvlText w:val="•"/>
      <w:lvlJc w:val="left"/>
      <w:pPr>
        <w:ind w:left="1396" w:hanging="360"/>
      </w:pPr>
      <w:rPr>
        <w:rFonts w:hint="default"/>
      </w:rPr>
    </w:lvl>
    <w:lvl w:ilvl="2">
      <w:start w:val="1"/>
      <w:numFmt w:val="bullet"/>
      <w:lvlText w:val="•"/>
      <w:lvlJc w:val="left"/>
      <w:pPr>
        <w:ind w:left="2312" w:hanging="360"/>
      </w:pPr>
      <w:rPr>
        <w:rFonts w:hint="default"/>
      </w:rPr>
    </w:lvl>
    <w:lvl w:ilvl="3">
      <w:start w:val="1"/>
      <w:numFmt w:val="bullet"/>
      <w:lvlText w:val="•"/>
      <w:lvlJc w:val="left"/>
      <w:pPr>
        <w:ind w:left="3228" w:hanging="360"/>
      </w:pPr>
      <w:rPr>
        <w:rFonts w:hint="default"/>
      </w:rPr>
    </w:lvl>
    <w:lvl w:ilvl="4">
      <w:start w:val="1"/>
      <w:numFmt w:val="bullet"/>
      <w:lvlText w:val="•"/>
      <w:lvlJc w:val="left"/>
      <w:pPr>
        <w:ind w:left="4144" w:hanging="360"/>
      </w:pPr>
      <w:rPr>
        <w:rFonts w:hint="default"/>
      </w:rPr>
    </w:lvl>
    <w:lvl w:ilvl="5">
      <w:start w:val="1"/>
      <w:numFmt w:val="bullet"/>
      <w:lvlText w:val="•"/>
      <w:lvlJc w:val="left"/>
      <w:pPr>
        <w:ind w:left="5060" w:hanging="360"/>
      </w:pPr>
      <w:rPr>
        <w:rFonts w:hint="default"/>
      </w:rPr>
    </w:lvl>
    <w:lvl w:ilvl="6">
      <w:start w:val="1"/>
      <w:numFmt w:val="bullet"/>
      <w:lvlText w:val="•"/>
      <w:lvlJc w:val="left"/>
      <w:pPr>
        <w:ind w:left="5976" w:hanging="360"/>
      </w:pPr>
      <w:rPr>
        <w:rFonts w:hint="default"/>
      </w:rPr>
    </w:lvl>
    <w:lvl w:ilvl="7">
      <w:start w:val="1"/>
      <w:numFmt w:val="bullet"/>
      <w:lvlText w:val="•"/>
      <w:lvlJc w:val="left"/>
      <w:pPr>
        <w:ind w:left="6892" w:hanging="360"/>
      </w:pPr>
      <w:rPr>
        <w:rFonts w:hint="default"/>
      </w:rPr>
    </w:lvl>
    <w:lvl w:ilvl="8">
      <w:start w:val="1"/>
      <w:numFmt w:val="bullet"/>
      <w:lvlText w:val="•"/>
      <w:lvlJc w:val="left"/>
      <w:pPr>
        <w:ind w:left="7808" w:hanging="360"/>
      </w:pPr>
      <w:rPr>
        <w:rFonts w:hint="default"/>
      </w:rPr>
    </w:lvl>
  </w:abstractNum>
  <w:abstractNum w:abstractNumId="4">
    <w:multiLevelType w:val="hybridMultilevel"/>
    <w:lvl w:ilvl="0">
      <w:start w:val="1"/>
      <w:numFmt w:val="upperLetter"/>
      <w:lvlText w:val="%1"/>
      <w:lvlJc w:val="left"/>
      <w:pPr>
        <w:ind w:left="118" w:hanging="440"/>
        <w:jc w:val="left"/>
      </w:pPr>
      <w:rPr>
        <w:rFonts w:hint="default"/>
      </w:rPr>
    </w:lvl>
    <w:lvl w:ilvl="1">
      <w:start w:val="1"/>
      <w:numFmt w:val="decimal"/>
      <w:lvlText w:val="%1.%2"/>
      <w:lvlJc w:val="left"/>
      <w:pPr>
        <w:ind w:left="118" w:hanging="440"/>
        <w:jc w:val="left"/>
      </w:pPr>
      <w:rPr>
        <w:rFonts w:hint="default" w:ascii="Arial" w:hAnsi="Arial" w:eastAsia="Arial" w:cs="Arial"/>
        <w:b/>
        <w:bCs/>
        <w:spacing w:val="-6"/>
        <w:w w:val="99"/>
        <w:sz w:val="24"/>
        <w:szCs w:val="24"/>
      </w:rPr>
    </w:lvl>
    <w:lvl w:ilvl="2">
      <w:start w:val="1"/>
      <w:numFmt w:val="bullet"/>
      <w:lvlText w:val="•"/>
      <w:lvlJc w:val="left"/>
      <w:pPr>
        <w:ind w:left="2024" w:hanging="440"/>
      </w:pPr>
      <w:rPr>
        <w:rFonts w:hint="default"/>
      </w:rPr>
    </w:lvl>
    <w:lvl w:ilvl="3">
      <w:start w:val="1"/>
      <w:numFmt w:val="bullet"/>
      <w:lvlText w:val="•"/>
      <w:lvlJc w:val="left"/>
      <w:pPr>
        <w:ind w:left="2976" w:hanging="440"/>
      </w:pPr>
      <w:rPr>
        <w:rFonts w:hint="default"/>
      </w:rPr>
    </w:lvl>
    <w:lvl w:ilvl="4">
      <w:start w:val="1"/>
      <w:numFmt w:val="bullet"/>
      <w:lvlText w:val="•"/>
      <w:lvlJc w:val="left"/>
      <w:pPr>
        <w:ind w:left="3928" w:hanging="440"/>
      </w:pPr>
      <w:rPr>
        <w:rFonts w:hint="default"/>
      </w:rPr>
    </w:lvl>
    <w:lvl w:ilvl="5">
      <w:start w:val="1"/>
      <w:numFmt w:val="bullet"/>
      <w:lvlText w:val="•"/>
      <w:lvlJc w:val="left"/>
      <w:pPr>
        <w:ind w:left="4880" w:hanging="440"/>
      </w:pPr>
      <w:rPr>
        <w:rFonts w:hint="default"/>
      </w:rPr>
    </w:lvl>
    <w:lvl w:ilvl="6">
      <w:start w:val="1"/>
      <w:numFmt w:val="bullet"/>
      <w:lvlText w:val="•"/>
      <w:lvlJc w:val="left"/>
      <w:pPr>
        <w:ind w:left="5832" w:hanging="440"/>
      </w:pPr>
      <w:rPr>
        <w:rFonts w:hint="default"/>
      </w:rPr>
    </w:lvl>
    <w:lvl w:ilvl="7">
      <w:start w:val="1"/>
      <w:numFmt w:val="bullet"/>
      <w:lvlText w:val="•"/>
      <w:lvlJc w:val="left"/>
      <w:pPr>
        <w:ind w:left="6784" w:hanging="440"/>
      </w:pPr>
      <w:rPr>
        <w:rFonts w:hint="default"/>
      </w:rPr>
    </w:lvl>
    <w:lvl w:ilvl="8">
      <w:start w:val="1"/>
      <w:numFmt w:val="bullet"/>
      <w:lvlText w:val="•"/>
      <w:lvlJc w:val="left"/>
      <w:pPr>
        <w:ind w:left="7736" w:hanging="440"/>
      </w:pPr>
      <w:rPr>
        <w:rFonts w:hint="default"/>
      </w:rPr>
    </w:lvl>
  </w:abstractNum>
  <w:abstractNum w:abstractNumId="3">
    <w:multiLevelType w:val="hybridMultilevel"/>
    <w:lvl w:ilvl="0">
      <w:start w:val="1"/>
      <w:numFmt w:val="upperLetter"/>
      <w:lvlText w:val="%1."/>
      <w:lvlJc w:val="left"/>
      <w:pPr>
        <w:ind w:left="478" w:hanging="360"/>
        <w:jc w:val="left"/>
      </w:pPr>
      <w:rPr>
        <w:rFonts w:hint="default" w:ascii="Arial" w:hAnsi="Arial" w:eastAsia="Arial" w:cs="Arial"/>
        <w:b/>
        <w:bCs/>
        <w:spacing w:val="-6"/>
        <w:w w:val="99"/>
        <w:sz w:val="24"/>
        <w:szCs w:val="24"/>
      </w:rPr>
    </w:lvl>
    <w:lvl w:ilvl="1">
      <w:start w:val="1"/>
      <w:numFmt w:val="decimal"/>
      <w:lvlText w:val="%2."/>
      <w:lvlJc w:val="left"/>
      <w:pPr>
        <w:ind w:left="838" w:hanging="360"/>
        <w:jc w:val="left"/>
      </w:pPr>
      <w:rPr>
        <w:rFonts w:hint="default" w:ascii="Arial" w:hAnsi="Arial" w:eastAsia="Arial" w:cs="Arial"/>
        <w:spacing w:val="-3"/>
        <w:w w:val="99"/>
        <w:sz w:val="24"/>
        <w:szCs w:val="24"/>
      </w:rPr>
    </w:lvl>
    <w:lvl w:ilvl="2">
      <w:start w:val="1"/>
      <w:numFmt w:val="bullet"/>
      <w:lvlText w:val="•"/>
      <w:lvlJc w:val="left"/>
      <w:pPr>
        <w:ind w:left="1817" w:hanging="360"/>
      </w:pPr>
      <w:rPr>
        <w:rFonts w:hint="default"/>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2">
    <w:multiLevelType w:val="hybridMultilevel"/>
    <w:lvl w:ilvl="0">
      <w:start w:val="1"/>
      <w:numFmt w:val="upperLetter"/>
      <w:lvlText w:val="%1."/>
      <w:lvlJc w:val="left"/>
      <w:pPr>
        <w:ind w:left="560" w:hanging="360"/>
        <w:jc w:val="left"/>
      </w:pPr>
      <w:rPr>
        <w:rFonts w:hint="default" w:ascii="Arial" w:hAnsi="Arial" w:eastAsia="Arial" w:cs="Arial"/>
        <w:w w:val="100"/>
        <w:sz w:val="24"/>
        <w:szCs w:val="24"/>
      </w:rPr>
    </w:lvl>
    <w:lvl w:ilvl="1">
      <w:start w:val="1"/>
      <w:numFmt w:val="bullet"/>
      <w:lvlText w:val="•"/>
      <w:lvlJc w:val="left"/>
      <w:pPr>
        <w:ind w:left="1317" w:hanging="360"/>
      </w:pPr>
      <w:rPr>
        <w:rFonts w:hint="default"/>
      </w:rPr>
    </w:lvl>
    <w:lvl w:ilvl="2">
      <w:start w:val="1"/>
      <w:numFmt w:val="bullet"/>
      <w:lvlText w:val="•"/>
      <w:lvlJc w:val="left"/>
      <w:pPr>
        <w:ind w:left="2074" w:hanging="360"/>
      </w:pPr>
      <w:rPr>
        <w:rFonts w:hint="default"/>
      </w:rPr>
    </w:lvl>
    <w:lvl w:ilvl="3">
      <w:start w:val="1"/>
      <w:numFmt w:val="bullet"/>
      <w:lvlText w:val="•"/>
      <w:lvlJc w:val="left"/>
      <w:pPr>
        <w:ind w:left="2832" w:hanging="360"/>
      </w:pPr>
      <w:rPr>
        <w:rFonts w:hint="default"/>
      </w:rPr>
    </w:lvl>
    <w:lvl w:ilvl="4">
      <w:start w:val="1"/>
      <w:numFmt w:val="bullet"/>
      <w:lvlText w:val="•"/>
      <w:lvlJc w:val="left"/>
      <w:pPr>
        <w:ind w:left="3589" w:hanging="360"/>
      </w:pPr>
      <w:rPr>
        <w:rFonts w:hint="default"/>
      </w:rPr>
    </w:lvl>
    <w:lvl w:ilvl="5">
      <w:start w:val="1"/>
      <w:numFmt w:val="bullet"/>
      <w:lvlText w:val="•"/>
      <w:lvlJc w:val="left"/>
      <w:pPr>
        <w:ind w:left="4347" w:hanging="360"/>
      </w:pPr>
      <w:rPr>
        <w:rFonts w:hint="default"/>
      </w:rPr>
    </w:lvl>
    <w:lvl w:ilvl="6">
      <w:start w:val="1"/>
      <w:numFmt w:val="bullet"/>
      <w:lvlText w:val="•"/>
      <w:lvlJc w:val="left"/>
      <w:pPr>
        <w:ind w:left="5104" w:hanging="360"/>
      </w:pPr>
      <w:rPr>
        <w:rFonts w:hint="default"/>
      </w:rPr>
    </w:lvl>
    <w:lvl w:ilvl="7">
      <w:start w:val="1"/>
      <w:numFmt w:val="bullet"/>
      <w:lvlText w:val="•"/>
      <w:lvlJc w:val="left"/>
      <w:pPr>
        <w:ind w:left="5861" w:hanging="360"/>
      </w:pPr>
      <w:rPr>
        <w:rFonts w:hint="default"/>
      </w:rPr>
    </w:lvl>
    <w:lvl w:ilvl="8">
      <w:start w:val="1"/>
      <w:numFmt w:val="bullet"/>
      <w:lvlText w:val="•"/>
      <w:lvlJc w:val="left"/>
      <w:pPr>
        <w:ind w:left="6619" w:hanging="360"/>
      </w:pPr>
      <w:rPr>
        <w:rFonts w:hint="default"/>
      </w:rPr>
    </w:lvl>
  </w:abstractNum>
  <w:abstractNum w:abstractNumId="1">
    <w:multiLevelType w:val="hybridMultilevel"/>
    <w:lvl w:ilvl="0">
      <w:start w:val="1"/>
      <w:numFmt w:val="upperLetter"/>
      <w:lvlText w:val="%1."/>
      <w:lvlJc w:val="left"/>
      <w:pPr>
        <w:ind w:left="1203" w:hanging="296"/>
        <w:jc w:val="left"/>
      </w:pPr>
      <w:rPr>
        <w:rFonts w:hint="default" w:ascii="Arial" w:hAnsi="Arial" w:eastAsia="Arial" w:cs="Arial"/>
        <w:w w:val="100"/>
        <w:sz w:val="24"/>
        <w:szCs w:val="24"/>
      </w:rPr>
    </w:lvl>
    <w:lvl w:ilvl="1">
      <w:start w:val="1"/>
      <w:numFmt w:val="decimal"/>
      <w:lvlText w:val="%1.%2"/>
      <w:lvlJc w:val="left"/>
      <w:pPr>
        <w:ind w:left="1603" w:hanging="428"/>
        <w:jc w:val="left"/>
      </w:pPr>
      <w:rPr>
        <w:rFonts w:hint="default" w:ascii="Arial" w:hAnsi="Arial" w:eastAsia="Arial" w:cs="Arial"/>
        <w:spacing w:val="-2"/>
        <w:w w:val="99"/>
        <w:sz w:val="24"/>
        <w:szCs w:val="24"/>
      </w:rPr>
    </w:lvl>
    <w:lvl w:ilvl="2">
      <w:start w:val="1"/>
      <w:numFmt w:val="bullet"/>
      <w:lvlText w:val="•"/>
      <w:lvlJc w:val="left"/>
      <w:pPr>
        <w:ind w:left="1600" w:hanging="428"/>
      </w:pPr>
      <w:rPr>
        <w:rFonts w:hint="default"/>
      </w:rPr>
    </w:lvl>
    <w:lvl w:ilvl="3">
      <w:start w:val="1"/>
      <w:numFmt w:val="bullet"/>
      <w:lvlText w:val="•"/>
      <w:lvlJc w:val="left"/>
      <w:pPr>
        <w:ind w:left="2416" w:hanging="428"/>
      </w:pPr>
      <w:rPr>
        <w:rFonts w:hint="default"/>
      </w:rPr>
    </w:lvl>
    <w:lvl w:ilvl="4">
      <w:start w:val="1"/>
      <w:numFmt w:val="bullet"/>
      <w:lvlText w:val="•"/>
      <w:lvlJc w:val="left"/>
      <w:pPr>
        <w:ind w:left="3233" w:hanging="428"/>
      </w:pPr>
      <w:rPr>
        <w:rFonts w:hint="default"/>
      </w:rPr>
    </w:lvl>
    <w:lvl w:ilvl="5">
      <w:start w:val="1"/>
      <w:numFmt w:val="bullet"/>
      <w:lvlText w:val="•"/>
      <w:lvlJc w:val="left"/>
      <w:pPr>
        <w:ind w:left="4050" w:hanging="428"/>
      </w:pPr>
      <w:rPr>
        <w:rFonts w:hint="default"/>
      </w:rPr>
    </w:lvl>
    <w:lvl w:ilvl="6">
      <w:start w:val="1"/>
      <w:numFmt w:val="bullet"/>
      <w:lvlText w:val="•"/>
      <w:lvlJc w:val="left"/>
      <w:pPr>
        <w:ind w:left="4867" w:hanging="428"/>
      </w:pPr>
      <w:rPr>
        <w:rFonts w:hint="default"/>
      </w:rPr>
    </w:lvl>
    <w:lvl w:ilvl="7">
      <w:start w:val="1"/>
      <w:numFmt w:val="bullet"/>
      <w:lvlText w:val="•"/>
      <w:lvlJc w:val="left"/>
      <w:pPr>
        <w:ind w:left="5683" w:hanging="428"/>
      </w:pPr>
      <w:rPr>
        <w:rFonts w:hint="default"/>
      </w:rPr>
    </w:lvl>
    <w:lvl w:ilvl="8">
      <w:start w:val="1"/>
      <w:numFmt w:val="bullet"/>
      <w:lvlText w:val="•"/>
      <w:lvlJc w:val="left"/>
      <w:pPr>
        <w:ind w:left="6500" w:hanging="428"/>
      </w:pPr>
      <w:rPr>
        <w:rFonts w:hint="default"/>
      </w:rPr>
    </w:lvl>
  </w:abstractNum>
  <w:abstractNum w:abstractNumId="0">
    <w:multiLevelType w:val="hybridMultilevel"/>
    <w:lvl w:ilvl="0">
      <w:start w:val="3"/>
      <w:numFmt w:val="upperLetter"/>
      <w:lvlText w:val="%1"/>
      <w:lvlJc w:val="left"/>
      <w:pPr>
        <w:ind w:left="3798" w:hanging="562"/>
        <w:jc w:val="left"/>
      </w:pPr>
      <w:rPr>
        <w:rFonts w:hint="default"/>
      </w:rPr>
    </w:lvl>
    <w:lvl w:ilvl="1">
      <w:start w:val="4"/>
      <w:numFmt w:val="upperLetter"/>
      <w:lvlText w:val="%1.%2"/>
      <w:lvlJc w:val="left"/>
      <w:pPr>
        <w:ind w:left="3798" w:hanging="562"/>
        <w:jc w:val="left"/>
      </w:pPr>
      <w:rPr>
        <w:rFonts w:hint="default" w:ascii="Arial" w:hAnsi="Arial" w:eastAsia="Arial" w:cs="Arial"/>
        <w:b/>
        <w:bCs/>
        <w:spacing w:val="-2"/>
        <w:w w:val="100"/>
        <w:sz w:val="28"/>
        <w:szCs w:val="28"/>
      </w:rPr>
    </w:lvl>
    <w:lvl w:ilvl="2">
      <w:start w:val="13"/>
      <w:numFmt w:val="upperLetter"/>
      <w:lvlText w:val="%3."/>
      <w:lvlJc w:val="left"/>
      <w:pPr>
        <w:ind w:left="3645" w:hanging="307"/>
        <w:jc w:val="left"/>
      </w:pPr>
      <w:rPr>
        <w:rFonts w:hint="default" w:ascii="Arial" w:hAnsi="Arial" w:eastAsia="Arial" w:cs="Arial"/>
        <w:b/>
        <w:bCs/>
        <w:w w:val="100"/>
        <w:sz w:val="22"/>
        <w:szCs w:val="22"/>
      </w:rPr>
    </w:lvl>
    <w:lvl w:ilvl="3">
      <w:start w:val="1"/>
      <w:numFmt w:val="decimal"/>
      <w:lvlText w:val="%4."/>
      <w:lvlJc w:val="left"/>
      <w:pPr>
        <w:ind w:left="4559" w:hanging="360"/>
        <w:jc w:val="left"/>
      </w:pPr>
      <w:rPr>
        <w:rFonts w:hint="default" w:ascii="Arial" w:hAnsi="Arial" w:eastAsia="Arial" w:cs="Arial"/>
        <w:b/>
        <w:bCs/>
        <w:w w:val="99"/>
        <w:sz w:val="24"/>
        <w:szCs w:val="24"/>
      </w:rPr>
    </w:lvl>
    <w:lvl w:ilvl="4">
      <w:start w:val="1"/>
      <w:numFmt w:val="bullet"/>
      <w:lvlText w:val="•"/>
      <w:lvlJc w:val="left"/>
      <w:pPr>
        <w:ind w:left="5830" w:hanging="360"/>
      </w:pPr>
      <w:rPr>
        <w:rFonts w:hint="default"/>
      </w:rPr>
    </w:lvl>
    <w:lvl w:ilvl="5">
      <w:start w:val="1"/>
      <w:numFmt w:val="bullet"/>
      <w:lvlText w:val="•"/>
      <w:lvlJc w:val="left"/>
      <w:pPr>
        <w:ind w:left="6465" w:hanging="360"/>
      </w:pPr>
      <w:rPr>
        <w:rFonts w:hint="default"/>
      </w:rPr>
    </w:lvl>
    <w:lvl w:ilvl="6">
      <w:start w:val="1"/>
      <w:numFmt w:val="bullet"/>
      <w:lvlText w:val="•"/>
      <w:lvlJc w:val="left"/>
      <w:pPr>
        <w:ind w:left="7100" w:hanging="360"/>
      </w:pPr>
      <w:rPr>
        <w:rFonts w:hint="default"/>
      </w:rPr>
    </w:lvl>
    <w:lvl w:ilvl="7">
      <w:start w:val="1"/>
      <w:numFmt w:val="bullet"/>
      <w:lvlText w:val="•"/>
      <w:lvlJc w:val="left"/>
      <w:pPr>
        <w:ind w:left="7735" w:hanging="360"/>
      </w:pPr>
      <w:rPr>
        <w:rFonts w:hint="default"/>
      </w:rPr>
    </w:lvl>
    <w:lvl w:ilvl="8">
      <w:start w:val="1"/>
      <w:numFmt w:val="bullet"/>
      <w:lvlText w:val="•"/>
      <w:lvlJc w:val="left"/>
      <w:pPr>
        <w:ind w:left="8370" w:hanging="360"/>
      </w:pPr>
      <w:rPr>
        <w:rFonts w:hint="default"/>
      </w:rPr>
    </w:lvl>
  </w:abstractNum>
  <w:num w:numId="17">
    <w:abstractNumId w:val="16"/>
  </w:num>
  <w:num w:numId="22">
    <w:abstractNumId w:val="21"/>
  </w:num>
  <w:num w:numId="21">
    <w:abstractNumId w:val="20"/>
  </w:num>
  <w:num w:numId="20">
    <w:abstractNumId w:val="19"/>
  </w:num>
  <w:num w:numId="19">
    <w:abstractNumId w:val="18"/>
  </w:num>
  <w:num w:numId="18">
    <w:abstractNumId w:val="17"/>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6"/>
      <w:ind w:left="118"/>
      <w:outlineLvl w:val="1"/>
    </w:pPr>
    <w:rPr>
      <w:rFonts w:ascii="Arial" w:hAnsi="Arial" w:eastAsia="Arial" w:cs="Arial"/>
      <w:b/>
      <w:bCs/>
      <w:sz w:val="24"/>
      <w:szCs w:val="24"/>
    </w:rPr>
  </w:style>
  <w:style w:styleId="ListParagraph" w:type="paragraph">
    <w:name w:val="List Paragraph"/>
    <w:basedOn w:val="Normal"/>
    <w:uiPriority w:val="1"/>
    <w:qFormat/>
    <w:pPr>
      <w:spacing w:before="5"/>
      <w:ind w:left="478" w:hanging="360"/>
      <w:jc w:val="both"/>
    </w:pPr>
    <w:rPr>
      <w:rFonts w:ascii="Arial" w:hAnsi="Arial" w:eastAsia="Arial" w:cs="Arial"/>
    </w:rPr>
  </w:style>
  <w:style w:styleId="TableParagraph" w:type="paragraph">
    <w:name w:val="Table Paragraph"/>
    <w:basedOn w:val="Normal"/>
    <w:uiPriority w:val="1"/>
    <w:qFormat/>
    <w:pPr>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image" Target="media/image3.jpeg"/><Relationship Id="rId9" Type="http://schemas.openxmlformats.org/officeDocument/2006/relationships/image" Target="media/image4.jpeg"/><Relationship Id="rId10" Type="http://schemas.openxmlformats.org/officeDocument/2006/relationships/image" Target="media/image5.jpeg"/><Relationship Id="rId11" Type="http://schemas.openxmlformats.org/officeDocument/2006/relationships/image" Target="media/image6.jpeg"/><Relationship Id="rId12" Type="http://schemas.openxmlformats.org/officeDocument/2006/relationships/image" Target="media/image7.jpeg"/><Relationship Id="rId13" Type="http://schemas.openxmlformats.org/officeDocument/2006/relationships/image" Target="media/image8.jpeg"/><Relationship Id="rId14" Type="http://schemas.openxmlformats.org/officeDocument/2006/relationships/image" Target="media/image9.jpeg"/><Relationship Id="rId15" Type="http://schemas.openxmlformats.org/officeDocument/2006/relationships/image" Target="media/image10.jpeg"/><Relationship Id="rId16" Type="http://schemas.openxmlformats.org/officeDocument/2006/relationships/image" Target="media/image11.jpeg"/><Relationship Id="rId17" Type="http://schemas.openxmlformats.org/officeDocument/2006/relationships/image" Target="media/image12.png"/><Relationship Id="rId18" Type="http://schemas.openxmlformats.org/officeDocument/2006/relationships/image" Target="media/image13.jpeg"/><Relationship Id="rId19" Type="http://schemas.openxmlformats.org/officeDocument/2006/relationships/image" Target="media/image14.jpeg"/><Relationship Id="rId20" Type="http://schemas.openxmlformats.org/officeDocument/2006/relationships/image" Target="media/image15.jpeg"/><Relationship Id="rId21" Type="http://schemas.openxmlformats.org/officeDocument/2006/relationships/image" Target="media/image16.jpeg"/><Relationship Id="rId22" Type="http://schemas.openxmlformats.org/officeDocument/2006/relationships/image" Target="media/image17.jpeg"/><Relationship Id="rId23" Type="http://schemas.openxmlformats.org/officeDocument/2006/relationships/image" Target="media/image18.jpeg"/><Relationship Id="rId24" Type="http://schemas.openxmlformats.org/officeDocument/2006/relationships/image" Target="media/image19.jpeg"/><Relationship Id="rId25" Type="http://schemas.openxmlformats.org/officeDocument/2006/relationships/image" Target="media/image20.jpeg"/><Relationship Id="rId26" Type="http://schemas.openxmlformats.org/officeDocument/2006/relationships/image" Target="media/image21.jpeg"/><Relationship Id="rId27" Type="http://schemas.openxmlformats.org/officeDocument/2006/relationships/image" Target="media/image22.jpeg"/><Relationship Id="rId28" Type="http://schemas.openxmlformats.org/officeDocument/2006/relationships/image" Target="media/image23.jpeg"/><Relationship Id="rId29" Type="http://schemas.openxmlformats.org/officeDocument/2006/relationships/image" Target="media/image24.png"/><Relationship Id="rId30" Type="http://schemas.openxmlformats.org/officeDocument/2006/relationships/image" Target="media/image25.png"/><Relationship Id="rId31" Type="http://schemas.openxmlformats.org/officeDocument/2006/relationships/image" Target="media/image26.png"/><Relationship Id="rId32" Type="http://schemas.openxmlformats.org/officeDocument/2006/relationships/image" Target="media/image27.png"/><Relationship Id="rId33" Type="http://schemas.openxmlformats.org/officeDocument/2006/relationships/image" Target="media/image28.png"/><Relationship Id="rId34" Type="http://schemas.openxmlformats.org/officeDocument/2006/relationships/image" Target="media/image29.png"/><Relationship Id="rId35" Type="http://schemas.openxmlformats.org/officeDocument/2006/relationships/image" Target="media/image30.png"/><Relationship Id="rId36" Type="http://schemas.openxmlformats.org/officeDocument/2006/relationships/image" Target="media/image31.png"/><Relationship Id="rId37" Type="http://schemas.openxmlformats.org/officeDocument/2006/relationships/image" Target="media/image32.png"/><Relationship Id="rId38" Type="http://schemas.openxmlformats.org/officeDocument/2006/relationships/image" Target="media/image33.png"/><Relationship Id="rId39" Type="http://schemas.openxmlformats.org/officeDocument/2006/relationships/image" Target="media/image34.png"/><Relationship Id="rId40" Type="http://schemas.openxmlformats.org/officeDocument/2006/relationships/image" Target="media/image35.png"/><Relationship Id="rId41" Type="http://schemas.openxmlformats.org/officeDocument/2006/relationships/image" Target="media/image36.png"/><Relationship Id="rId42" Type="http://schemas.openxmlformats.org/officeDocument/2006/relationships/image" Target="media/image37.png"/><Relationship Id="rId43" Type="http://schemas.openxmlformats.org/officeDocument/2006/relationships/image" Target="media/image38.png"/><Relationship Id="rId44" Type="http://schemas.openxmlformats.org/officeDocument/2006/relationships/image" Target="media/image39.png"/><Relationship Id="rId45" Type="http://schemas.openxmlformats.org/officeDocument/2006/relationships/image" Target="media/image40.png"/><Relationship Id="rId46" Type="http://schemas.openxmlformats.org/officeDocument/2006/relationships/image" Target="media/image41.png"/><Relationship Id="rId47" Type="http://schemas.openxmlformats.org/officeDocument/2006/relationships/image" Target="media/image42.png"/><Relationship Id="rId48" Type="http://schemas.openxmlformats.org/officeDocument/2006/relationships/image" Target="media/image43.png"/><Relationship Id="rId49" Type="http://schemas.openxmlformats.org/officeDocument/2006/relationships/image" Target="media/image44.png"/><Relationship Id="rId50" Type="http://schemas.openxmlformats.org/officeDocument/2006/relationships/image" Target="media/image45.png"/><Relationship Id="rId51" Type="http://schemas.openxmlformats.org/officeDocument/2006/relationships/image" Target="media/image46.png"/><Relationship Id="rId52" Type="http://schemas.openxmlformats.org/officeDocument/2006/relationships/image" Target="media/image47.png"/><Relationship Id="rId53" Type="http://schemas.openxmlformats.org/officeDocument/2006/relationships/image" Target="media/image48.png"/><Relationship Id="rId54" Type="http://schemas.openxmlformats.org/officeDocument/2006/relationships/image" Target="media/image49.png"/><Relationship Id="rId55" Type="http://schemas.openxmlformats.org/officeDocument/2006/relationships/image" Target="media/image50.png"/><Relationship Id="rId56" Type="http://schemas.openxmlformats.org/officeDocument/2006/relationships/image" Target="media/image51.png"/><Relationship Id="rId57" Type="http://schemas.openxmlformats.org/officeDocument/2006/relationships/image" Target="media/image52.png"/><Relationship Id="rId58" Type="http://schemas.openxmlformats.org/officeDocument/2006/relationships/image" Target="media/image53.png"/><Relationship Id="rId59" Type="http://schemas.openxmlformats.org/officeDocument/2006/relationships/image" Target="media/image54.png"/><Relationship Id="rId60" Type="http://schemas.openxmlformats.org/officeDocument/2006/relationships/image" Target="media/image55.png"/><Relationship Id="rId61" Type="http://schemas.openxmlformats.org/officeDocument/2006/relationships/image" Target="media/image56.png"/><Relationship Id="rId62" Type="http://schemas.openxmlformats.org/officeDocument/2006/relationships/image" Target="media/image57.png"/><Relationship Id="rId63" Type="http://schemas.openxmlformats.org/officeDocument/2006/relationships/image" Target="media/image58.png"/><Relationship Id="rId64" Type="http://schemas.openxmlformats.org/officeDocument/2006/relationships/image" Target="media/image59.png"/><Relationship Id="rId65" Type="http://schemas.openxmlformats.org/officeDocument/2006/relationships/image" Target="media/image60.png"/><Relationship Id="rId66" Type="http://schemas.openxmlformats.org/officeDocument/2006/relationships/image" Target="media/image61.png"/><Relationship Id="rId67" Type="http://schemas.openxmlformats.org/officeDocument/2006/relationships/image" Target="media/image62.png"/><Relationship Id="rId68" Type="http://schemas.openxmlformats.org/officeDocument/2006/relationships/image" Target="media/image63.png"/><Relationship Id="rId69" Type="http://schemas.openxmlformats.org/officeDocument/2006/relationships/image" Target="media/image64.png"/><Relationship Id="rId70" Type="http://schemas.openxmlformats.org/officeDocument/2006/relationships/image" Target="media/image65.png"/><Relationship Id="rId71" Type="http://schemas.openxmlformats.org/officeDocument/2006/relationships/image" Target="media/image66.png"/><Relationship Id="rId72" Type="http://schemas.openxmlformats.org/officeDocument/2006/relationships/image" Target="media/image67.png"/><Relationship Id="rId73" Type="http://schemas.openxmlformats.org/officeDocument/2006/relationships/image" Target="media/image68.png"/><Relationship Id="rId74" Type="http://schemas.openxmlformats.org/officeDocument/2006/relationships/image" Target="media/image69.png"/><Relationship Id="rId75" Type="http://schemas.openxmlformats.org/officeDocument/2006/relationships/image" Target="media/image70.png"/><Relationship Id="rId76" Type="http://schemas.openxmlformats.org/officeDocument/2006/relationships/image" Target="media/image71.png"/><Relationship Id="rId77" Type="http://schemas.openxmlformats.org/officeDocument/2006/relationships/image" Target="media/image72.png"/><Relationship Id="rId78" Type="http://schemas.openxmlformats.org/officeDocument/2006/relationships/image" Target="media/image73.png"/><Relationship Id="rId79" Type="http://schemas.openxmlformats.org/officeDocument/2006/relationships/image" Target="media/image74.png"/><Relationship Id="rId80" Type="http://schemas.openxmlformats.org/officeDocument/2006/relationships/image" Target="media/image75.png"/><Relationship Id="rId81" Type="http://schemas.openxmlformats.org/officeDocument/2006/relationships/image" Target="media/image76.png"/><Relationship Id="rId82" Type="http://schemas.openxmlformats.org/officeDocument/2006/relationships/image" Target="media/image77.png"/><Relationship Id="rId83" Type="http://schemas.openxmlformats.org/officeDocument/2006/relationships/image" Target="media/image78.png"/><Relationship Id="rId84" Type="http://schemas.openxmlformats.org/officeDocument/2006/relationships/image" Target="media/image79.png"/><Relationship Id="rId85" Type="http://schemas.openxmlformats.org/officeDocument/2006/relationships/image" Target="media/image80.png"/><Relationship Id="rId86" Type="http://schemas.openxmlformats.org/officeDocument/2006/relationships/image" Target="media/image81.png"/><Relationship Id="rId87" Type="http://schemas.openxmlformats.org/officeDocument/2006/relationships/image" Target="media/image82.png"/><Relationship Id="rId88" Type="http://schemas.openxmlformats.org/officeDocument/2006/relationships/image" Target="media/image83.png"/><Relationship Id="rId89" Type="http://schemas.openxmlformats.org/officeDocument/2006/relationships/image" Target="media/image84.png"/><Relationship Id="rId90" Type="http://schemas.openxmlformats.org/officeDocument/2006/relationships/image" Target="media/image85.png"/><Relationship Id="rId91" Type="http://schemas.openxmlformats.org/officeDocument/2006/relationships/image" Target="media/image86.png"/><Relationship Id="rId92" Type="http://schemas.openxmlformats.org/officeDocument/2006/relationships/image" Target="media/image87.png"/><Relationship Id="rId93" Type="http://schemas.openxmlformats.org/officeDocument/2006/relationships/image" Target="media/image88.png"/><Relationship Id="rId94" Type="http://schemas.openxmlformats.org/officeDocument/2006/relationships/image" Target="media/image89.png"/><Relationship Id="rId95" Type="http://schemas.openxmlformats.org/officeDocument/2006/relationships/image" Target="media/image90.png"/><Relationship Id="rId96" Type="http://schemas.openxmlformats.org/officeDocument/2006/relationships/image" Target="media/image91.png"/><Relationship Id="rId97" Type="http://schemas.openxmlformats.org/officeDocument/2006/relationships/image" Target="media/image92.png"/><Relationship Id="rId98" Type="http://schemas.openxmlformats.org/officeDocument/2006/relationships/image" Target="media/image93.png"/><Relationship Id="rId99" Type="http://schemas.openxmlformats.org/officeDocument/2006/relationships/image" Target="media/image94.png"/><Relationship Id="rId100" Type="http://schemas.openxmlformats.org/officeDocument/2006/relationships/image" Target="media/image95.png"/><Relationship Id="rId101" Type="http://schemas.openxmlformats.org/officeDocument/2006/relationships/image" Target="media/image96.png"/><Relationship Id="rId102" Type="http://schemas.openxmlformats.org/officeDocument/2006/relationships/image" Target="media/image97.png"/><Relationship Id="rId103" Type="http://schemas.openxmlformats.org/officeDocument/2006/relationships/image" Target="media/image98.png"/><Relationship Id="rId104" Type="http://schemas.openxmlformats.org/officeDocument/2006/relationships/image" Target="media/image99.png"/><Relationship Id="rId105" Type="http://schemas.openxmlformats.org/officeDocument/2006/relationships/image" Target="media/image100.png"/><Relationship Id="rId106" Type="http://schemas.openxmlformats.org/officeDocument/2006/relationships/image" Target="media/image101.png"/><Relationship Id="rId107" Type="http://schemas.openxmlformats.org/officeDocument/2006/relationships/image" Target="media/image102.png"/><Relationship Id="rId108" Type="http://schemas.openxmlformats.org/officeDocument/2006/relationships/image" Target="media/image103.png"/><Relationship Id="rId109" Type="http://schemas.openxmlformats.org/officeDocument/2006/relationships/hyperlink" Target="http://multimedia.3m.com/mws/media/221322O/3mtm-espetm-" TargetMode="External"/><Relationship Id="rId110" Type="http://schemas.openxmlformats.org/officeDocument/2006/relationships/hyperlink" Target="http://apps.who.int/iris/bitstream/10665/77917/1/9789243502137_spa.pdf" TargetMode="External"/><Relationship Id="rId111" Type="http://schemas.openxmlformats.org/officeDocument/2006/relationships/hyperlink" Target="http://www.insht.es/InshtWeb/Contenidos/Documentacion/TextosOnline/Enciclop" TargetMode="External"/><Relationship Id="rId112" Type="http://schemas.openxmlformats.org/officeDocument/2006/relationships/hyperlink" Target="http://www.salud.gob.mx/unidades/cdi/legis/lgs/LEY_GENERAL_DE_SALUD.pdf" TargetMode="External"/><Relationship Id="rId113" Type="http://schemas.openxmlformats.org/officeDocument/2006/relationships/image" Target="media/image104.png"/><Relationship Id="rId114" Type="http://schemas.openxmlformats.org/officeDocument/2006/relationships/image" Target="media/image105.png"/><Relationship Id="rId115" Type="http://schemas.openxmlformats.org/officeDocument/2006/relationships/image" Target="media/image106.png"/><Relationship Id="rId116" Type="http://schemas.openxmlformats.org/officeDocument/2006/relationships/image" Target="media/image107.jpeg"/><Relationship Id="rId117" Type="http://schemas.openxmlformats.org/officeDocument/2006/relationships/image" Target="media/image108.jpeg"/><Relationship Id="rId118" Type="http://schemas.openxmlformats.org/officeDocument/2006/relationships/image" Target="media/image109.jpeg"/><Relationship Id="rId119" Type="http://schemas.openxmlformats.org/officeDocument/2006/relationships/image" Target="media/image110.jpeg"/><Relationship Id="rId120" Type="http://schemas.openxmlformats.org/officeDocument/2006/relationships/image" Target="media/image111.jpeg"/><Relationship Id="rId121" Type="http://schemas.openxmlformats.org/officeDocument/2006/relationships/image" Target="media/image112.jpeg"/><Relationship Id="rId122" Type="http://schemas.openxmlformats.org/officeDocument/2006/relationships/image" Target="media/image113.jpeg"/><Relationship Id="rId123" Type="http://schemas.openxmlformats.org/officeDocument/2006/relationships/image" Target="media/image114.jpeg"/><Relationship Id="rId124" Type="http://schemas.openxmlformats.org/officeDocument/2006/relationships/image" Target="media/image115.jpeg"/><Relationship Id="rId12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Marisa r.</dc:creator>
  <dc:title>Detección de metales en saliva después de la colocación de coronas de níquel cromo: estudio piloto</dc:title>
  <dcterms:created xsi:type="dcterms:W3CDTF">2017-05-20T02:47:53Z</dcterms:created>
  <dcterms:modified xsi:type="dcterms:W3CDTF">2017-05-20T02:47:53Z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2015-11-29T00:00:00Z</vt:filetime>
  </property>
  <property fmtid="{D5CDD505-2E9C-101B-9397-08002B2CF9AE}" pid="3" name="Creator">
    <vt:lpwstr>Microsoft® Word 2013</vt:lpwstr>
  </property>
  <property fmtid="{D5CDD505-2E9C-101B-9397-08002B2CF9AE}" pid="4" name="LastSaved">
    <vt:filetime>2017-05-20T00:00:00Z</vt:filetime>
  </property>
</Properties>
</file>